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CAF13" w14:textId="77777777" w:rsidR="004160CD" w:rsidRPr="008228B2" w:rsidRDefault="004160CD" w:rsidP="00446E30">
      <w:pPr>
        <w:rPr>
          <w:rFonts w:ascii="Times New Roman" w:hAnsi="Times New Roman" w:cs="Times New Roman"/>
        </w:rPr>
      </w:pPr>
      <w:r w:rsidRPr="008228B2">
        <w:rPr>
          <w:rFonts w:ascii="Times New Roman" w:hAnsi="Times New Roman" w:cs="Times New Roman"/>
        </w:rPr>
        <w:t>To the Graduate Council:</w:t>
      </w:r>
    </w:p>
    <w:p w14:paraId="5A38A747" w14:textId="77777777" w:rsidR="004160CD" w:rsidRPr="009773CF" w:rsidRDefault="004160CD">
      <w:pPr>
        <w:rPr>
          <w:rFonts w:ascii="Times New Roman" w:hAnsi="Times New Roman" w:cs="Times New Roman"/>
        </w:rPr>
      </w:pPr>
    </w:p>
    <w:p w14:paraId="3DBFEB19" w14:textId="7147EC8C" w:rsidR="00195E88" w:rsidRPr="008228B2" w:rsidRDefault="004160CD">
      <w:pPr>
        <w:rPr>
          <w:rFonts w:ascii="Times New Roman" w:hAnsi="Times New Roman" w:cs="Times New Roman"/>
        </w:rPr>
      </w:pPr>
      <w:r w:rsidRPr="008228B2">
        <w:rPr>
          <w:rFonts w:ascii="Times New Roman" w:hAnsi="Times New Roman" w:cs="Times New Roman"/>
        </w:rPr>
        <w:t xml:space="preserve">I am submitting herewith a </w:t>
      </w:r>
      <w:r w:rsidR="00195E88" w:rsidRPr="008228B2">
        <w:rPr>
          <w:rFonts w:ascii="Times New Roman" w:hAnsi="Times New Roman" w:cs="Times New Roman"/>
        </w:rPr>
        <w:t>dissertation</w:t>
      </w:r>
      <w:r w:rsidRPr="008228B2">
        <w:rPr>
          <w:rFonts w:ascii="Times New Roman" w:hAnsi="Times New Roman" w:cs="Times New Roman"/>
        </w:rPr>
        <w:t xml:space="preserve"> written by Ulrich Schmelzle entitled “</w:t>
      </w:r>
      <w:r w:rsidR="00330526" w:rsidRPr="008228B2">
        <w:rPr>
          <w:rFonts w:ascii="Times New Roman" w:hAnsi="Times New Roman" w:cs="Times New Roman"/>
        </w:rPr>
        <w:t>Supply Chain-Driven Innovation: The Influence of Supply Chain Resource Orchestration on Organizational Performance</w:t>
      </w:r>
      <w:r w:rsidRPr="008228B2">
        <w:rPr>
          <w:rFonts w:ascii="Times New Roman" w:hAnsi="Times New Roman" w:cs="Times New Roman"/>
        </w:rPr>
        <w:t xml:space="preserve">“ I have examined the </w:t>
      </w:r>
      <w:r w:rsidR="00195E88" w:rsidRPr="008228B2">
        <w:rPr>
          <w:rFonts w:ascii="Times New Roman" w:hAnsi="Times New Roman" w:cs="Times New Roman"/>
        </w:rPr>
        <w:t xml:space="preserve">final </w:t>
      </w:r>
      <w:r w:rsidRPr="008228B2">
        <w:rPr>
          <w:rFonts w:ascii="Times New Roman" w:hAnsi="Times New Roman" w:cs="Times New Roman"/>
        </w:rPr>
        <w:t xml:space="preserve">electronic copy of this </w:t>
      </w:r>
      <w:r w:rsidR="00195E88" w:rsidRPr="008228B2">
        <w:rPr>
          <w:rFonts w:ascii="Times New Roman" w:hAnsi="Times New Roman" w:cs="Times New Roman"/>
        </w:rPr>
        <w:t>dissertation</w:t>
      </w:r>
      <w:r w:rsidRPr="008228B2">
        <w:rPr>
          <w:rFonts w:ascii="Times New Roman" w:hAnsi="Times New Roman" w:cs="Times New Roman"/>
        </w:rPr>
        <w:t xml:space="preserve"> for form and content and recommend that it be accepted in partial fulfillment of the requirements for the degree of </w:t>
      </w:r>
      <w:r w:rsidR="00195E88" w:rsidRPr="008228B2">
        <w:rPr>
          <w:rFonts w:ascii="Times New Roman" w:hAnsi="Times New Roman" w:cs="Times New Roman"/>
        </w:rPr>
        <w:t>Doctor of Philosophy, with a major in Business Administration.</w:t>
      </w:r>
    </w:p>
    <w:p w14:paraId="659765B1" w14:textId="77777777" w:rsidR="00195E88" w:rsidRPr="008228B2" w:rsidRDefault="00195E88">
      <w:pPr>
        <w:rPr>
          <w:rFonts w:ascii="Times New Roman" w:hAnsi="Times New Roman" w:cs="Times New Roman"/>
        </w:rPr>
      </w:pPr>
    </w:p>
    <w:p w14:paraId="38D2586D" w14:textId="77777777" w:rsidR="00195E88" w:rsidRPr="008228B2" w:rsidRDefault="00195E88" w:rsidP="008C76D8">
      <w:pPr>
        <w:jc w:val="right"/>
        <w:rPr>
          <w:rFonts w:ascii="Times New Roman" w:hAnsi="Times New Roman" w:cs="Times New Roman"/>
        </w:rPr>
      </w:pPr>
      <w:r w:rsidRPr="008228B2">
        <w:rPr>
          <w:rFonts w:ascii="Times New Roman" w:hAnsi="Times New Roman" w:cs="Times New Roman"/>
        </w:rPr>
        <w:t>Wendy L. Tate, Major Professor</w:t>
      </w:r>
    </w:p>
    <w:p w14:paraId="59D68519" w14:textId="77777777" w:rsidR="00195E88" w:rsidRPr="008228B2" w:rsidRDefault="00195E88">
      <w:pPr>
        <w:rPr>
          <w:rFonts w:ascii="Times New Roman" w:hAnsi="Times New Roman" w:cs="Times New Roman"/>
        </w:rPr>
      </w:pPr>
    </w:p>
    <w:p w14:paraId="464AF89B" w14:textId="77777777" w:rsidR="008E0FC6" w:rsidRPr="008228B2" w:rsidRDefault="008E0FC6">
      <w:pPr>
        <w:rPr>
          <w:rFonts w:ascii="Times New Roman" w:hAnsi="Times New Roman" w:cs="Times New Roman"/>
        </w:rPr>
      </w:pPr>
    </w:p>
    <w:p w14:paraId="15BD0798" w14:textId="48321AD5" w:rsidR="00195E88" w:rsidRPr="008228B2" w:rsidRDefault="00195E88">
      <w:pPr>
        <w:rPr>
          <w:rFonts w:ascii="Times New Roman" w:hAnsi="Times New Roman" w:cs="Times New Roman"/>
        </w:rPr>
      </w:pPr>
      <w:r w:rsidRPr="008228B2">
        <w:rPr>
          <w:rFonts w:ascii="Times New Roman" w:hAnsi="Times New Roman" w:cs="Times New Roman"/>
        </w:rPr>
        <w:t>We have read this dissertation and recommend its acceptance</w:t>
      </w:r>
      <w:r w:rsidR="008E0FC6" w:rsidRPr="008228B2">
        <w:rPr>
          <w:rFonts w:ascii="Times New Roman" w:hAnsi="Times New Roman" w:cs="Times New Roman"/>
        </w:rPr>
        <w:t>:</w:t>
      </w:r>
    </w:p>
    <w:p w14:paraId="17DB3FE0" w14:textId="77777777" w:rsidR="00195E88" w:rsidRPr="008228B2" w:rsidRDefault="00195E88">
      <w:pPr>
        <w:rPr>
          <w:rFonts w:ascii="Times New Roman" w:hAnsi="Times New Roman" w:cs="Times New Roman"/>
        </w:rPr>
      </w:pPr>
    </w:p>
    <w:p w14:paraId="29624227" w14:textId="77777777" w:rsidR="00060B67" w:rsidRPr="008228B2" w:rsidRDefault="00060B67">
      <w:pPr>
        <w:rPr>
          <w:rFonts w:ascii="Times New Roman" w:hAnsi="Times New Roman" w:cs="Times New Roman"/>
        </w:rPr>
      </w:pPr>
    </w:p>
    <w:p w14:paraId="4F56B4BC" w14:textId="5E989514" w:rsidR="00CC28D3" w:rsidRPr="008228B2" w:rsidRDefault="00195E88">
      <w:pPr>
        <w:rPr>
          <w:rFonts w:ascii="Times New Roman" w:hAnsi="Times New Roman" w:cs="Times New Roman"/>
        </w:rPr>
      </w:pPr>
      <w:r w:rsidRPr="008228B2">
        <w:rPr>
          <w:rFonts w:ascii="Times New Roman" w:hAnsi="Times New Roman" w:cs="Times New Roman"/>
        </w:rPr>
        <w:t xml:space="preserve">Christopher W. </w:t>
      </w:r>
      <w:r w:rsidR="00CC28D3" w:rsidRPr="008228B2">
        <w:rPr>
          <w:rFonts w:ascii="Times New Roman" w:hAnsi="Times New Roman" w:cs="Times New Roman"/>
        </w:rPr>
        <w:t>Craighead</w:t>
      </w:r>
      <w:r w:rsidRPr="008228B2">
        <w:rPr>
          <w:rFonts w:ascii="Times New Roman" w:hAnsi="Times New Roman" w:cs="Times New Roman"/>
        </w:rPr>
        <w:t xml:space="preserve"> </w:t>
      </w:r>
    </w:p>
    <w:p w14:paraId="2BB49CCA" w14:textId="77777777" w:rsidR="00CC28D3" w:rsidRPr="008228B2" w:rsidRDefault="00CC28D3">
      <w:pPr>
        <w:rPr>
          <w:rFonts w:ascii="Times New Roman" w:hAnsi="Times New Roman" w:cs="Times New Roman"/>
        </w:rPr>
      </w:pPr>
    </w:p>
    <w:p w14:paraId="4AEFCD18" w14:textId="4A37EF33" w:rsidR="00CC28D3" w:rsidRPr="008228B2" w:rsidRDefault="00195E88">
      <w:pPr>
        <w:rPr>
          <w:rFonts w:ascii="Times New Roman" w:hAnsi="Times New Roman" w:cs="Times New Roman"/>
        </w:rPr>
      </w:pPr>
      <w:r w:rsidRPr="008228B2">
        <w:rPr>
          <w:rFonts w:ascii="Times New Roman" w:hAnsi="Times New Roman" w:cs="Times New Roman"/>
        </w:rPr>
        <w:t>Chad W. Au</w:t>
      </w:r>
      <w:r w:rsidR="00CC28D3" w:rsidRPr="008228B2">
        <w:rPr>
          <w:rFonts w:ascii="Times New Roman" w:hAnsi="Times New Roman" w:cs="Times New Roman"/>
        </w:rPr>
        <w:t>try</w:t>
      </w:r>
      <w:r w:rsidRPr="008228B2">
        <w:rPr>
          <w:rFonts w:ascii="Times New Roman" w:hAnsi="Times New Roman" w:cs="Times New Roman"/>
        </w:rPr>
        <w:t xml:space="preserve"> </w:t>
      </w:r>
    </w:p>
    <w:p w14:paraId="368B88E5" w14:textId="77777777" w:rsidR="00CC28D3" w:rsidRPr="008228B2" w:rsidRDefault="00CC28D3">
      <w:pPr>
        <w:rPr>
          <w:rFonts w:ascii="Times New Roman" w:hAnsi="Times New Roman" w:cs="Times New Roman"/>
        </w:rPr>
      </w:pPr>
    </w:p>
    <w:p w14:paraId="4CE46F0E" w14:textId="6C9BF825" w:rsidR="00195E88" w:rsidRPr="008228B2" w:rsidRDefault="00195E88">
      <w:pPr>
        <w:rPr>
          <w:rFonts w:ascii="Times New Roman" w:hAnsi="Times New Roman" w:cs="Times New Roman"/>
        </w:rPr>
      </w:pPr>
      <w:r w:rsidRPr="008228B2">
        <w:rPr>
          <w:rFonts w:ascii="Times New Roman" w:hAnsi="Times New Roman" w:cs="Times New Roman"/>
        </w:rPr>
        <w:t>David W. Williams</w:t>
      </w:r>
    </w:p>
    <w:p w14:paraId="7EFD9993" w14:textId="77777777" w:rsidR="00195E88" w:rsidRPr="008228B2" w:rsidRDefault="00195E88">
      <w:pPr>
        <w:rPr>
          <w:rFonts w:ascii="Times New Roman" w:hAnsi="Times New Roman" w:cs="Times New Roman"/>
        </w:rPr>
      </w:pPr>
    </w:p>
    <w:p w14:paraId="1E9C01E6" w14:textId="77777777" w:rsidR="00CC28D3" w:rsidRPr="008228B2" w:rsidRDefault="00CC28D3">
      <w:pPr>
        <w:rPr>
          <w:rFonts w:ascii="Times New Roman" w:hAnsi="Times New Roman" w:cs="Times New Roman"/>
          <w:b/>
        </w:rPr>
      </w:pPr>
    </w:p>
    <w:p w14:paraId="6201A207" w14:textId="77777777" w:rsidR="00CC28D3" w:rsidRPr="008228B2" w:rsidRDefault="00CC28D3">
      <w:pPr>
        <w:rPr>
          <w:rFonts w:ascii="Times New Roman" w:hAnsi="Times New Roman" w:cs="Times New Roman"/>
          <w:b/>
        </w:rPr>
      </w:pPr>
    </w:p>
    <w:p w14:paraId="73B1DFB3" w14:textId="77777777" w:rsidR="00CC28D3" w:rsidRPr="008228B2" w:rsidRDefault="00CC28D3">
      <w:pPr>
        <w:rPr>
          <w:rFonts w:ascii="Times New Roman" w:hAnsi="Times New Roman" w:cs="Times New Roman"/>
          <w:b/>
        </w:rPr>
      </w:pPr>
    </w:p>
    <w:p w14:paraId="453027F4" w14:textId="77777777" w:rsidR="008E0FC6" w:rsidRPr="008228B2" w:rsidRDefault="008E0FC6">
      <w:pPr>
        <w:rPr>
          <w:rFonts w:ascii="Times New Roman" w:hAnsi="Times New Roman" w:cs="Times New Roman"/>
          <w:b/>
        </w:rPr>
      </w:pPr>
    </w:p>
    <w:p w14:paraId="637986B8" w14:textId="77777777" w:rsidR="008E0FC6" w:rsidRPr="008228B2" w:rsidRDefault="008E0FC6">
      <w:pPr>
        <w:rPr>
          <w:rFonts w:ascii="Times New Roman" w:hAnsi="Times New Roman" w:cs="Times New Roman"/>
        </w:rPr>
      </w:pPr>
    </w:p>
    <w:p w14:paraId="4027B5FD" w14:textId="77777777" w:rsidR="00195E88" w:rsidRPr="008228B2" w:rsidRDefault="00195E88" w:rsidP="008C76D8">
      <w:pPr>
        <w:jc w:val="right"/>
        <w:rPr>
          <w:rFonts w:ascii="Times New Roman" w:hAnsi="Times New Roman" w:cs="Times New Roman"/>
        </w:rPr>
      </w:pPr>
      <w:r w:rsidRPr="008228B2">
        <w:rPr>
          <w:rFonts w:ascii="Times New Roman" w:hAnsi="Times New Roman" w:cs="Times New Roman"/>
        </w:rPr>
        <w:t>Accepted for the Council:</w:t>
      </w:r>
    </w:p>
    <w:p w14:paraId="3D32CFC3" w14:textId="77777777" w:rsidR="00195E88" w:rsidRPr="008228B2" w:rsidRDefault="00195E88" w:rsidP="008C76D8">
      <w:pPr>
        <w:jc w:val="right"/>
        <w:rPr>
          <w:rFonts w:ascii="Times New Roman" w:hAnsi="Times New Roman" w:cs="Times New Roman"/>
        </w:rPr>
      </w:pPr>
    </w:p>
    <w:p w14:paraId="61594C59" w14:textId="17258E18" w:rsidR="00195E88" w:rsidRPr="008228B2" w:rsidRDefault="00C474B2" w:rsidP="008C76D8">
      <w:pPr>
        <w:jc w:val="right"/>
        <w:rPr>
          <w:rFonts w:ascii="Times New Roman" w:hAnsi="Times New Roman" w:cs="Times New Roman"/>
        </w:rPr>
      </w:pPr>
      <w:r w:rsidRPr="008228B2">
        <w:rPr>
          <w:rFonts w:ascii="Times New Roman" w:hAnsi="Times New Roman" w:cs="Times New Roman"/>
        </w:rPr>
        <w:t>Dixie L. Thompson</w:t>
      </w:r>
    </w:p>
    <w:p w14:paraId="66AA88C2" w14:textId="77777777" w:rsidR="00195E88" w:rsidRPr="008228B2" w:rsidRDefault="00195E88" w:rsidP="008C76D8">
      <w:pPr>
        <w:jc w:val="right"/>
        <w:rPr>
          <w:rFonts w:ascii="Times New Roman" w:hAnsi="Times New Roman" w:cs="Times New Roman"/>
        </w:rPr>
      </w:pPr>
      <w:r w:rsidRPr="008228B2">
        <w:rPr>
          <w:rFonts w:ascii="Times New Roman" w:hAnsi="Times New Roman" w:cs="Times New Roman"/>
        </w:rPr>
        <w:t>Vice Provost and Dean of the Graduate School</w:t>
      </w:r>
    </w:p>
    <w:p w14:paraId="2FEA1398" w14:textId="77777777" w:rsidR="00195E88" w:rsidRPr="008228B2" w:rsidRDefault="00195E88">
      <w:pPr>
        <w:rPr>
          <w:rFonts w:ascii="Times New Roman" w:hAnsi="Times New Roman" w:cs="Times New Roman"/>
        </w:rPr>
      </w:pPr>
    </w:p>
    <w:p w14:paraId="1628A01B" w14:textId="77777777" w:rsidR="00195E88" w:rsidRPr="008228B2" w:rsidRDefault="00195E88" w:rsidP="00195E88">
      <w:pPr>
        <w:rPr>
          <w:rFonts w:ascii="Times New Roman" w:hAnsi="Times New Roman" w:cs="Times New Roman"/>
        </w:rPr>
      </w:pPr>
    </w:p>
    <w:p w14:paraId="2F92D6BE" w14:textId="77777777" w:rsidR="00195E88" w:rsidRPr="008228B2" w:rsidRDefault="00195E88" w:rsidP="00195E88">
      <w:pPr>
        <w:rPr>
          <w:rFonts w:ascii="Times New Roman" w:hAnsi="Times New Roman" w:cs="Times New Roman"/>
        </w:rPr>
      </w:pPr>
    </w:p>
    <w:p w14:paraId="15E9DD14" w14:textId="77777777" w:rsidR="00E744A1" w:rsidRPr="002D200E" w:rsidRDefault="00E744A1" w:rsidP="00195E88">
      <w:pPr>
        <w:rPr>
          <w:rFonts w:ascii="Times New Roman" w:hAnsi="Times New Roman" w:cs="Times New Roman"/>
        </w:rPr>
      </w:pPr>
    </w:p>
    <w:p w14:paraId="47D30BA0" w14:textId="77777777" w:rsidR="00E744A1" w:rsidRDefault="00E744A1" w:rsidP="00195E88">
      <w:pPr>
        <w:rPr>
          <w:rFonts w:ascii="Times New Roman" w:hAnsi="Times New Roman" w:cs="Times New Roman"/>
          <w:b/>
        </w:rPr>
      </w:pPr>
    </w:p>
    <w:p w14:paraId="0671DE48" w14:textId="59692BDF" w:rsidR="00E744A1" w:rsidRDefault="00E744A1">
      <w:pPr>
        <w:rPr>
          <w:rFonts w:ascii="Times New Roman" w:hAnsi="Times New Roman" w:cs="Times New Roman"/>
          <w:b/>
        </w:rPr>
      </w:pPr>
      <w:r>
        <w:rPr>
          <w:rFonts w:ascii="Times New Roman" w:hAnsi="Times New Roman" w:cs="Times New Roman"/>
          <w:b/>
        </w:rPr>
        <w:br w:type="page"/>
      </w:r>
    </w:p>
    <w:p w14:paraId="561B9F9A" w14:textId="77777777" w:rsidR="00060B67" w:rsidRDefault="00060B67" w:rsidP="008C76D8">
      <w:pPr>
        <w:jc w:val="center"/>
        <w:rPr>
          <w:rFonts w:ascii="Times New Roman" w:hAnsi="Times New Roman" w:cs="Times New Roman"/>
          <w:b/>
        </w:rPr>
      </w:pPr>
    </w:p>
    <w:p w14:paraId="7CC6C383" w14:textId="77777777" w:rsidR="00060B67" w:rsidRDefault="00060B67" w:rsidP="008C76D8">
      <w:pPr>
        <w:jc w:val="center"/>
        <w:rPr>
          <w:rFonts w:ascii="Times New Roman" w:hAnsi="Times New Roman" w:cs="Times New Roman"/>
          <w:b/>
        </w:rPr>
      </w:pPr>
    </w:p>
    <w:p w14:paraId="7047805B" w14:textId="77777777" w:rsidR="00060B67" w:rsidRDefault="00060B67" w:rsidP="008C76D8">
      <w:pPr>
        <w:jc w:val="center"/>
        <w:rPr>
          <w:rFonts w:ascii="Times New Roman" w:hAnsi="Times New Roman" w:cs="Times New Roman"/>
          <w:b/>
        </w:rPr>
      </w:pPr>
    </w:p>
    <w:p w14:paraId="0214285C" w14:textId="77777777" w:rsidR="00060B67" w:rsidRDefault="00060B67" w:rsidP="008C76D8">
      <w:pPr>
        <w:jc w:val="center"/>
        <w:rPr>
          <w:rFonts w:ascii="Times New Roman" w:hAnsi="Times New Roman" w:cs="Times New Roman"/>
          <w:b/>
        </w:rPr>
      </w:pPr>
    </w:p>
    <w:p w14:paraId="2343893F" w14:textId="77777777" w:rsidR="00D552D7" w:rsidRDefault="00D552D7" w:rsidP="008C76D8">
      <w:pPr>
        <w:jc w:val="center"/>
        <w:rPr>
          <w:rFonts w:ascii="Times New Roman" w:hAnsi="Times New Roman" w:cs="Times New Roman"/>
          <w:b/>
        </w:rPr>
      </w:pPr>
      <w:r w:rsidRPr="00D552D7">
        <w:rPr>
          <w:rFonts w:ascii="Times New Roman" w:hAnsi="Times New Roman" w:cs="Times New Roman"/>
          <w:b/>
        </w:rPr>
        <w:t xml:space="preserve">Supply Chain-Driven Innovation: The Influence of </w:t>
      </w:r>
    </w:p>
    <w:p w14:paraId="7F84C712" w14:textId="70F4EA69" w:rsidR="00E9521F" w:rsidRDefault="00D552D7" w:rsidP="008C76D8">
      <w:pPr>
        <w:jc w:val="center"/>
        <w:rPr>
          <w:rFonts w:ascii="Times New Roman" w:hAnsi="Times New Roman" w:cs="Times New Roman"/>
          <w:b/>
        </w:rPr>
      </w:pPr>
      <w:r w:rsidRPr="00D552D7">
        <w:rPr>
          <w:rFonts w:ascii="Times New Roman" w:hAnsi="Times New Roman" w:cs="Times New Roman"/>
          <w:b/>
        </w:rPr>
        <w:t>Supply Chain Resource Orchestration on Organizational Performance</w:t>
      </w:r>
    </w:p>
    <w:p w14:paraId="23D5ECF6" w14:textId="77777777" w:rsidR="00E9521F" w:rsidRDefault="00E9521F" w:rsidP="008C76D8">
      <w:pPr>
        <w:jc w:val="center"/>
        <w:rPr>
          <w:rFonts w:ascii="Times New Roman" w:hAnsi="Times New Roman" w:cs="Times New Roman"/>
          <w:b/>
        </w:rPr>
      </w:pPr>
    </w:p>
    <w:p w14:paraId="60F050BD" w14:textId="77777777" w:rsidR="00E9521F" w:rsidRDefault="00E9521F" w:rsidP="008C76D8">
      <w:pPr>
        <w:jc w:val="center"/>
        <w:rPr>
          <w:rFonts w:ascii="Times New Roman" w:hAnsi="Times New Roman" w:cs="Times New Roman"/>
          <w:b/>
        </w:rPr>
      </w:pPr>
    </w:p>
    <w:p w14:paraId="7E56456A" w14:textId="77777777" w:rsidR="00E9521F" w:rsidRDefault="00E9521F" w:rsidP="008C76D8">
      <w:pPr>
        <w:jc w:val="center"/>
        <w:rPr>
          <w:rFonts w:ascii="Times New Roman" w:hAnsi="Times New Roman" w:cs="Times New Roman"/>
          <w:b/>
        </w:rPr>
      </w:pPr>
    </w:p>
    <w:p w14:paraId="4EB1DCC8" w14:textId="77777777" w:rsidR="00E9521F" w:rsidRDefault="00E9521F" w:rsidP="008C76D8">
      <w:pPr>
        <w:jc w:val="center"/>
        <w:rPr>
          <w:rFonts w:ascii="Times New Roman" w:hAnsi="Times New Roman" w:cs="Times New Roman"/>
          <w:b/>
        </w:rPr>
      </w:pPr>
    </w:p>
    <w:p w14:paraId="5A5D0A4B" w14:textId="77777777" w:rsidR="00060B67" w:rsidRDefault="00060B67" w:rsidP="008C76D8">
      <w:pPr>
        <w:jc w:val="center"/>
        <w:rPr>
          <w:rFonts w:ascii="Times New Roman" w:hAnsi="Times New Roman" w:cs="Times New Roman"/>
          <w:b/>
        </w:rPr>
      </w:pPr>
    </w:p>
    <w:p w14:paraId="3E60B3EB" w14:textId="77777777" w:rsidR="00060B67" w:rsidRDefault="00060B67" w:rsidP="008C76D8">
      <w:pPr>
        <w:jc w:val="center"/>
        <w:rPr>
          <w:rFonts w:ascii="Times New Roman" w:hAnsi="Times New Roman" w:cs="Times New Roman"/>
          <w:b/>
        </w:rPr>
      </w:pPr>
    </w:p>
    <w:p w14:paraId="1EE31298" w14:textId="77777777" w:rsidR="00060B67" w:rsidRDefault="00060B67" w:rsidP="008C76D8">
      <w:pPr>
        <w:jc w:val="center"/>
        <w:rPr>
          <w:rFonts w:ascii="Times New Roman" w:hAnsi="Times New Roman" w:cs="Times New Roman"/>
          <w:b/>
        </w:rPr>
      </w:pPr>
    </w:p>
    <w:p w14:paraId="084D0AFE" w14:textId="77777777" w:rsidR="00060B67" w:rsidRDefault="00060B67" w:rsidP="008C76D8">
      <w:pPr>
        <w:jc w:val="center"/>
        <w:rPr>
          <w:rFonts w:ascii="Times New Roman" w:hAnsi="Times New Roman" w:cs="Times New Roman"/>
          <w:b/>
        </w:rPr>
      </w:pPr>
    </w:p>
    <w:p w14:paraId="0EAB677A" w14:textId="77777777" w:rsidR="00060B67" w:rsidRDefault="00060B67" w:rsidP="008C76D8">
      <w:pPr>
        <w:jc w:val="center"/>
        <w:rPr>
          <w:rFonts w:ascii="Times New Roman" w:hAnsi="Times New Roman" w:cs="Times New Roman"/>
          <w:b/>
        </w:rPr>
      </w:pPr>
    </w:p>
    <w:p w14:paraId="60AD6572" w14:textId="77777777" w:rsidR="00060B67" w:rsidRDefault="00060B67" w:rsidP="008C76D8">
      <w:pPr>
        <w:jc w:val="center"/>
        <w:rPr>
          <w:rFonts w:ascii="Times New Roman" w:hAnsi="Times New Roman" w:cs="Times New Roman"/>
          <w:b/>
        </w:rPr>
      </w:pPr>
    </w:p>
    <w:p w14:paraId="186FC671" w14:textId="77777777" w:rsidR="00E9521F" w:rsidRDefault="00E9521F" w:rsidP="00195E88">
      <w:pPr>
        <w:rPr>
          <w:rFonts w:ascii="Times New Roman" w:hAnsi="Times New Roman" w:cs="Times New Roman"/>
          <w:b/>
        </w:rPr>
      </w:pPr>
    </w:p>
    <w:p w14:paraId="2B252266" w14:textId="77777777" w:rsidR="00E9521F" w:rsidRDefault="00E9521F" w:rsidP="008C76D8">
      <w:pPr>
        <w:jc w:val="center"/>
        <w:rPr>
          <w:rFonts w:ascii="Times New Roman" w:hAnsi="Times New Roman" w:cs="Times New Roman"/>
          <w:b/>
        </w:rPr>
      </w:pPr>
      <w:r w:rsidRPr="00E9521F">
        <w:rPr>
          <w:rFonts w:ascii="Times New Roman" w:hAnsi="Times New Roman" w:cs="Times New Roman"/>
          <w:b/>
        </w:rPr>
        <w:t xml:space="preserve">A Dissertation Presented for </w:t>
      </w:r>
    </w:p>
    <w:p w14:paraId="45907E96" w14:textId="77777777" w:rsidR="00E9521F" w:rsidRDefault="00E9521F" w:rsidP="008C76D8">
      <w:pPr>
        <w:jc w:val="center"/>
        <w:rPr>
          <w:rFonts w:ascii="Times New Roman" w:hAnsi="Times New Roman" w:cs="Times New Roman"/>
          <w:b/>
        </w:rPr>
      </w:pPr>
      <w:r w:rsidRPr="00E9521F">
        <w:rPr>
          <w:rFonts w:ascii="Times New Roman" w:hAnsi="Times New Roman" w:cs="Times New Roman"/>
          <w:b/>
        </w:rPr>
        <w:t>the Doctor of Philosophy</w:t>
      </w:r>
    </w:p>
    <w:p w14:paraId="00BAF942" w14:textId="77777777" w:rsidR="00E9521F" w:rsidRDefault="00E9521F" w:rsidP="008C76D8">
      <w:pPr>
        <w:jc w:val="center"/>
        <w:rPr>
          <w:rFonts w:ascii="Times New Roman" w:hAnsi="Times New Roman" w:cs="Times New Roman"/>
          <w:b/>
        </w:rPr>
      </w:pPr>
      <w:r w:rsidRPr="00E9521F">
        <w:rPr>
          <w:rFonts w:ascii="Times New Roman" w:hAnsi="Times New Roman" w:cs="Times New Roman"/>
          <w:b/>
        </w:rPr>
        <w:t> Degree </w:t>
      </w:r>
    </w:p>
    <w:p w14:paraId="7C1942E3" w14:textId="1FF8F97F" w:rsidR="00E9521F" w:rsidRDefault="00E9521F" w:rsidP="008C76D8">
      <w:pPr>
        <w:jc w:val="center"/>
        <w:rPr>
          <w:rFonts w:ascii="Times New Roman" w:hAnsi="Times New Roman" w:cs="Times New Roman"/>
          <w:b/>
        </w:rPr>
      </w:pPr>
      <w:r w:rsidRPr="00E9521F">
        <w:rPr>
          <w:rFonts w:ascii="Times New Roman" w:hAnsi="Times New Roman" w:cs="Times New Roman"/>
          <w:b/>
        </w:rPr>
        <w:t>The University of Tennessee, Knoxville</w:t>
      </w:r>
    </w:p>
    <w:p w14:paraId="2D885089" w14:textId="77777777" w:rsidR="00E9521F" w:rsidRDefault="00E9521F" w:rsidP="008C76D8">
      <w:pPr>
        <w:jc w:val="center"/>
        <w:rPr>
          <w:rFonts w:ascii="Times New Roman" w:hAnsi="Times New Roman" w:cs="Times New Roman"/>
          <w:b/>
        </w:rPr>
      </w:pPr>
    </w:p>
    <w:p w14:paraId="61865D1D" w14:textId="77777777" w:rsidR="00E9521F" w:rsidRDefault="00E9521F" w:rsidP="008C76D8">
      <w:pPr>
        <w:jc w:val="center"/>
        <w:rPr>
          <w:rFonts w:ascii="Times New Roman" w:hAnsi="Times New Roman" w:cs="Times New Roman"/>
          <w:b/>
        </w:rPr>
      </w:pPr>
    </w:p>
    <w:p w14:paraId="3990A903" w14:textId="77777777" w:rsidR="00060B67" w:rsidRDefault="00060B67" w:rsidP="008C76D8">
      <w:pPr>
        <w:jc w:val="center"/>
        <w:rPr>
          <w:rFonts w:ascii="Times New Roman" w:hAnsi="Times New Roman" w:cs="Times New Roman"/>
          <w:b/>
        </w:rPr>
      </w:pPr>
    </w:p>
    <w:p w14:paraId="7DB09F91" w14:textId="77777777" w:rsidR="00060B67" w:rsidRDefault="00060B67" w:rsidP="008C76D8">
      <w:pPr>
        <w:jc w:val="center"/>
        <w:rPr>
          <w:rFonts w:ascii="Times New Roman" w:hAnsi="Times New Roman" w:cs="Times New Roman"/>
          <w:b/>
        </w:rPr>
      </w:pPr>
    </w:p>
    <w:p w14:paraId="7719B41B" w14:textId="77777777" w:rsidR="00060B67" w:rsidRDefault="00060B67" w:rsidP="008C76D8">
      <w:pPr>
        <w:jc w:val="center"/>
        <w:rPr>
          <w:rFonts w:ascii="Times New Roman" w:hAnsi="Times New Roman" w:cs="Times New Roman"/>
          <w:b/>
        </w:rPr>
      </w:pPr>
    </w:p>
    <w:p w14:paraId="301F6D04" w14:textId="77777777" w:rsidR="00060B67" w:rsidRDefault="00060B67" w:rsidP="008C76D8">
      <w:pPr>
        <w:jc w:val="center"/>
        <w:rPr>
          <w:rFonts w:ascii="Times New Roman" w:hAnsi="Times New Roman" w:cs="Times New Roman"/>
          <w:b/>
        </w:rPr>
      </w:pPr>
    </w:p>
    <w:p w14:paraId="40A5FA03" w14:textId="77777777" w:rsidR="00060B67" w:rsidRDefault="00060B67" w:rsidP="008C76D8">
      <w:pPr>
        <w:jc w:val="center"/>
        <w:rPr>
          <w:rFonts w:ascii="Times New Roman" w:hAnsi="Times New Roman" w:cs="Times New Roman"/>
          <w:b/>
        </w:rPr>
      </w:pPr>
    </w:p>
    <w:p w14:paraId="3A750A79" w14:textId="77777777" w:rsidR="00060B67" w:rsidRDefault="00060B67" w:rsidP="008C76D8">
      <w:pPr>
        <w:jc w:val="center"/>
        <w:rPr>
          <w:rFonts w:ascii="Times New Roman" w:hAnsi="Times New Roman" w:cs="Times New Roman"/>
          <w:b/>
        </w:rPr>
      </w:pPr>
    </w:p>
    <w:p w14:paraId="371FA571" w14:textId="77777777" w:rsidR="00060B67" w:rsidRDefault="00060B67" w:rsidP="008C76D8">
      <w:pPr>
        <w:jc w:val="center"/>
        <w:rPr>
          <w:rFonts w:ascii="Times New Roman" w:hAnsi="Times New Roman" w:cs="Times New Roman"/>
          <w:b/>
        </w:rPr>
      </w:pPr>
    </w:p>
    <w:p w14:paraId="541A9F97" w14:textId="77777777" w:rsidR="00060B67" w:rsidRDefault="00060B67" w:rsidP="008C76D8">
      <w:pPr>
        <w:jc w:val="center"/>
        <w:rPr>
          <w:rFonts w:ascii="Times New Roman" w:hAnsi="Times New Roman" w:cs="Times New Roman"/>
          <w:b/>
        </w:rPr>
      </w:pPr>
    </w:p>
    <w:p w14:paraId="1C693EE5" w14:textId="77777777" w:rsidR="00060B67" w:rsidRDefault="00060B67" w:rsidP="008C76D8">
      <w:pPr>
        <w:jc w:val="center"/>
        <w:rPr>
          <w:rFonts w:ascii="Times New Roman" w:hAnsi="Times New Roman" w:cs="Times New Roman"/>
          <w:b/>
        </w:rPr>
      </w:pPr>
    </w:p>
    <w:p w14:paraId="0C9EA545" w14:textId="77777777" w:rsidR="00060B67" w:rsidRDefault="00060B67" w:rsidP="008C76D8">
      <w:pPr>
        <w:jc w:val="center"/>
        <w:rPr>
          <w:rFonts w:ascii="Times New Roman" w:hAnsi="Times New Roman" w:cs="Times New Roman"/>
          <w:b/>
        </w:rPr>
      </w:pPr>
    </w:p>
    <w:p w14:paraId="7BE688D0" w14:textId="77777777" w:rsidR="00060B67" w:rsidRDefault="00060B67" w:rsidP="008C76D8">
      <w:pPr>
        <w:jc w:val="center"/>
        <w:rPr>
          <w:rFonts w:ascii="Times New Roman" w:hAnsi="Times New Roman" w:cs="Times New Roman"/>
          <w:b/>
        </w:rPr>
      </w:pPr>
    </w:p>
    <w:p w14:paraId="7AAF12B6" w14:textId="1A99F096" w:rsidR="00E9521F" w:rsidRDefault="00E9521F" w:rsidP="008C76D8">
      <w:pPr>
        <w:jc w:val="center"/>
        <w:rPr>
          <w:rFonts w:ascii="Times New Roman" w:hAnsi="Times New Roman" w:cs="Times New Roman"/>
          <w:b/>
        </w:rPr>
      </w:pPr>
      <w:r w:rsidRPr="00E9521F">
        <w:rPr>
          <w:rFonts w:ascii="Times New Roman" w:hAnsi="Times New Roman" w:cs="Times New Roman"/>
          <w:b/>
        </w:rPr>
        <w:t>Ulrich Schmelzle</w:t>
      </w:r>
    </w:p>
    <w:p w14:paraId="1EAF5FC5" w14:textId="5393564F" w:rsidR="00E9521F" w:rsidRPr="00E9521F" w:rsidRDefault="00E9521F" w:rsidP="008C76D8">
      <w:pPr>
        <w:jc w:val="center"/>
        <w:rPr>
          <w:rFonts w:ascii="Times New Roman" w:hAnsi="Times New Roman" w:cs="Times New Roman"/>
          <w:b/>
        </w:rPr>
      </w:pPr>
      <w:r>
        <w:rPr>
          <w:rFonts w:ascii="Times New Roman" w:hAnsi="Times New Roman" w:cs="Times New Roman"/>
          <w:b/>
        </w:rPr>
        <w:t>August 2017</w:t>
      </w:r>
    </w:p>
    <w:p w14:paraId="131C921A" w14:textId="77777777" w:rsidR="00E9521F" w:rsidRDefault="00E9521F" w:rsidP="00195E88">
      <w:pPr>
        <w:rPr>
          <w:rFonts w:ascii="Times New Roman" w:hAnsi="Times New Roman" w:cs="Times New Roman"/>
          <w:b/>
        </w:rPr>
      </w:pPr>
    </w:p>
    <w:p w14:paraId="4A1DBA00" w14:textId="77777777" w:rsidR="00E9521F" w:rsidRDefault="00E9521F" w:rsidP="00195E88">
      <w:pPr>
        <w:rPr>
          <w:rFonts w:ascii="Times New Roman" w:hAnsi="Times New Roman" w:cs="Times New Roman"/>
          <w:b/>
        </w:rPr>
      </w:pPr>
    </w:p>
    <w:p w14:paraId="71756192" w14:textId="77777777" w:rsidR="00E9521F" w:rsidRDefault="00E9521F" w:rsidP="00195E88">
      <w:pPr>
        <w:rPr>
          <w:rFonts w:ascii="Times New Roman" w:hAnsi="Times New Roman" w:cs="Times New Roman"/>
          <w:b/>
        </w:rPr>
      </w:pPr>
    </w:p>
    <w:p w14:paraId="3F2D1A7F" w14:textId="77777777" w:rsidR="00E9521F" w:rsidRPr="00195E88" w:rsidRDefault="00E9521F" w:rsidP="00195E88">
      <w:pPr>
        <w:rPr>
          <w:rFonts w:ascii="Times New Roman" w:hAnsi="Times New Roman" w:cs="Times New Roman"/>
          <w:b/>
        </w:rPr>
      </w:pPr>
    </w:p>
    <w:p w14:paraId="674A4961" w14:textId="77777777" w:rsidR="005358B8" w:rsidRDefault="005358B8">
      <w:pPr>
        <w:rPr>
          <w:rFonts w:ascii="Times New Roman" w:hAnsi="Times New Roman" w:cs="Times New Roman"/>
          <w:b/>
        </w:rPr>
      </w:pPr>
      <w:r>
        <w:rPr>
          <w:rFonts w:ascii="Times New Roman" w:hAnsi="Times New Roman" w:cs="Times New Roman"/>
          <w:b/>
        </w:rPr>
        <w:br w:type="page"/>
      </w:r>
    </w:p>
    <w:p w14:paraId="27EE059A" w14:textId="77777777" w:rsidR="005358B8" w:rsidRDefault="005358B8" w:rsidP="00B01D11">
      <w:pPr>
        <w:spacing w:line="480" w:lineRule="auto"/>
        <w:rPr>
          <w:rFonts w:ascii="Times New Roman" w:hAnsi="Times New Roman" w:cs="Times New Roman"/>
          <w:b/>
        </w:rPr>
      </w:pPr>
      <w:r>
        <w:rPr>
          <w:rFonts w:ascii="Times New Roman" w:hAnsi="Times New Roman" w:cs="Times New Roman"/>
          <w:b/>
        </w:rPr>
        <w:lastRenderedPageBreak/>
        <w:t>Abstract</w:t>
      </w:r>
    </w:p>
    <w:p w14:paraId="17418180" w14:textId="77777777" w:rsidR="005358B8" w:rsidRDefault="005358B8" w:rsidP="00B01D11">
      <w:pPr>
        <w:spacing w:line="480" w:lineRule="auto"/>
        <w:rPr>
          <w:rFonts w:ascii="Times New Roman" w:hAnsi="Times New Roman" w:cs="Times New Roman"/>
          <w:b/>
        </w:rPr>
      </w:pPr>
    </w:p>
    <w:p w14:paraId="61DED5AC" w14:textId="5F715126" w:rsidR="005C1C79" w:rsidRDefault="005C1C79" w:rsidP="00B01D11">
      <w:pPr>
        <w:spacing w:line="480" w:lineRule="auto"/>
        <w:jc w:val="both"/>
        <w:rPr>
          <w:rFonts w:ascii="Times New Roman" w:hAnsi="Times New Roman" w:cs="Times New Roman"/>
        </w:rPr>
      </w:pPr>
      <w:r>
        <w:rPr>
          <w:rFonts w:ascii="Times New Roman" w:hAnsi="Times New Roman" w:cs="Times New Roman"/>
        </w:rPr>
        <w:t>As continuous innovation became a strategic necessity in many markets, organizations are increasingly adding external resources to complement their in-house R&amp;D activities. However, little is known about the concrete practices of employing and integrating those external resources. Hence, this research introduces a new conceptual framework of supply chain resource orchestration (SCRO) on the basis of a systematic literature review and a theory elaboration of resource management theories. Qualitative interviews with supply chain managers in a multi-case study are enriching and substantiating the SCRO conceptualization. Finally, a cross-sectional survey (n= 247) is applied to empirically validate the new framework. The positive effects of SCRO on innovation and financial performance are confirmed. As a theoretical contribution, this research bridges supply chain and innovation management literature streams to enhance the understanding of essential resource management practic</w:t>
      </w:r>
      <w:r w:rsidR="00287F04">
        <w:rPr>
          <w:rFonts w:ascii="Times New Roman" w:hAnsi="Times New Roman" w:cs="Times New Roman"/>
        </w:rPr>
        <w:t xml:space="preserve">es, their performance </w:t>
      </w:r>
      <w:r>
        <w:rPr>
          <w:rFonts w:ascii="Times New Roman" w:hAnsi="Times New Roman" w:cs="Times New Roman"/>
        </w:rPr>
        <w:t xml:space="preserve">consequences, and implications of organizational culture on such relationships. This research extends the domain of resource orchestration theory to supply chain phenomena and the open innovation context. Directions for future research are proposed along with several theoretical and managerial implications. </w:t>
      </w:r>
    </w:p>
    <w:p w14:paraId="3CB81208" w14:textId="77777777" w:rsidR="005C1C79" w:rsidRDefault="005C1C79" w:rsidP="00B01D11">
      <w:pPr>
        <w:spacing w:line="480" w:lineRule="auto"/>
        <w:jc w:val="both"/>
        <w:rPr>
          <w:rFonts w:ascii="Times New Roman" w:hAnsi="Times New Roman" w:cs="Times New Roman"/>
        </w:rPr>
      </w:pPr>
    </w:p>
    <w:p w14:paraId="11FD2A49" w14:textId="77777777" w:rsidR="005358B8" w:rsidRDefault="005358B8" w:rsidP="005C1C79">
      <w:pPr>
        <w:jc w:val="both"/>
        <w:rPr>
          <w:rFonts w:ascii="Times New Roman" w:hAnsi="Times New Roman" w:cs="Times New Roman"/>
          <w:b/>
        </w:rPr>
      </w:pPr>
      <w:r>
        <w:rPr>
          <w:rFonts w:ascii="Times New Roman" w:hAnsi="Times New Roman" w:cs="Times New Roman"/>
          <w:b/>
        </w:rPr>
        <w:br w:type="page"/>
      </w:r>
    </w:p>
    <w:p w14:paraId="384BE28D" w14:textId="77777777" w:rsidR="005358B8" w:rsidRDefault="005358B8">
      <w:pPr>
        <w:rPr>
          <w:rFonts w:ascii="Times New Roman" w:hAnsi="Times New Roman" w:cs="Times New Roman"/>
          <w:b/>
        </w:rPr>
      </w:pPr>
      <w:r>
        <w:rPr>
          <w:rFonts w:ascii="Times New Roman" w:hAnsi="Times New Roman" w:cs="Times New Roman"/>
          <w:b/>
        </w:rPr>
        <w:lastRenderedPageBreak/>
        <w:t>Table of Contents</w:t>
      </w:r>
    </w:p>
    <w:p w14:paraId="55D35E1E" w14:textId="77777777" w:rsidR="005358B8" w:rsidRDefault="005358B8">
      <w:pPr>
        <w:rPr>
          <w:rFonts w:ascii="Times New Roman" w:hAnsi="Times New Roman" w:cs="Times New Roman"/>
          <w:b/>
        </w:rPr>
      </w:pPr>
    </w:p>
    <w:p w14:paraId="5CD44346" w14:textId="77777777" w:rsidR="00E4089A" w:rsidRDefault="00E4089A">
      <w:pPr>
        <w:pStyle w:val="TOC1"/>
        <w:tabs>
          <w:tab w:val="right" w:leader="dot" w:pos="9350"/>
        </w:tabs>
        <w:rPr>
          <w:rFonts w:asciiTheme="minorHAnsi" w:hAnsiTheme="minorHAnsi"/>
          <w:b w:val="0"/>
          <w:caps w:val="0"/>
          <w:noProof/>
          <w:szCs w:val="24"/>
          <w:lang w:eastAsia="ja-JP"/>
        </w:rPr>
      </w:pPr>
      <w:r>
        <w:rPr>
          <w:rFonts w:cs="Times New Roman"/>
          <w:caps w:val="0"/>
        </w:rPr>
        <w:fldChar w:fldCharType="begin"/>
      </w:r>
      <w:r>
        <w:rPr>
          <w:rFonts w:cs="Times New Roman"/>
          <w:caps w:val="0"/>
        </w:rPr>
        <w:instrText xml:space="preserve"> TOC \o "1-3" </w:instrText>
      </w:r>
      <w:r>
        <w:rPr>
          <w:rFonts w:cs="Times New Roman"/>
          <w:caps w:val="0"/>
        </w:rPr>
        <w:fldChar w:fldCharType="separate"/>
      </w:r>
      <w:r>
        <w:rPr>
          <w:noProof/>
        </w:rPr>
        <w:t>CHAPTER ONE – INTRODUCTION</w:t>
      </w:r>
      <w:r>
        <w:rPr>
          <w:noProof/>
        </w:rPr>
        <w:tab/>
      </w:r>
      <w:r>
        <w:rPr>
          <w:noProof/>
        </w:rPr>
        <w:fldChar w:fldCharType="begin"/>
      </w:r>
      <w:r>
        <w:rPr>
          <w:noProof/>
        </w:rPr>
        <w:instrText xml:space="preserve"> PAGEREF _Toc358326720 \h </w:instrText>
      </w:r>
      <w:r>
        <w:rPr>
          <w:noProof/>
        </w:rPr>
      </w:r>
      <w:r>
        <w:rPr>
          <w:noProof/>
        </w:rPr>
        <w:fldChar w:fldCharType="separate"/>
      </w:r>
      <w:r w:rsidR="00C2793E">
        <w:rPr>
          <w:noProof/>
        </w:rPr>
        <w:t>1</w:t>
      </w:r>
      <w:r>
        <w:rPr>
          <w:noProof/>
        </w:rPr>
        <w:fldChar w:fldCharType="end"/>
      </w:r>
    </w:p>
    <w:p w14:paraId="5625ACEB" w14:textId="77777777" w:rsidR="00E4089A" w:rsidRDefault="00E4089A">
      <w:pPr>
        <w:pStyle w:val="TOC2"/>
        <w:tabs>
          <w:tab w:val="right" w:leader="dot" w:pos="9350"/>
        </w:tabs>
        <w:rPr>
          <w:rFonts w:asciiTheme="minorHAnsi" w:hAnsiTheme="minorHAnsi"/>
          <w:noProof/>
          <w:lang w:eastAsia="ja-JP"/>
        </w:rPr>
      </w:pPr>
      <w:r w:rsidRPr="003312E2">
        <w:rPr>
          <w:rFonts w:cs="Times New Roman"/>
          <w:noProof/>
        </w:rPr>
        <w:t>Research Objective</w:t>
      </w:r>
      <w:bookmarkStart w:id="0" w:name="_GoBack"/>
      <w:bookmarkEnd w:id="0"/>
      <w:r>
        <w:rPr>
          <w:noProof/>
        </w:rPr>
        <w:tab/>
      </w:r>
      <w:r>
        <w:rPr>
          <w:noProof/>
        </w:rPr>
        <w:fldChar w:fldCharType="begin"/>
      </w:r>
      <w:r>
        <w:rPr>
          <w:noProof/>
        </w:rPr>
        <w:instrText xml:space="preserve"> PAGEREF _Toc358326721 \h </w:instrText>
      </w:r>
      <w:r>
        <w:rPr>
          <w:noProof/>
        </w:rPr>
      </w:r>
      <w:r>
        <w:rPr>
          <w:noProof/>
        </w:rPr>
        <w:fldChar w:fldCharType="separate"/>
      </w:r>
      <w:r w:rsidR="00C2793E">
        <w:rPr>
          <w:noProof/>
        </w:rPr>
        <w:t>3</w:t>
      </w:r>
      <w:r>
        <w:rPr>
          <w:noProof/>
        </w:rPr>
        <w:fldChar w:fldCharType="end"/>
      </w:r>
    </w:p>
    <w:p w14:paraId="7E67A110" w14:textId="77777777" w:rsidR="00E4089A" w:rsidRDefault="00E4089A">
      <w:pPr>
        <w:pStyle w:val="TOC2"/>
        <w:tabs>
          <w:tab w:val="right" w:leader="dot" w:pos="9350"/>
        </w:tabs>
        <w:rPr>
          <w:rFonts w:asciiTheme="minorHAnsi" w:hAnsiTheme="minorHAnsi"/>
          <w:noProof/>
          <w:lang w:eastAsia="ja-JP"/>
        </w:rPr>
      </w:pPr>
      <w:r w:rsidRPr="003312E2">
        <w:rPr>
          <w:rFonts w:cs="Times New Roman"/>
          <w:noProof/>
        </w:rPr>
        <w:t>Research Questions</w:t>
      </w:r>
      <w:r>
        <w:rPr>
          <w:noProof/>
        </w:rPr>
        <w:tab/>
      </w:r>
      <w:r>
        <w:rPr>
          <w:noProof/>
        </w:rPr>
        <w:fldChar w:fldCharType="begin"/>
      </w:r>
      <w:r>
        <w:rPr>
          <w:noProof/>
        </w:rPr>
        <w:instrText xml:space="preserve"> PAGEREF _Toc358326722 \h </w:instrText>
      </w:r>
      <w:r>
        <w:rPr>
          <w:noProof/>
        </w:rPr>
      </w:r>
      <w:r>
        <w:rPr>
          <w:noProof/>
        </w:rPr>
        <w:fldChar w:fldCharType="separate"/>
      </w:r>
      <w:r w:rsidR="00C2793E">
        <w:rPr>
          <w:noProof/>
        </w:rPr>
        <w:t>4</w:t>
      </w:r>
      <w:r>
        <w:rPr>
          <w:noProof/>
        </w:rPr>
        <w:fldChar w:fldCharType="end"/>
      </w:r>
    </w:p>
    <w:p w14:paraId="689AE004" w14:textId="77777777" w:rsidR="00E4089A" w:rsidRDefault="00E4089A">
      <w:pPr>
        <w:pStyle w:val="TOC2"/>
        <w:tabs>
          <w:tab w:val="right" w:leader="dot" w:pos="9350"/>
        </w:tabs>
        <w:rPr>
          <w:rFonts w:asciiTheme="minorHAnsi" w:hAnsiTheme="minorHAnsi"/>
          <w:noProof/>
          <w:lang w:eastAsia="ja-JP"/>
        </w:rPr>
      </w:pPr>
      <w:r w:rsidRPr="003312E2">
        <w:rPr>
          <w:rFonts w:cs="Times New Roman"/>
          <w:noProof/>
        </w:rPr>
        <w:t>Overview of Research Approach</w:t>
      </w:r>
      <w:r>
        <w:rPr>
          <w:noProof/>
        </w:rPr>
        <w:tab/>
      </w:r>
      <w:r>
        <w:rPr>
          <w:noProof/>
        </w:rPr>
        <w:fldChar w:fldCharType="begin"/>
      </w:r>
      <w:r>
        <w:rPr>
          <w:noProof/>
        </w:rPr>
        <w:instrText xml:space="preserve"> PAGEREF _Toc358326723 \h </w:instrText>
      </w:r>
      <w:r>
        <w:rPr>
          <w:noProof/>
        </w:rPr>
      </w:r>
      <w:r>
        <w:rPr>
          <w:noProof/>
        </w:rPr>
        <w:fldChar w:fldCharType="separate"/>
      </w:r>
      <w:r w:rsidR="00C2793E">
        <w:rPr>
          <w:noProof/>
        </w:rPr>
        <w:t>5</w:t>
      </w:r>
      <w:r>
        <w:rPr>
          <w:noProof/>
        </w:rPr>
        <w:fldChar w:fldCharType="end"/>
      </w:r>
    </w:p>
    <w:p w14:paraId="1890E760" w14:textId="77777777" w:rsidR="00E4089A" w:rsidRDefault="00E4089A">
      <w:pPr>
        <w:pStyle w:val="TOC2"/>
        <w:tabs>
          <w:tab w:val="right" w:leader="dot" w:pos="9350"/>
        </w:tabs>
        <w:rPr>
          <w:rFonts w:asciiTheme="minorHAnsi" w:hAnsiTheme="minorHAnsi"/>
          <w:noProof/>
          <w:lang w:eastAsia="ja-JP"/>
        </w:rPr>
      </w:pPr>
      <w:r w:rsidRPr="003312E2">
        <w:rPr>
          <w:rFonts w:cs="Times New Roman"/>
          <w:noProof/>
        </w:rPr>
        <w:t>Expected Contribution</w:t>
      </w:r>
      <w:r>
        <w:rPr>
          <w:noProof/>
        </w:rPr>
        <w:tab/>
      </w:r>
      <w:r>
        <w:rPr>
          <w:noProof/>
        </w:rPr>
        <w:fldChar w:fldCharType="begin"/>
      </w:r>
      <w:r>
        <w:rPr>
          <w:noProof/>
        </w:rPr>
        <w:instrText xml:space="preserve"> PAGEREF _Toc358326724 \h </w:instrText>
      </w:r>
      <w:r>
        <w:rPr>
          <w:noProof/>
        </w:rPr>
      </w:r>
      <w:r>
        <w:rPr>
          <w:noProof/>
        </w:rPr>
        <w:fldChar w:fldCharType="separate"/>
      </w:r>
      <w:r w:rsidR="00C2793E">
        <w:rPr>
          <w:noProof/>
        </w:rPr>
        <w:t>7</w:t>
      </w:r>
      <w:r>
        <w:rPr>
          <w:noProof/>
        </w:rPr>
        <w:fldChar w:fldCharType="end"/>
      </w:r>
    </w:p>
    <w:p w14:paraId="0A091343" w14:textId="77777777" w:rsidR="00E4089A" w:rsidRDefault="00E4089A">
      <w:pPr>
        <w:pStyle w:val="TOC2"/>
        <w:tabs>
          <w:tab w:val="right" w:leader="dot" w:pos="9350"/>
        </w:tabs>
        <w:rPr>
          <w:rFonts w:asciiTheme="minorHAnsi" w:hAnsiTheme="minorHAnsi"/>
          <w:noProof/>
          <w:lang w:eastAsia="ja-JP"/>
        </w:rPr>
      </w:pPr>
      <w:r w:rsidRPr="003312E2">
        <w:rPr>
          <w:rFonts w:cs="Times New Roman"/>
          <w:noProof/>
        </w:rPr>
        <w:t>Dissertation Organization</w:t>
      </w:r>
      <w:r>
        <w:rPr>
          <w:noProof/>
        </w:rPr>
        <w:tab/>
      </w:r>
      <w:r>
        <w:rPr>
          <w:noProof/>
        </w:rPr>
        <w:fldChar w:fldCharType="begin"/>
      </w:r>
      <w:r>
        <w:rPr>
          <w:noProof/>
        </w:rPr>
        <w:instrText xml:space="preserve"> PAGEREF _Toc358326725 \h </w:instrText>
      </w:r>
      <w:r>
        <w:rPr>
          <w:noProof/>
        </w:rPr>
      </w:r>
      <w:r>
        <w:rPr>
          <w:noProof/>
        </w:rPr>
        <w:fldChar w:fldCharType="separate"/>
      </w:r>
      <w:r w:rsidR="00C2793E">
        <w:rPr>
          <w:noProof/>
        </w:rPr>
        <w:t>9</w:t>
      </w:r>
      <w:r>
        <w:rPr>
          <w:noProof/>
        </w:rPr>
        <w:fldChar w:fldCharType="end"/>
      </w:r>
    </w:p>
    <w:p w14:paraId="1934AC76" w14:textId="77777777" w:rsidR="00E4089A" w:rsidRDefault="00E4089A">
      <w:pPr>
        <w:pStyle w:val="TOC1"/>
        <w:tabs>
          <w:tab w:val="right" w:leader="dot" w:pos="9350"/>
        </w:tabs>
        <w:rPr>
          <w:rFonts w:asciiTheme="minorHAnsi" w:hAnsiTheme="minorHAnsi"/>
          <w:b w:val="0"/>
          <w:caps w:val="0"/>
          <w:noProof/>
          <w:szCs w:val="24"/>
          <w:lang w:eastAsia="ja-JP"/>
        </w:rPr>
      </w:pPr>
      <w:r>
        <w:rPr>
          <w:noProof/>
        </w:rPr>
        <w:t>CHAPTER TWO – ARTICLE 1: SYSTEMATIC LITERATURE REVIEW</w:t>
      </w:r>
      <w:r>
        <w:rPr>
          <w:noProof/>
        </w:rPr>
        <w:tab/>
      </w:r>
      <w:r>
        <w:rPr>
          <w:noProof/>
        </w:rPr>
        <w:fldChar w:fldCharType="begin"/>
      </w:r>
      <w:r>
        <w:rPr>
          <w:noProof/>
        </w:rPr>
        <w:instrText xml:space="preserve"> PAGEREF _Toc358326726 \h </w:instrText>
      </w:r>
      <w:r>
        <w:rPr>
          <w:noProof/>
        </w:rPr>
      </w:r>
      <w:r>
        <w:rPr>
          <w:noProof/>
        </w:rPr>
        <w:fldChar w:fldCharType="separate"/>
      </w:r>
      <w:r w:rsidR="00C2793E">
        <w:rPr>
          <w:noProof/>
        </w:rPr>
        <w:t>11</w:t>
      </w:r>
      <w:r>
        <w:rPr>
          <w:noProof/>
        </w:rPr>
        <w:fldChar w:fldCharType="end"/>
      </w:r>
    </w:p>
    <w:p w14:paraId="14C8EA69" w14:textId="77777777" w:rsidR="00E4089A" w:rsidRDefault="00E4089A">
      <w:pPr>
        <w:pStyle w:val="TOC2"/>
        <w:tabs>
          <w:tab w:val="right" w:leader="dot" w:pos="9350"/>
        </w:tabs>
        <w:rPr>
          <w:rFonts w:asciiTheme="minorHAnsi" w:hAnsiTheme="minorHAnsi"/>
          <w:noProof/>
          <w:lang w:eastAsia="ja-JP"/>
        </w:rPr>
      </w:pPr>
      <w:r>
        <w:rPr>
          <w:noProof/>
        </w:rPr>
        <w:t>Introduction</w:t>
      </w:r>
      <w:r>
        <w:rPr>
          <w:noProof/>
        </w:rPr>
        <w:tab/>
      </w:r>
      <w:r>
        <w:rPr>
          <w:noProof/>
        </w:rPr>
        <w:fldChar w:fldCharType="begin"/>
      </w:r>
      <w:r>
        <w:rPr>
          <w:noProof/>
        </w:rPr>
        <w:instrText xml:space="preserve"> PAGEREF _Toc358326727 \h </w:instrText>
      </w:r>
      <w:r>
        <w:rPr>
          <w:noProof/>
        </w:rPr>
      </w:r>
      <w:r>
        <w:rPr>
          <w:noProof/>
        </w:rPr>
        <w:fldChar w:fldCharType="separate"/>
      </w:r>
      <w:r w:rsidR="00C2793E">
        <w:rPr>
          <w:noProof/>
        </w:rPr>
        <w:t>12</w:t>
      </w:r>
      <w:r>
        <w:rPr>
          <w:noProof/>
        </w:rPr>
        <w:fldChar w:fldCharType="end"/>
      </w:r>
    </w:p>
    <w:p w14:paraId="7AD572D1" w14:textId="77777777" w:rsidR="00E4089A" w:rsidRDefault="00E4089A">
      <w:pPr>
        <w:pStyle w:val="TOC2"/>
        <w:tabs>
          <w:tab w:val="right" w:leader="dot" w:pos="9350"/>
        </w:tabs>
        <w:rPr>
          <w:rFonts w:asciiTheme="minorHAnsi" w:hAnsiTheme="minorHAnsi"/>
          <w:noProof/>
          <w:lang w:eastAsia="ja-JP"/>
        </w:rPr>
      </w:pPr>
      <w:r>
        <w:rPr>
          <w:noProof/>
        </w:rPr>
        <w:t>Methodology</w:t>
      </w:r>
      <w:r>
        <w:rPr>
          <w:noProof/>
        </w:rPr>
        <w:tab/>
      </w:r>
      <w:r>
        <w:rPr>
          <w:noProof/>
        </w:rPr>
        <w:fldChar w:fldCharType="begin"/>
      </w:r>
      <w:r>
        <w:rPr>
          <w:noProof/>
        </w:rPr>
        <w:instrText xml:space="preserve"> PAGEREF _Toc358326728 \h </w:instrText>
      </w:r>
      <w:r>
        <w:rPr>
          <w:noProof/>
        </w:rPr>
      </w:r>
      <w:r>
        <w:rPr>
          <w:noProof/>
        </w:rPr>
        <w:fldChar w:fldCharType="separate"/>
      </w:r>
      <w:r w:rsidR="00C2793E">
        <w:rPr>
          <w:noProof/>
        </w:rPr>
        <w:t>18</w:t>
      </w:r>
      <w:r>
        <w:rPr>
          <w:noProof/>
        </w:rPr>
        <w:fldChar w:fldCharType="end"/>
      </w:r>
    </w:p>
    <w:p w14:paraId="69A2B05D" w14:textId="77777777" w:rsidR="00E4089A" w:rsidRDefault="00E4089A">
      <w:pPr>
        <w:pStyle w:val="TOC2"/>
        <w:tabs>
          <w:tab w:val="right" w:leader="dot" w:pos="9350"/>
        </w:tabs>
        <w:rPr>
          <w:rFonts w:asciiTheme="minorHAnsi" w:hAnsiTheme="minorHAnsi"/>
          <w:noProof/>
          <w:lang w:eastAsia="ja-JP"/>
        </w:rPr>
      </w:pPr>
      <w:r>
        <w:rPr>
          <w:noProof/>
        </w:rPr>
        <w:t>Stage Four – Article Analysis and Conceptual Development</w:t>
      </w:r>
      <w:r>
        <w:rPr>
          <w:noProof/>
        </w:rPr>
        <w:tab/>
      </w:r>
      <w:r>
        <w:rPr>
          <w:noProof/>
        </w:rPr>
        <w:fldChar w:fldCharType="begin"/>
      </w:r>
      <w:r>
        <w:rPr>
          <w:noProof/>
        </w:rPr>
        <w:instrText xml:space="preserve"> PAGEREF _Toc358326729 \h </w:instrText>
      </w:r>
      <w:r>
        <w:rPr>
          <w:noProof/>
        </w:rPr>
      </w:r>
      <w:r>
        <w:rPr>
          <w:noProof/>
        </w:rPr>
        <w:fldChar w:fldCharType="separate"/>
      </w:r>
      <w:r w:rsidR="00C2793E">
        <w:rPr>
          <w:noProof/>
        </w:rPr>
        <w:t>21</w:t>
      </w:r>
      <w:r>
        <w:rPr>
          <w:noProof/>
        </w:rPr>
        <w:fldChar w:fldCharType="end"/>
      </w:r>
    </w:p>
    <w:p w14:paraId="2154C41E" w14:textId="77777777" w:rsidR="00E4089A" w:rsidRDefault="00E4089A">
      <w:pPr>
        <w:pStyle w:val="TOC2"/>
        <w:tabs>
          <w:tab w:val="right" w:leader="dot" w:pos="9350"/>
        </w:tabs>
        <w:rPr>
          <w:rFonts w:asciiTheme="minorHAnsi" w:hAnsiTheme="minorHAnsi"/>
          <w:noProof/>
          <w:lang w:eastAsia="ja-JP"/>
        </w:rPr>
      </w:pPr>
      <w:r>
        <w:rPr>
          <w:noProof/>
        </w:rPr>
        <w:t xml:space="preserve">Stage Five </w:t>
      </w:r>
      <w:r w:rsidRPr="003312E2">
        <w:rPr>
          <w:i/>
          <w:noProof/>
        </w:rPr>
        <w:t>–</w:t>
      </w:r>
      <w:r>
        <w:rPr>
          <w:noProof/>
        </w:rPr>
        <w:t xml:space="preserve"> An Agenda for Future Research</w:t>
      </w:r>
      <w:r>
        <w:rPr>
          <w:noProof/>
        </w:rPr>
        <w:tab/>
      </w:r>
      <w:r>
        <w:rPr>
          <w:noProof/>
        </w:rPr>
        <w:fldChar w:fldCharType="begin"/>
      </w:r>
      <w:r>
        <w:rPr>
          <w:noProof/>
        </w:rPr>
        <w:instrText xml:space="preserve"> PAGEREF _Toc358326730 \h </w:instrText>
      </w:r>
      <w:r>
        <w:rPr>
          <w:noProof/>
        </w:rPr>
      </w:r>
      <w:r>
        <w:rPr>
          <w:noProof/>
        </w:rPr>
        <w:fldChar w:fldCharType="separate"/>
      </w:r>
      <w:r w:rsidR="00C2793E">
        <w:rPr>
          <w:noProof/>
        </w:rPr>
        <w:t>30</w:t>
      </w:r>
      <w:r>
        <w:rPr>
          <w:noProof/>
        </w:rPr>
        <w:fldChar w:fldCharType="end"/>
      </w:r>
    </w:p>
    <w:p w14:paraId="4BF46EB1" w14:textId="77777777" w:rsidR="00E4089A" w:rsidRDefault="00E4089A">
      <w:pPr>
        <w:pStyle w:val="TOC2"/>
        <w:tabs>
          <w:tab w:val="right" w:leader="dot" w:pos="9350"/>
        </w:tabs>
        <w:rPr>
          <w:rFonts w:asciiTheme="minorHAnsi" w:hAnsiTheme="minorHAnsi"/>
          <w:noProof/>
          <w:lang w:eastAsia="ja-JP"/>
        </w:rPr>
      </w:pPr>
      <w:r>
        <w:rPr>
          <w:noProof/>
        </w:rPr>
        <w:t>Implications and Conclusion</w:t>
      </w:r>
      <w:r>
        <w:rPr>
          <w:noProof/>
        </w:rPr>
        <w:tab/>
      </w:r>
      <w:r>
        <w:rPr>
          <w:noProof/>
        </w:rPr>
        <w:fldChar w:fldCharType="begin"/>
      </w:r>
      <w:r>
        <w:rPr>
          <w:noProof/>
        </w:rPr>
        <w:instrText xml:space="preserve"> PAGEREF _Toc358326731 \h </w:instrText>
      </w:r>
      <w:r>
        <w:rPr>
          <w:noProof/>
        </w:rPr>
      </w:r>
      <w:r>
        <w:rPr>
          <w:noProof/>
        </w:rPr>
        <w:fldChar w:fldCharType="separate"/>
      </w:r>
      <w:r w:rsidR="00C2793E">
        <w:rPr>
          <w:noProof/>
        </w:rPr>
        <w:t>40</w:t>
      </w:r>
      <w:r>
        <w:rPr>
          <w:noProof/>
        </w:rPr>
        <w:fldChar w:fldCharType="end"/>
      </w:r>
    </w:p>
    <w:p w14:paraId="7B475430" w14:textId="77777777" w:rsidR="00E4089A" w:rsidRDefault="00E4089A">
      <w:pPr>
        <w:pStyle w:val="TOC1"/>
        <w:tabs>
          <w:tab w:val="right" w:leader="dot" w:pos="9350"/>
        </w:tabs>
        <w:rPr>
          <w:rFonts w:asciiTheme="minorHAnsi" w:hAnsiTheme="minorHAnsi"/>
          <w:b w:val="0"/>
          <w:caps w:val="0"/>
          <w:noProof/>
          <w:szCs w:val="24"/>
          <w:lang w:eastAsia="ja-JP"/>
        </w:rPr>
      </w:pPr>
      <w:r w:rsidRPr="003312E2">
        <w:rPr>
          <w:rFonts w:cs="Times New Roman"/>
          <w:noProof/>
        </w:rPr>
        <w:t>CHAPTER THREE – ARTICLE 2: THEORY ELABORATION</w:t>
      </w:r>
      <w:r>
        <w:rPr>
          <w:noProof/>
        </w:rPr>
        <w:tab/>
      </w:r>
      <w:r>
        <w:rPr>
          <w:noProof/>
        </w:rPr>
        <w:fldChar w:fldCharType="begin"/>
      </w:r>
      <w:r>
        <w:rPr>
          <w:noProof/>
        </w:rPr>
        <w:instrText xml:space="preserve"> PAGEREF _Toc358326732 \h </w:instrText>
      </w:r>
      <w:r>
        <w:rPr>
          <w:noProof/>
        </w:rPr>
      </w:r>
      <w:r>
        <w:rPr>
          <w:noProof/>
        </w:rPr>
        <w:fldChar w:fldCharType="separate"/>
      </w:r>
      <w:r w:rsidR="00C2793E">
        <w:rPr>
          <w:noProof/>
        </w:rPr>
        <w:t>44</w:t>
      </w:r>
      <w:r>
        <w:rPr>
          <w:noProof/>
        </w:rPr>
        <w:fldChar w:fldCharType="end"/>
      </w:r>
    </w:p>
    <w:p w14:paraId="7A75B81C" w14:textId="77777777" w:rsidR="00E4089A" w:rsidRDefault="00E4089A">
      <w:pPr>
        <w:pStyle w:val="TOC2"/>
        <w:tabs>
          <w:tab w:val="right" w:leader="dot" w:pos="9350"/>
        </w:tabs>
        <w:rPr>
          <w:rFonts w:asciiTheme="minorHAnsi" w:hAnsiTheme="minorHAnsi"/>
          <w:noProof/>
          <w:lang w:eastAsia="ja-JP"/>
        </w:rPr>
      </w:pPr>
      <w:r>
        <w:rPr>
          <w:noProof/>
        </w:rPr>
        <w:t>Introduction</w:t>
      </w:r>
      <w:r>
        <w:rPr>
          <w:noProof/>
        </w:rPr>
        <w:tab/>
      </w:r>
      <w:r>
        <w:rPr>
          <w:noProof/>
        </w:rPr>
        <w:fldChar w:fldCharType="begin"/>
      </w:r>
      <w:r>
        <w:rPr>
          <w:noProof/>
        </w:rPr>
        <w:instrText xml:space="preserve"> PAGEREF _Toc358326733 \h </w:instrText>
      </w:r>
      <w:r>
        <w:rPr>
          <w:noProof/>
        </w:rPr>
      </w:r>
      <w:r>
        <w:rPr>
          <w:noProof/>
        </w:rPr>
        <w:fldChar w:fldCharType="separate"/>
      </w:r>
      <w:r w:rsidR="00C2793E">
        <w:rPr>
          <w:noProof/>
        </w:rPr>
        <w:t>45</w:t>
      </w:r>
      <w:r>
        <w:rPr>
          <w:noProof/>
        </w:rPr>
        <w:fldChar w:fldCharType="end"/>
      </w:r>
    </w:p>
    <w:p w14:paraId="112501FC" w14:textId="77777777" w:rsidR="00E4089A" w:rsidRDefault="00E4089A">
      <w:pPr>
        <w:pStyle w:val="TOC2"/>
        <w:tabs>
          <w:tab w:val="right" w:leader="dot" w:pos="9350"/>
        </w:tabs>
        <w:rPr>
          <w:rFonts w:asciiTheme="minorHAnsi" w:hAnsiTheme="minorHAnsi"/>
          <w:noProof/>
          <w:lang w:eastAsia="ja-JP"/>
        </w:rPr>
      </w:pPr>
      <w:r>
        <w:rPr>
          <w:noProof/>
        </w:rPr>
        <w:t>Theoretical Foundation</w:t>
      </w:r>
      <w:r>
        <w:rPr>
          <w:noProof/>
        </w:rPr>
        <w:tab/>
      </w:r>
      <w:r>
        <w:rPr>
          <w:noProof/>
        </w:rPr>
        <w:fldChar w:fldCharType="begin"/>
      </w:r>
      <w:r>
        <w:rPr>
          <w:noProof/>
        </w:rPr>
        <w:instrText xml:space="preserve"> PAGEREF _Toc358326734 \h </w:instrText>
      </w:r>
      <w:r>
        <w:rPr>
          <w:noProof/>
        </w:rPr>
      </w:r>
      <w:r>
        <w:rPr>
          <w:noProof/>
        </w:rPr>
        <w:fldChar w:fldCharType="separate"/>
      </w:r>
      <w:r w:rsidR="00C2793E">
        <w:rPr>
          <w:noProof/>
        </w:rPr>
        <w:t>47</w:t>
      </w:r>
      <w:r>
        <w:rPr>
          <w:noProof/>
        </w:rPr>
        <w:fldChar w:fldCharType="end"/>
      </w:r>
    </w:p>
    <w:p w14:paraId="53C9E51B" w14:textId="77777777" w:rsidR="00E4089A" w:rsidRDefault="00E4089A">
      <w:pPr>
        <w:pStyle w:val="TOC2"/>
        <w:tabs>
          <w:tab w:val="right" w:leader="dot" w:pos="9350"/>
        </w:tabs>
        <w:rPr>
          <w:rFonts w:asciiTheme="minorHAnsi" w:hAnsiTheme="minorHAnsi"/>
          <w:noProof/>
          <w:lang w:eastAsia="ja-JP"/>
        </w:rPr>
      </w:pPr>
      <w:r>
        <w:rPr>
          <w:noProof/>
        </w:rPr>
        <w:t>Toward a Theory of SCRO</w:t>
      </w:r>
      <w:r>
        <w:rPr>
          <w:noProof/>
        </w:rPr>
        <w:tab/>
      </w:r>
      <w:r>
        <w:rPr>
          <w:noProof/>
        </w:rPr>
        <w:fldChar w:fldCharType="begin"/>
      </w:r>
      <w:r>
        <w:rPr>
          <w:noProof/>
        </w:rPr>
        <w:instrText xml:space="preserve"> PAGEREF _Toc358326735 \h </w:instrText>
      </w:r>
      <w:r>
        <w:rPr>
          <w:noProof/>
        </w:rPr>
      </w:r>
      <w:r>
        <w:rPr>
          <w:noProof/>
        </w:rPr>
        <w:fldChar w:fldCharType="separate"/>
      </w:r>
      <w:r w:rsidR="00C2793E">
        <w:rPr>
          <w:noProof/>
        </w:rPr>
        <w:t>62</w:t>
      </w:r>
      <w:r>
        <w:rPr>
          <w:noProof/>
        </w:rPr>
        <w:fldChar w:fldCharType="end"/>
      </w:r>
    </w:p>
    <w:p w14:paraId="03671E5F" w14:textId="77777777" w:rsidR="00E4089A" w:rsidRDefault="00E4089A">
      <w:pPr>
        <w:pStyle w:val="TOC2"/>
        <w:tabs>
          <w:tab w:val="right" w:leader="dot" w:pos="9350"/>
        </w:tabs>
        <w:rPr>
          <w:rFonts w:asciiTheme="minorHAnsi" w:hAnsiTheme="minorHAnsi"/>
          <w:noProof/>
          <w:lang w:eastAsia="ja-JP"/>
        </w:rPr>
      </w:pPr>
      <w:r>
        <w:rPr>
          <w:noProof/>
        </w:rPr>
        <w:t>Methodology</w:t>
      </w:r>
      <w:r>
        <w:rPr>
          <w:noProof/>
        </w:rPr>
        <w:tab/>
      </w:r>
      <w:r>
        <w:rPr>
          <w:noProof/>
        </w:rPr>
        <w:fldChar w:fldCharType="begin"/>
      </w:r>
      <w:r>
        <w:rPr>
          <w:noProof/>
        </w:rPr>
        <w:instrText xml:space="preserve"> PAGEREF _Toc358326736 \h </w:instrText>
      </w:r>
      <w:r>
        <w:rPr>
          <w:noProof/>
        </w:rPr>
      </w:r>
      <w:r>
        <w:rPr>
          <w:noProof/>
        </w:rPr>
        <w:fldChar w:fldCharType="separate"/>
      </w:r>
      <w:r w:rsidR="00C2793E">
        <w:rPr>
          <w:noProof/>
        </w:rPr>
        <w:t>81</w:t>
      </w:r>
      <w:r>
        <w:rPr>
          <w:noProof/>
        </w:rPr>
        <w:fldChar w:fldCharType="end"/>
      </w:r>
    </w:p>
    <w:p w14:paraId="2604C2A8" w14:textId="77777777" w:rsidR="00E4089A" w:rsidRDefault="00E4089A">
      <w:pPr>
        <w:pStyle w:val="TOC2"/>
        <w:tabs>
          <w:tab w:val="right" w:leader="dot" w:pos="9350"/>
        </w:tabs>
        <w:rPr>
          <w:rFonts w:asciiTheme="minorHAnsi" w:hAnsiTheme="minorHAnsi"/>
          <w:noProof/>
          <w:lang w:eastAsia="ja-JP"/>
        </w:rPr>
      </w:pPr>
      <w:r>
        <w:rPr>
          <w:noProof/>
        </w:rPr>
        <w:t>Case Analysis and Discussion</w:t>
      </w:r>
      <w:r>
        <w:rPr>
          <w:noProof/>
        </w:rPr>
        <w:tab/>
      </w:r>
      <w:r>
        <w:rPr>
          <w:noProof/>
        </w:rPr>
        <w:fldChar w:fldCharType="begin"/>
      </w:r>
      <w:r>
        <w:rPr>
          <w:noProof/>
        </w:rPr>
        <w:instrText xml:space="preserve"> PAGEREF _Toc358326737 \h </w:instrText>
      </w:r>
      <w:r>
        <w:rPr>
          <w:noProof/>
        </w:rPr>
      </w:r>
      <w:r>
        <w:rPr>
          <w:noProof/>
        </w:rPr>
        <w:fldChar w:fldCharType="separate"/>
      </w:r>
      <w:r w:rsidR="00C2793E">
        <w:rPr>
          <w:noProof/>
        </w:rPr>
        <w:t>87</w:t>
      </w:r>
      <w:r>
        <w:rPr>
          <w:noProof/>
        </w:rPr>
        <w:fldChar w:fldCharType="end"/>
      </w:r>
    </w:p>
    <w:p w14:paraId="1FAC7DF3" w14:textId="77777777" w:rsidR="00E4089A" w:rsidRDefault="00E4089A">
      <w:pPr>
        <w:pStyle w:val="TOC2"/>
        <w:tabs>
          <w:tab w:val="right" w:leader="dot" w:pos="9350"/>
        </w:tabs>
        <w:rPr>
          <w:rFonts w:asciiTheme="minorHAnsi" w:hAnsiTheme="minorHAnsi"/>
          <w:noProof/>
          <w:lang w:eastAsia="ja-JP"/>
        </w:rPr>
      </w:pPr>
      <w:r>
        <w:rPr>
          <w:noProof/>
        </w:rPr>
        <w:t>Implications and Conclusion</w:t>
      </w:r>
      <w:r>
        <w:rPr>
          <w:noProof/>
        </w:rPr>
        <w:tab/>
      </w:r>
      <w:r>
        <w:rPr>
          <w:noProof/>
        </w:rPr>
        <w:fldChar w:fldCharType="begin"/>
      </w:r>
      <w:r>
        <w:rPr>
          <w:noProof/>
        </w:rPr>
        <w:instrText xml:space="preserve"> PAGEREF _Toc358326738 \h </w:instrText>
      </w:r>
      <w:r>
        <w:rPr>
          <w:noProof/>
        </w:rPr>
      </w:r>
      <w:r>
        <w:rPr>
          <w:noProof/>
        </w:rPr>
        <w:fldChar w:fldCharType="separate"/>
      </w:r>
      <w:r w:rsidR="00C2793E">
        <w:rPr>
          <w:noProof/>
        </w:rPr>
        <w:t>125</w:t>
      </w:r>
      <w:r>
        <w:rPr>
          <w:noProof/>
        </w:rPr>
        <w:fldChar w:fldCharType="end"/>
      </w:r>
    </w:p>
    <w:p w14:paraId="3768A1BA" w14:textId="77777777" w:rsidR="00E4089A" w:rsidRDefault="00E4089A">
      <w:pPr>
        <w:pStyle w:val="TOC1"/>
        <w:tabs>
          <w:tab w:val="right" w:leader="dot" w:pos="9350"/>
        </w:tabs>
        <w:rPr>
          <w:rFonts w:asciiTheme="minorHAnsi" w:hAnsiTheme="minorHAnsi"/>
          <w:b w:val="0"/>
          <w:caps w:val="0"/>
          <w:noProof/>
          <w:szCs w:val="24"/>
          <w:lang w:eastAsia="ja-JP"/>
        </w:rPr>
      </w:pPr>
      <w:r>
        <w:rPr>
          <w:noProof/>
        </w:rPr>
        <w:t>CHAPTER FOUR – ARTICLE 3: THEORY TESTING</w:t>
      </w:r>
      <w:r>
        <w:rPr>
          <w:noProof/>
        </w:rPr>
        <w:tab/>
      </w:r>
      <w:r>
        <w:rPr>
          <w:noProof/>
        </w:rPr>
        <w:fldChar w:fldCharType="begin"/>
      </w:r>
      <w:r>
        <w:rPr>
          <w:noProof/>
        </w:rPr>
        <w:instrText xml:space="preserve"> PAGEREF _Toc358326739 \h </w:instrText>
      </w:r>
      <w:r>
        <w:rPr>
          <w:noProof/>
        </w:rPr>
      </w:r>
      <w:r>
        <w:rPr>
          <w:noProof/>
        </w:rPr>
        <w:fldChar w:fldCharType="separate"/>
      </w:r>
      <w:r w:rsidR="00C2793E">
        <w:rPr>
          <w:noProof/>
        </w:rPr>
        <w:t>135</w:t>
      </w:r>
      <w:r>
        <w:rPr>
          <w:noProof/>
        </w:rPr>
        <w:fldChar w:fldCharType="end"/>
      </w:r>
    </w:p>
    <w:p w14:paraId="44113D3A" w14:textId="304C8F97" w:rsidR="00E4089A" w:rsidRDefault="00E4089A">
      <w:pPr>
        <w:pStyle w:val="TOC2"/>
        <w:tabs>
          <w:tab w:val="right" w:leader="dot" w:pos="9350"/>
        </w:tabs>
        <w:rPr>
          <w:rFonts w:asciiTheme="minorHAnsi" w:hAnsiTheme="minorHAnsi"/>
          <w:noProof/>
          <w:lang w:eastAsia="ja-JP"/>
        </w:rPr>
      </w:pPr>
      <w:r>
        <w:rPr>
          <w:noProof/>
        </w:rPr>
        <w:t>Introduction</w:t>
      </w:r>
      <w:r>
        <w:rPr>
          <w:noProof/>
        </w:rPr>
        <w:tab/>
      </w:r>
      <w:r>
        <w:rPr>
          <w:noProof/>
        </w:rPr>
        <w:fldChar w:fldCharType="begin"/>
      </w:r>
      <w:r>
        <w:rPr>
          <w:noProof/>
        </w:rPr>
        <w:instrText xml:space="preserve"> PAGEREF _Toc358326740 \h </w:instrText>
      </w:r>
      <w:r>
        <w:rPr>
          <w:noProof/>
        </w:rPr>
      </w:r>
      <w:r>
        <w:rPr>
          <w:noProof/>
        </w:rPr>
        <w:fldChar w:fldCharType="separate"/>
      </w:r>
      <w:r w:rsidR="00C2793E">
        <w:rPr>
          <w:noProof/>
        </w:rPr>
        <w:t>137</w:t>
      </w:r>
      <w:r>
        <w:rPr>
          <w:noProof/>
        </w:rPr>
        <w:fldChar w:fldCharType="end"/>
      </w:r>
    </w:p>
    <w:p w14:paraId="6466C00C" w14:textId="77777777" w:rsidR="00E4089A" w:rsidRDefault="00E4089A">
      <w:pPr>
        <w:pStyle w:val="TOC2"/>
        <w:tabs>
          <w:tab w:val="right" w:leader="dot" w:pos="9350"/>
        </w:tabs>
        <w:rPr>
          <w:rFonts w:asciiTheme="minorHAnsi" w:hAnsiTheme="minorHAnsi"/>
          <w:noProof/>
          <w:lang w:eastAsia="ja-JP"/>
        </w:rPr>
      </w:pPr>
      <w:r>
        <w:rPr>
          <w:noProof/>
        </w:rPr>
        <w:t>Theoretical Framework and Hypotheses Development</w:t>
      </w:r>
      <w:r>
        <w:rPr>
          <w:noProof/>
        </w:rPr>
        <w:tab/>
      </w:r>
      <w:r>
        <w:rPr>
          <w:noProof/>
        </w:rPr>
        <w:fldChar w:fldCharType="begin"/>
      </w:r>
      <w:r>
        <w:rPr>
          <w:noProof/>
        </w:rPr>
        <w:instrText xml:space="preserve"> PAGEREF _Toc358326741 \h </w:instrText>
      </w:r>
      <w:r>
        <w:rPr>
          <w:noProof/>
        </w:rPr>
      </w:r>
      <w:r>
        <w:rPr>
          <w:noProof/>
        </w:rPr>
        <w:fldChar w:fldCharType="separate"/>
      </w:r>
      <w:r w:rsidR="00C2793E">
        <w:rPr>
          <w:noProof/>
        </w:rPr>
        <w:t>142</w:t>
      </w:r>
      <w:r>
        <w:rPr>
          <w:noProof/>
        </w:rPr>
        <w:fldChar w:fldCharType="end"/>
      </w:r>
    </w:p>
    <w:p w14:paraId="54E26E5D" w14:textId="77777777" w:rsidR="00E4089A" w:rsidRDefault="00E4089A">
      <w:pPr>
        <w:pStyle w:val="TOC2"/>
        <w:tabs>
          <w:tab w:val="right" w:leader="dot" w:pos="9350"/>
        </w:tabs>
        <w:rPr>
          <w:rFonts w:asciiTheme="minorHAnsi" w:hAnsiTheme="minorHAnsi"/>
          <w:noProof/>
          <w:lang w:eastAsia="ja-JP"/>
        </w:rPr>
      </w:pPr>
      <w:r>
        <w:rPr>
          <w:noProof/>
        </w:rPr>
        <w:t>Methodology</w:t>
      </w:r>
      <w:r>
        <w:rPr>
          <w:noProof/>
        </w:rPr>
        <w:tab/>
      </w:r>
      <w:r>
        <w:rPr>
          <w:noProof/>
        </w:rPr>
        <w:fldChar w:fldCharType="begin"/>
      </w:r>
      <w:r>
        <w:rPr>
          <w:noProof/>
        </w:rPr>
        <w:instrText xml:space="preserve"> PAGEREF _Toc358326742 \h </w:instrText>
      </w:r>
      <w:r>
        <w:rPr>
          <w:noProof/>
        </w:rPr>
      </w:r>
      <w:r>
        <w:rPr>
          <w:noProof/>
        </w:rPr>
        <w:fldChar w:fldCharType="separate"/>
      </w:r>
      <w:r w:rsidR="00C2793E">
        <w:rPr>
          <w:noProof/>
        </w:rPr>
        <w:t>156</w:t>
      </w:r>
      <w:r>
        <w:rPr>
          <w:noProof/>
        </w:rPr>
        <w:fldChar w:fldCharType="end"/>
      </w:r>
    </w:p>
    <w:p w14:paraId="0DB0D61B" w14:textId="77777777" w:rsidR="00E4089A" w:rsidRDefault="00E4089A">
      <w:pPr>
        <w:pStyle w:val="TOC2"/>
        <w:tabs>
          <w:tab w:val="right" w:leader="dot" w:pos="9350"/>
        </w:tabs>
        <w:rPr>
          <w:rFonts w:asciiTheme="minorHAnsi" w:hAnsiTheme="minorHAnsi"/>
          <w:noProof/>
          <w:lang w:eastAsia="ja-JP"/>
        </w:rPr>
      </w:pPr>
      <w:r>
        <w:rPr>
          <w:noProof/>
        </w:rPr>
        <w:t>Data Analysis Results  (Main sample)</w:t>
      </w:r>
      <w:r>
        <w:rPr>
          <w:noProof/>
        </w:rPr>
        <w:tab/>
      </w:r>
      <w:r>
        <w:rPr>
          <w:noProof/>
        </w:rPr>
        <w:fldChar w:fldCharType="begin"/>
      </w:r>
      <w:r>
        <w:rPr>
          <w:noProof/>
        </w:rPr>
        <w:instrText xml:space="preserve"> PAGEREF _Toc358326743 \h </w:instrText>
      </w:r>
      <w:r>
        <w:rPr>
          <w:noProof/>
        </w:rPr>
      </w:r>
      <w:r>
        <w:rPr>
          <w:noProof/>
        </w:rPr>
        <w:fldChar w:fldCharType="separate"/>
      </w:r>
      <w:r w:rsidR="00C2793E">
        <w:rPr>
          <w:noProof/>
        </w:rPr>
        <w:t>170</w:t>
      </w:r>
      <w:r>
        <w:rPr>
          <w:noProof/>
        </w:rPr>
        <w:fldChar w:fldCharType="end"/>
      </w:r>
    </w:p>
    <w:p w14:paraId="54128800" w14:textId="77777777" w:rsidR="00E4089A" w:rsidRDefault="00E4089A">
      <w:pPr>
        <w:pStyle w:val="TOC2"/>
        <w:tabs>
          <w:tab w:val="right" w:leader="dot" w:pos="9350"/>
        </w:tabs>
        <w:rPr>
          <w:rFonts w:asciiTheme="minorHAnsi" w:hAnsiTheme="minorHAnsi"/>
          <w:noProof/>
          <w:lang w:eastAsia="ja-JP"/>
        </w:rPr>
      </w:pPr>
      <w:r>
        <w:rPr>
          <w:noProof/>
        </w:rPr>
        <w:t>Scale Purification (CFA)</w:t>
      </w:r>
      <w:r>
        <w:rPr>
          <w:noProof/>
        </w:rPr>
        <w:tab/>
      </w:r>
      <w:r>
        <w:rPr>
          <w:noProof/>
        </w:rPr>
        <w:fldChar w:fldCharType="begin"/>
      </w:r>
      <w:r>
        <w:rPr>
          <w:noProof/>
        </w:rPr>
        <w:instrText xml:space="preserve"> PAGEREF _Toc358326744 \h </w:instrText>
      </w:r>
      <w:r>
        <w:rPr>
          <w:noProof/>
        </w:rPr>
      </w:r>
      <w:r>
        <w:rPr>
          <w:noProof/>
        </w:rPr>
        <w:fldChar w:fldCharType="separate"/>
      </w:r>
      <w:r w:rsidR="00C2793E">
        <w:rPr>
          <w:noProof/>
        </w:rPr>
        <w:t>177</w:t>
      </w:r>
      <w:r>
        <w:rPr>
          <w:noProof/>
        </w:rPr>
        <w:fldChar w:fldCharType="end"/>
      </w:r>
    </w:p>
    <w:p w14:paraId="65F838B2" w14:textId="77777777" w:rsidR="00E4089A" w:rsidRDefault="00E4089A">
      <w:pPr>
        <w:pStyle w:val="TOC2"/>
        <w:tabs>
          <w:tab w:val="right" w:leader="dot" w:pos="9350"/>
        </w:tabs>
        <w:rPr>
          <w:rFonts w:asciiTheme="minorHAnsi" w:hAnsiTheme="minorHAnsi"/>
          <w:noProof/>
          <w:lang w:eastAsia="ja-JP"/>
        </w:rPr>
      </w:pPr>
      <w:r>
        <w:rPr>
          <w:noProof/>
        </w:rPr>
        <w:t>Structural Model Analysis and Hypothesis Testing</w:t>
      </w:r>
      <w:r>
        <w:rPr>
          <w:noProof/>
        </w:rPr>
        <w:tab/>
      </w:r>
      <w:r>
        <w:rPr>
          <w:noProof/>
        </w:rPr>
        <w:fldChar w:fldCharType="begin"/>
      </w:r>
      <w:r>
        <w:rPr>
          <w:noProof/>
        </w:rPr>
        <w:instrText xml:space="preserve"> PAGEREF _Toc358326745 \h </w:instrText>
      </w:r>
      <w:r>
        <w:rPr>
          <w:noProof/>
        </w:rPr>
      </w:r>
      <w:r>
        <w:rPr>
          <w:noProof/>
        </w:rPr>
        <w:fldChar w:fldCharType="separate"/>
      </w:r>
      <w:r w:rsidR="00C2793E">
        <w:rPr>
          <w:noProof/>
        </w:rPr>
        <w:t>184</w:t>
      </w:r>
      <w:r>
        <w:rPr>
          <w:noProof/>
        </w:rPr>
        <w:fldChar w:fldCharType="end"/>
      </w:r>
    </w:p>
    <w:p w14:paraId="7EA3F68D" w14:textId="77777777" w:rsidR="00E4089A" w:rsidRDefault="00E4089A">
      <w:pPr>
        <w:pStyle w:val="TOC2"/>
        <w:tabs>
          <w:tab w:val="right" w:leader="dot" w:pos="9350"/>
        </w:tabs>
        <w:rPr>
          <w:rFonts w:asciiTheme="minorHAnsi" w:hAnsiTheme="minorHAnsi"/>
          <w:noProof/>
          <w:lang w:eastAsia="ja-JP"/>
        </w:rPr>
      </w:pPr>
      <w:r>
        <w:rPr>
          <w:noProof/>
        </w:rPr>
        <w:t>Discussion and Contribution</w:t>
      </w:r>
      <w:r>
        <w:rPr>
          <w:noProof/>
        </w:rPr>
        <w:tab/>
      </w:r>
      <w:r>
        <w:rPr>
          <w:noProof/>
        </w:rPr>
        <w:fldChar w:fldCharType="begin"/>
      </w:r>
      <w:r>
        <w:rPr>
          <w:noProof/>
        </w:rPr>
        <w:instrText xml:space="preserve"> PAGEREF _Toc358326746 \h </w:instrText>
      </w:r>
      <w:r>
        <w:rPr>
          <w:noProof/>
        </w:rPr>
      </w:r>
      <w:r>
        <w:rPr>
          <w:noProof/>
        </w:rPr>
        <w:fldChar w:fldCharType="separate"/>
      </w:r>
      <w:r w:rsidR="00C2793E">
        <w:rPr>
          <w:noProof/>
        </w:rPr>
        <w:t>188</w:t>
      </w:r>
      <w:r>
        <w:rPr>
          <w:noProof/>
        </w:rPr>
        <w:fldChar w:fldCharType="end"/>
      </w:r>
    </w:p>
    <w:p w14:paraId="73368305" w14:textId="77777777" w:rsidR="00E4089A" w:rsidRDefault="00E4089A">
      <w:pPr>
        <w:pStyle w:val="TOC1"/>
        <w:tabs>
          <w:tab w:val="right" w:leader="dot" w:pos="9350"/>
        </w:tabs>
        <w:rPr>
          <w:rFonts w:asciiTheme="minorHAnsi" w:hAnsiTheme="minorHAnsi"/>
          <w:b w:val="0"/>
          <w:caps w:val="0"/>
          <w:noProof/>
          <w:szCs w:val="24"/>
          <w:lang w:eastAsia="ja-JP"/>
        </w:rPr>
      </w:pPr>
      <w:r>
        <w:rPr>
          <w:noProof/>
        </w:rPr>
        <w:t>CHAPTER FIVE – CONCLUSION</w:t>
      </w:r>
      <w:r>
        <w:rPr>
          <w:noProof/>
        </w:rPr>
        <w:tab/>
      </w:r>
      <w:r>
        <w:rPr>
          <w:noProof/>
        </w:rPr>
        <w:fldChar w:fldCharType="begin"/>
      </w:r>
      <w:r>
        <w:rPr>
          <w:noProof/>
        </w:rPr>
        <w:instrText xml:space="preserve"> PAGEREF _Toc358326747 \h </w:instrText>
      </w:r>
      <w:r>
        <w:rPr>
          <w:noProof/>
        </w:rPr>
      </w:r>
      <w:r>
        <w:rPr>
          <w:noProof/>
        </w:rPr>
        <w:fldChar w:fldCharType="separate"/>
      </w:r>
      <w:r w:rsidR="00C2793E">
        <w:rPr>
          <w:noProof/>
        </w:rPr>
        <w:t>192</w:t>
      </w:r>
      <w:r>
        <w:rPr>
          <w:noProof/>
        </w:rPr>
        <w:fldChar w:fldCharType="end"/>
      </w:r>
    </w:p>
    <w:p w14:paraId="0D4D4424" w14:textId="77777777" w:rsidR="00E4089A" w:rsidRDefault="00E4089A">
      <w:pPr>
        <w:pStyle w:val="TOC2"/>
        <w:tabs>
          <w:tab w:val="right" w:leader="dot" w:pos="9350"/>
        </w:tabs>
        <w:rPr>
          <w:rFonts w:asciiTheme="minorHAnsi" w:hAnsiTheme="minorHAnsi"/>
          <w:noProof/>
          <w:lang w:eastAsia="ja-JP"/>
        </w:rPr>
      </w:pPr>
      <w:r>
        <w:rPr>
          <w:noProof/>
        </w:rPr>
        <w:t>Theoretical Contribution</w:t>
      </w:r>
      <w:r>
        <w:rPr>
          <w:noProof/>
        </w:rPr>
        <w:tab/>
      </w:r>
      <w:r>
        <w:rPr>
          <w:noProof/>
        </w:rPr>
        <w:fldChar w:fldCharType="begin"/>
      </w:r>
      <w:r>
        <w:rPr>
          <w:noProof/>
        </w:rPr>
        <w:instrText xml:space="preserve"> PAGEREF _Toc358326748 \h </w:instrText>
      </w:r>
      <w:r>
        <w:rPr>
          <w:noProof/>
        </w:rPr>
      </w:r>
      <w:r>
        <w:rPr>
          <w:noProof/>
        </w:rPr>
        <w:fldChar w:fldCharType="separate"/>
      </w:r>
      <w:r w:rsidR="00C2793E">
        <w:rPr>
          <w:noProof/>
        </w:rPr>
        <w:t>192</w:t>
      </w:r>
      <w:r>
        <w:rPr>
          <w:noProof/>
        </w:rPr>
        <w:fldChar w:fldCharType="end"/>
      </w:r>
    </w:p>
    <w:p w14:paraId="683BCD27" w14:textId="77777777" w:rsidR="00E4089A" w:rsidRDefault="00E4089A">
      <w:pPr>
        <w:pStyle w:val="TOC2"/>
        <w:tabs>
          <w:tab w:val="right" w:leader="dot" w:pos="9350"/>
        </w:tabs>
        <w:rPr>
          <w:rFonts w:asciiTheme="minorHAnsi" w:hAnsiTheme="minorHAnsi"/>
          <w:noProof/>
          <w:lang w:eastAsia="ja-JP"/>
        </w:rPr>
      </w:pPr>
      <w:r>
        <w:rPr>
          <w:noProof/>
        </w:rPr>
        <w:t>Implications for Practice</w:t>
      </w:r>
      <w:r>
        <w:rPr>
          <w:noProof/>
        </w:rPr>
        <w:tab/>
      </w:r>
      <w:r>
        <w:rPr>
          <w:noProof/>
        </w:rPr>
        <w:fldChar w:fldCharType="begin"/>
      </w:r>
      <w:r>
        <w:rPr>
          <w:noProof/>
        </w:rPr>
        <w:instrText xml:space="preserve"> PAGEREF _Toc358326749 \h </w:instrText>
      </w:r>
      <w:r>
        <w:rPr>
          <w:noProof/>
        </w:rPr>
      </w:r>
      <w:r>
        <w:rPr>
          <w:noProof/>
        </w:rPr>
        <w:fldChar w:fldCharType="separate"/>
      </w:r>
      <w:r w:rsidR="00C2793E">
        <w:rPr>
          <w:noProof/>
        </w:rPr>
        <w:t>194</w:t>
      </w:r>
      <w:r>
        <w:rPr>
          <w:noProof/>
        </w:rPr>
        <w:fldChar w:fldCharType="end"/>
      </w:r>
    </w:p>
    <w:p w14:paraId="593A3439" w14:textId="77777777" w:rsidR="00E4089A" w:rsidRDefault="00E4089A">
      <w:pPr>
        <w:pStyle w:val="TOC2"/>
        <w:tabs>
          <w:tab w:val="right" w:leader="dot" w:pos="9350"/>
        </w:tabs>
        <w:rPr>
          <w:rFonts w:asciiTheme="minorHAnsi" w:hAnsiTheme="minorHAnsi"/>
          <w:noProof/>
          <w:lang w:eastAsia="ja-JP"/>
        </w:rPr>
      </w:pPr>
      <w:r>
        <w:rPr>
          <w:noProof/>
        </w:rPr>
        <w:t>Limitations</w:t>
      </w:r>
      <w:r>
        <w:rPr>
          <w:noProof/>
        </w:rPr>
        <w:tab/>
      </w:r>
      <w:r>
        <w:rPr>
          <w:noProof/>
        </w:rPr>
        <w:fldChar w:fldCharType="begin"/>
      </w:r>
      <w:r>
        <w:rPr>
          <w:noProof/>
        </w:rPr>
        <w:instrText xml:space="preserve"> PAGEREF _Toc358326750 \h </w:instrText>
      </w:r>
      <w:r>
        <w:rPr>
          <w:noProof/>
        </w:rPr>
      </w:r>
      <w:r>
        <w:rPr>
          <w:noProof/>
        </w:rPr>
        <w:fldChar w:fldCharType="separate"/>
      </w:r>
      <w:r w:rsidR="00C2793E">
        <w:rPr>
          <w:noProof/>
        </w:rPr>
        <w:t>196</w:t>
      </w:r>
      <w:r>
        <w:rPr>
          <w:noProof/>
        </w:rPr>
        <w:fldChar w:fldCharType="end"/>
      </w:r>
    </w:p>
    <w:p w14:paraId="28F24D7E" w14:textId="77777777" w:rsidR="00E4089A" w:rsidRDefault="00E4089A">
      <w:pPr>
        <w:pStyle w:val="TOC2"/>
        <w:tabs>
          <w:tab w:val="right" w:leader="dot" w:pos="9350"/>
        </w:tabs>
        <w:rPr>
          <w:rFonts w:asciiTheme="minorHAnsi" w:hAnsiTheme="minorHAnsi"/>
          <w:noProof/>
          <w:lang w:eastAsia="ja-JP"/>
        </w:rPr>
      </w:pPr>
      <w:r>
        <w:rPr>
          <w:noProof/>
        </w:rPr>
        <w:t>Future Research Opportunities</w:t>
      </w:r>
      <w:r>
        <w:rPr>
          <w:noProof/>
        </w:rPr>
        <w:tab/>
      </w:r>
      <w:r>
        <w:rPr>
          <w:noProof/>
        </w:rPr>
        <w:fldChar w:fldCharType="begin"/>
      </w:r>
      <w:r>
        <w:rPr>
          <w:noProof/>
        </w:rPr>
        <w:instrText xml:space="preserve"> PAGEREF _Toc358326751 \h </w:instrText>
      </w:r>
      <w:r>
        <w:rPr>
          <w:noProof/>
        </w:rPr>
      </w:r>
      <w:r>
        <w:rPr>
          <w:noProof/>
        </w:rPr>
        <w:fldChar w:fldCharType="separate"/>
      </w:r>
      <w:r w:rsidR="00C2793E">
        <w:rPr>
          <w:noProof/>
        </w:rPr>
        <w:t>198</w:t>
      </w:r>
      <w:r>
        <w:rPr>
          <w:noProof/>
        </w:rPr>
        <w:fldChar w:fldCharType="end"/>
      </w:r>
    </w:p>
    <w:p w14:paraId="7293ABFE" w14:textId="77777777" w:rsidR="00E4089A" w:rsidRDefault="00E4089A">
      <w:pPr>
        <w:pStyle w:val="TOC1"/>
        <w:tabs>
          <w:tab w:val="right" w:leader="dot" w:pos="9350"/>
        </w:tabs>
        <w:rPr>
          <w:rFonts w:asciiTheme="minorHAnsi" w:hAnsiTheme="minorHAnsi"/>
          <w:b w:val="0"/>
          <w:caps w:val="0"/>
          <w:noProof/>
          <w:szCs w:val="24"/>
          <w:lang w:eastAsia="ja-JP"/>
        </w:rPr>
      </w:pPr>
      <w:r>
        <w:rPr>
          <w:noProof/>
        </w:rPr>
        <w:t>REFERENCES</w:t>
      </w:r>
      <w:r>
        <w:rPr>
          <w:noProof/>
        </w:rPr>
        <w:tab/>
      </w:r>
      <w:r>
        <w:rPr>
          <w:noProof/>
        </w:rPr>
        <w:fldChar w:fldCharType="begin"/>
      </w:r>
      <w:r>
        <w:rPr>
          <w:noProof/>
        </w:rPr>
        <w:instrText xml:space="preserve"> PAGEREF _Toc358326752 \h </w:instrText>
      </w:r>
      <w:r>
        <w:rPr>
          <w:noProof/>
        </w:rPr>
      </w:r>
      <w:r>
        <w:rPr>
          <w:noProof/>
        </w:rPr>
        <w:fldChar w:fldCharType="separate"/>
      </w:r>
      <w:r w:rsidR="00C2793E">
        <w:rPr>
          <w:noProof/>
        </w:rPr>
        <w:t>200</w:t>
      </w:r>
      <w:r>
        <w:rPr>
          <w:noProof/>
        </w:rPr>
        <w:fldChar w:fldCharType="end"/>
      </w:r>
    </w:p>
    <w:p w14:paraId="263A2B95" w14:textId="77777777" w:rsidR="00E4089A" w:rsidRDefault="00E4089A">
      <w:pPr>
        <w:pStyle w:val="TOC2"/>
        <w:tabs>
          <w:tab w:val="right" w:leader="dot" w:pos="9350"/>
        </w:tabs>
        <w:rPr>
          <w:rFonts w:asciiTheme="minorHAnsi" w:hAnsiTheme="minorHAnsi"/>
          <w:noProof/>
          <w:lang w:eastAsia="ja-JP"/>
        </w:rPr>
      </w:pPr>
      <w:r>
        <w:rPr>
          <w:noProof/>
        </w:rPr>
        <w:t>Chapter One: References</w:t>
      </w:r>
      <w:r>
        <w:rPr>
          <w:noProof/>
        </w:rPr>
        <w:tab/>
      </w:r>
      <w:r>
        <w:rPr>
          <w:noProof/>
        </w:rPr>
        <w:fldChar w:fldCharType="begin"/>
      </w:r>
      <w:r>
        <w:rPr>
          <w:noProof/>
        </w:rPr>
        <w:instrText xml:space="preserve"> PAGEREF _Toc358326753 \h </w:instrText>
      </w:r>
      <w:r>
        <w:rPr>
          <w:noProof/>
        </w:rPr>
      </w:r>
      <w:r>
        <w:rPr>
          <w:noProof/>
        </w:rPr>
        <w:fldChar w:fldCharType="separate"/>
      </w:r>
      <w:r w:rsidR="00C2793E">
        <w:rPr>
          <w:noProof/>
        </w:rPr>
        <w:t>201</w:t>
      </w:r>
      <w:r>
        <w:rPr>
          <w:noProof/>
        </w:rPr>
        <w:fldChar w:fldCharType="end"/>
      </w:r>
    </w:p>
    <w:p w14:paraId="20A6B3CB" w14:textId="77777777" w:rsidR="00E4089A" w:rsidRDefault="00E4089A">
      <w:pPr>
        <w:pStyle w:val="TOC2"/>
        <w:tabs>
          <w:tab w:val="right" w:leader="dot" w:pos="9350"/>
        </w:tabs>
        <w:rPr>
          <w:rFonts w:asciiTheme="minorHAnsi" w:hAnsiTheme="minorHAnsi"/>
          <w:noProof/>
          <w:lang w:eastAsia="ja-JP"/>
        </w:rPr>
      </w:pPr>
      <w:r>
        <w:rPr>
          <w:noProof/>
        </w:rPr>
        <w:t>Chapter Two: References</w:t>
      </w:r>
      <w:r>
        <w:rPr>
          <w:noProof/>
        </w:rPr>
        <w:tab/>
      </w:r>
      <w:r>
        <w:rPr>
          <w:noProof/>
        </w:rPr>
        <w:fldChar w:fldCharType="begin"/>
      </w:r>
      <w:r>
        <w:rPr>
          <w:noProof/>
        </w:rPr>
        <w:instrText xml:space="preserve"> PAGEREF _Toc358326754 \h </w:instrText>
      </w:r>
      <w:r>
        <w:rPr>
          <w:noProof/>
        </w:rPr>
      </w:r>
      <w:r>
        <w:rPr>
          <w:noProof/>
        </w:rPr>
        <w:fldChar w:fldCharType="separate"/>
      </w:r>
      <w:r w:rsidR="00C2793E">
        <w:rPr>
          <w:noProof/>
        </w:rPr>
        <w:t>203</w:t>
      </w:r>
      <w:r>
        <w:rPr>
          <w:noProof/>
        </w:rPr>
        <w:fldChar w:fldCharType="end"/>
      </w:r>
    </w:p>
    <w:p w14:paraId="364C4338" w14:textId="77777777" w:rsidR="00E4089A" w:rsidRDefault="00E4089A">
      <w:pPr>
        <w:pStyle w:val="TOC2"/>
        <w:tabs>
          <w:tab w:val="right" w:leader="dot" w:pos="9350"/>
        </w:tabs>
        <w:rPr>
          <w:rFonts w:asciiTheme="minorHAnsi" w:hAnsiTheme="minorHAnsi"/>
          <w:noProof/>
          <w:lang w:eastAsia="ja-JP"/>
        </w:rPr>
      </w:pPr>
      <w:r>
        <w:rPr>
          <w:noProof/>
        </w:rPr>
        <w:t>Chapter Three: References</w:t>
      </w:r>
      <w:r>
        <w:rPr>
          <w:noProof/>
        </w:rPr>
        <w:tab/>
      </w:r>
      <w:r>
        <w:rPr>
          <w:noProof/>
        </w:rPr>
        <w:fldChar w:fldCharType="begin"/>
      </w:r>
      <w:r>
        <w:rPr>
          <w:noProof/>
        </w:rPr>
        <w:instrText xml:space="preserve"> PAGEREF _Toc358326755 \h </w:instrText>
      </w:r>
      <w:r>
        <w:rPr>
          <w:noProof/>
        </w:rPr>
      </w:r>
      <w:r>
        <w:rPr>
          <w:noProof/>
        </w:rPr>
        <w:fldChar w:fldCharType="separate"/>
      </w:r>
      <w:r w:rsidR="00C2793E">
        <w:rPr>
          <w:noProof/>
        </w:rPr>
        <w:t>208</w:t>
      </w:r>
      <w:r>
        <w:rPr>
          <w:noProof/>
        </w:rPr>
        <w:fldChar w:fldCharType="end"/>
      </w:r>
    </w:p>
    <w:p w14:paraId="26BB9855" w14:textId="77777777" w:rsidR="00E4089A" w:rsidRDefault="00E4089A">
      <w:pPr>
        <w:pStyle w:val="TOC2"/>
        <w:tabs>
          <w:tab w:val="right" w:leader="dot" w:pos="9350"/>
        </w:tabs>
        <w:rPr>
          <w:rFonts w:asciiTheme="minorHAnsi" w:hAnsiTheme="minorHAnsi"/>
          <w:noProof/>
          <w:lang w:eastAsia="ja-JP"/>
        </w:rPr>
      </w:pPr>
      <w:r>
        <w:rPr>
          <w:noProof/>
        </w:rPr>
        <w:t>Chapter Four: References</w:t>
      </w:r>
      <w:r>
        <w:rPr>
          <w:noProof/>
        </w:rPr>
        <w:tab/>
      </w:r>
      <w:r>
        <w:rPr>
          <w:noProof/>
        </w:rPr>
        <w:fldChar w:fldCharType="begin"/>
      </w:r>
      <w:r>
        <w:rPr>
          <w:noProof/>
        </w:rPr>
        <w:instrText xml:space="preserve"> PAGEREF _Toc358326756 \h </w:instrText>
      </w:r>
      <w:r>
        <w:rPr>
          <w:noProof/>
        </w:rPr>
      </w:r>
      <w:r>
        <w:rPr>
          <w:noProof/>
        </w:rPr>
        <w:fldChar w:fldCharType="separate"/>
      </w:r>
      <w:r w:rsidR="00C2793E">
        <w:rPr>
          <w:noProof/>
        </w:rPr>
        <w:t>213</w:t>
      </w:r>
      <w:r>
        <w:rPr>
          <w:noProof/>
        </w:rPr>
        <w:fldChar w:fldCharType="end"/>
      </w:r>
    </w:p>
    <w:p w14:paraId="05CFB851" w14:textId="77777777" w:rsidR="00E4089A" w:rsidRDefault="00E4089A">
      <w:pPr>
        <w:pStyle w:val="TOC2"/>
        <w:tabs>
          <w:tab w:val="right" w:leader="dot" w:pos="9350"/>
        </w:tabs>
        <w:rPr>
          <w:rFonts w:asciiTheme="minorHAnsi" w:hAnsiTheme="minorHAnsi"/>
          <w:noProof/>
          <w:lang w:eastAsia="ja-JP"/>
        </w:rPr>
      </w:pPr>
      <w:r>
        <w:rPr>
          <w:noProof/>
        </w:rPr>
        <w:t>Chapter Five: References</w:t>
      </w:r>
      <w:r>
        <w:rPr>
          <w:noProof/>
        </w:rPr>
        <w:tab/>
      </w:r>
      <w:r>
        <w:rPr>
          <w:noProof/>
        </w:rPr>
        <w:fldChar w:fldCharType="begin"/>
      </w:r>
      <w:r>
        <w:rPr>
          <w:noProof/>
        </w:rPr>
        <w:instrText xml:space="preserve"> PAGEREF _Toc358326757 \h </w:instrText>
      </w:r>
      <w:r>
        <w:rPr>
          <w:noProof/>
        </w:rPr>
      </w:r>
      <w:r>
        <w:rPr>
          <w:noProof/>
        </w:rPr>
        <w:fldChar w:fldCharType="separate"/>
      </w:r>
      <w:r w:rsidR="00C2793E">
        <w:rPr>
          <w:noProof/>
        </w:rPr>
        <w:t>219</w:t>
      </w:r>
      <w:r>
        <w:rPr>
          <w:noProof/>
        </w:rPr>
        <w:fldChar w:fldCharType="end"/>
      </w:r>
    </w:p>
    <w:p w14:paraId="0CDEC130" w14:textId="77777777" w:rsidR="00E4089A" w:rsidRDefault="00E4089A">
      <w:pPr>
        <w:pStyle w:val="TOC1"/>
        <w:tabs>
          <w:tab w:val="right" w:leader="dot" w:pos="9350"/>
        </w:tabs>
        <w:rPr>
          <w:rFonts w:asciiTheme="minorHAnsi" w:hAnsiTheme="minorHAnsi"/>
          <w:b w:val="0"/>
          <w:caps w:val="0"/>
          <w:noProof/>
          <w:szCs w:val="24"/>
          <w:lang w:eastAsia="ja-JP"/>
        </w:rPr>
      </w:pPr>
      <w:r>
        <w:rPr>
          <w:noProof/>
        </w:rPr>
        <w:t>APPENDIX</w:t>
      </w:r>
      <w:r>
        <w:rPr>
          <w:noProof/>
        </w:rPr>
        <w:tab/>
      </w:r>
      <w:r>
        <w:rPr>
          <w:noProof/>
        </w:rPr>
        <w:fldChar w:fldCharType="begin"/>
      </w:r>
      <w:r>
        <w:rPr>
          <w:noProof/>
        </w:rPr>
        <w:instrText xml:space="preserve"> PAGEREF _Toc358326758 \h </w:instrText>
      </w:r>
      <w:r>
        <w:rPr>
          <w:noProof/>
        </w:rPr>
      </w:r>
      <w:r>
        <w:rPr>
          <w:noProof/>
        </w:rPr>
        <w:fldChar w:fldCharType="separate"/>
      </w:r>
      <w:r w:rsidR="00C2793E">
        <w:rPr>
          <w:noProof/>
        </w:rPr>
        <w:t>220</w:t>
      </w:r>
      <w:r>
        <w:rPr>
          <w:noProof/>
        </w:rPr>
        <w:fldChar w:fldCharType="end"/>
      </w:r>
    </w:p>
    <w:p w14:paraId="58A60608" w14:textId="77777777" w:rsidR="00E4089A" w:rsidRDefault="00E4089A">
      <w:pPr>
        <w:pStyle w:val="TOC1"/>
        <w:tabs>
          <w:tab w:val="right" w:leader="dot" w:pos="9350"/>
        </w:tabs>
        <w:rPr>
          <w:rFonts w:asciiTheme="minorHAnsi" w:hAnsiTheme="minorHAnsi"/>
          <w:b w:val="0"/>
          <w:caps w:val="0"/>
          <w:noProof/>
          <w:szCs w:val="24"/>
          <w:lang w:eastAsia="ja-JP"/>
        </w:rPr>
      </w:pPr>
      <w:r>
        <w:rPr>
          <w:noProof/>
        </w:rPr>
        <w:t>VITA</w:t>
      </w:r>
      <w:r>
        <w:rPr>
          <w:noProof/>
        </w:rPr>
        <w:tab/>
      </w:r>
      <w:r>
        <w:rPr>
          <w:noProof/>
        </w:rPr>
        <w:fldChar w:fldCharType="begin"/>
      </w:r>
      <w:r>
        <w:rPr>
          <w:noProof/>
        </w:rPr>
        <w:instrText xml:space="preserve"> PAGEREF _Toc358326759 \h </w:instrText>
      </w:r>
      <w:r>
        <w:rPr>
          <w:noProof/>
        </w:rPr>
      </w:r>
      <w:r>
        <w:rPr>
          <w:noProof/>
        </w:rPr>
        <w:fldChar w:fldCharType="separate"/>
      </w:r>
      <w:r w:rsidR="00C2793E">
        <w:rPr>
          <w:noProof/>
        </w:rPr>
        <w:t>224</w:t>
      </w:r>
      <w:r>
        <w:rPr>
          <w:noProof/>
        </w:rPr>
        <w:fldChar w:fldCharType="end"/>
      </w:r>
    </w:p>
    <w:p w14:paraId="151EBF36" w14:textId="2183513A" w:rsidR="005358B8" w:rsidRDefault="00E4089A">
      <w:pPr>
        <w:rPr>
          <w:rFonts w:ascii="Times New Roman" w:hAnsi="Times New Roman" w:cs="Times New Roman"/>
          <w:b/>
        </w:rPr>
      </w:pPr>
      <w:r>
        <w:rPr>
          <w:rFonts w:ascii="Times New Roman" w:hAnsi="Times New Roman" w:cs="Times New Roman"/>
          <w:caps/>
          <w:szCs w:val="22"/>
        </w:rPr>
        <w:fldChar w:fldCharType="end"/>
      </w:r>
      <w:r w:rsidR="005358B8">
        <w:rPr>
          <w:rFonts w:ascii="Times New Roman" w:hAnsi="Times New Roman" w:cs="Times New Roman"/>
          <w:b/>
        </w:rPr>
        <w:br w:type="page"/>
      </w:r>
      <w:r w:rsidR="005358B8">
        <w:rPr>
          <w:rFonts w:ascii="Times New Roman" w:hAnsi="Times New Roman" w:cs="Times New Roman"/>
          <w:b/>
        </w:rPr>
        <w:lastRenderedPageBreak/>
        <w:t xml:space="preserve">List of Tables </w:t>
      </w:r>
    </w:p>
    <w:p w14:paraId="5370C329" w14:textId="77777777" w:rsidR="005358B8" w:rsidRDefault="005358B8">
      <w:pPr>
        <w:rPr>
          <w:rFonts w:ascii="Times New Roman" w:hAnsi="Times New Roman" w:cs="Times New Roman"/>
          <w:b/>
        </w:rPr>
      </w:pPr>
    </w:p>
    <w:p w14:paraId="21EA94A9" w14:textId="77777777" w:rsidR="00C12772" w:rsidRDefault="00C12772">
      <w:pPr>
        <w:pStyle w:val="TableofFigures"/>
        <w:tabs>
          <w:tab w:val="right" w:leader="dot" w:pos="9350"/>
        </w:tabs>
        <w:rPr>
          <w:noProof/>
          <w:lang w:eastAsia="ja-JP"/>
        </w:rPr>
      </w:pPr>
      <w:r>
        <w:rPr>
          <w:rFonts w:ascii="Times New Roman" w:hAnsi="Times New Roman" w:cs="Times New Roman"/>
          <w:b/>
        </w:rPr>
        <w:fldChar w:fldCharType="begin"/>
      </w:r>
      <w:r>
        <w:rPr>
          <w:rFonts w:ascii="Times New Roman" w:hAnsi="Times New Roman" w:cs="Times New Roman"/>
          <w:b/>
        </w:rPr>
        <w:instrText xml:space="preserve"> TOC \c "Table" </w:instrText>
      </w:r>
      <w:r>
        <w:rPr>
          <w:rFonts w:ascii="Times New Roman" w:hAnsi="Times New Roman" w:cs="Times New Roman"/>
          <w:b/>
        </w:rPr>
        <w:fldChar w:fldCharType="separate"/>
      </w:r>
      <w:r>
        <w:rPr>
          <w:noProof/>
        </w:rPr>
        <w:t>Table 1</w:t>
      </w:r>
      <w:r>
        <w:rPr>
          <w:noProof/>
        </w:rPr>
        <w:tab/>
      </w:r>
      <w:r>
        <w:rPr>
          <w:noProof/>
        </w:rPr>
        <w:fldChar w:fldCharType="begin"/>
      </w:r>
      <w:r>
        <w:rPr>
          <w:noProof/>
        </w:rPr>
        <w:instrText xml:space="preserve"> PAGEREF _Toc358326837 \h </w:instrText>
      </w:r>
      <w:r>
        <w:rPr>
          <w:noProof/>
        </w:rPr>
      </w:r>
      <w:r>
        <w:rPr>
          <w:noProof/>
        </w:rPr>
        <w:fldChar w:fldCharType="separate"/>
      </w:r>
      <w:r w:rsidR="00C2793E">
        <w:rPr>
          <w:noProof/>
        </w:rPr>
        <w:t>17</w:t>
      </w:r>
      <w:r>
        <w:rPr>
          <w:noProof/>
        </w:rPr>
        <w:fldChar w:fldCharType="end"/>
      </w:r>
    </w:p>
    <w:p w14:paraId="3F55EB3D" w14:textId="77777777" w:rsidR="00C12772" w:rsidRDefault="00C12772">
      <w:pPr>
        <w:pStyle w:val="TableofFigures"/>
        <w:tabs>
          <w:tab w:val="right" w:leader="dot" w:pos="9350"/>
        </w:tabs>
        <w:rPr>
          <w:noProof/>
          <w:lang w:eastAsia="ja-JP"/>
        </w:rPr>
      </w:pPr>
      <w:r>
        <w:rPr>
          <w:noProof/>
        </w:rPr>
        <w:t>Table 2</w:t>
      </w:r>
      <w:r>
        <w:rPr>
          <w:noProof/>
        </w:rPr>
        <w:tab/>
      </w:r>
      <w:r>
        <w:rPr>
          <w:noProof/>
        </w:rPr>
        <w:fldChar w:fldCharType="begin"/>
      </w:r>
      <w:r>
        <w:rPr>
          <w:noProof/>
        </w:rPr>
        <w:instrText xml:space="preserve"> PAGEREF _Toc358326838 \h </w:instrText>
      </w:r>
      <w:r>
        <w:rPr>
          <w:noProof/>
        </w:rPr>
      </w:r>
      <w:r>
        <w:rPr>
          <w:noProof/>
        </w:rPr>
        <w:fldChar w:fldCharType="separate"/>
      </w:r>
      <w:r w:rsidR="00C2793E">
        <w:rPr>
          <w:noProof/>
        </w:rPr>
        <w:t>21</w:t>
      </w:r>
      <w:r>
        <w:rPr>
          <w:noProof/>
        </w:rPr>
        <w:fldChar w:fldCharType="end"/>
      </w:r>
    </w:p>
    <w:p w14:paraId="5E2E66D0" w14:textId="77777777" w:rsidR="00C12772" w:rsidRDefault="00C12772">
      <w:pPr>
        <w:pStyle w:val="TableofFigures"/>
        <w:tabs>
          <w:tab w:val="right" w:leader="dot" w:pos="9350"/>
        </w:tabs>
        <w:rPr>
          <w:noProof/>
          <w:lang w:eastAsia="ja-JP"/>
        </w:rPr>
      </w:pPr>
      <w:r>
        <w:rPr>
          <w:noProof/>
        </w:rPr>
        <w:t>Table 3</w:t>
      </w:r>
      <w:r>
        <w:rPr>
          <w:noProof/>
        </w:rPr>
        <w:tab/>
      </w:r>
      <w:r>
        <w:rPr>
          <w:noProof/>
        </w:rPr>
        <w:fldChar w:fldCharType="begin"/>
      </w:r>
      <w:r>
        <w:rPr>
          <w:noProof/>
        </w:rPr>
        <w:instrText xml:space="preserve"> PAGEREF _Toc358326839 \h </w:instrText>
      </w:r>
      <w:r>
        <w:rPr>
          <w:noProof/>
        </w:rPr>
      </w:r>
      <w:r>
        <w:rPr>
          <w:noProof/>
        </w:rPr>
        <w:fldChar w:fldCharType="separate"/>
      </w:r>
      <w:r w:rsidR="00C2793E">
        <w:rPr>
          <w:noProof/>
        </w:rPr>
        <w:t>29</w:t>
      </w:r>
      <w:r>
        <w:rPr>
          <w:noProof/>
        </w:rPr>
        <w:fldChar w:fldCharType="end"/>
      </w:r>
    </w:p>
    <w:p w14:paraId="352B29BB" w14:textId="77777777" w:rsidR="00C12772" w:rsidRDefault="00C12772">
      <w:pPr>
        <w:pStyle w:val="TableofFigures"/>
        <w:tabs>
          <w:tab w:val="right" w:leader="dot" w:pos="9350"/>
        </w:tabs>
        <w:rPr>
          <w:noProof/>
          <w:lang w:eastAsia="ja-JP"/>
        </w:rPr>
      </w:pPr>
      <w:r>
        <w:rPr>
          <w:noProof/>
        </w:rPr>
        <w:t>Table 4</w:t>
      </w:r>
      <w:r>
        <w:rPr>
          <w:noProof/>
        </w:rPr>
        <w:tab/>
      </w:r>
      <w:r>
        <w:rPr>
          <w:noProof/>
        </w:rPr>
        <w:fldChar w:fldCharType="begin"/>
      </w:r>
      <w:r>
        <w:rPr>
          <w:noProof/>
        </w:rPr>
        <w:instrText xml:space="preserve"> PAGEREF _Toc358326840 \h </w:instrText>
      </w:r>
      <w:r>
        <w:rPr>
          <w:noProof/>
        </w:rPr>
      </w:r>
      <w:r>
        <w:rPr>
          <w:noProof/>
        </w:rPr>
        <w:fldChar w:fldCharType="separate"/>
      </w:r>
      <w:r w:rsidR="00C2793E">
        <w:rPr>
          <w:noProof/>
        </w:rPr>
        <w:t>52</w:t>
      </w:r>
      <w:r>
        <w:rPr>
          <w:noProof/>
        </w:rPr>
        <w:fldChar w:fldCharType="end"/>
      </w:r>
    </w:p>
    <w:p w14:paraId="53ECC18D" w14:textId="77777777" w:rsidR="00C12772" w:rsidRDefault="00C12772">
      <w:pPr>
        <w:pStyle w:val="TableofFigures"/>
        <w:tabs>
          <w:tab w:val="right" w:leader="dot" w:pos="9350"/>
        </w:tabs>
        <w:rPr>
          <w:noProof/>
          <w:lang w:eastAsia="ja-JP"/>
        </w:rPr>
      </w:pPr>
      <w:r>
        <w:rPr>
          <w:noProof/>
        </w:rPr>
        <w:t>Table 5</w:t>
      </w:r>
      <w:r>
        <w:rPr>
          <w:noProof/>
        </w:rPr>
        <w:tab/>
      </w:r>
      <w:r>
        <w:rPr>
          <w:noProof/>
        </w:rPr>
        <w:fldChar w:fldCharType="begin"/>
      </w:r>
      <w:r>
        <w:rPr>
          <w:noProof/>
        </w:rPr>
        <w:instrText xml:space="preserve"> PAGEREF _Toc358326841 \h </w:instrText>
      </w:r>
      <w:r>
        <w:rPr>
          <w:noProof/>
        </w:rPr>
      </w:r>
      <w:r>
        <w:rPr>
          <w:noProof/>
        </w:rPr>
        <w:fldChar w:fldCharType="separate"/>
      </w:r>
      <w:r w:rsidR="00C2793E">
        <w:rPr>
          <w:noProof/>
        </w:rPr>
        <w:t>58</w:t>
      </w:r>
      <w:r>
        <w:rPr>
          <w:noProof/>
        </w:rPr>
        <w:fldChar w:fldCharType="end"/>
      </w:r>
    </w:p>
    <w:p w14:paraId="3CCA172A" w14:textId="77777777" w:rsidR="00C12772" w:rsidRDefault="00C12772">
      <w:pPr>
        <w:pStyle w:val="TableofFigures"/>
        <w:tabs>
          <w:tab w:val="right" w:leader="dot" w:pos="9350"/>
        </w:tabs>
        <w:rPr>
          <w:noProof/>
          <w:lang w:eastAsia="ja-JP"/>
        </w:rPr>
      </w:pPr>
      <w:r>
        <w:rPr>
          <w:noProof/>
        </w:rPr>
        <w:t>Table 6</w:t>
      </w:r>
      <w:r>
        <w:rPr>
          <w:noProof/>
        </w:rPr>
        <w:tab/>
      </w:r>
      <w:r>
        <w:rPr>
          <w:noProof/>
        </w:rPr>
        <w:fldChar w:fldCharType="begin"/>
      </w:r>
      <w:r>
        <w:rPr>
          <w:noProof/>
        </w:rPr>
        <w:instrText xml:space="preserve"> PAGEREF _Toc358326842 \h </w:instrText>
      </w:r>
      <w:r>
        <w:rPr>
          <w:noProof/>
        </w:rPr>
      </w:r>
      <w:r>
        <w:rPr>
          <w:noProof/>
        </w:rPr>
        <w:fldChar w:fldCharType="separate"/>
      </w:r>
      <w:r w:rsidR="00C2793E">
        <w:rPr>
          <w:noProof/>
        </w:rPr>
        <w:t>78</w:t>
      </w:r>
      <w:r>
        <w:rPr>
          <w:noProof/>
        </w:rPr>
        <w:fldChar w:fldCharType="end"/>
      </w:r>
    </w:p>
    <w:p w14:paraId="2FE7710A" w14:textId="77777777" w:rsidR="00C12772" w:rsidRDefault="00C12772">
      <w:pPr>
        <w:pStyle w:val="TableofFigures"/>
        <w:tabs>
          <w:tab w:val="right" w:leader="dot" w:pos="9350"/>
        </w:tabs>
        <w:rPr>
          <w:noProof/>
          <w:lang w:eastAsia="ja-JP"/>
        </w:rPr>
      </w:pPr>
      <w:r>
        <w:rPr>
          <w:noProof/>
        </w:rPr>
        <w:t>Table 7</w:t>
      </w:r>
      <w:r>
        <w:rPr>
          <w:noProof/>
        </w:rPr>
        <w:tab/>
      </w:r>
      <w:r>
        <w:rPr>
          <w:noProof/>
        </w:rPr>
        <w:fldChar w:fldCharType="begin"/>
      </w:r>
      <w:r>
        <w:rPr>
          <w:noProof/>
        </w:rPr>
        <w:instrText xml:space="preserve"> PAGEREF _Toc358326843 \h </w:instrText>
      </w:r>
      <w:r>
        <w:rPr>
          <w:noProof/>
        </w:rPr>
      </w:r>
      <w:r>
        <w:rPr>
          <w:noProof/>
        </w:rPr>
        <w:fldChar w:fldCharType="separate"/>
      </w:r>
      <w:r w:rsidR="00C2793E">
        <w:rPr>
          <w:noProof/>
        </w:rPr>
        <w:t>85</w:t>
      </w:r>
      <w:r>
        <w:rPr>
          <w:noProof/>
        </w:rPr>
        <w:fldChar w:fldCharType="end"/>
      </w:r>
    </w:p>
    <w:p w14:paraId="5CE84ABF" w14:textId="77777777" w:rsidR="00C12772" w:rsidRDefault="00C12772">
      <w:pPr>
        <w:pStyle w:val="TableofFigures"/>
        <w:tabs>
          <w:tab w:val="right" w:leader="dot" w:pos="9350"/>
        </w:tabs>
        <w:rPr>
          <w:noProof/>
          <w:lang w:eastAsia="ja-JP"/>
        </w:rPr>
      </w:pPr>
      <w:r>
        <w:rPr>
          <w:noProof/>
        </w:rPr>
        <w:t>Table 8</w:t>
      </w:r>
      <w:r>
        <w:rPr>
          <w:noProof/>
        </w:rPr>
        <w:tab/>
      </w:r>
      <w:r>
        <w:rPr>
          <w:noProof/>
        </w:rPr>
        <w:fldChar w:fldCharType="begin"/>
      </w:r>
      <w:r>
        <w:rPr>
          <w:noProof/>
        </w:rPr>
        <w:instrText xml:space="preserve"> PAGEREF _Toc358326844 \h </w:instrText>
      </w:r>
      <w:r>
        <w:rPr>
          <w:noProof/>
        </w:rPr>
      </w:r>
      <w:r>
        <w:rPr>
          <w:noProof/>
        </w:rPr>
        <w:fldChar w:fldCharType="separate"/>
      </w:r>
      <w:r w:rsidR="00C2793E">
        <w:rPr>
          <w:noProof/>
        </w:rPr>
        <w:t>86</w:t>
      </w:r>
      <w:r>
        <w:rPr>
          <w:noProof/>
        </w:rPr>
        <w:fldChar w:fldCharType="end"/>
      </w:r>
    </w:p>
    <w:p w14:paraId="5688717A" w14:textId="77777777" w:rsidR="00C12772" w:rsidRDefault="00C12772">
      <w:pPr>
        <w:pStyle w:val="TableofFigures"/>
        <w:tabs>
          <w:tab w:val="right" w:leader="dot" w:pos="9350"/>
        </w:tabs>
        <w:rPr>
          <w:noProof/>
          <w:lang w:eastAsia="ja-JP"/>
        </w:rPr>
      </w:pPr>
      <w:r>
        <w:rPr>
          <w:noProof/>
        </w:rPr>
        <w:t>Table 9</w:t>
      </w:r>
      <w:r>
        <w:rPr>
          <w:noProof/>
        </w:rPr>
        <w:tab/>
      </w:r>
      <w:r>
        <w:rPr>
          <w:noProof/>
        </w:rPr>
        <w:fldChar w:fldCharType="begin"/>
      </w:r>
      <w:r>
        <w:rPr>
          <w:noProof/>
        </w:rPr>
        <w:instrText xml:space="preserve"> PAGEREF _Toc358326845 \h </w:instrText>
      </w:r>
      <w:r>
        <w:rPr>
          <w:noProof/>
        </w:rPr>
      </w:r>
      <w:r>
        <w:rPr>
          <w:noProof/>
        </w:rPr>
        <w:fldChar w:fldCharType="separate"/>
      </w:r>
      <w:r w:rsidR="00C2793E">
        <w:rPr>
          <w:noProof/>
        </w:rPr>
        <w:t>98</w:t>
      </w:r>
      <w:r>
        <w:rPr>
          <w:noProof/>
        </w:rPr>
        <w:fldChar w:fldCharType="end"/>
      </w:r>
    </w:p>
    <w:p w14:paraId="4B764B55" w14:textId="77777777" w:rsidR="00C12772" w:rsidRDefault="00C12772">
      <w:pPr>
        <w:pStyle w:val="TableofFigures"/>
        <w:tabs>
          <w:tab w:val="right" w:leader="dot" w:pos="9350"/>
        </w:tabs>
        <w:rPr>
          <w:noProof/>
          <w:lang w:eastAsia="ja-JP"/>
        </w:rPr>
      </w:pPr>
      <w:r>
        <w:rPr>
          <w:noProof/>
        </w:rPr>
        <w:t>Table 10</w:t>
      </w:r>
      <w:r>
        <w:rPr>
          <w:noProof/>
        </w:rPr>
        <w:tab/>
      </w:r>
      <w:r>
        <w:rPr>
          <w:noProof/>
        </w:rPr>
        <w:fldChar w:fldCharType="begin"/>
      </w:r>
      <w:r>
        <w:rPr>
          <w:noProof/>
        </w:rPr>
        <w:instrText xml:space="preserve"> PAGEREF _Toc358326846 \h </w:instrText>
      </w:r>
      <w:r>
        <w:rPr>
          <w:noProof/>
        </w:rPr>
      </w:r>
      <w:r>
        <w:rPr>
          <w:noProof/>
        </w:rPr>
        <w:fldChar w:fldCharType="separate"/>
      </w:r>
      <w:r w:rsidR="00C2793E">
        <w:rPr>
          <w:noProof/>
        </w:rPr>
        <w:t>99</w:t>
      </w:r>
      <w:r>
        <w:rPr>
          <w:noProof/>
        </w:rPr>
        <w:fldChar w:fldCharType="end"/>
      </w:r>
    </w:p>
    <w:p w14:paraId="1434D8F1" w14:textId="77777777" w:rsidR="00C12772" w:rsidRDefault="00C12772">
      <w:pPr>
        <w:pStyle w:val="TableofFigures"/>
        <w:tabs>
          <w:tab w:val="right" w:leader="dot" w:pos="9350"/>
        </w:tabs>
        <w:rPr>
          <w:noProof/>
          <w:lang w:eastAsia="ja-JP"/>
        </w:rPr>
      </w:pPr>
      <w:r>
        <w:rPr>
          <w:noProof/>
        </w:rPr>
        <w:t>Table 11</w:t>
      </w:r>
      <w:r>
        <w:rPr>
          <w:noProof/>
        </w:rPr>
        <w:tab/>
      </w:r>
      <w:r>
        <w:rPr>
          <w:noProof/>
        </w:rPr>
        <w:fldChar w:fldCharType="begin"/>
      </w:r>
      <w:r>
        <w:rPr>
          <w:noProof/>
        </w:rPr>
        <w:instrText xml:space="preserve"> PAGEREF _Toc358326847 \h </w:instrText>
      </w:r>
      <w:r>
        <w:rPr>
          <w:noProof/>
        </w:rPr>
      </w:r>
      <w:r>
        <w:rPr>
          <w:noProof/>
        </w:rPr>
        <w:fldChar w:fldCharType="separate"/>
      </w:r>
      <w:r w:rsidR="00C2793E">
        <w:rPr>
          <w:noProof/>
        </w:rPr>
        <w:t>106</w:t>
      </w:r>
      <w:r>
        <w:rPr>
          <w:noProof/>
        </w:rPr>
        <w:fldChar w:fldCharType="end"/>
      </w:r>
    </w:p>
    <w:p w14:paraId="4A735FF4" w14:textId="77777777" w:rsidR="00C12772" w:rsidRDefault="00C12772">
      <w:pPr>
        <w:pStyle w:val="TableofFigures"/>
        <w:tabs>
          <w:tab w:val="right" w:leader="dot" w:pos="9350"/>
        </w:tabs>
        <w:rPr>
          <w:noProof/>
          <w:lang w:eastAsia="ja-JP"/>
        </w:rPr>
      </w:pPr>
      <w:r>
        <w:rPr>
          <w:noProof/>
        </w:rPr>
        <w:t>Table 12</w:t>
      </w:r>
      <w:r>
        <w:rPr>
          <w:noProof/>
        </w:rPr>
        <w:tab/>
      </w:r>
      <w:r>
        <w:rPr>
          <w:noProof/>
        </w:rPr>
        <w:fldChar w:fldCharType="begin"/>
      </w:r>
      <w:r>
        <w:rPr>
          <w:noProof/>
        </w:rPr>
        <w:instrText xml:space="preserve"> PAGEREF _Toc358326848 \h </w:instrText>
      </w:r>
      <w:r>
        <w:rPr>
          <w:noProof/>
        </w:rPr>
      </w:r>
      <w:r>
        <w:rPr>
          <w:noProof/>
        </w:rPr>
        <w:fldChar w:fldCharType="separate"/>
      </w:r>
      <w:r w:rsidR="00C2793E">
        <w:rPr>
          <w:noProof/>
        </w:rPr>
        <w:t>107</w:t>
      </w:r>
      <w:r>
        <w:rPr>
          <w:noProof/>
        </w:rPr>
        <w:fldChar w:fldCharType="end"/>
      </w:r>
    </w:p>
    <w:p w14:paraId="4734FBA4" w14:textId="77777777" w:rsidR="00C12772" w:rsidRDefault="00C12772">
      <w:pPr>
        <w:pStyle w:val="TableofFigures"/>
        <w:tabs>
          <w:tab w:val="right" w:leader="dot" w:pos="9350"/>
        </w:tabs>
        <w:rPr>
          <w:noProof/>
          <w:lang w:eastAsia="ja-JP"/>
        </w:rPr>
      </w:pPr>
      <w:r>
        <w:rPr>
          <w:noProof/>
        </w:rPr>
        <w:t>Table 13</w:t>
      </w:r>
      <w:r>
        <w:rPr>
          <w:noProof/>
        </w:rPr>
        <w:tab/>
      </w:r>
      <w:r>
        <w:rPr>
          <w:noProof/>
        </w:rPr>
        <w:fldChar w:fldCharType="begin"/>
      </w:r>
      <w:r>
        <w:rPr>
          <w:noProof/>
        </w:rPr>
        <w:instrText xml:space="preserve"> PAGEREF _Toc358326849 \h </w:instrText>
      </w:r>
      <w:r>
        <w:rPr>
          <w:noProof/>
        </w:rPr>
      </w:r>
      <w:r>
        <w:rPr>
          <w:noProof/>
        </w:rPr>
        <w:fldChar w:fldCharType="separate"/>
      </w:r>
      <w:r w:rsidR="00C2793E">
        <w:rPr>
          <w:noProof/>
        </w:rPr>
        <w:t>112</w:t>
      </w:r>
      <w:r>
        <w:rPr>
          <w:noProof/>
        </w:rPr>
        <w:fldChar w:fldCharType="end"/>
      </w:r>
    </w:p>
    <w:p w14:paraId="56A6A0E9" w14:textId="77777777" w:rsidR="00C12772" w:rsidRDefault="00C12772">
      <w:pPr>
        <w:pStyle w:val="TableofFigures"/>
        <w:tabs>
          <w:tab w:val="right" w:leader="dot" w:pos="9350"/>
        </w:tabs>
        <w:rPr>
          <w:noProof/>
          <w:lang w:eastAsia="ja-JP"/>
        </w:rPr>
      </w:pPr>
      <w:r>
        <w:rPr>
          <w:noProof/>
        </w:rPr>
        <w:t>Table 14</w:t>
      </w:r>
      <w:r>
        <w:rPr>
          <w:noProof/>
        </w:rPr>
        <w:tab/>
      </w:r>
      <w:r>
        <w:rPr>
          <w:noProof/>
        </w:rPr>
        <w:fldChar w:fldCharType="begin"/>
      </w:r>
      <w:r>
        <w:rPr>
          <w:noProof/>
        </w:rPr>
        <w:instrText xml:space="preserve"> PAGEREF _Toc358326850 \h </w:instrText>
      </w:r>
      <w:r>
        <w:rPr>
          <w:noProof/>
        </w:rPr>
      </w:r>
      <w:r>
        <w:rPr>
          <w:noProof/>
        </w:rPr>
        <w:fldChar w:fldCharType="separate"/>
      </w:r>
      <w:r w:rsidR="00C2793E">
        <w:rPr>
          <w:noProof/>
        </w:rPr>
        <w:t>113</w:t>
      </w:r>
      <w:r>
        <w:rPr>
          <w:noProof/>
        </w:rPr>
        <w:fldChar w:fldCharType="end"/>
      </w:r>
    </w:p>
    <w:p w14:paraId="5177FEC8" w14:textId="77777777" w:rsidR="00C12772" w:rsidRDefault="00C12772">
      <w:pPr>
        <w:pStyle w:val="TableofFigures"/>
        <w:tabs>
          <w:tab w:val="right" w:leader="dot" w:pos="9350"/>
        </w:tabs>
        <w:rPr>
          <w:noProof/>
          <w:lang w:eastAsia="ja-JP"/>
        </w:rPr>
      </w:pPr>
      <w:r>
        <w:rPr>
          <w:noProof/>
        </w:rPr>
        <w:t>Table 15</w:t>
      </w:r>
      <w:r>
        <w:rPr>
          <w:noProof/>
        </w:rPr>
        <w:tab/>
      </w:r>
      <w:r>
        <w:rPr>
          <w:noProof/>
        </w:rPr>
        <w:fldChar w:fldCharType="begin"/>
      </w:r>
      <w:r>
        <w:rPr>
          <w:noProof/>
        </w:rPr>
        <w:instrText xml:space="preserve"> PAGEREF _Toc358326851 \h </w:instrText>
      </w:r>
      <w:r>
        <w:rPr>
          <w:noProof/>
        </w:rPr>
      </w:r>
      <w:r>
        <w:rPr>
          <w:noProof/>
        </w:rPr>
        <w:fldChar w:fldCharType="separate"/>
      </w:r>
      <w:r w:rsidR="00C2793E">
        <w:rPr>
          <w:noProof/>
        </w:rPr>
        <w:t>118</w:t>
      </w:r>
      <w:r>
        <w:rPr>
          <w:noProof/>
        </w:rPr>
        <w:fldChar w:fldCharType="end"/>
      </w:r>
    </w:p>
    <w:p w14:paraId="03762D54" w14:textId="77777777" w:rsidR="00C12772" w:rsidRDefault="00C12772">
      <w:pPr>
        <w:pStyle w:val="TableofFigures"/>
        <w:tabs>
          <w:tab w:val="right" w:leader="dot" w:pos="9350"/>
        </w:tabs>
        <w:rPr>
          <w:noProof/>
          <w:lang w:eastAsia="ja-JP"/>
        </w:rPr>
      </w:pPr>
      <w:r>
        <w:rPr>
          <w:noProof/>
        </w:rPr>
        <w:t>Table 16</w:t>
      </w:r>
      <w:r>
        <w:rPr>
          <w:noProof/>
        </w:rPr>
        <w:tab/>
      </w:r>
      <w:r>
        <w:rPr>
          <w:noProof/>
        </w:rPr>
        <w:fldChar w:fldCharType="begin"/>
      </w:r>
      <w:r>
        <w:rPr>
          <w:noProof/>
        </w:rPr>
        <w:instrText xml:space="preserve"> PAGEREF _Toc358326852 \h </w:instrText>
      </w:r>
      <w:r>
        <w:rPr>
          <w:noProof/>
        </w:rPr>
      </w:r>
      <w:r>
        <w:rPr>
          <w:noProof/>
        </w:rPr>
        <w:fldChar w:fldCharType="separate"/>
      </w:r>
      <w:r w:rsidR="00C2793E">
        <w:rPr>
          <w:noProof/>
        </w:rPr>
        <w:t>119</w:t>
      </w:r>
      <w:r>
        <w:rPr>
          <w:noProof/>
        </w:rPr>
        <w:fldChar w:fldCharType="end"/>
      </w:r>
    </w:p>
    <w:p w14:paraId="67B5ADDB" w14:textId="77777777" w:rsidR="00C12772" w:rsidRDefault="00C12772">
      <w:pPr>
        <w:pStyle w:val="TableofFigures"/>
        <w:tabs>
          <w:tab w:val="right" w:leader="dot" w:pos="9350"/>
        </w:tabs>
        <w:rPr>
          <w:noProof/>
          <w:lang w:eastAsia="ja-JP"/>
        </w:rPr>
      </w:pPr>
      <w:r>
        <w:rPr>
          <w:noProof/>
        </w:rPr>
        <w:t>Table 17</w:t>
      </w:r>
      <w:r>
        <w:rPr>
          <w:noProof/>
        </w:rPr>
        <w:tab/>
      </w:r>
      <w:r>
        <w:rPr>
          <w:noProof/>
        </w:rPr>
        <w:fldChar w:fldCharType="begin"/>
      </w:r>
      <w:r>
        <w:rPr>
          <w:noProof/>
        </w:rPr>
        <w:instrText xml:space="preserve"> PAGEREF _Toc358326853 \h </w:instrText>
      </w:r>
      <w:r>
        <w:rPr>
          <w:noProof/>
        </w:rPr>
      </w:r>
      <w:r>
        <w:rPr>
          <w:noProof/>
        </w:rPr>
        <w:fldChar w:fldCharType="separate"/>
      </w:r>
      <w:r w:rsidR="00C2793E">
        <w:rPr>
          <w:noProof/>
        </w:rPr>
        <w:t>123</w:t>
      </w:r>
      <w:r>
        <w:rPr>
          <w:noProof/>
        </w:rPr>
        <w:fldChar w:fldCharType="end"/>
      </w:r>
    </w:p>
    <w:p w14:paraId="3FDB8932" w14:textId="77777777" w:rsidR="00C12772" w:rsidRDefault="00C12772">
      <w:pPr>
        <w:pStyle w:val="TableofFigures"/>
        <w:tabs>
          <w:tab w:val="right" w:leader="dot" w:pos="9350"/>
        </w:tabs>
        <w:rPr>
          <w:noProof/>
          <w:lang w:eastAsia="ja-JP"/>
        </w:rPr>
      </w:pPr>
      <w:r>
        <w:rPr>
          <w:noProof/>
        </w:rPr>
        <w:t>Table 18</w:t>
      </w:r>
      <w:r>
        <w:rPr>
          <w:noProof/>
        </w:rPr>
        <w:tab/>
      </w:r>
      <w:r>
        <w:rPr>
          <w:noProof/>
        </w:rPr>
        <w:fldChar w:fldCharType="begin"/>
      </w:r>
      <w:r>
        <w:rPr>
          <w:noProof/>
        </w:rPr>
        <w:instrText xml:space="preserve"> PAGEREF _Toc358326854 \h </w:instrText>
      </w:r>
      <w:r>
        <w:rPr>
          <w:noProof/>
        </w:rPr>
      </w:r>
      <w:r>
        <w:rPr>
          <w:noProof/>
        </w:rPr>
        <w:fldChar w:fldCharType="separate"/>
      </w:r>
      <w:r w:rsidR="00C2793E">
        <w:rPr>
          <w:noProof/>
        </w:rPr>
        <w:t>124</w:t>
      </w:r>
      <w:r>
        <w:rPr>
          <w:noProof/>
        </w:rPr>
        <w:fldChar w:fldCharType="end"/>
      </w:r>
    </w:p>
    <w:p w14:paraId="642B0673" w14:textId="77777777" w:rsidR="00C12772" w:rsidRDefault="00C12772">
      <w:pPr>
        <w:pStyle w:val="TableofFigures"/>
        <w:tabs>
          <w:tab w:val="right" w:leader="dot" w:pos="9350"/>
        </w:tabs>
        <w:rPr>
          <w:noProof/>
          <w:lang w:eastAsia="ja-JP"/>
        </w:rPr>
      </w:pPr>
      <w:r>
        <w:rPr>
          <w:noProof/>
        </w:rPr>
        <w:t>Table 19</w:t>
      </w:r>
      <w:r>
        <w:rPr>
          <w:noProof/>
        </w:rPr>
        <w:tab/>
      </w:r>
      <w:r>
        <w:rPr>
          <w:noProof/>
        </w:rPr>
        <w:fldChar w:fldCharType="begin"/>
      </w:r>
      <w:r>
        <w:rPr>
          <w:noProof/>
        </w:rPr>
        <w:instrText xml:space="preserve"> PAGEREF _Toc358326855 \h </w:instrText>
      </w:r>
      <w:r>
        <w:rPr>
          <w:noProof/>
        </w:rPr>
      </w:r>
      <w:r>
        <w:rPr>
          <w:noProof/>
        </w:rPr>
        <w:fldChar w:fldCharType="separate"/>
      </w:r>
      <w:r w:rsidR="00C2793E">
        <w:rPr>
          <w:noProof/>
        </w:rPr>
        <w:t>147</w:t>
      </w:r>
      <w:r>
        <w:rPr>
          <w:noProof/>
        </w:rPr>
        <w:fldChar w:fldCharType="end"/>
      </w:r>
    </w:p>
    <w:p w14:paraId="61A347F6" w14:textId="77777777" w:rsidR="00C12772" w:rsidRDefault="00C12772">
      <w:pPr>
        <w:pStyle w:val="TableofFigures"/>
        <w:tabs>
          <w:tab w:val="right" w:leader="dot" w:pos="9350"/>
        </w:tabs>
        <w:rPr>
          <w:noProof/>
          <w:lang w:eastAsia="ja-JP"/>
        </w:rPr>
      </w:pPr>
      <w:r>
        <w:rPr>
          <w:noProof/>
        </w:rPr>
        <w:t>Table 20</w:t>
      </w:r>
      <w:r>
        <w:rPr>
          <w:noProof/>
        </w:rPr>
        <w:tab/>
      </w:r>
      <w:r>
        <w:rPr>
          <w:noProof/>
        </w:rPr>
        <w:fldChar w:fldCharType="begin"/>
      </w:r>
      <w:r>
        <w:rPr>
          <w:noProof/>
        </w:rPr>
        <w:instrText xml:space="preserve"> PAGEREF _Toc358326856 \h </w:instrText>
      </w:r>
      <w:r>
        <w:rPr>
          <w:noProof/>
        </w:rPr>
      </w:r>
      <w:r>
        <w:rPr>
          <w:noProof/>
        </w:rPr>
        <w:fldChar w:fldCharType="separate"/>
      </w:r>
      <w:r w:rsidR="00C2793E">
        <w:rPr>
          <w:noProof/>
        </w:rPr>
        <w:t>149</w:t>
      </w:r>
      <w:r>
        <w:rPr>
          <w:noProof/>
        </w:rPr>
        <w:fldChar w:fldCharType="end"/>
      </w:r>
    </w:p>
    <w:p w14:paraId="500C8E92" w14:textId="77777777" w:rsidR="00C12772" w:rsidRDefault="00C12772">
      <w:pPr>
        <w:pStyle w:val="TableofFigures"/>
        <w:tabs>
          <w:tab w:val="right" w:leader="dot" w:pos="9350"/>
        </w:tabs>
        <w:rPr>
          <w:noProof/>
          <w:lang w:eastAsia="ja-JP"/>
        </w:rPr>
      </w:pPr>
      <w:r>
        <w:rPr>
          <w:noProof/>
        </w:rPr>
        <w:t>Table 21</w:t>
      </w:r>
      <w:r>
        <w:rPr>
          <w:noProof/>
        </w:rPr>
        <w:tab/>
      </w:r>
      <w:r>
        <w:rPr>
          <w:noProof/>
        </w:rPr>
        <w:fldChar w:fldCharType="begin"/>
      </w:r>
      <w:r>
        <w:rPr>
          <w:noProof/>
        </w:rPr>
        <w:instrText xml:space="preserve"> PAGEREF _Toc358326857 \h </w:instrText>
      </w:r>
      <w:r>
        <w:rPr>
          <w:noProof/>
        </w:rPr>
      </w:r>
      <w:r>
        <w:rPr>
          <w:noProof/>
        </w:rPr>
        <w:fldChar w:fldCharType="separate"/>
      </w:r>
      <w:r w:rsidR="00C2793E">
        <w:rPr>
          <w:noProof/>
        </w:rPr>
        <w:t>150</w:t>
      </w:r>
      <w:r>
        <w:rPr>
          <w:noProof/>
        </w:rPr>
        <w:fldChar w:fldCharType="end"/>
      </w:r>
    </w:p>
    <w:p w14:paraId="0CC64797" w14:textId="77777777" w:rsidR="00C12772" w:rsidRDefault="00C12772">
      <w:pPr>
        <w:pStyle w:val="TableofFigures"/>
        <w:tabs>
          <w:tab w:val="right" w:leader="dot" w:pos="9350"/>
        </w:tabs>
        <w:rPr>
          <w:noProof/>
          <w:lang w:eastAsia="ja-JP"/>
        </w:rPr>
      </w:pPr>
      <w:r>
        <w:rPr>
          <w:noProof/>
        </w:rPr>
        <w:t>Table 22</w:t>
      </w:r>
      <w:r>
        <w:rPr>
          <w:noProof/>
        </w:rPr>
        <w:tab/>
      </w:r>
      <w:r>
        <w:rPr>
          <w:noProof/>
        </w:rPr>
        <w:fldChar w:fldCharType="begin"/>
      </w:r>
      <w:r>
        <w:rPr>
          <w:noProof/>
        </w:rPr>
        <w:instrText xml:space="preserve"> PAGEREF _Toc358326858 \h </w:instrText>
      </w:r>
      <w:r>
        <w:rPr>
          <w:noProof/>
        </w:rPr>
      </w:r>
      <w:r>
        <w:rPr>
          <w:noProof/>
        </w:rPr>
        <w:fldChar w:fldCharType="separate"/>
      </w:r>
      <w:r w:rsidR="00C2793E">
        <w:rPr>
          <w:noProof/>
        </w:rPr>
        <w:t>160</w:t>
      </w:r>
      <w:r>
        <w:rPr>
          <w:noProof/>
        </w:rPr>
        <w:fldChar w:fldCharType="end"/>
      </w:r>
    </w:p>
    <w:p w14:paraId="2DB52973" w14:textId="77777777" w:rsidR="00C12772" w:rsidRDefault="00C12772">
      <w:pPr>
        <w:pStyle w:val="TableofFigures"/>
        <w:tabs>
          <w:tab w:val="right" w:leader="dot" w:pos="9350"/>
        </w:tabs>
        <w:rPr>
          <w:noProof/>
          <w:lang w:eastAsia="ja-JP"/>
        </w:rPr>
      </w:pPr>
      <w:r>
        <w:rPr>
          <w:noProof/>
        </w:rPr>
        <w:t>Table 23</w:t>
      </w:r>
      <w:r>
        <w:rPr>
          <w:noProof/>
        </w:rPr>
        <w:tab/>
      </w:r>
      <w:r>
        <w:rPr>
          <w:noProof/>
        </w:rPr>
        <w:fldChar w:fldCharType="begin"/>
      </w:r>
      <w:r>
        <w:rPr>
          <w:noProof/>
        </w:rPr>
        <w:instrText xml:space="preserve"> PAGEREF _Toc358326859 \h </w:instrText>
      </w:r>
      <w:r>
        <w:rPr>
          <w:noProof/>
        </w:rPr>
      </w:r>
      <w:r>
        <w:rPr>
          <w:noProof/>
        </w:rPr>
        <w:fldChar w:fldCharType="separate"/>
      </w:r>
      <w:r w:rsidR="00C2793E">
        <w:rPr>
          <w:noProof/>
        </w:rPr>
        <w:t>162</w:t>
      </w:r>
      <w:r>
        <w:rPr>
          <w:noProof/>
        </w:rPr>
        <w:fldChar w:fldCharType="end"/>
      </w:r>
    </w:p>
    <w:p w14:paraId="1A03E018" w14:textId="77777777" w:rsidR="00C12772" w:rsidRDefault="00C12772">
      <w:pPr>
        <w:pStyle w:val="TableofFigures"/>
        <w:tabs>
          <w:tab w:val="right" w:leader="dot" w:pos="9350"/>
        </w:tabs>
        <w:rPr>
          <w:noProof/>
          <w:lang w:eastAsia="ja-JP"/>
        </w:rPr>
      </w:pPr>
      <w:r>
        <w:rPr>
          <w:noProof/>
        </w:rPr>
        <w:t>Table 24</w:t>
      </w:r>
      <w:r>
        <w:rPr>
          <w:noProof/>
        </w:rPr>
        <w:tab/>
      </w:r>
      <w:r>
        <w:rPr>
          <w:noProof/>
        </w:rPr>
        <w:fldChar w:fldCharType="begin"/>
      </w:r>
      <w:r>
        <w:rPr>
          <w:noProof/>
        </w:rPr>
        <w:instrText xml:space="preserve"> PAGEREF _Toc358326860 \h </w:instrText>
      </w:r>
      <w:r>
        <w:rPr>
          <w:noProof/>
        </w:rPr>
      </w:r>
      <w:r>
        <w:rPr>
          <w:noProof/>
        </w:rPr>
        <w:fldChar w:fldCharType="separate"/>
      </w:r>
      <w:r w:rsidR="00C2793E">
        <w:rPr>
          <w:noProof/>
        </w:rPr>
        <w:t>164</w:t>
      </w:r>
      <w:r>
        <w:rPr>
          <w:noProof/>
        </w:rPr>
        <w:fldChar w:fldCharType="end"/>
      </w:r>
    </w:p>
    <w:p w14:paraId="21B8BEDB" w14:textId="77777777" w:rsidR="00C12772" w:rsidRDefault="00C12772">
      <w:pPr>
        <w:pStyle w:val="TableofFigures"/>
        <w:tabs>
          <w:tab w:val="right" w:leader="dot" w:pos="9350"/>
        </w:tabs>
        <w:rPr>
          <w:noProof/>
          <w:lang w:eastAsia="ja-JP"/>
        </w:rPr>
      </w:pPr>
      <w:r>
        <w:rPr>
          <w:noProof/>
        </w:rPr>
        <w:t>Table 25</w:t>
      </w:r>
      <w:r>
        <w:rPr>
          <w:noProof/>
        </w:rPr>
        <w:tab/>
      </w:r>
      <w:r>
        <w:rPr>
          <w:noProof/>
        </w:rPr>
        <w:fldChar w:fldCharType="begin"/>
      </w:r>
      <w:r>
        <w:rPr>
          <w:noProof/>
        </w:rPr>
        <w:instrText xml:space="preserve"> PAGEREF _Toc358326861 \h </w:instrText>
      </w:r>
      <w:r>
        <w:rPr>
          <w:noProof/>
        </w:rPr>
      </w:r>
      <w:r>
        <w:rPr>
          <w:noProof/>
        </w:rPr>
        <w:fldChar w:fldCharType="separate"/>
      </w:r>
      <w:r w:rsidR="00C2793E">
        <w:rPr>
          <w:noProof/>
        </w:rPr>
        <w:t>172</w:t>
      </w:r>
      <w:r>
        <w:rPr>
          <w:noProof/>
        </w:rPr>
        <w:fldChar w:fldCharType="end"/>
      </w:r>
    </w:p>
    <w:p w14:paraId="477E8BA2" w14:textId="77777777" w:rsidR="00C12772" w:rsidRDefault="00C12772">
      <w:pPr>
        <w:pStyle w:val="TableofFigures"/>
        <w:tabs>
          <w:tab w:val="right" w:leader="dot" w:pos="9350"/>
        </w:tabs>
        <w:rPr>
          <w:noProof/>
          <w:lang w:eastAsia="ja-JP"/>
        </w:rPr>
      </w:pPr>
      <w:r>
        <w:rPr>
          <w:noProof/>
        </w:rPr>
        <w:t>Table 26</w:t>
      </w:r>
      <w:r>
        <w:rPr>
          <w:noProof/>
        </w:rPr>
        <w:tab/>
      </w:r>
      <w:r>
        <w:rPr>
          <w:noProof/>
        </w:rPr>
        <w:fldChar w:fldCharType="begin"/>
      </w:r>
      <w:r>
        <w:rPr>
          <w:noProof/>
        </w:rPr>
        <w:instrText xml:space="preserve"> PAGEREF _Toc358326862 \h </w:instrText>
      </w:r>
      <w:r>
        <w:rPr>
          <w:noProof/>
        </w:rPr>
      </w:r>
      <w:r>
        <w:rPr>
          <w:noProof/>
        </w:rPr>
        <w:fldChar w:fldCharType="separate"/>
      </w:r>
      <w:r w:rsidR="00C2793E">
        <w:rPr>
          <w:noProof/>
        </w:rPr>
        <w:t>172</w:t>
      </w:r>
      <w:r>
        <w:rPr>
          <w:noProof/>
        </w:rPr>
        <w:fldChar w:fldCharType="end"/>
      </w:r>
    </w:p>
    <w:p w14:paraId="5CBFA8E8" w14:textId="77777777" w:rsidR="00C12772" w:rsidRDefault="00C12772">
      <w:pPr>
        <w:pStyle w:val="TableofFigures"/>
        <w:tabs>
          <w:tab w:val="right" w:leader="dot" w:pos="9350"/>
        </w:tabs>
        <w:rPr>
          <w:noProof/>
          <w:lang w:eastAsia="ja-JP"/>
        </w:rPr>
      </w:pPr>
      <w:r>
        <w:rPr>
          <w:noProof/>
        </w:rPr>
        <w:t>Table 27</w:t>
      </w:r>
      <w:r>
        <w:rPr>
          <w:noProof/>
        </w:rPr>
        <w:tab/>
      </w:r>
      <w:r>
        <w:rPr>
          <w:noProof/>
        </w:rPr>
        <w:fldChar w:fldCharType="begin"/>
      </w:r>
      <w:r>
        <w:rPr>
          <w:noProof/>
        </w:rPr>
        <w:instrText xml:space="preserve"> PAGEREF _Toc358326863 \h </w:instrText>
      </w:r>
      <w:r>
        <w:rPr>
          <w:noProof/>
        </w:rPr>
      </w:r>
      <w:r>
        <w:rPr>
          <w:noProof/>
        </w:rPr>
        <w:fldChar w:fldCharType="separate"/>
      </w:r>
      <w:r w:rsidR="00C2793E">
        <w:rPr>
          <w:noProof/>
        </w:rPr>
        <w:t>173</w:t>
      </w:r>
      <w:r>
        <w:rPr>
          <w:noProof/>
        </w:rPr>
        <w:fldChar w:fldCharType="end"/>
      </w:r>
    </w:p>
    <w:p w14:paraId="3FBFAB11" w14:textId="77777777" w:rsidR="00C12772" w:rsidRDefault="00C12772">
      <w:pPr>
        <w:pStyle w:val="TableofFigures"/>
        <w:tabs>
          <w:tab w:val="right" w:leader="dot" w:pos="9350"/>
        </w:tabs>
        <w:rPr>
          <w:noProof/>
          <w:lang w:eastAsia="ja-JP"/>
        </w:rPr>
      </w:pPr>
      <w:r>
        <w:rPr>
          <w:noProof/>
        </w:rPr>
        <w:t>Table 28</w:t>
      </w:r>
      <w:r>
        <w:rPr>
          <w:noProof/>
        </w:rPr>
        <w:tab/>
      </w:r>
      <w:r>
        <w:rPr>
          <w:noProof/>
        </w:rPr>
        <w:fldChar w:fldCharType="begin"/>
      </w:r>
      <w:r>
        <w:rPr>
          <w:noProof/>
        </w:rPr>
        <w:instrText xml:space="preserve"> PAGEREF _Toc358326864 \h </w:instrText>
      </w:r>
      <w:r>
        <w:rPr>
          <w:noProof/>
        </w:rPr>
      </w:r>
      <w:r>
        <w:rPr>
          <w:noProof/>
        </w:rPr>
        <w:fldChar w:fldCharType="separate"/>
      </w:r>
      <w:r w:rsidR="00C2793E">
        <w:rPr>
          <w:noProof/>
        </w:rPr>
        <w:t>173</w:t>
      </w:r>
      <w:r>
        <w:rPr>
          <w:noProof/>
        </w:rPr>
        <w:fldChar w:fldCharType="end"/>
      </w:r>
    </w:p>
    <w:p w14:paraId="37127C66" w14:textId="77777777" w:rsidR="00C12772" w:rsidRDefault="00C12772">
      <w:pPr>
        <w:pStyle w:val="TableofFigures"/>
        <w:tabs>
          <w:tab w:val="right" w:leader="dot" w:pos="9350"/>
        </w:tabs>
        <w:rPr>
          <w:noProof/>
          <w:lang w:eastAsia="ja-JP"/>
        </w:rPr>
      </w:pPr>
      <w:r>
        <w:rPr>
          <w:noProof/>
        </w:rPr>
        <w:t>Table 29</w:t>
      </w:r>
      <w:r>
        <w:rPr>
          <w:noProof/>
        </w:rPr>
        <w:tab/>
      </w:r>
      <w:r>
        <w:rPr>
          <w:noProof/>
        </w:rPr>
        <w:fldChar w:fldCharType="begin"/>
      </w:r>
      <w:r>
        <w:rPr>
          <w:noProof/>
        </w:rPr>
        <w:instrText xml:space="preserve"> PAGEREF _Toc358326865 \h </w:instrText>
      </w:r>
      <w:r>
        <w:rPr>
          <w:noProof/>
        </w:rPr>
      </w:r>
      <w:r>
        <w:rPr>
          <w:noProof/>
        </w:rPr>
        <w:fldChar w:fldCharType="separate"/>
      </w:r>
      <w:r w:rsidR="00C2793E">
        <w:rPr>
          <w:noProof/>
        </w:rPr>
        <w:t>175</w:t>
      </w:r>
      <w:r>
        <w:rPr>
          <w:noProof/>
        </w:rPr>
        <w:fldChar w:fldCharType="end"/>
      </w:r>
    </w:p>
    <w:p w14:paraId="5B3B2AFF" w14:textId="77777777" w:rsidR="00C12772" w:rsidRDefault="00C12772">
      <w:pPr>
        <w:pStyle w:val="TableofFigures"/>
        <w:tabs>
          <w:tab w:val="right" w:leader="dot" w:pos="9350"/>
        </w:tabs>
        <w:rPr>
          <w:noProof/>
          <w:lang w:eastAsia="ja-JP"/>
        </w:rPr>
      </w:pPr>
      <w:r>
        <w:rPr>
          <w:noProof/>
        </w:rPr>
        <w:t>Table 30</w:t>
      </w:r>
      <w:r>
        <w:rPr>
          <w:noProof/>
        </w:rPr>
        <w:tab/>
      </w:r>
      <w:r>
        <w:rPr>
          <w:noProof/>
        </w:rPr>
        <w:fldChar w:fldCharType="begin"/>
      </w:r>
      <w:r>
        <w:rPr>
          <w:noProof/>
        </w:rPr>
        <w:instrText xml:space="preserve"> PAGEREF _Toc358326866 \h </w:instrText>
      </w:r>
      <w:r>
        <w:rPr>
          <w:noProof/>
        </w:rPr>
      </w:r>
      <w:r>
        <w:rPr>
          <w:noProof/>
        </w:rPr>
        <w:fldChar w:fldCharType="separate"/>
      </w:r>
      <w:r w:rsidR="00C2793E">
        <w:rPr>
          <w:noProof/>
        </w:rPr>
        <w:t>176</w:t>
      </w:r>
      <w:r>
        <w:rPr>
          <w:noProof/>
        </w:rPr>
        <w:fldChar w:fldCharType="end"/>
      </w:r>
    </w:p>
    <w:p w14:paraId="07ED5F98" w14:textId="77777777" w:rsidR="00C12772" w:rsidRDefault="00C12772">
      <w:pPr>
        <w:pStyle w:val="TableofFigures"/>
        <w:tabs>
          <w:tab w:val="right" w:leader="dot" w:pos="9350"/>
        </w:tabs>
        <w:rPr>
          <w:noProof/>
          <w:lang w:eastAsia="ja-JP"/>
        </w:rPr>
      </w:pPr>
      <w:r>
        <w:rPr>
          <w:noProof/>
        </w:rPr>
        <w:t>Table 31</w:t>
      </w:r>
      <w:r>
        <w:rPr>
          <w:noProof/>
        </w:rPr>
        <w:tab/>
      </w:r>
      <w:r>
        <w:rPr>
          <w:noProof/>
        </w:rPr>
        <w:fldChar w:fldCharType="begin"/>
      </w:r>
      <w:r>
        <w:rPr>
          <w:noProof/>
        </w:rPr>
        <w:instrText xml:space="preserve"> PAGEREF _Toc358326867 \h </w:instrText>
      </w:r>
      <w:r>
        <w:rPr>
          <w:noProof/>
        </w:rPr>
      </w:r>
      <w:r>
        <w:rPr>
          <w:noProof/>
        </w:rPr>
        <w:fldChar w:fldCharType="separate"/>
      </w:r>
      <w:r w:rsidR="00C2793E">
        <w:rPr>
          <w:noProof/>
        </w:rPr>
        <w:t>177</w:t>
      </w:r>
      <w:r>
        <w:rPr>
          <w:noProof/>
        </w:rPr>
        <w:fldChar w:fldCharType="end"/>
      </w:r>
    </w:p>
    <w:p w14:paraId="3878ED5C" w14:textId="77777777" w:rsidR="00C12772" w:rsidRDefault="00C12772">
      <w:pPr>
        <w:pStyle w:val="TableofFigures"/>
        <w:tabs>
          <w:tab w:val="right" w:leader="dot" w:pos="9350"/>
        </w:tabs>
        <w:rPr>
          <w:noProof/>
          <w:lang w:eastAsia="ja-JP"/>
        </w:rPr>
      </w:pPr>
      <w:r>
        <w:rPr>
          <w:noProof/>
        </w:rPr>
        <w:t>Table 32</w:t>
      </w:r>
      <w:r>
        <w:rPr>
          <w:noProof/>
        </w:rPr>
        <w:tab/>
      </w:r>
      <w:r>
        <w:rPr>
          <w:noProof/>
        </w:rPr>
        <w:fldChar w:fldCharType="begin"/>
      </w:r>
      <w:r>
        <w:rPr>
          <w:noProof/>
        </w:rPr>
        <w:instrText xml:space="preserve"> PAGEREF _Toc358326868 \h </w:instrText>
      </w:r>
      <w:r>
        <w:rPr>
          <w:noProof/>
        </w:rPr>
      </w:r>
      <w:r>
        <w:rPr>
          <w:noProof/>
        </w:rPr>
        <w:fldChar w:fldCharType="separate"/>
      </w:r>
      <w:r w:rsidR="00C2793E">
        <w:rPr>
          <w:noProof/>
        </w:rPr>
        <w:t>180</w:t>
      </w:r>
      <w:r>
        <w:rPr>
          <w:noProof/>
        </w:rPr>
        <w:fldChar w:fldCharType="end"/>
      </w:r>
    </w:p>
    <w:p w14:paraId="1236C388" w14:textId="77777777" w:rsidR="00C12772" w:rsidRDefault="00C12772">
      <w:pPr>
        <w:pStyle w:val="TableofFigures"/>
        <w:tabs>
          <w:tab w:val="right" w:leader="dot" w:pos="9350"/>
        </w:tabs>
        <w:rPr>
          <w:noProof/>
          <w:lang w:eastAsia="ja-JP"/>
        </w:rPr>
      </w:pPr>
      <w:r>
        <w:rPr>
          <w:noProof/>
        </w:rPr>
        <w:t>Table 33</w:t>
      </w:r>
      <w:r>
        <w:rPr>
          <w:noProof/>
        </w:rPr>
        <w:tab/>
      </w:r>
      <w:r>
        <w:rPr>
          <w:noProof/>
        </w:rPr>
        <w:fldChar w:fldCharType="begin"/>
      </w:r>
      <w:r>
        <w:rPr>
          <w:noProof/>
        </w:rPr>
        <w:instrText xml:space="preserve"> PAGEREF _Toc358326869 \h </w:instrText>
      </w:r>
      <w:r>
        <w:rPr>
          <w:noProof/>
        </w:rPr>
      </w:r>
      <w:r>
        <w:rPr>
          <w:noProof/>
        </w:rPr>
        <w:fldChar w:fldCharType="separate"/>
      </w:r>
      <w:r w:rsidR="00C2793E">
        <w:rPr>
          <w:noProof/>
        </w:rPr>
        <w:t>182</w:t>
      </w:r>
      <w:r>
        <w:rPr>
          <w:noProof/>
        </w:rPr>
        <w:fldChar w:fldCharType="end"/>
      </w:r>
    </w:p>
    <w:p w14:paraId="59F7FB77" w14:textId="77777777" w:rsidR="00C12772" w:rsidRDefault="00C12772">
      <w:pPr>
        <w:pStyle w:val="TableofFigures"/>
        <w:tabs>
          <w:tab w:val="right" w:leader="dot" w:pos="9350"/>
        </w:tabs>
        <w:rPr>
          <w:noProof/>
          <w:lang w:eastAsia="ja-JP"/>
        </w:rPr>
      </w:pPr>
      <w:r>
        <w:rPr>
          <w:noProof/>
        </w:rPr>
        <w:t>Table 34</w:t>
      </w:r>
      <w:r>
        <w:rPr>
          <w:noProof/>
        </w:rPr>
        <w:tab/>
      </w:r>
      <w:r>
        <w:rPr>
          <w:noProof/>
        </w:rPr>
        <w:fldChar w:fldCharType="begin"/>
      </w:r>
      <w:r>
        <w:rPr>
          <w:noProof/>
        </w:rPr>
        <w:instrText xml:space="preserve"> PAGEREF _Toc358326870 \h </w:instrText>
      </w:r>
      <w:r>
        <w:rPr>
          <w:noProof/>
        </w:rPr>
      </w:r>
      <w:r>
        <w:rPr>
          <w:noProof/>
        </w:rPr>
        <w:fldChar w:fldCharType="separate"/>
      </w:r>
      <w:r w:rsidR="00C2793E">
        <w:rPr>
          <w:noProof/>
        </w:rPr>
        <w:t>183</w:t>
      </w:r>
      <w:r>
        <w:rPr>
          <w:noProof/>
        </w:rPr>
        <w:fldChar w:fldCharType="end"/>
      </w:r>
    </w:p>
    <w:p w14:paraId="1976F3E0" w14:textId="77777777" w:rsidR="00C12772" w:rsidRDefault="00C12772">
      <w:pPr>
        <w:pStyle w:val="TableofFigures"/>
        <w:tabs>
          <w:tab w:val="right" w:leader="dot" w:pos="9350"/>
        </w:tabs>
        <w:rPr>
          <w:noProof/>
          <w:lang w:eastAsia="ja-JP"/>
        </w:rPr>
      </w:pPr>
      <w:r>
        <w:rPr>
          <w:noProof/>
        </w:rPr>
        <w:t>Table 35</w:t>
      </w:r>
      <w:r>
        <w:rPr>
          <w:noProof/>
        </w:rPr>
        <w:tab/>
      </w:r>
      <w:r>
        <w:rPr>
          <w:noProof/>
        </w:rPr>
        <w:fldChar w:fldCharType="begin"/>
      </w:r>
      <w:r>
        <w:rPr>
          <w:noProof/>
        </w:rPr>
        <w:instrText xml:space="preserve"> PAGEREF _Toc358326871 \h </w:instrText>
      </w:r>
      <w:r>
        <w:rPr>
          <w:noProof/>
        </w:rPr>
      </w:r>
      <w:r>
        <w:rPr>
          <w:noProof/>
        </w:rPr>
        <w:fldChar w:fldCharType="separate"/>
      </w:r>
      <w:r w:rsidR="00C2793E">
        <w:rPr>
          <w:noProof/>
        </w:rPr>
        <w:t>185</w:t>
      </w:r>
      <w:r>
        <w:rPr>
          <w:noProof/>
        </w:rPr>
        <w:fldChar w:fldCharType="end"/>
      </w:r>
    </w:p>
    <w:p w14:paraId="0376A495" w14:textId="77777777" w:rsidR="00C12772" w:rsidRDefault="00C12772">
      <w:pPr>
        <w:pStyle w:val="TableofFigures"/>
        <w:tabs>
          <w:tab w:val="right" w:leader="dot" w:pos="9350"/>
        </w:tabs>
        <w:rPr>
          <w:noProof/>
          <w:lang w:eastAsia="ja-JP"/>
        </w:rPr>
      </w:pPr>
      <w:r>
        <w:rPr>
          <w:noProof/>
        </w:rPr>
        <w:t>Table 36</w:t>
      </w:r>
      <w:r>
        <w:rPr>
          <w:noProof/>
        </w:rPr>
        <w:tab/>
      </w:r>
      <w:r>
        <w:rPr>
          <w:noProof/>
        </w:rPr>
        <w:fldChar w:fldCharType="begin"/>
      </w:r>
      <w:r>
        <w:rPr>
          <w:noProof/>
        </w:rPr>
        <w:instrText xml:space="preserve"> PAGEREF _Toc358326872 \h </w:instrText>
      </w:r>
      <w:r>
        <w:rPr>
          <w:noProof/>
        </w:rPr>
      </w:r>
      <w:r>
        <w:rPr>
          <w:noProof/>
        </w:rPr>
        <w:fldChar w:fldCharType="separate"/>
      </w:r>
      <w:r w:rsidR="00C2793E">
        <w:rPr>
          <w:noProof/>
        </w:rPr>
        <w:t>186</w:t>
      </w:r>
      <w:r>
        <w:rPr>
          <w:noProof/>
        </w:rPr>
        <w:fldChar w:fldCharType="end"/>
      </w:r>
    </w:p>
    <w:p w14:paraId="79949130" w14:textId="77777777" w:rsidR="00C12772" w:rsidRDefault="00C12772">
      <w:pPr>
        <w:pStyle w:val="TableofFigures"/>
        <w:tabs>
          <w:tab w:val="right" w:leader="dot" w:pos="9350"/>
        </w:tabs>
        <w:rPr>
          <w:noProof/>
          <w:lang w:eastAsia="ja-JP"/>
        </w:rPr>
      </w:pPr>
      <w:r>
        <w:rPr>
          <w:noProof/>
        </w:rPr>
        <w:t>Table 37</w:t>
      </w:r>
      <w:r>
        <w:rPr>
          <w:noProof/>
        </w:rPr>
        <w:tab/>
      </w:r>
      <w:r>
        <w:rPr>
          <w:noProof/>
        </w:rPr>
        <w:fldChar w:fldCharType="begin"/>
      </w:r>
      <w:r>
        <w:rPr>
          <w:noProof/>
        </w:rPr>
        <w:instrText xml:space="preserve"> PAGEREF _Toc358326873 \h </w:instrText>
      </w:r>
      <w:r>
        <w:rPr>
          <w:noProof/>
        </w:rPr>
      </w:r>
      <w:r>
        <w:rPr>
          <w:noProof/>
        </w:rPr>
        <w:fldChar w:fldCharType="separate"/>
      </w:r>
      <w:r w:rsidR="00C2793E">
        <w:rPr>
          <w:noProof/>
        </w:rPr>
        <w:t>187</w:t>
      </w:r>
      <w:r>
        <w:rPr>
          <w:noProof/>
        </w:rPr>
        <w:fldChar w:fldCharType="end"/>
      </w:r>
    </w:p>
    <w:p w14:paraId="5392CCF5" w14:textId="77777777" w:rsidR="00C12772" w:rsidRDefault="00C12772">
      <w:pPr>
        <w:pStyle w:val="TableofFigures"/>
        <w:tabs>
          <w:tab w:val="right" w:leader="dot" w:pos="9350"/>
        </w:tabs>
        <w:rPr>
          <w:noProof/>
          <w:lang w:eastAsia="ja-JP"/>
        </w:rPr>
      </w:pPr>
      <w:r>
        <w:rPr>
          <w:noProof/>
        </w:rPr>
        <w:t>Table 38</w:t>
      </w:r>
      <w:r>
        <w:rPr>
          <w:noProof/>
        </w:rPr>
        <w:tab/>
      </w:r>
      <w:r>
        <w:rPr>
          <w:noProof/>
        </w:rPr>
        <w:fldChar w:fldCharType="begin"/>
      </w:r>
      <w:r>
        <w:rPr>
          <w:noProof/>
        </w:rPr>
        <w:instrText xml:space="preserve"> PAGEREF _Toc358326874 \h </w:instrText>
      </w:r>
      <w:r>
        <w:rPr>
          <w:noProof/>
        </w:rPr>
      </w:r>
      <w:r>
        <w:rPr>
          <w:noProof/>
        </w:rPr>
        <w:fldChar w:fldCharType="separate"/>
      </w:r>
      <w:r w:rsidR="00C2793E">
        <w:rPr>
          <w:noProof/>
        </w:rPr>
        <w:t>188</w:t>
      </w:r>
      <w:r>
        <w:rPr>
          <w:noProof/>
        </w:rPr>
        <w:fldChar w:fldCharType="end"/>
      </w:r>
    </w:p>
    <w:p w14:paraId="27FBF102" w14:textId="52C4309E" w:rsidR="005358B8" w:rsidRDefault="00C12772">
      <w:pPr>
        <w:rPr>
          <w:rFonts w:ascii="Times New Roman" w:hAnsi="Times New Roman" w:cs="Times New Roman"/>
          <w:b/>
        </w:rPr>
      </w:pPr>
      <w:r>
        <w:rPr>
          <w:rFonts w:ascii="Times New Roman" w:hAnsi="Times New Roman" w:cs="Times New Roman"/>
          <w:b/>
        </w:rPr>
        <w:fldChar w:fldCharType="end"/>
      </w:r>
    </w:p>
    <w:p w14:paraId="0759AFE6" w14:textId="77777777" w:rsidR="005358B8" w:rsidRDefault="005358B8">
      <w:pPr>
        <w:rPr>
          <w:rFonts w:ascii="Times New Roman" w:hAnsi="Times New Roman" w:cs="Times New Roman"/>
          <w:b/>
        </w:rPr>
      </w:pPr>
    </w:p>
    <w:p w14:paraId="07895215" w14:textId="30B7EA69" w:rsidR="005358B8" w:rsidRDefault="00B6372A">
      <w:pPr>
        <w:rPr>
          <w:rFonts w:ascii="Times New Roman" w:hAnsi="Times New Roman" w:cs="Times New Roman"/>
          <w:b/>
        </w:rPr>
      </w:pPr>
      <w:r>
        <w:rPr>
          <w:rFonts w:ascii="Times New Roman" w:hAnsi="Times New Roman" w:cs="Times New Roman"/>
          <w:b/>
        </w:rPr>
        <w:t xml:space="preserve"> </w:t>
      </w:r>
    </w:p>
    <w:p w14:paraId="4C242689" w14:textId="77777777" w:rsidR="00B6372A" w:rsidRDefault="00B6372A">
      <w:pPr>
        <w:rPr>
          <w:rFonts w:ascii="Times New Roman" w:hAnsi="Times New Roman" w:cs="Times New Roman"/>
          <w:b/>
        </w:rPr>
      </w:pPr>
      <w:r>
        <w:rPr>
          <w:rFonts w:ascii="Times New Roman" w:hAnsi="Times New Roman" w:cs="Times New Roman"/>
          <w:b/>
        </w:rPr>
        <w:br w:type="page"/>
      </w:r>
    </w:p>
    <w:p w14:paraId="76E2270E" w14:textId="77777777" w:rsidR="006421E5" w:rsidRDefault="005358B8">
      <w:pPr>
        <w:rPr>
          <w:rFonts w:ascii="Times New Roman" w:hAnsi="Times New Roman" w:cs="Times New Roman"/>
          <w:b/>
        </w:rPr>
      </w:pPr>
      <w:r>
        <w:rPr>
          <w:rFonts w:ascii="Times New Roman" w:hAnsi="Times New Roman" w:cs="Times New Roman"/>
          <w:b/>
        </w:rPr>
        <w:lastRenderedPageBreak/>
        <w:t xml:space="preserve">List of Figures </w:t>
      </w:r>
    </w:p>
    <w:p w14:paraId="15E1CE68" w14:textId="77777777" w:rsidR="006421E5" w:rsidRDefault="006421E5">
      <w:pPr>
        <w:rPr>
          <w:rFonts w:ascii="Times New Roman" w:hAnsi="Times New Roman" w:cs="Times New Roman"/>
          <w:b/>
        </w:rPr>
      </w:pPr>
    </w:p>
    <w:p w14:paraId="37E94F97" w14:textId="77777777" w:rsidR="00136055" w:rsidRDefault="00136055">
      <w:pPr>
        <w:pStyle w:val="TableofFigures"/>
        <w:tabs>
          <w:tab w:val="right" w:leader="dot" w:pos="9350"/>
        </w:tabs>
        <w:rPr>
          <w:noProof/>
          <w:lang w:eastAsia="ja-JP"/>
        </w:rPr>
      </w:pPr>
      <w:r>
        <w:rPr>
          <w:rFonts w:ascii="Times New Roman" w:hAnsi="Times New Roman" w:cs="Times New Roman"/>
          <w:b/>
        </w:rPr>
        <w:fldChar w:fldCharType="begin"/>
      </w:r>
      <w:r>
        <w:rPr>
          <w:rFonts w:ascii="Times New Roman" w:hAnsi="Times New Roman" w:cs="Times New Roman"/>
          <w:b/>
        </w:rPr>
        <w:instrText xml:space="preserve"> TOC \c "Figure" </w:instrText>
      </w:r>
      <w:r>
        <w:rPr>
          <w:rFonts w:ascii="Times New Roman" w:hAnsi="Times New Roman" w:cs="Times New Roman"/>
          <w:b/>
        </w:rPr>
        <w:fldChar w:fldCharType="separate"/>
      </w:r>
      <w:r>
        <w:rPr>
          <w:noProof/>
        </w:rPr>
        <w:t xml:space="preserve">Figure 1 - </w:t>
      </w:r>
      <w:r w:rsidRPr="00864839">
        <w:rPr>
          <w:rFonts w:cs="Times New Roman"/>
          <w:noProof/>
        </w:rPr>
        <w:t>Conceptual Framework</w:t>
      </w:r>
      <w:r>
        <w:rPr>
          <w:noProof/>
        </w:rPr>
        <w:tab/>
      </w:r>
      <w:r>
        <w:rPr>
          <w:noProof/>
        </w:rPr>
        <w:fldChar w:fldCharType="begin"/>
      </w:r>
      <w:r>
        <w:rPr>
          <w:noProof/>
        </w:rPr>
        <w:instrText xml:space="preserve"> PAGEREF _Toc358326875 \h </w:instrText>
      </w:r>
      <w:r>
        <w:rPr>
          <w:noProof/>
        </w:rPr>
      </w:r>
      <w:r>
        <w:rPr>
          <w:noProof/>
        </w:rPr>
        <w:fldChar w:fldCharType="separate"/>
      </w:r>
      <w:r w:rsidR="00C2793E">
        <w:rPr>
          <w:noProof/>
        </w:rPr>
        <w:t>22</w:t>
      </w:r>
      <w:r>
        <w:rPr>
          <w:noProof/>
        </w:rPr>
        <w:fldChar w:fldCharType="end"/>
      </w:r>
    </w:p>
    <w:p w14:paraId="0C9F2C20" w14:textId="77777777" w:rsidR="00136055" w:rsidRDefault="00136055">
      <w:pPr>
        <w:pStyle w:val="TableofFigures"/>
        <w:tabs>
          <w:tab w:val="right" w:leader="dot" w:pos="9350"/>
        </w:tabs>
        <w:rPr>
          <w:noProof/>
          <w:lang w:eastAsia="ja-JP"/>
        </w:rPr>
      </w:pPr>
      <w:r>
        <w:rPr>
          <w:noProof/>
        </w:rPr>
        <w:t xml:space="preserve">Figure 2 - </w:t>
      </w:r>
      <w:r w:rsidRPr="00864839">
        <w:rPr>
          <w:rFonts w:cs="Times New Roman"/>
          <w:noProof/>
        </w:rPr>
        <w:t>Constructs, Domain, Relationships, and Predictions of RBT, DCT, and ROT</w:t>
      </w:r>
      <w:r>
        <w:rPr>
          <w:noProof/>
        </w:rPr>
        <w:tab/>
      </w:r>
      <w:r>
        <w:rPr>
          <w:noProof/>
        </w:rPr>
        <w:fldChar w:fldCharType="begin"/>
      </w:r>
      <w:r>
        <w:rPr>
          <w:noProof/>
        </w:rPr>
        <w:instrText xml:space="preserve"> PAGEREF _Toc358326876 \h </w:instrText>
      </w:r>
      <w:r>
        <w:rPr>
          <w:noProof/>
        </w:rPr>
      </w:r>
      <w:r>
        <w:rPr>
          <w:noProof/>
        </w:rPr>
        <w:fldChar w:fldCharType="separate"/>
      </w:r>
      <w:r w:rsidR="00C2793E">
        <w:rPr>
          <w:noProof/>
        </w:rPr>
        <w:t>62</w:t>
      </w:r>
      <w:r>
        <w:rPr>
          <w:noProof/>
        </w:rPr>
        <w:fldChar w:fldCharType="end"/>
      </w:r>
    </w:p>
    <w:p w14:paraId="516C7A0D" w14:textId="77777777" w:rsidR="00136055" w:rsidRDefault="00136055">
      <w:pPr>
        <w:pStyle w:val="TableofFigures"/>
        <w:tabs>
          <w:tab w:val="right" w:leader="dot" w:pos="9350"/>
        </w:tabs>
        <w:rPr>
          <w:noProof/>
          <w:lang w:eastAsia="ja-JP"/>
        </w:rPr>
      </w:pPr>
      <w:r>
        <w:rPr>
          <w:noProof/>
        </w:rPr>
        <w:t xml:space="preserve">Figure 3 - </w:t>
      </w:r>
      <w:r w:rsidRPr="00864839">
        <w:rPr>
          <w:rFonts w:cs="Times New Roman"/>
          <w:noProof/>
        </w:rPr>
        <w:t>Organizational Culture</w:t>
      </w:r>
      <w:r>
        <w:rPr>
          <w:noProof/>
        </w:rPr>
        <w:tab/>
      </w:r>
      <w:r>
        <w:rPr>
          <w:noProof/>
        </w:rPr>
        <w:fldChar w:fldCharType="begin"/>
      </w:r>
      <w:r>
        <w:rPr>
          <w:noProof/>
        </w:rPr>
        <w:instrText xml:space="preserve"> PAGEREF _Toc358326877 \h </w:instrText>
      </w:r>
      <w:r>
        <w:rPr>
          <w:noProof/>
        </w:rPr>
      </w:r>
      <w:r>
        <w:rPr>
          <w:noProof/>
        </w:rPr>
        <w:fldChar w:fldCharType="separate"/>
      </w:r>
      <w:r w:rsidR="00C2793E">
        <w:rPr>
          <w:noProof/>
        </w:rPr>
        <w:t>76</w:t>
      </w:r>
      <w:r>
        <w:rPr>
          <w:noProof/>
        </w:rPr>
        <w:fldChar w:fldCharType="end"/>
      </w:r>
    </w:p>
    <w:p w14:paraId="499327ED" w14:textId="77777777" w:rsidR="00136055" w:rsidRDefault="00136055">
      <w:pPr>
        <w:pStyle w:val="TableofFigures"/>
        <w:tabs>
          <w:tab w:val="right" w:leader="dot" w:pos="9350"/>
        </w:tabs>
        <w:rPr>
          <w:noProof/>
          <w:lang w:eastAsia="ja-JP"/>
        </w:rPr>
      </w:pPr>
      <w:r>
        <w:rPr>
          <w:noProof/>
        </w:rPr>
        <w:t xml:space="preserve">Figure 4 - </w:t>
      </w:r>
      <w:r w:rsidRPr="00864839">
        <w:rPr>
          <w:rFonts w:cs="Times New Roman"/>
          <w:noProof/>
        </w:rPr>
        <w:t>SCRO Framework</w:t>
      </w:r>
      <w:r>
        <w:rPr>
          <w:noProof/>
        </w:rPr>
        <w:tab/>
      </w:r>
      <w:r>
        <w:rPr>
          <w:noProof/>
        </w:rPr>
        <w:fldChar w:fldCharType="begin"/>
      </w:r>
      <w:r>
        <w:rPr>
          <w:noProof/>
        </w:rPr>
        <w:instrText xml:space="preserve"> PAGEREF _Toc358326878 \h </w:instrText>
      </w:r>
      <w:r>
        <w:rPr>
          <w:noProof/>
        </w:rPr>
      </w:r>
      <w:r>
        <w:rPr>
          <w:noProof/>
        </w:rPr>
        <w:fldChar w:fldCharType="separate"/>
      </w:r>
      <w:r w:rsidR="00C2793E">
        <w:rPr>
          <w:noProof/>
        </w:rPr>
        <w:t>81</w:t>
      </w:r>
      <w:r>
        <w:rPr>
          <w:noProof/>
        </w:rPr>
        <w:fldChar w:fldCharType="end"/>
      </w:r>
    </w:p>
    <w:p w14:paraId="2D6F9BD2" w14:textId="77777777" w:rsidR="00136055" w:rsidRDefault="00136055">
      <w:pPr>
        <w:pStyle w:val="TableofFigures"/>
        <w:tabs>
          <w:tab w:val="right" w:leader="dot" w:pos="9350"/>
        </w:tabs>
        <w:rPr>
          <w:noProof/>
          <w:lang w:eastAsia="ja-JP"/>
        </w:rPr>
      </w:pPr>
      <w:r>
        <w:rPr>
          <w:noProof/>
        </w:rPr>
        <w:t xml:space="preserve">Figure 5 - </w:t>
      </w:r>
      <w:r w:rsidRPr="00864839">
        <w:rPr>
          <w:rFonts w:cs="Times New Roman"/>
          <w:noProof/>
        </w:rPr>
        <w:t>Interplay between SCRO and Innovation Culture</w:t>
      </w:r>
      <w:r>
        <w:rPr>
          <w:noProof/>
        </w:rPr>
        <w:tab/>
      </w:r>
      <w:r>
        <w:rPr>
          <w:noProof/>
        </w:rPr>
        <w:fldChar w:fldCharType="begin"/>
      </w:r>
      <w:r>
        <w:rPr>
          <w:noProof/>
        </w:rPr>
        <w:instrText xml:space="preserve"> PAGEREF _Toc358326879 \h </w:instrText>
      </w:r>
      <w:r>
        <w:rPr>
          <w:noProof/>
        </w:rPr>
      </w:r>
      <w:r>
        <w:rPr>
          <w:noProof/>
        </w:rPr>
        <w:fldChar w:fldCharType="separate"/>
      </w:r>
      <w:r w:rsidR="00C2793E">
        <w:rPr>
          <w:noProof/>
        </w:rPr>
        <w:t>126</w:t>
      </w:r>
      <w:r>
        <w:rPr>
          <w:noProof/>
        </w:rPr>
        <w:fldChar w:fldCharType="end"/>
      </w:r>
    </w:p>
    <w:p w14:paraId="2DB99045" w14:textId="77777777" w:rsidR="00136055" w:rsidRDefault="00136055">
      <w:pPr>
        <w:pStyle w:val="TableofFigures"/>
        <w:tabs>
          <w:tab w:val="right" w:leader="dot" w:pos="9350"/>
        </w:tabs>
        <w:rPr>
          <w:noProof/>
          <w:lang w:eastAsia="ja-JP"/>
        </w:rPr>
      </w:pPr>
      <w:r>
        <w:rPr>
          <w:noProof/>
        </w:rPr>
        <w:t xml:space="preserve">Figure 6 - </w:t>
      </w:r>
      <w:r w:rsidRPr="00864839">
        <w:rPr>
          <w:rFonts w:cs="Times New Roman"/>
          <w:noProof/>
          <w:color w:val="000000"/>
        </w:rPr>
        <w:t>Leveraging vs. Innovation Culture</w:t>
      </w:r>
      <w:r>
        <w:rPr>
          <w:noProof/>
        </w:rPr>
        <w:tab/>
      </w:r>
      <w:r>
        <w:rPr>
          <w:noProof/>
        </w:rPr>
        <w:fldChar w:fldCharType="begin"/>
      </w:r>
      <w:r>
        <w:rPr>
          <w:noProof/>
        </w:rPr>
        <w:instrText xml:space="preserve"> PAGEREF _Toc358326880 \h </w:instrText>
      </w:r>
      <w:r>
        <w:rPr>
          <w:noProof/>
        </w:rPr>
      </w:r>
      <w:r>
        <w:rPr>
          <w:noProof/>
        </w:rPr>
        <w:fldChar w:fldCharType="separate"/>
      </w:r>
      <w:r w:rsidR="00C2793E">
        <w:rPr>
          <w:noProof/>
        </w:rPr>
        <w:t>130</w:t>
      </w:r>
      <w:r>
        <w:rPr>
          <w:noProof/>
        </w:rPr>
        <w:fldChar w:fldCharType="end"/>
      </w:r>
    </w:p>
    <w:p w14:paraId="42E07DC2" w14:textId="77777777" w:rsidR="00136055" w:rsidRDefault="00136055">
      <w:pPr>
        <w:pStyle w:val="TableofFigures"/>
        <w:tabs>
          <w:tab w:val="right" w:leader="dot" w:pos="9350"/>
        </w:tabs>
        <w:rPr>
          <w:noProof/>
          <w:lang w:eastAsia="ja-JP"/>
        </w:rPr>
      </w:pPr>
      <w:r>
        <w:rPr>
          <w:noProof/>
        </w:rPr>
        <w:t xml:space="preserve">Figure 7 - </w:t>
      </w:r>
      <w:r w:rsidRPr="00864839">
        <w:rPr>
          <w:rFonts w:cs="Times New Roman"/>
          <w:noProof/>
        </w:rPr>
        <w:t>High Failure Rates of Innovation Activities (Wowak et al., 2016)</w:t>
      </w:r>
      <w:r>
        <w:rPr>
          <w:noProof/>
        </w:rPr>
        <w:tab/>
      </w:r>
      <w:r>
        <w:rPr>
          <w:noProof/>
        </w:rPr>
        <w:fldChar w:fldCharType="begin"/>
      </w:r>
      <w:r>
        <w:rPr>
          <w:noProof/>
        </w:rPr>
        <w:instrText xml:space="preserve"> PAGEREF _Toc358326881 \h </w:instrText>
      </w:r>
      <w:r>
        <w:rPr>
          <w:noProof/>
        </w:rPr>
      </w:r>
      <w:r>
        <w:rPr>
          <w:noProof/>
        </w:rPr>
        <w:fldChar w:fldCharType="separate"/>
      </w:r>
      <w:r w:rsidR="00C2793E">
        <w:rPr>
          <w:noProof/>
        </w:rPr>
        <w:t>137</w:t>
      </w:r>
      <w:r>
        <w:rPr>
          <w:noProof/>
        </w:rPr>
        <w:fldChar w:fldCharType="end"/>
      </w:r>
    </w:p>
    <w:p w14:paraId="39455B63" w14:textId="77777777" w:rsidR="00136055" w:rsidRDefault="00136055">
      <w:pPr>
        <w:pStyle w:val="TableofFigures"/>
        <w:tabs>
          <w:tab w:val="right" w:leader="dot" w:pos="9350"/>
        </w:tabs>
        <w:rPr>
          <w:noProof/>
          <w:lang w:eastAsia="ja-JP"/>
        </w:rPr>
      </w:pPr>
      <w:r>
        <w:rPr>
          <w:noProof/>
        </w:rPr>
        <w:t xml:space="preserve">Figure 8 - </w:t>
      </w:r>
      <w:r w:rsidRPr="00864839">
        <w:rPr>
          <w:rFonts w:cs="Times New Roman"/>
          <w:noProof/>
        </w:rPr>
        <w:t>Conceptual Model of SCRO</w:t>
      </w:r>
      <w:r>
        <w:rPr>
          <w:noProof/>
        </w:rPr>
        <w:tab/>
      </w:r>
      <w:r>
        <w:rPr>
          <w:noProof/>
        </w:rPr>
        <w:fldChar w:fldCharType="begin"/>
      </w:r>
      <w:r>
        <w:rPr>
          <w:noProof/>
        </w:rPr>
        <w:instrText xml:space="preserve"> PAGEREF _Toc358326882 \h </w:instrText>
      </w:r>
      <w:r>
        <w:rPr>
          <w:noProof/>
        </w:rPr>
      </w:r>
      <w:r>
        <w:rPr>
          <w:noProof/>
        </w:rPr>
        <w:fldChar w:fldCharType="separate"/>
      </w:r>
      <w:r w:rsidR="00C2793E">
        <w:rPr>
          <w:noProof/>
        </w:rPr>
        <w:t>156</w:t>
      </w:r>
      <w:r>
        <w:rPr>
          <w:noProof/>
        </w:rPr>
        <w:fldChar w:fldCharType="end"/>
      </w:r>
    </w:p>
    <w:p w14:paraId="34CFABA0" w14:textId="77777777" w:rsidR="00136055" w:rsidRDefault="00136055">
      <w:pPr>
        <w:pStyle w:val="TableofFigures"/>
        <w:tabs>
          <w:tab w:val="right" w:leader="dot" w:pos="9350"/>
        </w:tabs>
        <w:rPr>
          <w:noProof/>
          <w:lang w:eastAsia="ja-JP"/>
        </w:rPr>
      </w:pPr>
      <w:r>
        <w:rPr>
          <w:noProof/>
        </w:rPr>
        <w:t xml:space="preserve">Figure 9: </w:t>
      </w:r>
      <w:r w:rsidRPr="00864839">
        <w:rPr>
          <w:rFonts w:cs="Times New Roman"/>
          <w:noProof/>
        </w:rPr>
        <w:t>Cook’s Distance Calculation for EO</w:t>
      </w:r>
      <w:r>
        <w:rPr>
          <w:noProof/>
        </w:rPr>
        <w:tab/>
      </w:r>
      <w:r>
        <w:rPr>
          <w:noProof/>
        </w:rPr>
        <w:fldChar w:fldCharType="begin"/>
      </w:r>
      <w:r>
        <w:rPr>
          <w:noProof/>
        </w:rPr>
        <w:instrText xml:space="preserve"> PAGEREF _Toc358326883 \h </w:instrText>
      </w:r>
      <w:r>
        <w:rPr>
          <w:noProof/>
        </w:rPr>
      </w:r>
      <w:r>
        <w:rPr>
          <w:noProof/>
        </w:rPr>
        <w:fldChar w:fldCharType="separate"/>
      </w:r>
      <w:r w:rsidR="00C2793E">
        <w:rPr>
          <w:noProof/>
        </w:rPr>
        <w:t>184</w:t>
      </w:r>
      <w:r>
        <w:rPr>
          <w:noProof/>
        </w:rPr>
        <w:fldChar w:fldCharType="end"/>
      </w:r>
    </w:p>
    <w:p w14:paraId="1DF7D79E" w14:textId="77777777" w:rsidR="00136055" w:rsidRDefault="00136055">
      <w:pPr>
        <w:pStyle w:val="TableofFigures"/>
        <w:tabs>
          <w:tab w:val="right" w:leader="dot" w:pos="9350"/>
        </w:tabs>
        <w:rPr>
          <w:noProof/>
          <w:lang w:eastAsia="ja-JP"/>
        </w:rPr>
      </w:pPr>
      <w:r>
        <w:rPr>
          <w:noProof/>
        </w:rPr>
        <w:t xml:space="preserve">Figure 10: </w:t>
      </w:r>
      <w:r w:rsidRPr="00864839">
        <w:rPr>
          <w:rFonts w:cs="Times New Roman"/>
          <w:noProof/>
        </w:rPr>
        <w:t>Interaction Effect on Financial Performance</w:t>
      </w:r>
      <w:r>
        <w:rPr>
          <w:noProof/>
        </w:rPr>
        <w:tab/>
      </w:r>
      <w:r>
        <w:rPr>
          <w:noProof/>
        </w:rPr>
        <w:fldChar w:fldCharType="begin"/>
      </w:r>
      <w:r>
        <w:rPr>
          <w:noProof/>
        </w:rPr>
        <w:instrText xml:space="preserve"> PAGEREF _Toc358326884 \h </w:instrText>
      </w:r>
      <w:r>
        <w:rPr>
          <w:noProof/>
        </w:rPr>
      </w:r>
      <w:r>
        <w:rPr>
          <w:noProof/>
        </w:rPr>
        <w:fldChar w:fldCharType="separate"/>
      </w:r>
      <w:r w:rsidR="00C2793E">
        <w:rPr>
          <w:noProof/>
        </w:rPr>
        <w:t>187</w:t>
      </w:r>
      <w:r>
        <w:rPr>
          <w:noProof/>
        </w:rPr>
        <w:fldChar w:fldCharType="end"/>
      </w:r>
    </w:p>
    <w:p w14:paraId="70B1FC40" w14:textId="2A3F1A2D" w:rsidR="004160CD" w:rsidRDefault="00136055">
      <w:pPr>
        <w:rPr>
          <w:rFonts w:ascii="Times New Roman" w:hAnsi="Times New Roman" w:cs="Times New Roman"/>
          <w:b/>
        </w:rPr>
      </w:pPr>
      <w:r>
        <w:rPr>
          <w:rFonts w:ascii="Times New Roman" w:hAnsi="Times New Roman" w:cs="Times New Roman"/>
          <w:b/>
        </w:rPr>
        <w:fldChar w:fldCharType="end"/>
      </w:r>
      <w:r w:rsidR="004160CD">
        <w:rPr>
          <w:rFonts w:ascii="Times New Roman" w:hAnsi="Times New Roman" w:cs="Times New Roman"/>
          <w:b/>
        </w:rPr>
        <w:br w:type="page"/>
      </w:r>
    </w:p>
    <w:p w14:paraId="40C9EAB7" w14:textId="77777777" w:rsidR="0044147A" w:rsidRDefault="0044147A" w:rsidP="006E05B6">
      <w:pPr>
        <w:pStyle w:val="Heading1"/>
        <w:sectPr w:rsidR="0044147A" w:rsidSect="0044147A">
          <w:footerReference w:type="even" r:id="rId9"/>
          <w:footerReference w:type="default" r:id="rId10"/>
          <w:headerReference w:type="first" r:id="rId11"/>
          <w:footerReference w:type="first" r:id="rId12"/>
          <w:pgSz w:w="12240" w:h="15840"/>
          <w:pgMar w:top="1440" w:right="1440" w:bottom="1800" w:left="1440" w:header="576" w:footer="720" w:gutter="0"/>
          <w:pgNumType w:fmt="lowerRoman" w:start="1"/>
          <w:cols w:space="720"/>
          <w:titlePg/>
          <w:docGrid w:linePitch="360"/>
        </w:sectPr>
      </w:pPr>
      <w:bookmarkStart w:id="1" w:name="_Toc357382403"/>
      <w:bookmarkStart w:id="2" w:name="_Toc357383249"/>
      <w:bookmarkStart w:id="3" w:name="_Toc358326720"/>
    </w:p>
    <w:p w14:paraId="55B13A58" w14:textId="42BF526D" w:rsidR="00D65414" w:rsidRDefault="00D65414" w:rsidP="006E05B6">
      <w:pPr>
        <w:pStyle w:val="Heading1"/>
      </w:pPr>
      <w:r>
        <w:lastRenderedPageBreak/>
        <w:t>CHAPTER ONE – INTRODUCTION</w:t>
      </w:r>
      <w:bookmarkEnd w:id="1"/>
      <w:bookmarkEnd w:id="2"/>
      <w:bookmarkEnd w:id="3"/>
    </w:p>
    <w:p w14:paraId="7214AE46" w14:textId="77777777" w:rsidR="00077CB9" w:rsidRPr="00B717D1" w:rsidRDefault="00077CB9" w:rsidP="00077CB9">
      <w:pPr>
        <w:spacing w:line="480" w:lineRule="auto"/>
        <w:jc w:val="both"/>
        <w:rPr>
          <w:rFonts w:ascii="Times New Roman" w:hAnsi="Times New Roman" w:cs="Times New Roman"/>
          <w:color w:val="000000" w:themeColor="text1"/>
        </w:rPr>
      </w:pPr>
    </w:p>
    <w:p w14:paraId="1E6EABC4" w14:textId="77777777" w:rsidR="00077CB9" w:rsidRPr="00B717D1" w:rsidRDefault="00077CB9" w:rsidP="00077CB9">
      <w:pPr>
        <w:spacing w:line="480" w:lineRule="auto"/>
        <w:jc w:val="both"/>
        <w:rPr>
          <w:rFonts w:ascii="Times New Roman" w:hAnsi="Times New Roman" w:cs="Times New Roman"/>
          <w:b/>
          <w:color w:val="000000" w:themeColor="text1"/>
        </w:rPr>
      </w:pPr>
      <w:r w:rsidRPr="00B717D1">
        <w:rPr>
          <w:rFonts w:ascii="Times New Roman" w:hAnsi="Times New Roman" w:cs="Times New Roman"/>
          <w:b/>
          <w:color w:val="000000" w:themeColor="text1"/>
        </w:rPr>
        <w:t>Supply Chain-Driven Innovation: The Influence of Supply Chain Resource Orchestration on Organizational Performance</w:t>
      </w:r>
    </w:p>
    <w:p w14:paraId="16C04D41" w14:textId="77777777" w:rsidR="00077CB9" w:rsidRPr="00B717D1" w:rsidRDefault="00077CB9" w:rsidP="00077CB9">
      <w:pPr>
        <w:spacing w:line="480" w:lineRule="auto"/>
        <w:jc w:val="both"/>
        <w:rPr>
          <w:rFonts w:ascii="Times New Roman" w:hAnsi="Times New Roman" w:cs="Times New Roman"/>
          <w:color w:val="000000" w:themeColor="text1"/>
        </w:rPr>
      </w:pPr>
    </w:p>
    <w:p w14:paraId="6A60824A"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During 18 years of managerial industry experience, the author has witnessed a number of new product development (NPD) projects primarily in the aerospace and semiconductor industries. In different settings, he experienced supply chain management (SCM) as a relevant contributor to and critical driver of an organization’s innovation activities. Innovation can be broadly understood as implementing new ideas to enhance organizational value creation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"abstract" : "The use of external sources for help with innovation is becoming increasingly prevalent. Rather than take an ad hoc approach, companies should develop a sourcing blueprint to obtain the consistent results they need.", "author" : [ { "dropping-particle" : "", "family" : "Linder", "given" : "Jane C.", "non-dropping-particle" : "", "parse-names" : false, "suffix" : "" }, { "dropping-particle" : "", "family" : "Jarvenpaa", "given" : "Sirkka", "non-dropping-particle" : "", "parse-names" : false, "suffix" : "" }, { "dropping-particle" : "", "family" : "Davenport", "given" : "Thomas H", "non-dropping-particle" : "", "parse-names" : false, "suffix" : "" } ], "container-title" : "MIT Sloan Management Review", "id" : "ITEM-1", "issue" : "4", "issued" : { "date-parts" : [ [ "2003" ] ] }, "page" : "43-49", "title" : "Toward an Innovation Sourcing Strategy", "type" : "article-journal", "volume" : "44" }, "uris" : [ "http://www.mendeley.com/documents/?uuid=27716433-2c9a-4fff-a9cf-14ca207837a8" ] } ], "mendeley" : { "formattedCitation" : "(Linder, Jarvenpaa, &amp; Davenport, 2003)", "plainTextFormattedCitation" : "(Linder, Jarvenpaa, &amp; Davenport, 2003)", "previouslyFormattedCitation" : "(Linder, Jarvenpaa, &amp; Davenport, 2003)"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(Linder, Jarvenpaa, &amp; Davenport, 2003)</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and refers to product, service, and process enhancements. Innovation has evolved into a strategic imperative for long-term survival in many market environments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"10.1111/jpim.12273", "ISBN" : "9781617796029", "ISSN" : "15405885", "PMID" : "8190083", "abstract" : "The constant and successful market introduction of new products is of major concern to companies throughout all industries. However, empirical research points to high failure rates of innovations, indicating that most new products fail as they are rejected by consumers due to their resistance to innovation. Several studies have confirmed the importance of passive innovation resistance as a dominant barrier, which has to be overcome before new product adoption can start. However, empirical evidence on how to overcome passive innovation resistance is still lacking. This study intends to address this gap by evaluating the effectiveness of marketing instruments (i.e., mental simulation and benefit comparison) to reduce negative effects of passive innovation resistance on new product adoption. The results of a scenario-based experiment (n = 679) confirm high effectiveness for both instruments. However, the effectiveness varied with the type of passive innovation resistance present. More specifically, mental simulation was found to be the most effective instrument in the case of cognitive passive resistance, whereas benefit comparison was found to be most effective in the case of situational passive resistance. Thereby, the effect of both marketing instruments was stronger the more radical the new product was perceived. Hence, companies should assess the type of passive innovation resistance that is predominant in their target market, and align their choice of marketing instruments that accompany a new product launch to most effectively overcome passive innovation resistance. Employing such new product launch tactics should decrease initial market resistance and thus help companies in reducing innovation failure rates", "author" : [ { "dropping-particle" : "", "family" : "Heidenreich", "given" : "Sven", "non-dropping-particle" : "", "parse-names" : false, "suffix" : "" }, { "dropping-particle" : "", "family" : "Kraemer", "given" : "Tobias", "non-dropping-particle" : "", "parse-names" : false, "suffix" : "" } ], "container-title" : "Journal of Product Innovation Management", "id" : "ITEM-1", "issue" : "3", "issued" : { "date-parts" : [ [ "2016" ] ] }, "page" : "277-297", "title" : "Innovations - Doomed to Fail? Investigating Strategies to Overcome Passive Innovation Resistance", "type" : "article-journal", "volume" : "33" }, "uris" : [ "http://www.mendeley.com/documents/?uuid=ce5e3cb7-eb16-43ca-92a5-d1076cc4842a" ] } ], "mendeley" : { "formattedCitation" : "(Heidenreich &amp; Kraemer, 2016)", "plainTextFormattedCitation" : "(Heidenreich &amp; Kraemer, 2016)", "previouslyFormattedCitation" : "(Heidenreich &amp; Kraemer, 2016)"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(Heidenreich &amp; Kraemer, 2016)</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Effective supply chain management has the potential to drive innovation in the organization and help to avoid costly failures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"author" : [ { "dropping-particle" : "", "family" : "Bruce", "given" : "Margaret", "non-dropping-particle" : "", "parse-names" : false, "suffix" : "" }, { "dropping-particle" : "", "family" : "Daly", "given" : "Lucy", "non-dropping-particle" : "", "parse-names" : false, "suffix" : "" }, { "dropping-particle" : "", "family" : "Kahn", "given" : "Kenneth B", "non-dropping-particle" : "", "parse-names" : false, "suffix" : "" } ], "container-title" : "Journal of Product Innovation Management", "id" : "ITEM-1", "issued" : { "date-parts" : [ [ "2007" ] ] }, "page" : "456-470", "title" : "Delineating Design Factors that Influence the Global Product Launch Process", "type" : "article-journal", "volume" : "24" }, "uris" : [ "http://www.mendeley.com/documents/?uuid=aae28275-93dd-42c2-9684-105fe3276d8e" ] } ], "mendeley" : { "formattedCitation" : "(Bruce, Daly, &amp; Kahn, 2007)", "plainTextFormattedCitation" : "(Bruce, Daly, &amp; Kahn, 2007)", "previouslyFormattedCitation" : "(Bruce, Daly, &amp; Kahn, 2007)"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(Bruce, Daly, &amp; Kahn, 2007)</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To date, however, many NPD initiatives are not yet resulting in commercially successful products or services, and researchers have noted a failure rate of around 50% in various markets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"ITEM-1",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"(Wowak, Craighead, Ketchen, &amp; Hult, 2016)", "plainTextFormattedCitation" : "(Wowak, Craighead, Ketchen, &amp; Hult, 2016)", "previouslyFormattedCitation" : "(Wowak, Craighead, Ketchen, &amp; Hult, 2016)"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(Wowak, Craighead, Ketchen, &amp; Hult, 2016)</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How can the success rate of innovation be increased, and what is the role of SCM in supporting this strategic innovation objective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"10.1016/S0272-6963(01)00047-X", "ISBN" : "0272-6963", "ISSN" : "02726963", "abstract" : "The purpose of this paper is to develop a set of measures of purchasing's competitive priorities. We maintain that purchasing is a strategic contributor to the firm, and that the selection and retention of external suppliers is a fundamental and strategic purchasing task that manifests the function's competitive priorities. Researchers and managers increasingly view the operations and purchasing functions as intimately linked, and as playing important roles in supply chain management. Ultimately, the performance of the operations management system, measured in terms of quality, cost, delivery and flexibility, depends on inputs secured by the purchasing function from the firm's suppliers. However, in a search for substantive relationships, the purchasing literature has largely overlooked methodological issues such as measurement. Using empirical data collected from North American purchasing executives, a confirmatory factor analysis provides evidence that purchasing's competitive priorities may be conceptualized similarly to the competitive priorities in operations, with key differences. The measures satisfy key measurement criteria including unidimensionality, convergent validity, discriminant validity, and reliability. Five competitive priorities form the basis of a multidimensional measure of purchasing's competitive priorities, the individual factors of which will allow for the examination of linkages between purchasing, operations and other parts of the supply chain. ?? 2001 Elsevier Science B.V.", "author" : [ { "dropping-particle" : "", "family" : "Krause", "given" : "Daniel R.", "non-dropping-particle" : "", "parse-names" : false, "suffix" : "" }, { "dropping-particle" : "", "family" : "Pagell", "given" : "Mark", "non-dropping-particle" : "", "parse-names" : false, "suffix" : "" }, { "dropping-particle" : "", "family" : "Curkovic", "given" : "Sime", "non-dropping-particle" : "", "parse-names" : false, "suffix" : "" } ], "container-title" : "Journal of Operations Management", "id" : "ITEM-1", "issued" : { "date-parts" : [ [ "2001" ] ] }, "page" : "497-512", "title" : "Toward a measure of competitive priorities for purchasing", "type" : "article-journal", "volume" : "19" }, "uris" : [ "http://www.mendeley.com/documents/?uuid=9215c43c-cc65-4e90-abca-cc57d92fa3bd" ] } ], "mendeley" : { "formattedCitation" : "(Krause, Pagell, &amp; Curkovic, 2001)", "plainTextFormattedCitation" : "(Krause, Pagell, &amp; Curkovic, 2001)", "previouslyFormattedCitation" : "(Krause, Pagell, &amp; Curkovic, 2001)"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(Krause, Pagell, &amp; Curkovic, 2001)</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This leads to the question of how supply chain managers can better support the innovation activities to minimize failures and enhance innovation performance. </w:t>
      </w:r>
    </w:p>
    <w:p w14:paraId="13733C42"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lastRenderedPageBreak/>
        <w:t xml:space="preserve">Both scholars and practitioners have come to realize that in many competitive market environments, companies can no longer rely on the traditional new product development doctrine with a focus on internal, protected R&amp;D activities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"dropping-particle" : "", "family" : "Chesbrough", "given" : "Henry", "non-dropping-particle" : "", "parse-names" : false, "suffix" : "" } ], "container-title" : "R&amp;D Management", "id" : "ITEM-1", "issued" : { "date-parts" : [ [ "2010" ] ] }, "page" : "1-9", "title" : "The future of open innovation", "type" : "article-journal" }, "uris" : [ "http://www.mendeley.com/documents/?uuid=b72ab66a-e5df-4c16-9ca8-c68543a53ab4" ] }, { "id" : "ITEM-2", "itemData" : { "author" : [ { "dropping-particle" : "", "family" : "Oke", "given" : "Adegoke", "non-dropping-particle" : "", "parse-names" : false, "suffix" : "" }, { "dropping-particle" : "", "family" : "Prajogo", "given" : "Daniel I", "non-dropping-particle" : "", "parse-names" : false, "suffix" : "" }, { "dropping-particle" : "", "family" : "Yayaram", "given" : "Jayanth", "non-dropping-particle" : "", "parse-names" : false, "suffix" : "" } ], "container-title" : "Journal of Supply Chain Management", "id" : "ITEM-2", "issue" : "4", "issued" : { "date-parts" : [ [ "2013" ] ] }, "page" : "43-58", "title" : "STRENGTHENING THE INNOVATION CHAIN: THE ROLE OF INTERNAL INNOVATION CLIMATE AND STRATEGIC RELATIONSHIPS WITH SUPPLY CHAIN PARTNERS", "type" : "article-journal", "volume" : "49" }, "uris" : [ "http://www.mendeley.com/documents/?uuid=a24392ea-9943-4c6d-abc7-90a89f2725fa" ] } ], "mendeley" : { "formattedCitation" : "(Gassmann, Enkel, &amp; Chesbrough, 2010; Oke, Prajogo, &amp; Yayaram, 2013)", "plainTextFormattedCitation" : "(Gassmann, Enkel, &amp; Chesbrough, 2010; Oke, Prajogo, &amp; Yayaram, 2013)", "previouslyFormattedCitation" : "(Gassmann, Enkel, &amp; Chesbrough, 2010; Oke, Prajogo, &amp; Yayaram, 2013)"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(Gassmann, Enkel, &amp; Chesbrough, 2010; Oke, Prajogo, &amp; Yayaram, 2013)</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To save development costs and enhance time to market, organizations increasingly need to utilize existing solutions from their supply chain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"10.1016/j.indmarman.2009.12.001", "ISSN" : "0019-8501", "author" : [ { "dropping-particle" : "", "family" : "Wagner", "given" : "Stephan M.", "non-dropping-particle" : "", "parse-names" : false, "suffix" : "" } ], "container-title" : "Industrial Marketing Management", "id" : "ITEM-1", "issue" : "7", "issued" : { "date-parts" : [ [ "2010" ] ] }, "page" : "1139-1149", "title" : "Supplier traits for better customer firm innovation performance", "type" : "article-journal", "volume" : "39" }, "uris" : [ "http://www.mendeley.com/documents/?uuid=256a21ab-bbbd-4ee2-a68d-8a028c9a0a19" ] }, { "id" : "ITEM-2",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"ITEM-2",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"(Wagner, 2010; Wowak et al., 2016)", "plainTextFormattedCitation" : "(Wagner, 2010; Wowak et al., 2016)", "previouslyFormattedCitation" : "(Wagner, 2010; Wowak et al., 2016)"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(Wagner, 2010; Wowak et al., 2016)</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Chesbrough (2003) succinctly noted that there are smart people outside of the focal organization, providing the reasoning for shared, cooperative innovation and knowledge sharing between the focal firm and key suppliers. Consequently, supply chain managers need to plan, organize, and control the inflow and integration of key supply chain resources more effectively and efficiently than in the past and develop new capabilities accordingly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"10.1111/jpim.12125", "ISBN" : "1540-5885", "ISSN" : "07376782", "PMID" : "96425016", "abstract" : "This paper reviews research on open innovation that considers how and why firms commercialize external sources of innovations. It examines both the \"outside-in\" and \"coupled\" modes of open innovation. From an analysis of prior research on how firms leverage external sources of innovation, it suggests a four-phase model in which a linear process - (1) obtaining, (2) integrating, and (3) commercializing external innovations - is combined with (4) interaction between the firm and its collaborators. This model is used to classify papers taken from the top 25 innovation journals, complemented by highly cited work beyond those journals. A review of 291 open innovation-related publications from these sources shows that the majority of these articles indeed address elements of this inbound open innovation process model. Specifically, it finds that researchers have front-loaded their examination of the leveraging process, with an emphasis on obtaining innovations from external sources. However, there is a relative dearth of research related to integrating and commercializing these innovations. Research on obtaining innovations includes searching, enabling, filtering, and acquiring - each category with its own specific set of mechanisms and conditions. Integrating innovations has been mostly studied from an absorptive capacity perspective, with less attention given to the impact of competencies and culture (including \"not invented here\"). Commercializing innovations puts the most emphasis on how external innovations create value rather than how firms capture value from those innovations. Finally, the interaction phase considers both feedback for the linear process and reciprocal innovation processes such as cocreation, network collaboration, and community innovation. This review and synthesis suggests several gaps in prior research. One is a tendency to ignore the importance of business models, despite their central role in distinguishing open innovation from earlier research on interorganizational collaboration in innovation. Another gap is a tendency in open innovation to use \"innovation\" in a way inconsistent with earlier definitions in innovation management. The paper concludes with recommendations for future research that include examining the end-to-end innovation commercialization process, and studying the moderators and limits of leveraging external sources of innovation. \u00a9 2013 Product Development &amp; Management Association.", "author" : [ { "dropping-particle" : "", "family" : "West", "given" : "Joel", "non-dropping-particle" : "", "parse-names" : false, "suffix" : "" }, { "dropping-particle" : "", "family" : "Bogers", "given" : "Marcel", "non-dropping-particle" : "", "parse-names" : false, "suffix" : "" } ], "container-title" : "Journal of Product Innovation Management", "id" : "ITEM-1", "issue" : "4", "issued" : { "date-parts" : [ [ "2014" ] ] }, "page" : "814-831", "title" : "Leveraging External Sources of Innovation: A Review of Research on Open Innovation", "type" : "article-journal", "volume" : "31" }, "uris" : [ "http://www.mendeley.com/documents/?uuid=681826f7-c487-4065-9f0a-99f927a8cd7b" ] } ], "mendeley" : { "formattedCitation" : "(West &amp; Bogers, 2014)", "plainTextFormattedCitation" : "(West &amp; Bogers, 2014)", "previouslyFormattedCitation" : "(West &amp; Bogers, 2014)"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(West &amp; Bogers, 2014)</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Supply management is increasing in complexity as it also involves the sourcing of essential, specialized knowledge, meaning ideas and solutions, to support the company-internal innovation process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"10.1002/smj.183", "author" : [ { "dropping-particle" : "", "family" : "Yli-Renko", "given" : "Helena", "non-dropping-particle" : "", "parse-names" : false, "suffix" : "" }, { "dropping-particle" : "", "family" : "Autio", "given" : "Erkko", "non-dropping-particle" : "", "parse-names" : false, "suffix" : "" }, { "dropping-particle" : "", "family" : "Sapienza", "given" : "Harry J", "non-dropping-particle" : "", "parse-names" : false, "suffix" : "" } ], "container-title" : "Strategic Management Journal", "id" : "ITEM-1", "issued" : { "date-parts" : [ [ "2001" ] ] }, "page" : "587-613", "title" : "Social Capital, Knowledge Acquisition, and Knowledge Exploitation in Young Technoloy-Based Firms", "type" : "article-journal", "volume" : "22" }, "uris" : [ "http://www.mendeley.com/documents/?uuid=ba706702-8dac-4b4c-8174-90774cac7c6c" ] } ], "mendeley" : { "formattedCitation" : "(Yli-Renko, Autio, &amp; Sapienza, 2001)", "plainTextFormattedCitation" : "(Yli-Renko, Autio, &amp; Sapienza, 2001)", "previouslyFormattedCitation" : "(Yli-Renko, Autio, &amp; Sapienza, 2001)"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(Yli-Renko, Autio, &amp; Sapienza, 2001)</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Furthermore, this new, extended resource management task includes not only the acquisition but also the effective integration of tacit knowledge from upstream supply chain partners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"10.1002/smj", "ISSN" : "01432095", "abstract" : "Given the inherent risk of innovative activity, firms can improve the odds of success by pursuing multiple parallel objectives. Because innovation draws on many sources of ideas, firms also may improve their odds of successful innovation by accessing a large number of knowledge sources. In this study, we conduct one of the first firm-level statistical analyses of the impact on innovation of breadth in both innovation objectives and knowledge sources. The empirical results suggest that broader horizons with respect to innovation objectives and knowledge sources are associated with successful innovation.We do not find diminishing returns to breadth in innovation objectives, which suggests that firms may tend to search too narrowly. We interpret these results in light of well-known cognitive biases toward searching in relatively familiar domains. Copyright 2009 John Wiley &amp; Sons, Ltd.", "author" : [ { "dropping-particle" : "", "family" : "Leiponen", "given" : "Alja", "non-dropping-particle" : "", "parse-names" : false, "suffix" : "" }, { "dropping-particle" : "", "family" : "Helfat", "given" : "Constance E", "non-dropping-particle" : "", "parse-names" : false, "suffix" : "" } ], "container-title" : "Stratgic Management Journal", "id" : "ITEM-1", "issued" : { "date-parts" : [ [ "2010" ] ] }, "page" : "224-236", "title" : "Innovation Objectives, Knowledge Sources, and the Benefits of Breadth", "type" : "article-journal", "volume" : "31" }, "uris" : [ "http://www.mendeley.com/documents/?uuid=8b1572f7-d2b7-4be7-870b-c8078b263b94" ] }, { "id" : "ITEM-2", "itemData" : { "DOI" : "10.1017/CBO9781107415324.004", "ISBN" : "9788578110796", "ISSN" : "1098-6596", "PMID" : "25246403", "author" : [ { "dropping-particle" : "", "family" : "Allred", "given" : "Brent B", "non-dropping-particle" : "", "parse-names" : false, "suffix" : "" }, { "dropping-particle" : "", "family" : "Swan", "given" : "K. Scott", "non-dropping-particle" : "", "parse-names" : false, "suffix" : "" } ], "container-title" : "Journal of Product Innovation Management", "id" : "ITEM-2", "issue" : "6", "issued" : { "date-parts" : [ [ "2014" ] ] }, "page" : "1146-1166", "title" : "Process Technology Sourcing and the Innovation Context", "type" : "article-journal", "volume" : "31" }, "uris" : [ "http://www.mendeley.com/documents/?uuid=fd0bb0b5-08d1-4753-b997-8bd4e1082a0f" ] } ], "mendeley" : { "formattedCitation" : "(Allred &amp; Swan, 2014; Leiponen &amp; Helfat, 2010)", "plainTextFormattedCitation" : "(Allred &amp; Swan, 2014; Leiponen &amp; Helfat, 2010)", "previouslyFormattedCitation" : "(Allred &amp; Swan, 2014; Leiponen &amp; Helfat, 2010)"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(Allred &amp; Swan, 2014; Leiponen &amp; Helfat, 2010)</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Thereby, supply chain-driven innovation phenomenon encompasses the acquisition, integration, and exploitation of innovative knowledge from the supply network.</w:t>
      </w:r>
    </w:p>
    <w:p w14:paraId="46DB6E9E"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Although there is a long tradition of investigating supplier involvement in NPD projects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"10.1016/j.jom.2005.08.007", "author" : [ { "dropping-particle" : "", "family" : "Cousins", "given" : "Paul D", "non-dropping-particle" : "", "parse-names" : false, "suffix" : "" }, { "dropping-particle" : "", "family" : "Handfield", "given" : "Robert B", "non-dropping-particle" : "", "parse-names" : false, "suffix" : "" }, { "dropping-particle" : "", "family" : "Lawson", "given" : "Benn", "non-dropping-particle" : "", "parse-names" : false, "suffix" : "" }, { "dropping-particle" : "", "family" : "Petersen", "given" : "Kenneth J", "non-dropping-particle" : "", "parse-names" : false, "suffix" : "" } ], "container-title" : "Journal of Operations Management", "id" : "ITEM-1", "issued" : { "date-parts" : [ [ "2006" ] ] }, "page" : "851-863", "title" : "Creating supply chain relational capital: The impact of formal and informal socialization processes", "type" : "article-journal", "volume" : "24" }, "uris" : [ "http://www.mendeley.com/documents/?uuid=be683f76-8789-4fca-b42a-5f7020ad4632" ] }, { "id" : "ITEM-2", "itemData" : { "DOI" : "10.1016/j.jom.2007.06.001", "author" : [ { "dropping-particle" : "", "family" : "Song", "given" : "Michael", "non-dropping-particle" : "", "parse-names" : false, "suffix" : "" }, { "dropping-particle" : "", "family" : "Benedetto", "given" : "C. Anthony", "non-dropping-particle" : "Di", "parse-names" : false, "suffix" : "" } ], "container-title" : "Journal of Operations Management", "id" : "ITEM-2", "issued" : { "date-parts" : [ [ "2008" ] ] }, "page" : "1-22", "title" : "Supplier\u2019 s involvement and success of radical new product development in new ventures", "type" : "article-journal", "volume" : "26" }, "uris" : [ "http://www.mendeley.com/documents/?uuid=2bfad47b-4919-45e7-9114-5e71f15b72d7" ] }, { "id" : "ITEM-3", "itemData" : { "DOI" : "10.1016/j.jom.2011.09.001", "ISSN" : "0272-6963", "author" : [ { "dropping-particle" : "", "family" : "Schoenherr", "given" : "Tobias", "non-dropping-particle" : "", "parse-names" : false, "suffix" : "" }, { "dropping-particle" : "", "family" : "Swink", "given" : "Morgan", "non-dropping-particle" : "", "parse-names" : false, "suffix" : "" } ], "container-title" : "Journal of Operations Management", "id" : "ITEM-3", "issue" : "1-2", "issued" : { "date-parts" : [ [ "2012" ] ] }, "page" : "99-115", "title" : "Revisiting the arcs of integration: Cross-validations and extensions", "type" : "article-journal", "volume" : "30" }, "uris" : [ "http://www.mendeley.com/documents/?uuid=e4a9e7e5-c4a2-4ba2-b0db-b3423960a377" ] } ], "mendeley" : { "formattedCitation" : "(Cousins, Handfield, Lawson, &amp; Petersen, 2006; Schoenherr &amp; Swink, 2012; Song &amp; Di Benedetto, 2008)", "plainTextFormattedCitation" : "(Cousins, Handfield, Lawson, &amp; Petersen, 2006; Schoenherr &amp; Swink, 2012; Song &amp; Di Benedetto, 2008)", "previouslyFormattedCitation" : "(Cousins, Handfield, Lawson, &amp; Petersen, 2006; Schoenherr &amp; Swink, 2012; Song &amp; Di Benedetto, 2008)"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(Cousins, Handfield, Lawson, &amp; Petersen, 2006; Schoenherr &amp; Swink, 2012; Song &amp; Di Benedetto, 2008)</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little empirical research has investigated the detailed resource management actions and practices related to supply chain resources and the critical interplay with cultural factors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"10.1177/0149206310391805", "ISBN" : "0149-2063", "ISSN" : "0149-2063", "PMID" : "803973233", "abstract" : "Since the 1991 publication of the first Journal of Management special issue devoted to resourcebased inquiry, resource-based theory (RBT) has evolved from a nascent, upstart perspective to one of the most prominent and powerful theories for understanding organizations. Indeed, 20 years after that landmark issue, RBT appears to have reached maturity as a theory. One implication of this maturity is that RBT lies at a critical juncture, one that will be followed either by revitalization of the theory or by its decline. In this introductory article, the authors provide a brief overview of the contributions provided by the commentaries and articles contained in this third Journal of Management special issue on RBT. These contributions center on five themes: interlinkages with other perspectives, processes of resource acquisition and development, the micro-foundations of RBT, RBT and sustainability, and method and measurement issues. Their view is that the commentaries and articles collectively offer a foundation for extending RBT in meaningful new directions and steering clear of decline. They also offer their thoughts about some key opportunities within each of the themes for further revitalizing research involving the RBT.", "author" : [ { "dropping-particle" : "", "family" : "Barney", "given" : "Jay B", "non-dropping-particle" : "", "parse-names" : false, "suffix" : "" }, { "dropping-particle" : "", "family" : "Ketchen", "given" : "David J", "non-dropping-particle" : "", "parse-names" : false, "suffix" : "" }, { "dropping-particle" : "", "family" : "Wright", "given" : "Mike", "non-dropping-particle" : "", "parse-names" : false, "suffix" : "" } ], "container-title" : "Journal of Management", "id" : "ITEM-1", "issue" : "5", "issued" : { "date-parts" : [ [ "2011" ] ] }, "page" : "1299-1315", "title" : "The Future of Resource-Based Theory: Revitalization or Decline?", "type" : "article-journal", "volume" : "37" }, "uris" : [ "http://www.mendeley.com/documents/?uuid=23089156-5e7e-44da-8b56-842aa51589c5" ] }, { "id" : "ITEM-2",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"ITEM-2", "issue" : "3", "issued" : { "date-parts" : [ [ "2014" ] ] }, "page" : "6-15", "title" : "Resource Gaps and Resource Orchestration Shortfalls in Supply Chain Management: The Case of Product Recalls", "type" : "article-journal", "volume" : "50" }, "uris" : [ "http://www.mendeley.com/documents/?uuid=253c704b-7d13-4b31-9f44-27ec30152f71" ] }, { "id" : "ITEM-3",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"ITEM-3",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"(Barney, Ketchen, &amp; Wright, 2011; Ketchen, Wowak, &amp; Craighead, 2014; Sirmon, Hitt, Ireland, &amp; Gilbert, 2011)", "plainTextFormattedCitation" : "(Barney, Ketchen, &amp; Wright, 2011; Ketchen, Wowak, &amp; Craighead, 2014; Sirmon, Hitt, Ireland, &amp; Gilbert, 2011)", "previouslyFormattedCitation" : "(Barney, Ketchen, &amp; Wright, 2011; Ketchen, Wowak, &amp; Craighead, 2014; Sirmon, Hitt, Ireland, &amp; Gilbert, 2011)"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 xml:space="preserve">(Barney, Ketchen, &amp; Wright, 2011; Ketchen, Wowak, &amp; Craighead, 2014; Sirmon, Hitt, </w:t>
      </w:r>
      <w:r w:rsidRPr="00B717D1">
        <w:rPr>
          <w:rFonts w:ascii="Times New Roman" w:hAnsi="Times New Roman" w:cs="Times New Roman"/>
          <w:noProof/>
          <w:color w:val="000000" w:themeColor="text1"/>
        </w:rPr>
        <w:lastRenderedPageBreak/>
        <w:t>Ireland, &amp; Gilbert, 2011)</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This dissertation is intended to provide a better understanding of the relevant supply chain resource management practices. The research focuses generally on how resource management practices influence innovation and financial outcomes of the organization. Specifically, the study introduces and investigates the emergent concept of supply chain resource orchestration (SCRO), which describes the process of managing the acquisition, integration, and exploitation of critical external resources with the purpose of creating value for the end customer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"id" : "ITEM-2",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"ITEM-2", "issue" : "May", "issued" : { "date-parts" : [ [ "2011" ] ] }, "page" : "57-75", "title" : "Strategic Entrepreneurship: Creating Value for Individuals, Organizations, and Society", "type" : "article-journal" }, "uris" : [ "http://www.mendeley.com/documents/?uuid=a440eb44-a14e-41a2-85e6-3af528235937" ] }, { "id" : "ITEM-3",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"ITEM-3",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"(Hitt, Ireland, Sirmon, &amp; Trahms, 2011; Sirmon et al., 2011; Wowak et al., 2016)", "plainTextFormattedCitation" : "(Hitt, Ireland, Sirmon, &amp; Trahms, 2011; Sirmon et al., 2011; Wowak et al., 2016)", "previouslyFormattedCitation" : "(Hitt, Ireland, Sirmon, &amp; Trahms, 2011; Sirmon et al., 2011; Wowak et al., 2016)"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(Hitt, Ireland, Sirmon, &amp; Trahms, 2011; Sirmon et al., 2011; Wowak et al., 2016)</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w:t>
      </w:r>
    </w:p>
    <w:p w14:paraId="6B2F778A"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Extant research on the topic of resource management to support innovation has focused on the characteristics of resources (i.e., valuable, rare, inimitable, nonsubstitutable)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"10.1007/s11747-013-0336-7", "ISBN" : "0092-0703", "ISSN" : "00920703", "PMID" : "93922470", "abstract" : "The use of resource-based theory (RBT) in marketing research has increased by more than 500% in the past decade, which suggests its importance as a framework for explaining and predicting competitive advantages and performance outcomes. This article provides a comprehensive review of RBT, including a contemporary definitional foundation for relevant terms and assumptions and a synthesis of empirical findings from marketing literature. This multidimensional analysis of RBT also evaluates extant marketing research according to four perspectives: the marketing domains that use RBT, the characteristics and uses of market-based resources that differentiate it from other research contexts, the extension of RBT to the \"marketing exchange\" as a unit of analysis, and the connection of RBT to related theories. This analysis also reveals some common pitfalls associated with prior research, offers tentative guidelines on how to improve the use of RBT in marketing, and suggests research directions to advance the theorization and empirical testing of RBT in the future.", "author" : [ { "dropping-particle" : "V.", "family" : "Kozlenkova", "given" : "Irina", "non-dropping-particle" : "", "parse-names" : false, "suffix" : "" }, { "dropping-particle" : "", "family" : "Samaha", "given" : "Stephen A.", "non-dropping-particle" : "", "parse-names" : false, "suffix" : "" }, { "dropping-particle" : "", "family" : "Palmatier", "given" : "Robert W.", "non-dropping-particle" : "", "parse-names" : false, "suffix" : "" } ], "container-title" : "Journal of the Academy of Marketing Science", "id" : "ITEM-1", "issue" : "1", "issued" : { "date-parts" : [ [ "2014" ] ] }, "page" : "1-21", "title" : "Resource-based theory in marketing", "type" : "article-journal", "volume" : "42" }, "uris" : [ "http://www.mendeley.com/documents/?uuid=b3b7f208-9a95-411f-b4eb-7ce3493019c4" ] } ], "mendeley" : { "formattedCitation" : "(Kozlenkova, Samaha, &amp; Palmatier, 2014)", "plainTextFormattedCitation" : "(Kozlenkova, Samaha, &amp; Palmatier, 2014)", "previouslyFormattedCitation" : "(Kozlenkova, Samaha, &amp; Palmatier, 2014)"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(Kozlenkova, Samaha, &amp; Palmatier, 2014)</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or on the resource management and asset orchestration of internal resources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"author" : [ { "dropping-particle" : "", "family" : "Sirmon", "given" : "David G", "non-dropping-particle" : "", "parse-names" : false, "suffix" : "" }, { "dropping-particle" : "", "family" : "Hitt", "given" : "Michael A", "non-dropping-particle" : "", "parse-names" : false, "suffix" : "" } ], "container-title" : "Entrepreneurship Theory and Practice", "id" : "ITEM-1", "issue" : "Summer", "issued" : { "date-parts" : [ [ "2003" ] ] }, "page" : "339-359", "title" : "Managing Resources: Linking Unique Resources, Management, and Wealth Creation in Family Firms", "type" : "article-journal" }, "uris" : [ "http://www.mendeley.com/documents/?uuid=42efde9a-c405-46bb-bd54-81951c277b85" ] } ], "mendeley" : { "formattedCitation" : "(Sirmon &amp; Hitt, 2003)", "plainTextFormattedCitation" : "(Sirmon &amp; Hitt, 2003)", "previouslyFormattedCitation" : "(Sirmon &amp; Hitt, 2003)"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(Sirmon &amp; Hitt, 2003)</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However, current research has been relatively silent about the management of external resources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"10.1002/smj.432", "ISBN" : "0143-2095", "ISSN" : "01432095", "PMID" : "224999817", "abstract" : "This paper argues that the gap between the theoretical utility and the practical utility of the resource-based view (RBV) may be narrowed by operationalizing the theory more consistently with Penrose's original framework. The operationalization proposed here is a twofold approach. First, the RBV may be enhanced by the explicit recognition of Penrose's two classes of resources, namely, administrative resources and productive resources. This distinction suggests a focus on the administrative decisions of managers that lead to economic performance. Second, we argue that the RBV is a theory about extraordinary performers or outliers-not averages. Therefore, the statistical methods used in applying the theory must account for individual firm differences, and not be based on means, which statistically neutralize firm differences. We propose a novel Bayesian hierarchical methodology to examine the relationship between administrative decisions and economic performance over time. We develop and explain a measure of competitive advantage that goes beyond comparisons of economic performance. This Bayesian methodology allows us to make meaningful probability statements about specific, individual firms and the effects of the administrative decisions examined in this study. Copyright (C) 2004 John Wiley Sons, Ltd.", "author" : [ { "dropping-particle" : "", "family" : "Hansen", "given" : "Mark H.", "non-dropping-particle" : "", "parse-names" : false, "suffix" : "" }, { "dropping-particle" : "", "family" : "Perry", "given" : "Lee T.", "non-dropping-particle" : "", "parse-names" : false, "suffix" : "" }, { "dropping-particle" : "", "family" : "Reese", "given" : "C. Shane", "non-dropping-particle" : "", "parse-names" : false, "suffix" : "" } ], "container-title" : "Strategic Management Journal", "id" : "ITEM-1", "issue" : "13", "issued" : { "date-parts" : [ [ "2004" ] ] }, "page" : "1279-1295", "title" : "A bayesian operationalization of the resource-based view", "type" : "article-journal", "volume" : "25" }, "uris" : [ "http://www.mendeley.com/documents/?uuid=b0b4c3ef-b3ac-4072-be8e-93437ab2c851" ] }, { "id" : "ITEM-2",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"ITEM-2", "issue" : "3", "issued" : { "date-parts" : [ [ "2014" ] ] }, "page" : "6-15", "title" : "Resource Gaps and Resource Orchestration Shortfalls in Supply Chain Management: The Case of Product Recalls", "type" : "article-journal", "volume" : "50" }, "uris" : [ "http://www.mendeley.com/documents/?uuid=253c704b-7d13-4b31-9f44-27ec30152f71" ] } ], "mendeley" : { "formattedCitation" : "(Hansen, Perry, &amp; Reese, 2004; Ketchen et al., 2014)", "plainTextFormattedCitation" : "(Hansen, Perry, &amp; Reese, 2004; Ketchen et al., 2014)", "previouslyFormattedCitation" : "(Hansen, Perry, &amp; Reese, 2004; Ketchen et al., 2014)"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(Hansen, Perry, &amp; Reese, 2004; Ketchen et al., 2014)</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and how such resources from the supply chain should be effectively and efficiently be managed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"ITEM-1", "issue" : "May", "issued" : { "date-parts" : [ [ "2011" ] ] }, "page" : "57-75", "title" : "Strategic Entrepreneurship: Creating Value for Individuals, Organizations, and Society", "type" : "article-journal" }, "uris" : [ "http://www.mendeley.com/documents/?uuid=a440eb44-a14e-41a2-85e6-3af528235937" ] } ], "mendeley" : { "formattedCitation" : "(Hitt et al., 2011)", "plainTextFormattedCitation" : "(Hitt et al., 2011)", "previouslyFormattedCitation" : "(Hitt et al., 2011)"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(Hitt et al., 2011)</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Unexplored research areas include a deeper comprehension of the micro-processes and sub-processes of resource management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(Sirmon et al., 2011)</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Overall, more research appears warranted in terms of resource management beyond a firm’s boundaries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"10.1111/jscm.12055", "ISBN" : "1523-2409", "ISSN" : "1745493X", "abstract" : "We highlight key contributions from the special topic forum (STF) articles and detail findings from a survey of researchers interested in the role of resources on supply chain functioning and management. We assert that the STF articles have closed important gaps between what needed to be known and is now known about how and when resources aid supply chains. However, the survey findings suggest that researchers who invoke theories of resources need to be more precise in their theoretical exposition and that future research needs to focus more heavily on the role of resources not just within, but also beyond a firm's boundaries (i.e., interfirm), and how those resources aid supply chains. The survey findings also suggest that future supply chain studies should focus more on investigating contingency relationships, and \u201cfitting\u201d research designs to address the specific research question of interest. Broadly speaking, we conclude that resources within and across firm boundaries are vital to supply chain functioning and management, but that as research evolves, new insights might be best characterized by studies that take stock of critical contingencies.", "author" : [ { "dropping-particle" : "", "family" : "Crook", "given" : "T. Russell", "non-dropping-particle" : "", "parse-names" : false, "suffix" : "" }, { "dropping-particle" : "", "family" : "Esper", "given" : "Terry L.", "non-dropping-particle" : "", "parse-names" : false, "suffix" : "" } ], "container-title" : "Journal of Supply Chain Management", "id" : "ITEM-1", "issue" : "3", "issued" : { "date-parts" : [ [ "2014" ] ] }, "page" : "94-97", "title" : "Do Resources Aid in Supply Chain Functioning and Management? Yes, But More (and More Precise) Research is Needed", "type" : "article-journal", "volume" : "50" }, "uris" : [ "http://www.mendeley.com/documents/?uuid=ffa79fbc-359a-441c-bb62-d948795f562a" ] } ], "mendeley" : { "formattedCitation" : "(Crook &amp; Esper, 2014)", "plainTextFormattedCitation" : "(Crook &amp; Esper, 2014)", "previouslyFormattedCitation" : "(Crook &amp; Esper, 2014)"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(Crook &amp; Esper, 2014)</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to add theoretical breadth and depth and explore the boundary conditions at the intersection of supply chain management and innovation literature streams.</w:t>
      </w:r>
    </w:p>
    <w:p w14:paraId="1709E8AA" w14:textId="77777777" w:rsidR="00077CB9" w:rsidRPr="00B717D1" w:rsidRDefault="00077CB9" w:rsidP="006203CF">
      <w:pPr>
        <w:pStyle w:val="Heading2"/>
      </w:pPr>
    </w:p>
    <w:p w14:paraId="722F7B3A" w14:textId="77777777" w:rsidR="00077CB9" w:rsidRPr="00B717D1" w:rsidRDefault="00077CB9" w:rsidP="00077CB9">
      <w:pPr>
        <w:pStyle w:val="Heading2"/>
        <w:rPr>
          <w:rFonts w:cs="Times New Roman"/>
          <w:szCs w:val="24"/>
        </w:rPr>
      </w:pPr>
      <w:bookmarkStart w:id="4" w:name="_Toc357382404"/>
      <w:bookmarkStart w:id="5" w:name="_Toc357383250"/>
      <w:bookmarkStart w:id="6" w:name="_Toc358326721"/>
      <w:r w:rsidRPr="00B717D1">
        <w:rPr>
          <w:rFonts w:cs="Times New Roman"/>
          <w:szCs w:val="24"/>
        </w:rPr>
        <w:t>Research Objective</w:t>
      </w:r>
      <w:bookmarkEnd w:id="4"/>
      <w:bookmarkEnd w:id="5"/>
      <w:bookmarkEnd w:id="6"/>
    </w:p>
    <w:p w14:paraId="22974620"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The objective of this dissertation lies in investigating supply chain resource management practices and how those could facilitate and enhance innovation and financial performance. </w:t>
      </w:r>
      <w:r w:rsidRPr="00B717D1">
        <w:rPr>
          <w:rFonts w:ascii="Times New Roman" w:hAnsi="Times New Roman" w:cs="Times New Roman"/>
          <w:color w:val="000000" w:themeColor="text1"/>
        </w:rPr>
        <w:lastRenderedPageBreak/>
        <w:t xml:space="preserve">Hence, this dissertation research introduces and develops a conceptual framework of supply chain resource orchestration, analyzes the interplay with organizational culture, and collects empirical evidence from interviews with supply chain managers to complement the conceptualization. Supply chain resource orchestration sub-processes encompass the balanced practices of structuring, bundling, and leveraging supply chain resources to create customer value and achieve organizational performance. The dissertation research attempts to address research gaps of the extant resource management theory by extending its theoretical domain at the intersection of supply chain and innovation management research streams. Consequently, the impact of effective resource management practices, orchestrating supply chain resources, will become better understood.   </w:t>
      </w:r>
    </w:p>
    <w:p w14:paraId="2069FC63" w14:textId="77777777" w:rsidR="00077CB9" w:rsidRPr="00B717D1" w:rsidRDefault="00077CB9" w:rsidP="00077CB9">
      <w:pPr>
        <w:spacing w:line="480" w:lineRule="auto"/>
        <w:jc w:val="both"/>
        <w:rPr>
          <w:rFonts w:ascii="Times New Roman" w:hAnsi="Times New Roman" w:cs="Times New Roman"/>
          <w:color w:val="000000" w:themeColor="text1"/>
        </w:rPr>
      </w:pPr>
    </w:p>
    <w:p w14:paraId="1D0435BD"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b/>
          <w:color w:val="000000" w:themeColor="text1"/>
        </w:rPr>
        <w:t>T</w:t>
      </w:r>
      <w:r w:rsidRPr="00B717D1">
        <w:rPr>
          <w:rFonts w:ascii="Times New Roman" w:hAnsi="Times New Roman" w:cs="Times New Roman"/>
          <w:b/>
          <w:bCs/>
          <w:iCs/>
          <w:color w:val="000000" w:themeColor="text1"/>
        </w:rPr>
        <w:t xml:space="preserve">he purpose of this dissertation is to explore the performance impact of supply chain resource orchestration and understand how supply chain managers can enhance the innovation performance of their organization. </w:t>
      </w:r>
    </w:p>
    <w:p w14:paraId="458E49FC" w14:textId="77777777" w:rsidR="00077CB9" w:rsidRPr="00B717D1" w:rsidRDefault="00077CB9" w:rsidP="00077CB9">
      <w:pPr>
        <w:spacing w:line="480" w:lineRule="auto"/>
        <w:jc w:val="both"/>
        <w:rPr>
          <w:rFonts w:ascii="Times New Roman" w:hAnsi="Times New Roman" w:cs="Times New Roman"/>
          <w:color w:val="000000" w:themeColor="text1"/>
        </w:rPr>
      </w:pPr>
    </w:p>
    <w:p w14:paraId="7EB91678" w14:textId="77777777" w:rsidR="00077CB9" w:rsidRPr="00B717D1" w:rsidRDefault="00077CB9" w:rsidP="00077CB9">
      <w:pPr>
        <w:pStyle w:val="Heading2"/>
        <w:rPr>
          <w:rFonts w:cs="Times New Roman"/>
          <w:szCs w:val="24"/>
        </w:rPr>
      </w:pPr>
      <w:bookmarkStart w:id="7" w:name="_Toc357382405"/>
      <w:bookmarkStart w:id="8" w:name="_Toc357383251"/>
      <w:bookmarkStart w:id="9" w:name="_Toc358326722"/>
      <w:r w:rsidRPr="00B717D1">
        <w:rPr>
          <w:rFonts w:cs="Times New Roman"/>
          <w:szCs w:val="24"/>
        </w:rPr>
        <w:t>Research Questions</w:t>
      </w:r>
      <w:bookmarkEnd w:id="7"/>
      <w:bookmarkEnd w:id="8"/>
      <w:bookmarkEnd w:id="9"/>
    </w:p>
    <w:p w14:paraId="1D9FF634"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This dissertation research is guided by the following research questions:</w:t>
      </w:r>
    </w:p>
    <w:p w14:paraId="1CB4DF11" w14:textId="77777777" w:rsidR="00077CB9" w:rsidRPr="00B717D1" w:rsidRDefault="00077CB9" w:rsidP="00077CB9">
      <w:pPr>
        <w:spacing w:line="480" w:lineRule="auto"/>
        <w:jc w:val="both"/>
        <w:rPr>
          <w:rFonts w:ascii="Times New Roman" w:hAnsi="Times New Roman" w:cs="Times New Roman"/>
          <w:color w:val="000000" w:themeColor="text1"/>
        </w:rPr>
      </w:pPr>
    </w:p>
    <w:p w14:paraId="61DE4F2A" w14:textId="77777777" w:rsidR="00077CB9" w:rsidRPr="00B717D1" w:rsidRDefault="00077CB9" w:rsidP="00077CB9">
      <w:pPr>
        <w:pStyle w:val="ListParagraph"/>
        <w:numPr>
          <w:ilvl w:val="0"/>
          <w:numId w:val="17"/>
        </w:num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How can supply chain management decision-making and practices enhance the organizational performance?</w:t>
      </w:r>
    </w:p>
    <w:p w14:paraId="288FDCBF" w14:textId="77777777" w:rsidR="00077CB9" w:rsidRPr="00B717D1" w:rsidRDefault="00077CB9" w:rsidP="00077CB9">
      <w:pPr>
        <w:pStyle w:val="ListParagraph"/>
        <w:numPr>
          <w:ilvl w:val="0"/>
          <w:numId w:val="17"/>
        </w:num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How does supply chain resource orchestration influence the innovation and financial performance of the organization? </w:t>
      </w:r>
    </w:p>
    <w:p w14:paraId="321440BD" w14:textId="77777777" w:rsidR="00077CB9" w:rsidRPr="00B717D1" w:rsidRDefault="00077CB9" w:rsidP="00077CB9">
      <w:pPr>
        <w:spacing w:line="480" w:lineRule="auto"/>
        <w:jc w:val="both"/>
        <w:rPr>
          <w:rFonts w:ascii="Times New Roman" w:hAnsi="Times New Roman" w:cs="Times New Roman"/>
          <w:color w:val="000000" w:themeColor="text1"/>
        </w:rPr>
      </w:pPr>
    </w:p>
    <w:p w14:paraId="4E0452B9" w14:textId="77777777" w:rsidR="00077CB9" w:rsidRPr="00B717D1" w:rsidRDefault="00077CB9" w:rsidP="00077CB9">
      <w:pPr>
        <w:pStyle w:val="Heading2"/>
        <w:rPr>
          <w:rFonts w:cs="Times New Roman"/>
          <w:szCs w:val="24"/>
        </w:rPr>
      </w:pPr>
      <w:bookmarkStart w:id="10" w:name="_Toc357382406"/>
      <w:bookmarkStart w:id="11" w:name="_Toc357383252"/>
      <w:bookmarkStart w:id="12" w:name="_Toc358326723"/>
      <w:r w:rsidRPr="00B717D1">
        <w:rPr>
          <w:rFonts w:cs="Times New Roman"/>
          <w:szCs w:val="24"/>
        </w:rPr>
        <w:t>Overview of Research Approach</w:t>
      </w:r>
      <w:bookmarkEnd w:id="10"/>
      <w:bookmarkEnd w:id="11"/>
      <w:bookmarkEnd w:id="12"/>
    </w:p>
    <w:p w14:paraId="16E668AA"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The dissertation research is structured in three complementary research studies with specific methodologies, addressing different research questions related to the overarching topic of supply chain-driven innovation, or supply chain management supporting the organization’s innovation activities. Each of the three studies will focus on complementary aspects related to the management of supply chain resources and the organizational (innovation and financial) performance implications of supply chain management. </w:t>
      </w:r>
    </w:p>
    <w:p w14:paraId="2049F2FD" w14:textId="77777777" w:rsidR="00077CB9" w:rsidRPr="00B717D1" w:rsidRDefault="00077CB9" w:rsidP="00077CB9">
      <w:pPr>
        <w:spacing w:line="480" w:lineRule="auto"/>
        <w:jc w:val="both"/>
        <w:rPr>
          <w:rFonts w:ascii="Times New Roman" w:hAnsi="Times New Roman" w:cs="Times New Roman"/>
          <w:color w:val="000000" w:themeColor="text1"/>
        </w:rPr>
      </w:pPr>
    </w:p>
    <w:p w14:paraId="4FFB9459" w14:textId="77777777" w:rsidR="00077CB9" w:rsidRPr="00B717D1" w:rsidRDefault="00077CB9" w:rsidP="00C77D73">
      <w:pPr>
        <w:pStyle w:val="Heading3new"/>
      </w:pPr>
      <w:r w:rsidRPr="00B717D1">
        <w:t>Study One</w:t>
      </w:r>
    </w:p>
    <w:p w14:paraId="0176FC44"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The main motivation for this dissertation research is to enhance the conceptual understanding of how supply chain management can enhance the innovation performance of an organization. One essential aspect is to investigate the relevant processes and sub-processes of sourcing external resources for the organization. Therefore, the first study concentrates on the concept of innovation sourcing, which involves the acquisition and integration, rather than internal development, of critical knowledge from external providers. A systematic literature review methodology is applied to synthesize the current theoretical body of knowledge on this phenomenon. Current research concerning innovation sourcing is fragmented and researchers use numerous different, partially conflicting terminology. </w:t>
      </w:r>
      <w:r>
        <w:rPr>
          <w:rFonts w:ascii="Times New Roman" w:hAnsi="Times New Roman" w:cs="Times New Roman"/>
          <w:color w:val="000000" w:themeColor="text1"/>
        </w:rPr>
        <w:t>Such f</w:t>
      </w:r>
      <w:r w:rsidRPr="00B717D1">
        <w:rPr>
          <w:rFonts w:ascii="Times New Roman" w:hAnsi="Times New Roman" w:cs="Times New Roman"/>
          <w:color w:val="000000" w:themeColor="text1"/>
        </w:rPr>
        <w:t>ragmentation</w:t>
      </w:r>
      <w:r>
        <w:rPr>
          <w:rFonts w:ascii="Times New Roman" w:hAnsi="Times New Roman" w:cs="Times New Roman"/>
          <w:color w:val="000000" w:themeColor="text1"/>
        </w:rPr>
        <w:t xml:space="preserve"> and the use of overlapping, unique definitions prevent</w:t>
      </w:r>
      <w:r w:rsidRPr="00B717D1">
        <w:rPr>
          <w:rFonts w:ascii="Times New Roman" w:hAnsi="Times New Roman" w:cs="Times New Roman"/>
          <w:color w:val="000000" w:themeColor="text1"/>
        </w:rPr>
        <w:t xml:space="preserve"> the development of a consistent body of knowledge and limits the theoretical advancement of the field</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 "citationItems" : [ { "id" : "ITEM-1", "itemData" : { "author" : [ { "dropping-particle" : "", "family" : "Autry", "given" : "Chad W", "non-dropping-particle" : "", "parse-names" : false, "suffix" : "" }, { "dropping-particle" : "", "family" : "Rose", "given" : "William J", "non-dropping-particle" : "", "parse-names" : false, "suffix" : "" }, { "dropping-particle" : "", "family" : "Bell", "given" : "John E", "non-dropping-particle" : "", "parse-names" : false, "suffix" : "" } ], "container-title" : "Journal of Business Logistics", "id" : "ITEM-1", "issue" : "3", "issued" : { "date-parts" : [ [ "2014" ] ] }, "page" : "275-276", "title" : "Reconsidering the Supply Chain Integration \u2013 Performance Relationship: In Search of Theoretical Consistency and Clarity", "type" : "article-journal", "volume" : "35" }, "uris" : [ "http://www.mendeley.com/documents/?uuid=7c1b7a9d-57d2-4b72-b215-e773fdd59fb7" ] } ], "mendeley" : { "formattedCitation" : "(Autry, Rose, &amp; Bell, 2014)", "plainTextFormattedCitation" : "(Autry, Rose, &amp; Bell, 2014)", "previouslyFormattedCitation" : "(Autry, Rose, &amp; Bell, 2014)" }, "properties" : { "noteIndex" : 0 }, "schema" : "https://github.com/citation-style-language/schema/raw/master/csl-citation.json" }</w:instrText>
      </w:r>
      <w:r>
        <w:rPr>
          <w:rFonts w:ascii="Times New Roman" w:hAnsi="Times New Roman" w:cs="Times New Roman"/>
          <w:color w:val="000000" w:themeColor="text1"/>
        </w:rPr>
        <w:fldChar w:fldCharType="separate"/>
      </w:r>
      <w:r w:rsidRPr="00790147">
        <w:rPr>
          <w:rFonts w:ascii="Times New Roman" w:hAnsi="Times New Roman" w:cs="Times New Roman"/>
          <w:noProof/>
          <w:color w:val="000000" w:themeColor="text1"/>
        </w:rPr>
        <w:t>(Autry, Rose, &amp; Bell, 2014)</w:t>
      </w:r>
      <w:r>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Hence, this systematic literature review study synthesizes the current body of knowledge on innovation </w:t>
      </w:r>
      <w:r w:rsidRPr="00B717D1">
        <w:rPr>
          <w:rFonts w:ascii="Times New Roman" w:hAnsi="Times New Roman" w:cs="Times New Roman"/>
          <w:color w:val="000000" w:themeColor="text1"/>
        </w:rPr>
        <w:lastRenderedPageBreak/>
        <w:t>sourcing. The study leads to a conceptualization of how innovation sourcing and its main dimensions are linked to innovation performance. A theoretical model addressing the key dimensions of innovation sourcing, research propositions, and a detailed agenda for future research are concluding this first dissertation study.</w:t>
      </w:r>
    </w:p>
    <w:p w14:paraId="4CB87FB0" w14:textId="77777777" w:rsidR="00077CB9" w:rsidRPr="00B717D1" w:rsidRDefault="00077CB9" w:rsidP="00077CB9">
      <w:pPr>
        <w:spacing w:line="480" w:lineRule="auto"/>
        <w:jc w:val="both"/>
        <w:rPr>
          <w:rFonts w:ascii="Times New Roman" w:hAnsi="Times New Roman" w:cs="Times New Roman"/>
          <w:color w:val="000000" w:themeColor="text1"/>
        </w:rPr>
      </w:pPr>
    </w:p>
    <w:p w14:paraId="5D076B9D" w14:textId="77777777" w:rsidR="00077CB9" w:rsidRPr="00B717D1" w:rsidRDefault="00077CB9" w:rsidP="00BE4486">
      <w:pPr>
        <w:pStyle w:val="Heading3new"/>
      </w:pPr>
      <w:r w:rsidRPr="00B717D1">
        <w:t xml:space="preserve">Study Two </w:t>
      </w:r>
    </w:p>
    <w:p w14:paraId="00B841D4"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As indicated in the research agenda of study one, the influence of SCM on innovation performance stretches beyond the traditional purchasing domain and extends to both the strategic management and the operational level involving cross-functional practices and work routines. Therefore, the research focus is broadened during the second study. The second study focuses on the more encompassing phenomenon of supply chain resource management, involving specifically the acquisition and integration of external resources. Specifically, the research study is introducing a theoretical framework of supply chain resource orchestration. Grounded in the resource-based theory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"10.1177/014920639101700108", "ISBN" : "8437922992", "ISSN" : "0149-2063", "PMID" : "5978921", "abstract" : "Understanding sources of sustained competitive advantage has become a major area of research in strategic management. Building on the assumptions that strategic resources are hetergeneously distributed across firms and that these differences are stable over time, this article examines the link between firm resources and sustained competitive advantage. Four empirical indicators of the potential of firm resources to genertate sustained competitive advantage - value, rareness, imitability and subsitutability - are discussed. The model is applied by analysing the potential of several firm resources for generating sustained competitive advantages. The article concluded by examining implications of this firm resource model of sustained competitive advantage for other business disciplines.", "author" : [ { "dropping-particle" : "", "family" : "Barney", "given" : "Jay B.", "non-dropping-particle" : "", "parse-names" : false, "suffix" : "" } ], "container-title" : "Journal of Management", "id" : "ITEM-1", "issue" : "1", "issued" : { "date-parts" : [ [ "1991" ] ] }, "page" : "99-120", "title" : "Firm Resources and Sustained Competitive Advantage", "type" : "article-journal", "volume" : "17" }, "uris" : [ "http://www.mendeley.com/documents/?uuid=46d2f2bf-7e29-42e1-af70-21cf0cd4f7a9" ] } ], "mendeley" : { "formattedCitation" : "(Barney, 1991)", "plainTextFormattedCitation" : "(Barney, 1991)", "previouslyFormattedCitation" : "(Barney, 1991)"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(Barney, 1991)</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the study entails a theory elaboration of resource orchestration theory </w:t>
      </w:r>
      <w:r w:rsidRPr="00B717D1">
        <w:rPr>
          <w:rFonts w:ascii="Times New Roman" w:hAnsi="Times New Roman" w:cs="Times New Roman"/>
          <w:color w:val="000000" w:themeColor="text1"/>
        </w:rPr>
        <w:fldChar w:fldCharType="begin" w:fldLock="1"/>
      </w:r>
      <w:r w:rsidRPr="00B717D1">
        <w:rPr>
          <w:rFonts w:ascii="Times New Roman" w:hAnsi="Times New Roman" w:cs="Times New Roman"/>
          <w:color w:val="000000" w:themeColor="text1"/>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(Sirmon et al., 2011)</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to extend its theoretical domain. The research follows the methodological guidance of Wacker (1998) and Ketokivi &amp; Choi (2014). The understanding and definition of key variables, theoretical domain, conceptual relationships, and predictions of supply chain resource orchestration are developed based on the literature. Next, research interviews from a multi-case study are analyzed to add the perspectives of practitioners and substantiate and enrich the SCRO framework</w:t>
      </w:r>
      <w:r>
        <w:rPr>
          <w:rFonts w:ascii="Times New Roman" w:hAnsi="Times New Roman" w:cs="Times New Roman"/>
          <w:color w:val="000000" w:themeColor="text1"/>
        </w:rPr>
        <w:t xml:space="preserve">, linking practice and theory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 "citationItems" : [ { "id" : "ITEM-1", "itemData" : { "ISSN" : "00411612", "author" : [ { "dropping-particle" : "", "family" : "Craighead", "given" : "Christopher W", "non-dropping-particle" : "", "parse-names" : false, "suffix" : "" }, { "dropping-particle" : "", "family" : "Ketchen", "given" : "Jr David J", "non-dropping-particle" : "", "parse-names" : false, "suffix" : "" }, { "dropping-particle" : "", "family" : "Cheng", "given" : "Li", "non-dropping-particle" : "", "parse-names" : false, "suffix" : "" } ], "container-title" : "Transportation Journal", "id" : "ITEM-1", "issue" : "3", "issued" : { "date-parts" : [ [ "2016" ] ] }, "page" : "241-257", "title" : "\"Goldilocks\" Theorizing in Supply Chain Research: Balancing Scientific and Practical Utility via Middle- Range Theory", "type" : "article-journal", "volume" : "55" }, "uris" : [ "http://www.mendeley.com/documents/?uuid=e4e5f09d-e0b6-4ee5-8b98-37e45dd47f79" ] } ], "mendeley" : { "formattedCitation" : "(Craighead, Ketchen, &amp; Cheng, 2016)", "plainTextFormattedCitation" : "(Craighead, Ketchen, &amp; Cheng, 2016)", "previouslyFormattedCitation" : "(Craighead, Ketchen, &amp; Cheng, 2016)" }, "properties" : { "noteIndex" : 0 }, "schema" : "https://github.com/citation-style-language/schema/raw/master/csl-citation.json" }</w:instrText>
      </w:r>
      <w:r>
        <w:rPr>
          <w:rFonts w:ascii="Times New Roman" w:hAnsi="Times New Roman" w:cs="Times New Roman"/>
          <w:color w:val="000000" w:themeColor="text1"/>
        </w:rPr>
        <w:fldChar w:fldCharType="separate"/>
      </w:r>
      <w:r w:rsidRPr="0097654B">
        <w:rPr>
          <w:rFonts w:ascii="Times New Roman" w:hAnsi="Times New Roman" w:cs="Times New Roman"/>
          <w:noProof/>
          <w:color w:val="000000" w:themeColor="text1"/>
        </w:rPr>
        <w:t>(Craighead, Ketchen, &amp; Cheng, 2016)</w:t>
      </w:r>
      <w:r>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Finally, a number of concrete SCRO practices related to the structuring, bundling, and leveraging of supply chain resources are summarized and presented.</w:t>
      </w:r>
    </w:p>
    <w:p w14:paraId="37C202AF" w14:textId="77777777" w:rsidR="00077CB9" w:rsidRPr="00B717D1" w:rsidRDefault="00077CB9" w:rsidP="00077CB9">
      <w:pPr>
        <w:spacing w:line="480" w:lineRule="auto"/>
        <w:jc w:val="both"/>
        <w:rPr>
          <w:rFonts w:ascii="Times New Roman" w:hAnsi="Times New Roman" w:cs="Times New Roman"/>
          <w:b/>
          <w:color w:val="000000" w:themeColor="text1"/>
        </w:rPr>
      </w:pPr>
    </w:p>
    <w:p w14:paraId="28EDD4E9" w14:textId="77777777" w:rsidR="00077CB9" w:rsidRDefault="00077CB9" w:rsidP="00077CB9">
      <w:pPr>
        <w:spacing w:line="480" w:lineRule="auto"/>
        <w:jc w:val="both"/>
        <w:rPr>
          <w:rFonts w:ascii="Times New Roman" w:hAnsi="Times New Roman" w:cs="Times New Roman"/>
          <w:b/>
          <w:color w:val="000000" w:themeColor="text1"/>
        </w:rPr>
      </w:pPr>
    </w:p>
    <w:p w14:paraId="202EEE45" w14:textId="77777777" w:rsidR="003C2051" w:rsidRPr="00B717D1" w:rsidRDefault="003C2051" w:rsidP="00077CB9">
      <w:pPr>
        <w:spacing w:line="480" w:lineRule="auto"/>
        <w:jc w:val="both"/>
        <w:rPr>
          <w:rFonts w:ascii="Times New Roman" w:hAnsi="Times New Roman" w:cs="Times New Roman"/>
          <w:b/>
          <w:color w:val="000000" w:themeColor="text1"/>
        </w:rPr>
      </w:pPr>
    </w:p>
    <w:p w14:paraId="470DABB6" w14:textId="77777777" w:rsidR="00077CB9" w:rsidRPr="003C2051" w:rsidRDefault="00077CB9" w:rsidP="003C2051">
      <w:pPr>
        <w:pStyle w:val="Heading3new"/>
      </w:pPr>
      <w:r w:rsidRPr="003C2051">
        <w:t>Study Three</w:t>
      </w:r>
    </w:p>
    <w:p w14:paraId="72814061"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Finally, the new SCRO framework, developed in the prior study, is subsequently empirically tested in study three. A cross-sectional survey involving 247 supply chain managers is utilized to assess the new conceptualization and specifically the performance impact of supply chain resource orchestration. As part of the SCRO framework, the moderating influence of cultural factors (operationalized with the entrepreneurial orientation construct) on the relationship between SCRO and organizational performance is tested as well. The method of structural equation modeling (SEM) is applied in AMOS 24 involving both confirmatory factor analysis (measurement model) and a causal path analysis (structural model). </w:t>
      </w:r>
    </w:p>
    <w:p w14:paraId="638FAC37" w14:textId="77777777" w:rsidR="00077CB9" w:rsidRPr="00B717D1" w:rsidRDefault="00077CB9" w:rsidP="00077CB9">
      <w:pPr>
        <w:spacing w:line="480" w:lineRule="auto"/>
        <w:jc w:val="both"/>
        <w:rPr>
          <w:rFonts w:ascii="Times New Roman" w:hAnsi="Times New Roman" w:cs="Times New Roman"/>
          <w:color w:val="000000" w:themeColor="text1"/>
        </w:rPr>
      </w:pPr>
    </w:p>
    <w:p w14:paraId="19CEB83D" w14:textId="77777777" w:rsidR="00077CB9" w:rsidRPr="00B717D1" w:rsidRDefault="00077CB9" w:rsidP="00077CB9">
      <w:pPr>
        <w:pStyle w:val="Heading2"/>
        <w:rPr>
          <w:rFonts w:cs="Times New Roman"/>
          <w:szCs w:val="24"/>
        </w:rPr>
      </w:pPr>
      <w:bookmarkStart w:id="13" w:name="_Toc357382407"/>
      <w:bookmarkStart w:id="14" w:name="_Toc357383253"/>
      <w:bookmarkStart w:id="15" w:name="_Toc358326724"/>
      <w:r w:rsidRPr="00B717D1">
        <w:rPr>
          <w:rFonts w:cs="Times New Roman"/>
          <w:szCs w:val="24"/>
        </w:rPr>
        <w:t>Expected Contribution</w:t>
      </w:r>
      <w:bookmarkEnd w:id="13"/>
      <w:bookmarkEnd w:id="14"/>
      <w:bookmarkEnd w:id="15"/>
    </w:p>
    <w:p w14:paraId="2A7EB21C"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The supply chain-driven innovation phenomenon relates to a number of different academic fields. Hence, this dissertation research is expected to contribute an integrative perspective to several complementary research streams including supply chain management, marketing, innovation, and strategic management. </w:t>
      </w:r>
    </w:p>
    <w:p w14:paraId="5983AD9E"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First, based on the theory elaboration method, the resource orchestration theory is extended and broadened within the domain of supply chain and innovation management. A conceptual framework of supply chain resource orchestration is developed as a theoretical contribution. The subsequent data triangulation with empirical case study data and the </w:t>
      </w:r>
      <w:r w:rsidRPr="00B717D1">
        <w:rPr>
          <w:rFonts w:ascii="Times New Roman" w:hAnsi="Times New Roman" w:cs="Times New Roman"/>
          <w:color w:val="000000" w:themeColor="text1"/>
        </w:rPr>
        <w:lastRenderedPageBreak/>
        <w:t>categorizing of the SCRO sub-processes has enriched and substantiated the new framework</w:t>
      </w:r>
      <w:r>
        <w:rPr>
          <w:rFonts w:ascii="Times New Roman" w:hAnsi="Times New Roman" w:cs="Times New Roman"/>
          <w:color w:val="000000" w:themeColor="text1"/>
        </w:rPr>
        <w:t xml:space="preserve"> as a theoretical contextualization of resource management theories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 "citationItems" : [ { "id" : "ITEM-1", "itemData" : { "ISSN" : "00411612", "author" : [ { "dropping-particle" : "", "family" : "Craighead", "given" : "Christopher W", "non-dropping-particle" : "", "parse-names" : false, "suffix" : "" }, { "dropping-particle" : "", "family" : "Ketchen", "given" : "Jr David J", "non-dropping-particle" : "", "parse-names" : false, "suffix" : "" }, { "dropping-particle" : "", "family" : "Cheng", "given" : "Li", "non-dropping-particle" : "", "parse-names" : false, "suffix" : "" } ], "container-title" : "Transportation Journal", "id" : "ITEM-1", "issue" : "3", "issued" : { "date-parts" : [ [ "2016" ] ] }, "page" : "241-257", "title" : "\"Goldilocks\" Theorizing in Supply Chain Research: Balancing Scientific and Practical Utility via Middle- Range Theory", "type" : "article-journal", "volume" : "55" }, "uris" : [ "http://www.mendeley.com/documents/?uuid=e4e5f09d-e0b6-4ee5-8b98-37e45dd47f79" ] } ], "mendeley" : { "formattedCitation" : "(Craighead et al., 2016)", "plainTextFormattedCitation" : "(Craighead et al., 2016)" }, "properties" : { "noteIndex" : 0 }, "schema" : "https://github.com/citation-style-language/schema/raw/master/csl-citation.json" }</w:instrText>
      </w:r>
      <w:r>
        <w:rPr>
          <w:rFonts w:ascii="Times New Roman" w:hAnsi="Times New Roman" w:cs="Times New Roman"/>
          <w:color w:val="000000" w:themeColor="text1"/>
        </w:rPr>
        <w:fldChar w:fldCharType="separate"/>
      </w:r>
      <w:r w:rsidRPr="0055735F">
        <w:rPr>
          <w:rFonts w:ascii="Times New Roman" w:hAnsi="Times New Roman" w:cs="Times New Roman"/>
          <w:noProof/>
          <w:color w:val="000000" w:themeColor="text1"/>
        </w:rPr>
        <w:t>(Craighead et al., 2016)</w:t>
      </w:r>
      <w:r>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w:t>
      </w:r>
    </w:p>
    <w:p w14:paraId="2BA8713F"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Second, the literature review has revealed the need to gain a better understanding of the detailed, micro-level supply chain resource orchestration practices. Hence, the multi-case study is providing a rich and interesting perspective from supply chain managers describing concrete SCRO practices. Moreover, demonstrating the important interplay between organizational culture, particularly innovation culture, and the SCRO practices is another relevant contribution. The research is a first step in gaining a deeper understanding of how external resources are orchestrated and integrated. </w:t>
      </w:r>
    </w:p>
    <w:p w14:paraId="780D5879"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By drawing on findings from the innovation management and entrepreneurship literature streams, this research has extended the body of knowledge in supply chain management at this intersection. The dissertation research responds to calls for more research on resource management focusing on external resources, leaving the organization’s boundaries </w:t>
      </w:r>
      <w:r w:rsidRPr="00B717D1">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 "citationItems" : [ { "id" : "ITEM-1", "itemData" : { "DOI" : "10.1111/jscm.12055", "ISBN" : "1523-2409", "ISSN" : "1745493X", "abstract" : "We highlight key contributions from the special topic forum (STF) articles and detail findings from a survey of researchers interested in the role of resources on supply chain functioning and management. We assert that the STF articles have closed important gaps between what needed to be known and is now known about how and when resources aid supply chains. However, the survey findings suggest that researchers who invoke theories of resources need to be more precise in their theoretical exposition and that future research needs to focus more heavily on the role of resources not just within, but also beyond a firm's boundaries (i.e., interfirm), and how those resources aid supply chains. The survey findings also suggest that future supply chain studies should focus more on investigating contingency relationships, and \u201cfitting\u201d research designs to address the specific research question of interest. Broadly speaking, we conclude that resources within and across firm boundaries are vital to supply chain functioning and management, but that as research evolves, new insights might be best characterized by studies that take stock of critical contingencies.", "author" : [ { "dropping-particle" : "", "family" : "Crook", "given" : "T. Russell", "non-dropping-particle" : "", "parse-names" : false, "suffix" : "" }, { "dropping-particle" : "", "family" : "Esper", "given" : "Terry L.", "non-dropping-particle" : "", "parse-names" : false, "suffix" : "" } ], "container-title" : "Journal of Supply Chain Management", "id" : "ITEM-1", "issue" : "3", "issued" : { "date-parts" : [ [ "2014" ] ] }, "page" : "94-97", "title" : "Do Resources Aid in Supply Chain Functioning and Management? Yes, But More (and More Precise) Research is Needed", "type" : "article-journal", "volume" : "50" }, "uris" : [ "http://www.mendeley.com/documents/?uuid=ffa79fbc-359a-441c-bb62-d948795f562a" ] } ], "mendeley" : { "formattedCitation" : "(Crook &amp; Esper, 2014)", "plainTextFormattedCitation" : "(Crook &amp; Esper, 2014)", "previouslyFormattedCitation" : "(Crook &amp; Esper, 2014)" }, "properties" : { "noteIndex" : 0 }, "schema" : "https://github.com/citation-style-language/schema/raw/master/csl-citation.json" }</w:instrText>
      </w:r>
      <w:r w:rsidRPr="00B717D1">
        <w:rPr>
          <w:rFonts w:ascii="Times New Roman" w:hAnsi="Times New Roman" w:cs="Times New Roman"/>
          <w:color w:val="000000" w:themeColor="text1"/>
        </w:rPr>
        <w:fldChar w:fldCharType="separate"/>
      </w:r>
      <w:r w:rsidRPr="00B717D1">
        <w:rPr>
          <w:rFonts w:ascii="Times New Roman" w:hAnsi="Times New Roman" w:cs="Times New Roman"/>
          <w:noProof/>
          <w:color w:val="000000" w:themeColor="text1"/>
        </w:rPr>
        <w:t>(Crook &amp; Esper, 2014)</w:t>
      </w:r>
      <w:r w:rsidRPr="00B717D1">
        <w:rPr>
          <w:rFonts w:ascii="Times New Roman" w:hAnsi="Times New Roman" w:cs="Times New Roman"/>
          <w:color w:val="000000" w:themeColor="text1"/>
        </w:rPr>
        <w:fldChar w:fldCharType="end"/>
      </w:r>
      <w:r w:rsidRPr="00B717D1">
        <w:rPr>
          <w:rFonts w:ascii="Times New Roman" w:hAnsi="Times New Roman" w:cs="Times New Roman"/>
          <w:color w:val="000000" w:themeColor="text1"/>
        </w:rPr>
        <w:t xml:space="preserve">. </w:t>
      </w:r>
    </w:p>
    <w:p w14:paraId="33080AF3"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For supply chain managers, the research findings should provide valuable guidance toward the performance impact and importance of concrete resource management practices. Depending on their individual market environment, managers can place more or less emphasis on specific sub-processes, refine specific practices, and enhance the balance among those activities. The interplay between SCRO practices and organizational culture is investigated and demonstrated revealing interesting effects and practical implication in varying environments.</w:t>
      </w:r>
    </w:p>
    <w:p w14:paraId="5698E2D2"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By providing an overview of concrete managerial actions of orchestrating external resources, managers should gain a better understanding of the phenomenon. Possibly, this might support managers in reducing the failure rates of innovation projects. </w:t>
      </w:r>
    </w:p>
    <w:p w14:paraId="42426443"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lastRenderedPageBreak/>
        <w:t xml:space="preserve">The dissertation research provides interesting managerial findings in regards to the necessary balancing and synchronization of the SCRO practices, which could serve as guidance for supply chain managers. The case companies of the case study demonstrated little attention to resource divesture activities and overall relatively little (with exception) emphasis on effective leveraging and commercialization practices. All case companies showed distinctive strengths and weaknesses that can assist practitioners with developing best practices recommendations. The overall theoretical and practical contributions and implications along with some research limitations will be further discussed in the concluding Chapter Five. </w:t>
      </w:r>
    </w:p>
    <w:p w14:paraId="080D2D3E" w14:textId="77777777" w:rsidR="00077CB9" w:rsidRPr="00B717D1" w:rsidRDefault="00077CB9" w:rsidP="00077CB9">
      <w:pPr>
        <w:spacing w:line="480" w:lineRule="auto"/>
        <w:jc w:val="both"/>
        <w:rPr>
          <w:rFonts w:ascii="Times New Roman" w:hAnsi="Times New Roman" w:cs="Times New Roman"/>
          <w:color w:val="000000" w:themeColor="text1"/>
        </w:rPr>
      </w:pPr>
    </w:p>
    <w:p w14:paraId="7C8D6143" w14:textId="77777777" w:rsidR="00077CB9" w:rsidRPr="00B717D1" w:rsidRDefault="00077CB9" w:rsidP="00077CB9">
      <w:pPr>
        <w:pStyle w:val="Heading2"/>
        <w:rPr>
          <w:rFonts w:cs="Times New Roman"/>
          <w:szCs w:val="24"/>
        </w:rPr>
      </w:pPr>
      <w:bookmarkStart w:id="16" w:name="_Toc357382408"/>
      <w:bookmarkStart w:id="17" w:name="_Toc357383254"/>
      <w:bookmarkStart w:id="18" w:name="_Toc358326725"/>
      <w:r w:rsidRPr="00B717D1">
        <w:rPr>
          <w:rFonts w:cs="Times New Roman"/>
          <w:szCs w:val="24"/>
        </w:rPr>
        <w:t>Dissertation Organization</w:t>
      </w:r>
      <w:bookmarkEnd w:id="16"/>
      <w:bookmarkEnd w:id="17"/>
      <w:bookmarkEnd w:id="18"/>
    </w:p>
    <w:p w14:paraId="56D93AF4" w14:textId="77777777" w:rsidR="00077CB9" w:rsidRPr="00B717D1" w:rsidRDefault="00077CB9" w:rsidP="00077CB9">
      <w:pPr>
        <w:spacing w:line="480" w:lineRule="auto"/>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This dissertation is structured into five chapters. In Chapter One, the dissertation is introduced and the research motivation, research objectives, and individual research studies are described. </w:t>
      </w:r>
    </w:p>
    <w:p w14:paraId="66B786F8"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Chapter Two encompasses a systematic literature review on the first topic of innovation sourcing. This study provides an in-depth overview of the theoretical foundational on which the subsequent dissertation research can build on. Important gaps in the extant literature are identified and a detailed future research agenda concludes that chapter.</w:t>
      </w:r>
    </w:p>
    <w:p w14:paraId="29C1BA40"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In Chapter Three, the main theory explaining and predicting supply chain resource management is analyzed using a theory elaboration methodology. On that foundation, the emergent supply chain resource orchestration framework is introduced in a conceptual model. This theory-based conceptualization is enriched with the perspective of supply chain managers that participated in a multi-case study. A qualitative cross-case analysis of the interview data led </w:t>
      </w:r>
      <w:r w:rsidRPr="00B717D1">
        <w:rPr>
          <w:rFonts w:ascii="Times New Roman" w:hAnsi="Times New Roman" w:cs="Times New Roman"/>
          <w:color w:val="000000" w:themeColor="text1"/>
        </w:rPr>
        <w:lastRenderedPageBreak/>
        <w:t xml:space="preserve">to the emergence of detailed supply chain resource orchestration practices that were categorized and structured. </w:t>
      </w:r>
    </w:p>
    <w:p w14:paraId="08130125"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In Chapter Four, the results of a cross-sectional survey and structural equation modeling methodology are presented. This study is based on a quantitative research design with the focus on testing the new supply chain resource orchestration framework introduced in the prior Chapter Three. </w:t>
      </w:r>
    </w:p>
    <w:p w14:paraId="5C1F9E63" w14:textId="77777777" w:rsidR="00077CB9" w:rsidRPr="00B717D1" w:rsidRDefault="00077CB9" w:rsidP="00077CB9">
      <w:pPr>
        <w:spacing w:line="480" w:lineRule="auto"/>
        <w:ind w:firstLine="720"/>
        <w:jc w:val="both"/>
        <w:rPr>
          <w:rFonts w:ascii="Times New Roman" w:hAnsi="Times New Roman" w:cs="Times New Roman"/>
          <w:color w:val="000000" w:themeColor="text1"/>
        </w:rPr>
      </w:pPr>
      <w:r w:rsidRPr="00B717D1">
        <w:rPr>
          <w:rFonts w:ascii="Times New Roman" w:hAnsi="Times New Roman" w:cs="Times New Roman"/>
          <w:color w:val="000000" w:themeColor="text1"/>
        </w:rPr>
        <w:t xml:space="preserve">Finally, Chapter Five concludes the dissertation by summarizing and integrating the findings from the three studies, addressing limitations and implications, as well as offering suggestions for further research on this phenomenon. </w:t>
      </w:r>
    </w:p>
    <w:p w14:paraId="440C33C6" w14:textId="77777777" w:rsidR="00077CB9" w:rsidRPr="00B717D1" w:rsidRDefault="00077CB9" w:rsidP="00077CB9">
      <w:pPr>
        <w:spacing w:line="480" w:lineRule="auto"/>
        <w:jc w:val="both"/>
        <w:rPr>
          <w:rFonts w:ascii="Times New Roman" w:hAnsi="Times New Roman" w:cs="Times New Roman"/>
          <w:b/>
          <w:color w:val="000000" w:themeColor="text1"/>
        </w:rPr>
      </w:pPr>
    </w:p>
    <w:p w14:paraId="232B1DC8" w14:textId="77777777" w:rsidR="00077CB9" w:rsidRPr="00B717D1" w:rsidRDefault="00077CB9" w:rsidP="00077CB9">
      <w:pPr>
        <w:spacing w:line="480" w:lineRule="auto"/>
        <w:jc w:val="both"/>
        <w:rPr>
          <w:rFonts w:ascii="Times New Roman" w:hAnsi="Times New Roman" w:cs="Times New Roman"/>
          <w:b/>
          <w:color w:val="000000" w:themeColor="text1"/>
        </w:rPr>
      </w:pPr>
    </w:p>
    <w:p w14:paraId="482235E2" w14:textId="77777777" w:rsidR="00077CB9" w:rsidRPr="00B717D1" w:rsidRDefault="00077CB9" w:rsidP="00077CB9">
      <w:pPr>
        <w:spacing w:line="480" w:lineRule="auto"/>
        <w:jc w:val="both"/>
        <w:rPr>
          <w:rFonts w:ascii="Times New Roman" w:hAnsi="Times New Roman" w:cs="Times New Roman"/>
          <w:b/>
          <w:color w:val="000000" w:themeColor="text1"/>
        </w:rPr>
      </w:pPr>
    </w:p>
    <w:p w14:paraId="6379E9BA" w14:textId="77777777" w:rsidR="00077CB9" w:rsidRPr="00B717D1" w:rsidRDefault="00077CB9" w:rsidP="00077CB9">
      <w:pPr>
        <w:spacing w:line="480" w:lineRule="auto"/>
        <w:jc w:val="both"/>
        <w:rPr>
          <w:rFonts w:ascii="Times New Roman" w:hAnsi="Times New Roman" w:cs="Times New Roman"/>
          <w:b/>
          <w:color w:val="000000" w:themeColor="text1"/>
        </w:rPr>
      </w:pPr>
    </w:p>
    <w:p w14:paraId="32025EC7" w14:textId="6392FD98" w:rsidR="00077CB9" w:rsidRPr="009231C5" w:rsidRDefault="00077CB9" w:rsidP="009231C5">
      <w:pPr>
        <w:jc w:val="both"/>
        <w:rPr>
          <w:rFonts w:ascii="Times New Roman" w:hAnsi="Times New Roman" w:cs="Times New Roman"/>
          <w:b/>
          <w:color w:val="000000" w:themeColor="text1"/>
        </w:rPr>
        <w:sectPr w:rsidR="00077CB9" w:rsidRPr="009231C5" w:rsidSect="00CF078D">
          <w:pgSz w:w="12240" w:h="15840"/>
          <w:pgMar w:top="1440" w:right="1440" w:bottom="1800" w:left="1440" w:header="576" w:footer="720" w:gutter="0"/>
          <w:pgNumType w:start="1"/>
          <w:cols w:space="720"/>
          <w:docGrid w:linePitch="360"/>
        </w:sectPr>
      </w:pPr>
      <w:r w:rsidRPr="00B717D1">
        <w:rPr>
          <w:rFonts w:ascii="Times New Roman" w:hAnsi="Times New Roman" w:cs="Times New Roman"/>
          <w:b/>
          <w:color w:val="000000" w:themeColor="text1"/>
        </w:rPr>
        <w:br w:type="page"/>
      </w:r>
    </w:p>
    <w:p w14:paraId="541BAA10" w14:textId="1917A064" w:rsidR="00C7731B" w:rsidRDefault="00C7731B" w:rsidP="009231C5">
      <w:pPr>
        <w:pStyle w:val="Heading1"/>
      </w:pPr>
      <w:bookmarkStart w:id="19" w:name="_Toc357382409"/>
      <w:bookmarkStart w:id="20" w:name="_Toc357383255"/>
      <w:bookmarkStart w:id="21" w:name="_Toc358326726"/>
      <w:r>
        <w:lastRenderedPageBreak/>
        <w:t xml:space="preserve">CHAPTER TWO – </w:t>
      </w:r>
      <w:r w:rsidR="009231C5">
        <w:t xml:space="preserve">ARTICLE 1: </w:t>
      </w:r>
      <w:r>
        <w:t>SYSTEMATIC LITERATURE REVIEW</w:t>
      </w:r>
      <w:bookmarkEnd w:id="19"/>
      <w:bookmarkEnd w:id="20"/>
      <w:bookmarkEnd w:id="21"/>
    </w:p>
    <w:p w14:paraId="445810F0" w14:textId="77777777" w:rsidR="00C7731B" w:rsidRDefault="00C7731B" w:rsidP="00C7731B">
      <w:pPr>
        <w:spacing w:line="360" w:lineRule="auto"/>
        <w:rPr>
          <w:rFonts w:ascii="Times New Roman" w:hAnsi="Times New Roman" w:cs="Times New Roman"/>
          <w:b/>
        </w:rPr>
      </w:pPr>
    </w:p>
    <w:p w14:paraId="018E9AF6" w14:textId="77777777" w:rsidR="00C7731B" w:rsidRPr="00BA7968" w:rsidRDefault="00C7731B" w:rsidP="00C7731B">
      <w:pPr>
        <w:spacing w:line="360" w:lineRule="auto"/>
        <w:rPr>
          <w:rFonts w:ascii="Times New Roman" w:hAnsi="Times New Roman" w:cs="Times New Roman"/>
          <w:b/>
        </w:rPr>
      </w:pPr>
      <w:r>
        <w:rPr>
          <w:rFonts w:ascii="Times New Roman" w:hAnsi="Times New Roman" w:cs="Times New Roman"/>
          <w:b/>
        </w:rPr>
        <w:t>Introducing</w:t>
      </w:r>
      <w:r w:rsidRPr="00BA7968">
        <w:rPr>
          <w:rFonts w:ascii="Times New Roman" w:hAnsi="Times New Roman" w:cs="Times New Roman"/>
          <w:b/>
        </w:rPr>
        <w:t xml:space="preserve"> a Conceptual Framework</w:t>
      </w:r>
      <w:r>
        <w:rPr>
          <w:rFonts w:ascii="Times New Roman" w:hAnsi="Times New Roman" w:cs="Times New Roman"/>
          <w:b/>
        </w:rPr>
        <w:t xml:space="preserve"> </w:t>
      </w:r>
      <w:r w:rsidRPr="00BA7968">
        <w:rPr>
          <w:rFonts w:ascii="Times New Roman" w:hAnsi="Times New Roman" w:cs="Times New Roman"/>
          <w:b/>
        </w:rPr>
        <w:t>of Innovation Sourcing</w:t>
      </w:r>
    </w:p>
    <w:p w14:paraId="56DB85B0" w14:textId="77777777" w:rsidR="00C7731B" w:rsidRPr="006F110D" w:rsidRDefault="00C7731B" w:rsidP="0029191A">
      <w:pPr>
        <w:spacing w:line="480" w:lineRule="auto"/>
        <w:rPr>
          <w:rFonts w:ascii="Times New Roman" w:hAnsi="Times New Roman" w:cs="Times New Roman"/>
          <w:b/>
        </w:rPr>
      </w:pPr>
    </w:p>
    <w:p w14:paraId="3EA4A53A" w14:textId="77777777" w:rsidR="00C7731B" w:rsidRPr="006F110D" w:rsidRDefault="00C7731B" w:rsidP="0029191A">
      <w:pPr>
        <w:spacing w:line="480" w:lineRule="auto"/>
        <w:rPr>
          <w:rFonts w:ascii="Times New Roman" w:hAnsi="Times New Roman" w:cs="Times New Roman"/>
          <w:b/>
        </w:rPr>
      </w:pPr>
    </w:p>
    <w:p w14:paraId="4D6383C7" w14:textId="63D7D6AF" w:rsidR="00C7731B" w:rsidRPr="0029191A" w:rsidRDefault="00C7731B" w:rsidP="0029191A">
      <w:pPr>
        <w:spacing w:line="480" w:lineRule="auto"/>
        <w:rPr>
          <w:rFonts w:ascii="Times New Roman" w:hAnsi="Times New Roman" w:cs="Times New Roman"/>
          <w:b/>
        </w:rPr>
      </w:pPr>
      <w:r w:rsidRPr="0029191A">
        <w:rPr>
          <w:rFonts w:ascii="Times New Roman" w:hAnsi="Times New Roman" w:cs="Times New Roman"/>
          <w:b/>
        </w:rPr>
        <w:t>A</w:t>
      </w:r>
      <w:r w:rsidR="00FA7864">
        <w:rPr>
          <w:rFonts w:ascii="Times New Roman" w:hAnsi="Times New Roman" w:cs="Times New Roman"/>
          <w:b/>
        </w:rPr>
        <w:t>bstract</w:t>
      </w:r>
    </w:p>
    <w:p w14:paraId="7DC33DBC" w14:textId="77777777" w:rsidR="00C7731B" w:rsidRPr="009C7901" w:rsidRDefault="00C7731B" w:rsidP="0029191A">
      <w:pPr>
        <w:spacing w:line="480" w:lineRule="auto"/>
        <w:jc w:val="both"/>
        <w:rPr>
          <w:rFonts w:ascii="Times New Roman" w:hAnsi="Times New Roman" w:cs="Times New Roman"/>
        </w:rPr>
      </w:pPr>
      <w:r w:rsidRPr="006F110D">
        <w:rPr>
          <w:rFonts w:ascii="Times New Roman" w:hAnsi="Times New Roman" w:cs="Times New Roman"/>
        </w:rPr>
        <w:t>Innovation sourcing is the acquisition and integration, rather than internal development, of</w:t>
      </w:r>
      <w:r w:rsidRPr="009C7901">
        <w:rPr>
          <w:rFonts w:ascii="Times New Roman" w:hAnsi="Times New Roman" w:cs="Times New Roman"/>
        </w:rPr>
        <w:t xml:space="preserve"> critical knowledge from external providers</w:t>
      </w:r>
      <w:r>
        <w:rPr>
          <w:rFonts w:ascii="Times New Roman" w:hAnsi="Times New Roman" w:cs="Times New Roman"/>
        </w:rPr>
        <w:t>. In many markets, innovation sourcing</w:t>
      </w:r>
      <w:r w:rsidRPr="009C7901">
        <w:rPr>
          <w:rFonts w:ascii="Times New Roman" w:hAnsi="Times New Roman" w:cs="Times New Roman"/>
        </w:rPr>
        <w:t xml:space="preserve"> has </w:t>
      </w:r>
      <w:r>
        <w:rPr>
          <w:rFonts w:ascii="Times New Roman" w:hAnsi="Times New Roman" w:cs="Times New Roman"/>
        </w:rPr>
        <w:t xml:space="preserve">become critical for long-term </w:t>
      </w:r>
      <w:r w:rsidRPr="009C7901">
        <w:rPr>
          <w:rFonts w:ascii="Times New Roman" w:hAnsi="Times New Roman" w:cs="Times New Roman"/>
        </w:rPr>
        <w:t xml:space="preserve">survival. Consequently, </w:t>
      </w:r>
      <w:r>
        <w:rPr>
          <w:rFonts w:ascii="Times New Roman" w:hAnsi="Times New Roman" w:cs="Times New Roman"/>
        </w:rPr>
        <w:t>sourcing</w:t>
      </w:r>
      <w:r w:rsidRPr="009C7901">
        <w:rPr>
          <w:rFonts w:ascii="Times New Roman" w:hAnsi="Times New Roman" w:cs="Times New Roman"/>
        </w:rPr>
        <w:t xml:space="preserve"> processes are applied to complement internal design capabilities </w:t>
      </w:r>
      <w:r>
        <w:rPr>
          <w:rFonts w:ascii="Times New Roman" w:hAnsi="Times New Roman" w:cs="Times New Roman"/>
        </w:rPr>
        <w:t>with external knowledge</w:t>
      </w:r>
      <w:r w:rsidRPr="009C7901">
        <w:rPr>
          <w:rFonts w:ascii="Times New Roman" w:hAnsi="Times New Roman" w:cs="Times New Roman"/>
        </w:rPr>
        <w:t xml:space="preserve">. The literature </w:t>
      </w:r>
      <w:r>
        <w:rPr>
          <w:rFonts w:ascii="Times New Roman" w:hAnsi="Times New Roman" w:cs="Times New Roman"/>
        </w:rPr>
        <w:t>addressing</w:t>
      </w:r>
      <w:r w:rsidRPr="009C7901">
        <w:rPr>
          <w:rFonts w:ascii="Times New Roman" w:hAnsi="Times New Roman" w:cs="Times New Roman"/>
        </w:rPr>
        <w:t xml:space="preserve"> innovation sourcing </w:t>
      </w:r>
      <w:r>
        <w:rPr>
          <w:rFonts w:ascii="Times New Roman" w:hAnsi="Times New Roman" w:cs="Times New Roman"/>
        </w:rPr>
        <w:t xml:space="preserve">aspects </w:t>
      </w:r>
      <w:r w:rsidRPr="009C7901">
        <w:rPr>
          <w:rFonts w:ascii="Times New Roman" w:hAnsi="Times New Roman" w:cs="Times New Roman"/>
        </w:rPr>
        <w:t>is largely fragmented</w:t>
      </w:r>
      <w:r>
        <w:rPr>
          <w:rFonts w:ascii="Times New Roman" w:hAnsi="Times New Roman" w:cs="Times New Roman"/>
        </w:rPr>
        <w:t>, which limits the theoretical understanding of the phenomenon</w:t>
      </w:r>
      <w:r w:rsidRPr="009C7901">
        <w:rPr>
          <w:rFonts w:ascii="Times New Roman" w:hAnsi="Times New Roman" w:cs="Times New Roman"/>
        </w:rPr>
        <w:t xml:space="preserve">. This </w:t>
      </w:r>
      <w:r>
        <w:rPr>
          <w:rFonts w:ascii="Times New Roman" w:hAnsi="Times New Roman" w:cs="Times New Roman"/>
        </w:rPr>
        <w:t>dissertation chapter</w:t>
      </w:r>
      <w:r w:rsidRPr="009C7901">
        <w:rPr>
          <w:rFonts w:ascii="Times New Roman" w:hAnsi="Times New Roman" w:cs="Times New Roman"/>
        </w:rPr>
        <w:t xml:space="preserve"> presents a systematic literature review that synthesizes the body of knowledge regarding innovation sourcing</w:t>
      </w:r>
      <w:r>
        <w:rPr>
          <w:rFonts w:ascii="Times New Roman" w:hAnsi="Times New Roman" w:cs="Times New Roman"/>
        </w:rPr>
        <w:t>,</w:t>
      </w:r>
      <w:r w:rsidRPr="009C7901">
        <w:rPr>
          <w:rFonts w:ascii="Times New Roman" w:hAnsi="Times New Roman" w:cs="Times New Roman"/>
        </w:rPr>
        <w:t xml:space="preserve"> derives a conceptualization of the specific innovation sourcing dimensions</w:t>
      </w:r>
      <w:r>
        <w:rPr>
          <w:rFonts w:ascii="Times New Roman" w:hAnsi="Times New Roman" w:cs="Times New Roman"/>
        </w:rPr>
        <w:t>,</w:t>
      </w:r>
      <w:r w:rsidRPr="009C7901">
        <w:rPr>
          <w:rFonts w:ascii="Times New Roman" w:hAnsi="Times New Roman" w:cs="Times New Roman"/>
        </w:rPr>
        <w:t xml:space="preserve"> </w:t>
      </w:r>
      <w:r>
        <w:rPr>
          <w:rFonts w:ascii="Times New Roman" w:hAnsi="Times New Roman" w:cs="Times New Roman"/>
        </w:rPr>
        <w:t xml:space="preserve">and relates it </w:t>
      </w:r>
      <w:r w:rsidRPr="009C7901">
        <w:rPr>
          <w:rFonts w:ascii="Times New Roman" w:hAnsi="Times New Roman" w:cs="Times New Roman"/>
        </w:rPr>
        <w:t xml:space="preserve">to innovation </w:t>
      </w:r>
      <w:r>
        <w:rPr>
          <w:rFonts w:ascii="Times New Roman" w:hAnsi="Times New Roman" w:cs="Times New Roman"/>
        </w:rPr>
        <w:t>performance outcomes</w:t>
      </w:r>
      <w:r w:rsidRPr="009C7901">
        <w:rPr>
          <w:rFonts w:ascii="Times New Roman" w:hAnsi="Times New Roman" w:cs="Times New Roman"/>
        </w:rPr>
        <w:t xml:space="preserve">. A conceptual model, key dimensions and an agenda for future research are significant results of this </w:t>
      </w:r>
      <w:r>
        <w:rPr>
          <w:rFonts w:ascii="Times New Roman" w:hAnsi="Times New Roman" w:cs="Times New Roman"/>
        </w:rPr>
        <w:t>study</w:t>
      </w:r>
      <w:r w:rsidRPr="009C7901">
        <w:rPr>
          <w:rFonts w:ascii="Times New Roman" w:hAnsi="Times New Roman" w:cs="Times New Roman"/>
        </w:rPr>
        <w:t>.</w:t>
      </w:r>
    </w:p>
    <w:p w14:paraId="79449497" w14:textId="34A6BF75" w:rsidR="00C7731B" w:rsidRPr="00B07DB1" w:rsidRDefault="00C7731B" w:rsidP="00E71364">
      <w:pPr>
        <w:pStyle w:val="Heading2"/>
        <w:rPr>
          <w:rFonts w:cs="Times New Roman"/>
        </w:rPr>
      </w:pPr>
      <w:r w:rsidRPr="00BA7968">
        <w:rPr>
          <w:rFonts w:cs="Times New Roman"/>
        </w:rPr>
        <w:br w:type="page"/>
      </w:r>
      <w:bookmarkStart w:id="22" w:name="_Toc357382410"/>
      <w:bookmarkStart w:id="23" w:name="_Toc357383256"/>
      <w:bookmarkStart w:id="24" w:name="_Toc358326727"/>
      <w:r w:rsidRPr="00B07DB1">
        <w:lastRenderedPageBreak/>
        <w:t>I</w:t>
      </w:r>
      <w:bookmarkEnd w:id="22"/>
      <w:bookmarkEnd w:id="23"/>
      <w:r w:rsidR="00B337D6">
        <w:t>ntroduction</w:t>
      </w:r>
      <w:bookmarkEnd w:id="24"/>
    </w:p>
    <w:p w14:paraId="57054C68" w14:textId="77777777" w:rsidR="00C7731B" w:rsidRPr="00BA7968" w:rsidRDefault="00C7731B" w:rsidP="00B07DB1">
      <w:pPr>
        <w:spacing w:line="480" w:lineRule="auto"/>
        <w:jc w:val="both"/>
        <w:rPr>
          <w:rFonts w:ascii="Times New Roman" w:hAnsi="Times New Roman" w:cs="Times New Roman"/>
        </w:rPr>
      </w:pPr>
      <w:r>
        <w:rPr>
          <w:rFonts w:ascii="Times New Roman" w:hAnsi="Times New Roman" w:cs="Times New Roman"/>
        </w:rPr>
        <w:t>Many scholars agree that</w:t>
      </w:r>
      <w:r w:rsidRPr="00BA7968">
        <w:rPr>
          <w:rFonts w:ascii="Times New Roman" w:hAnsi="Times New Roman" w:cs="Times New Roman"/>
        </w:rPr>
        <w:t xml:space="preserve"> continuous innovation has become a strategic imperative</w:t>
      </w:r>
      <w:r>
        <w:rPr>
          <w:rFonts w:ascii="Times New Roman" w:hAnsi="Times New Roman" w:cs="Times New Roman"/>
        </w:rPr>
        <w:t xml:space="preserve"> for many organizations today</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"ITEM-1", "issue" : "1", "issued" : { "date-parts" : [ [ "2016" ] ] }, "page" : "66-81", "title" : "Toward a \"theoretical toolbox\" for the supplier-enabled fuzzy front end of the new product development process", "type" : "article-journal", "volume" : "52" }, "uris" : [ "http://www.mendeley.com/documents/?uuid=4d2eea83-02a5-4de7-bb28-bb5c657ece07" ] }, { "id" : "ITEM-2", "itemData" : { "DOI" : "10.1111/jpim.12273", "ISBN" : "9781617796029", "ISSN" : "15405885", "PMID" : "8190083", "abstract" : "The constant and successful market introduction of new products is of major concern to companies throughout all industries. However, empirical research points to high failure rates of innovations, indicating that most new products fail as they are rejected by consumers due to their resistance to innovation. Several studies have confirmed the importance of passive innovation resistance as a dominant barrier, which has to be overcome before new product adoption can start. However, empirical evidence on how to overcome passive innovation resistance is still lacking. This study intends to address this gap by evaluating the effectiveness of marketing instruments (i.e., mental simulation and benefit comparison) to reduce negative effects of passive innovation resistance on new product adoption. The results of a scenario-based experiment (n = 679) confirm high effectiveness for both instruments. However, the effectiveness varied with the type of passive innovation resistance present. More specifically, mental simulation was found to be the most effective instrument in the case of cognitive passive resistance, whereas benefit comparison was found to be most effective in the case of situational passive resistance. Thereby, the effect of both marketing instruments was stronger the more radical the new product was perceived. Hence, companies should assess the type of passive innovation resistance that is predominant in their target market, and align their choice of marketing instruments that accompany a new product launch to most effectively overcome passive innovation resistance. Employing such new product launch tactics should decrease initial market resistance and thus help companies in reducing innovation failure rates", "author" : [ { "dropping-particle" : "", "family" : "Heidenreich", "given" : "Sven", "non-dropping-particle" : "", "parse-names" : false, "suffix" : "" }, { "dropping-particle" : "", "family" : "Kraemer", "given" : "Tobias", "non-dropping-particle" : "", "parse-names" : false, "suffix" : "" } ], "container-title" : "Journal of Product Innovation Management", "id" : "ITEM-2", "issue" : "3", "issued" : { "date-parts" : [ [ "2016" ] ] }, "page" : "277-297", "title" : "Innovations - Doomed to Fail? Investigating Strategies to Overcome Passive Innovation Resistance", "type" : "article-journal", "volume" : "33" }, "uris" : [ "http://www.mendeley.com/documents/?uuid=ce5e3cb7-eb16-43ca-92a5-d1076cc4842a" ] } ], "mendeley" : { "formattedCitation" : "(Heidenreich &amp; Kraemer, 2016; Wowak, Craighead, Ketchen, &amp; Hult, 2016)", "plainTextFormattedCitation" : "(Heidenreich &amp; Kraemer, 2016; Wowak, Craighead, Ketchen, &amp; Hult, 2016)", "previouslyFormattedCitation" : "(Heidenreich &amp; Kraemer, 2016; Wowak, Craighead, Ketchen, &amp; Hult, 2016)"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(Heidenreich &amp; Kraemer, 2016; Wowak, Craighead, Ketchen, &amp; Hult, 2016)</w:t>
      </w:r>
      <w:r w:rsidRPr="00BA7968">
        <w:rPr>
          <w:rFonts w:ascii="Times New Roman" w:hAnsi="Times New Roman" w:cs="Times New Roman"/>
        </w:rPr>
        <w:fldChar w:fldCharType="end"/>
      </w:r>
      <w:r w:rsidRPr="00BA7968">
        <w:rPr>
          <w:rFonts w:ascii="Times New Roman" w:hAnsi="Times New Roman" w:cs="Times New Roman"/>
        </w:rPr>
        <w:t>.</w:t>
      </w:r>
      <w:r>
        <w:rPr>
          <w:rFonts w:ascii="Times New Roman" w:hAnsi="Times New Roman" w:cs="Times New Roman"/>
        </w:rPr>
        <w:t xml:space="preserve"> The market pressure is succinctly characterized by the motto of </w:t>
      </w:r>
      <w:r w:rsidRPr="00BA7968">
        <w:rPr>
          <w:rFonts w:ascii="Times New Roman" w:hAnsi="Times New Roman" w:cs="Times New Roman"/>
        </w:rPr>
        <w:t>“innovate or die”</w:t>
      </w:r>
      <w:r>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"Quinn", "given" : "James Brian", "non-dropping-particle" : "", "parse-names" : false, "suffix" : "" } ], "container-title" : "Sloan Management Review", "id" : "ITEM-1", "issue" : "4", "issued" : { "date-parts" : [ [ "2000" ] ] }, "page" : "13-28", "title" : "Outsourcing Innovation : The New Engine of Growth", "type" : "article-journal", "volume" : "41" }, "uris" : [ "http://www.mendeley.com/documents/?uuid=a45106ed-8659-4155-be2e-0bb26c9ab14b" ] } ], "mendeley" : { "formattedCitation" : "(Quinn, 2000)", "manualFormatting" : "Quinn 2000)", "plainTextFormattedCitation" : "(Quinn, 2000)", "previouslyFormattedCitation" : "(Quinn, 2000)" }, "properties" : { "noteIndex" : 0 }, "schema" : "https://github.com/citation-style-language/schema/raw/master/csl-citation.json" }</w:instrText>
      </w:r>
      <w:r w:rsidRPr="00BA7968">
        <w:rPr>
          <w:rFonts w:ascii="Times New Roman" w:hAnsi="Times New Roman" w:cs="Times New Roman"/>
        </w:rPr>
        <w:fldChar w:fldCharType="separate"/>
      </w:r>
      <w:r w:rsidRPr="00BA7968">
        <w:rPr>
          <w:rFonts w:ascii="Times New Roman" w:hAnsi="Times New Roman" w:cs="Times New Roman"/>
          <w:noProof/>
        </w:rPr>
        <w:t>Quinn 2000)</w:t>
      </w:r>
      <w:r w:rsidRPr="00BA7968">
        <w:rPr>
          <w:rFonts w:ascii="Times New Roman" w:hAnsi="Times New Roman" w:cs="Times New Roman"/>
        </w:rPr>
        <w:fldChar w:fldCharType="end"/>
      </w:r>
      <w:r>
        <w:rPr>
          <w:rFonts w:ascii="Times New Roman" w:hAnsi="Times New Roman" w:cs="Times New Roman"/>
        </w:rPr>
        <w:t>. M</w:t>
      </w:r>
      <w:r w:rsidRPr="00BA7968">
        <w:rPr>
          <w:rFonts w:ascii="Times New Roman" w:hAnsi="Times New Roman" w:cs="Times New Roman"/>
        </w:rPr>
        <w:t xml:space="preserve">ore than </w:t>
      </w:r>
      <w:r>
        <w:rPr>
          <w:rFonts w:ascii="Times New Roman" w:hAnsi="Times New Roman" w:cs="Times New Roman"/>
        </w:rPr>
        <w:t>50 percent</w:t>
      </w:r>
      <w:r w:rsidRPr="00BA7968">
        <w:rPr>
          <w:rFonts w:ascii="Times New Roman" w:hAnsi="Times New Roman" w:cs="Times New Roman"/>
        </w:rPr>
        <w:t xml:space="preserve"> of current </w:t>
      </w:r>
      <w:r>
        <w:rPr>
          <w:rFonts w:ascii="Times New Roman" w:hAnsi="Times New Roman" w:cs="Times New Roman"/>
        </w:rPr>
        <w:t>sales</w:t>
      </w:r>
      <w:r w:rsidRPr="00BA7968">
        <w:rPr>
          <w:rFonts w:ascii="Times New Roman" w:hAnsi="Times New Roman" w:cs="Times New Roman"/>
        </w:rPr>
        <w:t xml:space="preserve"> are </w:t>
      </w:r>
      <w:r>
        <w:rPr>
          <w:rFonts w:ascii="Times New Roman" w:hAnsi="Times New Roman" w:cs="Times New Roman"/>
        </w:rPr>
        <w:t>based on</w:t>
      </w:r>
      <w:r w:rsidRPr="00BA7968">
        <w:rPr>
          <w:rFonts w:ascii="Times New Roman" w:hAnsi="Times New Roman" w:cs="Times New Roman"/>
        </w:rPr>
        <w:t xml:space="preserve"> </w:t>
      </w:r>
      <w:r>
        <w:rPr>
          <w:rFonts w:ascii="Times New Roman" w:hAnsi="Times New Roman" w:cs="Times New Roman"/>
        </w:rPr>
        <w:t>recently</w:t>
      </w:r>
      <w:r w:rsidRPr="00BA7968">
        <w:rPr>
          <w:rFonts w:ascii="Times New Roman" w:hAnsi="Times New Roman" w:cs="Times New Roman"/>
        </w:rPr>
        <w:t xml:space="preserve"> </w:t>
      </w:r>
      <w:r>
        <w:rPr>
          <w:rFonts w:ascii="Times New Roman" w:hAnsi="Times New Roman" w:cs="Times New Roman"/>
        </w:rPr>
        <w:t>introduced</w:t>
      </w:r>
      <w:r w:rsidRPr="00BA7968">
        <w:rPr>
          <w:rFonts w:ascii="Times New Roman" w:hAnsi="Times New Roman" w:cs="Times New Roman"/>
        </w:rPr>
        <w:t xml:space="preserve"> products or services </w:t>
      </w:r>
      <w:r>
        <w:rPr>
          <w:rFonts w:ascii="Times New Roman" w:hAnsi="Times New Roman" w:cs="Times New Roman"/>
        </w:rPr>
        <w:t>i</w:t>
      </w:r>
      <w:r w:rsidRPr="00BA7968">
        <w:rPr>
          <w:rFonts w:ascii="Times New Roman" w:hAnsi="Times New Roman" w:cs="Times New Roman"/>
        </w:rPr>
        <w:t xml:space="preserve">n many </w:t>
      </w:r>
      <w:r>
        <w:rPr>
          <w:rFonts w:ascii="Times New Roman" w:hAnsi="Times New Roman" w:cs="Times New Roman"/>
        </w:rPr>
        <w:t>markets</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"Schilling", "given" : "Melissa A", "non-dropping-particle" : "", "parse-names" : false, "suffix" : "" }, { "dropping-particle" : "", "family" : "Hill", "given" : "Charles W L", "non-dropping-particle" : "", "parse-names" : false, "suffix" : "" } ], "container-title" : "Academy of Management Executive", "id" : "ITEM-1", "issue" : "3", "issued" : { "date-parts" : [ [ "1998" ] ] }, "page" : "67-81", "title" : "Managing the new product development process: Strategic imperatives", "type" : "article-journal", "volume" : "12" }, "uris" : [ "http://www.mendeley.com/documents/?uuid=af795d03-e2ea-4e50-ba34-10de49208ce0" ] } ], "mendeley" : { "formattedCitation" : "(Schilling &amp; Hill, 1998)", "plainTextFormattedCitation" : "(Schilling &amp; Hill, 1998)", "previouslyFormattedCitation" : "(Schilling &amp; Hill, 1998)"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(Schilling &amp; Hill, 1998)</w:t>
      </w:r>
      <w:r w:rsidRPr="00BA7968">
        <w:rPr>
          <w:rFonts w:ascii="Times New Roman" w:hAnsi="Times New Roman" w:cs="Times New Roman"/>
        </w:rPr>
        <w:fldChar w:fldCharType="end"/>
      </w:r>
      <w:r>
        <w:rPr>
          <w:rFonts w:ascii="Times New Roman" w:hAnsi="Times New Roman" w:cs="Times New Roman"/>
        </w:rPr>
        <w:t>.</w:t>
      </w:r>
      <w:r w:rsidRPr="00BA7968">
        <w:rPr>
          <w:rFonts w:ascii="Times New Roman" w:hAnsi="Times New Roman" w:cs="Times New Roman"/>
        </w:rPr>
        <w:t xml:space="preserve"> </w:t>
      </w:r>
      <w:r>
        <w:rPr>
          <w:rFonts w:ascii="Times New Roman" w:hAnsi="Times New Roman" w:cs="Times New Roman"/>
        </w:rPr>
        <w:t xml:space="preserve">Hence, </w:t>
      </w:r>
      <w:r w:rsidRPr="00BA7968">
        <w:rPr>
          <w:rFonts w:ascii="Times New Roman" w:hAnsi="Times New Roman" w:cs="Times New Roman"/>
        </w:rPr>
        <w:t xml:space="preserve">innovation </w:t>
      </w:r>
      <w:r>
        <w:rPr>
          <w:rFonts w:ascii="Times New Roman" w:hAnsi="Times New Roman" w:cs="Times New Roman"/>
        </w:rPr>
        <w:t xml:space="preserve">is </w:t>
      </w:r>
      <w:r w:rsidRPr="00BA7968">
        <w:rPr>
          <w:rFonts w:ascii="Times New Roman" w:hAnsi="Times New Roman" w:cs="Times New Roman"/>
        </w:rPr>
        <w:t xml:space="preserve">a strategic driver of growth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"10.1007/s11747-011-0258-1", "ISBN" : "1174701102581", "ISSN" : "00920703", "abstract" : "There is a substantial literature on the product development process but comparatively little on the impact of lean launch execution and launch timing on new product performance. Given the costs and risks involved in product commercialization, this research gap is surprising. Delays in product launch can lead to poor channel cooperation and coordination, missed market opportunities, and lost competitive opportunities, yet timing of the launch has not been included in many reported studies. In addition, managers at many firms have prioritized supply chain activities such as integration of logistics with other functional areas in order to obtain cost efficiencies and accelerate time to market; the role of lean launch execution in improving new product performance has also received little research attention. In this study, we build a conceptual model in which lean launch, launch timing, and quality of marketing effort are modeled as precursors to new product performance; we assess the role of market orientation and cross-functional integration in lean launch execution as well as indirect and direct effects of launch timing on performance. We empirically test our model with a sample of 183 U.S.-based corporate managers actively involved in new product launch. We find evidence that execution of a lean launch and effective marketing significantly improve new product performance, and that correct launch timing positively moderates the effect of lean launch on performance. These variables therefore should be carefully considered by managers of new product processes.", "author" : [ { "dropping-particle" : "", "family" : "Calantone", "given" : "Roger J.", "non-dropping-particle" : "", "parse-names" : false, "suffix" : "" }, { "dropping-particle" : "", "family" : "Benedetto", "given" : "C. Anthony", "non-dropping-particle" : "Di", "parse-names" : false, "suffix" : "" } ], "container-title" : "Journal of the Academy of Marketing Science", "id" : "ITEM-1", "issue" : "4", "issued" : { "date-parts" : [ [ "2012" ] ] }, "page" : "526-538", "title" : "The role of lean launch execution and launch timing on new product performance", "type" : "article-journal", "volume" : "40" }, "uris" : [ "http://www.mendeley.com/documents/?uuid=a4805895-b027-49f3-98ad-5b62c6b2d71b" ] } ], "mendeley" : { "formattedCitation" : "(Calantone &amp; Di Benedetto, 2012)", "plainTextFormattedCitation" : "(Calantone &amp; Di Benedetto, 2012)", "previouslyFormattedCitation" : "(Calantone &amp; Di Benedetto,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(Calantone &amp; Di Benedetto, 2012)</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In this dissertation, i</w:t>
      </w:r>
      <w:r w:rsidRPr="00BA7968">
        <w:rPr>
          <w:rFonts w:ascii="Times New Roman" w:hAnsi="Times New Roman" w:cs="Times New Roman"/>
        </w:rPr>
        <w:t xml:space="preserve">nnovation </w:t>
      </w:r>
      <w:r>
        <w:rPr>
          <w:rFonts w:ascii="Times New Roman" w:hAnsi="Times New Roman" w:cs="Times New Roman"/>
        </w:rPr>
        <w:t>is defined as</w:t>
      </w:r>
      <w:r w:rsidRPr="00BA7968">
        <w:rPr>
          <w:rFonts w:ascii="Times New Roman" w:hAnsi="Times New Roman" w:cs="Times New Roman"/>
        </w:rPr>
        <w:t xml:space="preserve"> new or refined methods, products or practices that lead to higher </w:t>
      </w:r>
      <w:r>
        <w:rPr>
          <w:rFonts w:ascii="Times New Roman" w:hAnsi="Times New Roman" w:cs="Times New Roman"/>
        </w:rPr>
        <w:t xml:space="preserve">organizational </w:t>
      </w:r>
      <w:r w:rsidRPr="00BA7968">
        <w:rPr>
          <w:rFonts w:ascii="Times New Roman" w:hAnsi="Times New Roman" w:cs="Times New Roman"/>
        </w:rPr>
        <w:t xml:space="preserve">performance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"10.1177/1470593106066796", "ISBN" : "1470593106066", "author" : [ { "dropping-particle" : "", "family" : "Flint", "given" : "Daniel J", "non-dropping-particle" : "", "parse-names" : false, "suffix" : "" } ], "container-title" : "Marketing Theory", "id" : "ITEM-1", "issue" : "3", "issued" : { "date-parts" : [ [ "2006" ] ] }, "page" : "349-362", "title" : "Innovation , symbolic interaction and customer valuing: Thoughts stemming from a service-dominant logic of marketing", "type" : "article-journal", "volume" : "6" }, "uris" : [ "http://www.mendeley.com/documents/?uuid=6d3b073a-9abd-4601-a462-d6834c3ddae7" ] }, { "id" : "ITEM-2", "itemData" : { "author" : [ { "dropping-particle" : "", "family" : "Gatignon", "given" : "Hubert", "non-dropping-particle" : "", "parse-names" : false, "suffix" : "" }, { "dropping-particle" : "", "family" : "Xuereb", "given" : "Jean-Marc", "non-dropping-particle" : "", "parse-names" : false, "suffix" : "" } ], "container-title" : "Journal of Marketing Research", "id" : "ITEM-2", "issued" : { "date-parts" : [ [ "1997" ] ] }, "page" : "77-90", "title" : "Strategic Orientation of the Firm and New Product Performance", "type" : "article-journal", "volume" : "XXXIV" }, "uris" : [ "http://www.mendeley.com/documents/?uuid=af9c1a85-177d-4fa5-8e09-68dc090e026c" ] } ], "mendeley" : { "formattedCitation" : "(Flint, 2006; Gatignon &amp; Xuereb, 1997)", "plainTextFormattedCitation" : "(Flint, 2006; Gatignon &amp; Xuereb, 1997)", "previouslyFormattedCitation" : "(Flint, 2006; Gatignon &amp; Xuereb, 1997)"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(Flint, 2006; Gatignon &amp; Xuereb, 1997)</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 xml:space="preserve">Prior research has shown that </w:t>
      </w:r>
      <w:r w:rsidRPr="00BA7968">
        <w:rPr>
          <w:rFonts w:ascii="Times New Roman" w:hAnsi="Times New Roman" w:cs="Times New Roman"/>
        </w:rPr>
        <w:t xml:space="preserve">successful </w:t>
      </w:r>
      <w:r>
        <w:rPr>
          <w:rFonts w:ascii="Times New Roman" w:hAnsi="Times New Roman" w:cs="Times New Roman"/>
        </w:rPr>
        <w:t>i</w:t>
      </w:r>
      <w:r w:rsidRPr="00BA7968">
        <w:rPr>
          <w:rFonts w:ascii="Times New Roman" w:hAnsi="Times New Roman" w:cs="Times New Roman"/>
        </w:rPr>
        <w:t xml:space="preserve">nnovation </w:t>
      </w:r>
      <w:r>
        <w:rPr>
          <w:rFonts w:ascii="Times New Roman" w:hAnsi="Times New Roman"/>
        </w:rPr>
        <w:t>can lead to</w:t>
      </w:r>
      <w:r w:rsidRPr="00BA7968">
        <w:rPr>
          <w:rFonts w:ascii="Times New Roman" w:hAnsi="Times New Roman" w:cs="Times New Roman"/>
        </w:rPr>
        <w:t xml:space="preserve"> </w:t>
      </w:r>
      <w:r>
        <w:rPr>
          <w:rFonts w:ascii="Times New Roman" w:hAnsi="Times New Roman" w:cs="Times New Roman"/>
        </w:rPr>
        <w:t>increased</w:t>
      </w:r>
      <w:r w:rsidRPr="00BA7968">
        <w:rPr>
          <w:rFonts w:ascii="Times New Roman" w:hAnsi="Times New Roman" w:cs="Times New Roman"/>
        </w:rPr>
        <w:t xml:space="preserve"> market share and profits</w:t>
      </w:r>
      <w:r>
        <w:rPr>
          <w:rFonts w:ascii="Times New Roman" w:hAnsi="Times New Roman" w:cs="Times New Roman"/>
        </w:rPr>
        <w:t xml:space="preserve"> due to relevant </w:t>
      </w:r>
      <w:r w:rsidRPr="00BA7968">
        <w:rPr>
          <w:rFonts w:ascii="Times New Roman" w:hAnsi="Times New Roman" w:cs="Times New Roman"/>
        </w:rPr>
        <w:t xml:space="preserve">product </w:t>
      </w:r>
      <w:r>
        <w:rPr>
          <w:rFonts w:ascii="Times New Roman" w:hAnsi="Times New Roman" w:cs="Times New Roman"/>
        </w:rPr>
        <w:t>or</w:t>
      </w:r>
      <w:r w:rsidRPr="00BA7968">
        <w:rPr>
          <w:rFonts w:ascii="Times New Roman" w:hAnsi="Times New Roman" w:cs="Times New Roman"/>
        </w:rPr>
        <w:t xml:space="preserve"> service</w:t>
      </w:r>
      <w:r>
        <w:rPr>
          <w:rFonts w:ascii="Times New Roman" w:hAnsi="Times New Roman" w:cs="Times New Roman"/>
        </w:rPr>
        <w:t xml:space="preserve"> enhancements</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"De", "family" : "Luca", "given" : "Luigi M.", "non-dropping-particle" : "", "parse-names" : false, "suffix" : "" }, { "dropping-particle" : "", "family" : "Atuahene-Gima", "given" : "Kwaku", "non-dropping-particle" : "", "parse-names" : false, "suffix" : "" } ], "container-title" : "Journal of Marketing", "id" : "ITEM-1", "issue" : "1", "issued" : { "date-parts" : [ [ "2007" ] ] }, "page" : "95-112", "title" : "Market Knowledge Dimensions and Cross-Functional Collaboration: Examining the Different Routes to Product Innovation Performance", "type" : "article-journal", "volume" : "71" }, "uris" : [ "http://www.mendeley.com/documents/?uuid=47310e74-e4bf-4b64-b420-fdf9f0c993ca" ] } ], "mendeley" : { "formattedCitation" : "(Luca &amp; Atuahene-Gima, 2007)", "plainTextFormattedCitation" : "(Luca &amp; Atuahene-Gima, 2007)", "previouslyFormattedCitation" : "(Luca &amp; Atuahene-Gima, 2007)"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(Luca &amp; Atuahene-Gima, 2007)</w:t>
      </w:r>
      <w:r w:rsidRPr="00BA7968">
        <w:rPr>
          <w:rFonts w:ascii="Times New Roman" w:hAnsi="Times New Roman" w:cs="Times New Roman"/>
        </w:rPr>
        <w:fldChar w:fldCharType="end"/>
      </w:r>
      <w:r w:rsidRPr="00BA7968">
        <w:rPr>
          <w:rFonts w:ascii="Times New Roman" w:hAnsi="Times New Roman" w:cs="Times New Roman"/>
        </w:rPr>
        <w:t>.</w:t>
      </w:r>
    </w:p>
    <w:p w14:paraId="01510CD3" w14:textId="77777777" w:rsidR="00C7731B"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r>
      <w:r>
        <w:rPr>
          <w:rFonts w:ascii="Times New Roman" w:hAnsi="Times New Roman" w:cs="Times New Roman"/>
        </w:rPr>
        <w:t>Nowadays, collaborative</w:t>
      </w:r>
      <w:r w:rsidRPr="00BA7968">
        <w:rPr>
          <w:rFonts w:ascii="Times New Roman" w:hAnsi="Times New Roman" w:cs="Times New Roman"/>
        </w:rPr>
        <w:t xml:space="preserve"> development </w:t>
      </w:r>
      <w:r>
        <w:rPr>
          <w:rFonts w:ascii="Times New Roman" w:hAnsi="Times New Roman" w:cs="Times New Roman"/>
        </w:rPr>
        <w:t xml:space="preserve">activities with suppliers are a fundamental driver of innovation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"10.1016/j.jom.2007.04.003", "ISBN" : "0272-6963", "ISSN" : "02726963", "abstract" : "This paper empirically examines the acquisition of a technology from a source outside the firm and its incorporation into a new or existing operational process. We refer to this key activity in process innovation as external technology integration. This paper develops a conceptual framework of external technology integration based on organizational information processing theory and technology management literature. The primary hypothesis underlying the conceptual framework is that external technology integration will be most successful when the level of interaction between the source of the technology and recipient of the technology is appropriately matched, or fit, to the characteristics of the technology to be integrated. The conceptual framework also develops other hypotheses relating to contextual factors that may also influence the success of external technology integration. A cross-sectional survey methodology is employed to test the four hypotheses of the conceptual framework, with the results indicating strong support for the fit hypothesis and general support for the contextual hypotheses. The paper closes with a discussion of the implications of this study for both theory and practice. ?? 2007 Elsevier B.V. All rights reserved.", "author" : [ { "dropping-particle" : "", "family" : "Stock", "given" : "Gregory N.", "non-dropping-particle" : "", "parse-names" : false, "suffix" : "" }, { "dropping-particle" : "V.", "family" : "Tatikonda", "given" : "Mohan", "non-dropping-particle" : "", "parse-names" : false, "suffix" : "" } ], "container-title" : "Journal of Operations Management", "id" : "ITEM-1", "issue" : "1", "issued" : { "date-parts" : [ [ "2008" ] ] }, "page" : "65-80", "title" : "The joint influence of technology uncertainty and interorganizational interaction on external technology integration success", "type" : "article-journal", "volume" : "26" }, "uris" : [ "http://www.mendeley.com/documents/?uuid=1486c471-b129-462c-8abe-d7f952c0336b" ] }, { "id" : "ITEM-2", "itemData" : { "DOI" : "10.1287/orsc.1080.0404", "ISSN" : "1047-7039", "author" : [ { "dropping-particle" : "", "family" : "Rothaermel", "given" : "Frank T.", "non-dropping-particle" : "", "parse-names" : false, "suffix" : "" }, { "dropping-particle" : "", "family" : "Alexandre", "given" : "Maria Tereza", "non-dropping-particle" : "", "parse-names" : false, "suffix" : "" } ], "container-title" : "Organization Science", "id" : "ITEM-2", "issue" : "4", "issued" : { "date-parts" : [ [ "2009" ] ] }, "page" : "759-780", "title" : "Ambidexterity in Technology Sourcing: The Moderating Role of Absorptive Capacity", "type" : "article-journal", "volume" : "20" }, "uris" : [ "http://www.mendeley.com/documents/?uuid=3c03702c-81e4-4129-b398-5f11a61a91cd" ] } ], "mendeley" : { "formattedCitation" : "(Rothaermel &amp; Alexandre, 2009; Stock &amp; Tatikonda, 2008)", "plainTextFormattedCitation" : "(Rothaermel &amp; Alexandre, 2009; Stock &amp; Tatikonda, 2008)", "previouslyFormattedCitation" : "(Rothaermel &amp; Alexandre, 2009; Stock &amp; Tatikonda, 2008)" }, "properties" : { "noteIndex" : 0 }, "schema" : "https://github.com/citation-style-language/schema/raw/master/csl-citation.json" }</w:instrText>
      </w:r>
      <w:r>
        <w:rPr>
          <w:rFonts w:ascii="Times New Roman" w:hAnsi="Times New Roman" w:cs="Times New Roman"/>
        </w:rPr>
        <w:fldChar w:fldCharType="separate"/>
      </w:r>
      <w:r w:rsidRPr="006A22BF">
        <w:rPr>
          <w:rFonts w:ascii="Times New Roman" w:hAnsi="Times New Roman" w:cs="Times New Roman"/>
          <w:noProof/>
        </w:rPr>
        <w:t>(Rothaermel &amp; Alexandre, 2009; Stock &amp; Tatikonda, 2008)</w:t>
      </w:r>
      <w:r>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Organizations</w:t>
      </w:r>
      <w:r w:rsidRPr="00BA7968">
        <w:rPr>
          <w:rFonts w:ascii="Times New Roman" w:hAnsi="Times New Roman" w:cs="Times New Roman"/>
        </w:rPr>
        <w:t xml:space="preserve"> </w:t>
      </w:r>
      <w:r>
        <w:rPr>
          <w:rFonts w:ascii="Times New Roman" w:hAnsi="Times New Roman" w:cs="Times New Roman"/>
        </w:rPr>
        <w:t>increasingly</w:t>
      </w:r>
      <w:r w:rsidRPr="00BA7968">
        <w:rPr>
          <w:rFonts w:ascii="Times New Roman" w:hAnsi="Times New Roman" w:cs="Times New Roman"/>
        </w:rPr>
        <w:t xml:space="preserve"> rely on </w:t>
      </w:r>
      <w:r>
        <w:rPr>
          <w:rFonts w:ascii="Times New Roman" w:hAnsi="Times New Roman" w:cs="Times New Roman"/>
        </w:rPr>
        <w:t xml:space="preserve">the support from </w:t>
      </w:r>
      <w:r w:rsidRPr="00BA7968">
        <w:rPr>
          <w:rFonts w:ascii="Times New Roman" w:hAnsi="Times New Roman" w:cs="Times New Roman"/>
        </w:rPr>
        <w:t xml:space="preserve">external </w:t>
      </w:r>
      <w:r>
        <w:rPr>
          <w:rFonts w:ascii="Times New Roman" w:hAnsi="Times New Roman" w:cs="Times New Roman"/>
        </w:rPr>
        <w:t>partners</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"10.1016/j.jbusres.2010.12.005", "ISSN" : "0148-2963", "author" : [ { "dropping-particle" : "", "family" : "Kostopoulos", "given" : "Konstantinos", "non-dropping-particle" : "", "parse-names" : false, "suffix" : "" }, { "dropping-particle" : "", "family" : "Papalexandris", "given" : "Alexandros", "non-dropping-particle" : "", "parse-names" : false, "suffix" : "" }, { "dropping-particle" : "", "family" : "Papachroni", "given" : "Margarita", "non-dropping-particle" : "", "parse-names" : false, "suffix" : "" }, { "dropping-particle" : "", "family" : "Ioannou", "given" : "George", "non-dropping-particle" : "", "parse-names" : false, "suffix" : "" } ], "container-title" : "Journal of Business Research", "id" : "ITEM-1", "issue" : "12", "issued" : { "date-parts" : [ [ "2011" ] ] }, "page" : "1335-1343", "title" : "Absorptive capacity, innovation, and financial performance", "type" : "article-journal", "volume" : "64" }, "uris" : [ "http://www.mendeley.com/documents/?uuid=9d4b59f9-b042-4a69-8184-fa1c148832e0" ] } ], "mendeley" : { "formattedCitation" : "(Kostopoulos, Papalexandris, Papachroni, &amp; Ioannou, 2011)", "plainTextFormattedCitation" : "(Kostopoulos, Papalexandris, Papachroni, &amp; Ioannou, 2011)", "previouslyFormattedCitation" : "(Kostopoulos, Papalexandris, Papachroni, &amp; Ioannou,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(Kostopoulos, Papalexandris, Papachroni, &amp; Ioannou, 2011)</w:t>
      </w:r>
      <w:r w:rsidRPr="00BA7968">
        <w:rPr>
          <w:rFonts w:ascii="Times New Roman" w:hAnsi="Times New Roman" w:cs="Times New Roman"/>
        </w:rPr>
        <w:fldChar w:fldCharType="end"/>
      </w:r>
      <w:r>
        <w:rPr>
          <w:rFonts w:ascii="Times New Roman" w:hAnsi="Times New Roman" w:cs="Times New Roman"/>
        </w:rPr>
        <w:t xml:space="preserve"> to meet the required development speed and quality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"10.1504/IJTIP.2012.048477", "ISSN" : "1740-2832", "abstract" : "It is widely acknowledged that suppliers contribute positively to innovation in New Product Development (NPD). However, it remains rather unclear what suppliers actually contribute to innovation. Based on a literature review focusing on 80 articles and a focus group meeting with strategic purchasing managers, a conceptual framework is developed categorising different supplier inputs to innovation. This model is formulated by characterising supplier inputs on a component level and an architectural level, related to knowledge extension and knowledge reconfiguration, respectively. Further, supplier inputs can be incremental or radical in nature, resulting in either a dependence on the supplier\u2019s process knowledge or the supplier\u2019s technology knowledge. These situations imply different conditions for knowledge integration.", "author" : [ { "dropping-particle" : "", "family" : "Rosell", "given" : "David T.", "non-dropping-particle" : "", "parse-names" : false, "suffix" : "" }, { "dropping-particle" : "", "family" : "Lakemond", "given" : "Nicolette", "non-dropping-particle" : "", "parse-names" : false, "suffix" : "" } ], "container-title" : "International Journal of Technology Intelligence and Planning", "id" : "ITEM-1", "issue" : "2", "issued" : { "date-parts" : [ [ "2012" ] ] }, "page" : "197-214", "title" : "Collaborative innovation with suppliers -A conceptual model for characterising supplier contributions to NPD", "type" : "article-journal", "volume" : "8" }, "uris" : [ "http://www.mendeley.com/documents/?uuid=d1c0da35-2881-445d-92c2-d2ea7283e6d2" ] } ], "mendeley" : { "formattedCitation" : "(Rosell &amp; Lakemond, 2012)", "plainTextFormattedCitation" : "(Rosell &amp; Lakemond, 2012)", "previouslyFormattedCitation" : "(Rosell &amp; Lakemond,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(Rosell &amp; Lakemond, 2012)</w:t>
      </w:r>
      <w:r w:rsidRPr="00BA7968">
        <w:rPr>
          <w:rFonts w:ascii="Times New Roman" w:hAnsi="Times New Roman" w:cs="Times New Roman"/>
        </w:rPr>
        <w:fldChar w:fldCharType="end"/>
      </w:r>
      <w:r w:rsidRPr="00BA7968">
        <w:rPr>
          <w:rFonts w:ascii="Times New Roman" w:hAnsi="Times New Roman" w:cs="Times New Roman"/>
        </w:rPr>
        <w:t xml:space="preserve">. In Europe, for example, external research and development (R&amp;D) spending is more than 50% of the total in-house R&amp;D budget for some organizations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"10.1111/j.1467-9310.2006.00437.x", "author" : [ { "dropping-particle" : "", "family" : "Gassmann", "given" : "Oliver", "non-dropping-particle" : "", "parse-names" : false, "suffix" : "" } ], "container-title" : "R&amp;D Management", "id" : "ITEM-1", "issue" : "3", "issued" : { "date-parts" : [ [ "2006" ] ] }, "page" : "223-228", "title" : "Opening Up the Innovation Process: Towards an Agenda", "type" : "article-journal", "volume" : "36" }, "uris" : [ "http://www.mendeley.com/documents/?uuid=be9ecf10-5378-466b-8674-237f61bab574" ] } ], "mendeley" : { "formattedCitation" : "(Gassmann, 2006)", "plainTextFormattedCitation" : "(Gassmann, 2006)", "previouslyFormattedCitation" : "(Gassmann,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(Gassmann, 2006)</w:t>
      </w:r>
      <w:r w:rsidRPr="00BA7968">
        <w:rPr>
          <w:rFonts w:ascii="Times New Roman" w:hAnsi="Times New Roman" w:cs="Times New Roman"/>
        </w:rPr>
        <w:fldChar w:fldCharType="end"/>
      </w:r>
      <w:r w:rsidRPr="00BA7968">
        <w:rPr>
          <w:rFonts w:ascii="Times New Roman" w:hAnsi="Times New Roman" w:cs="Times New Roman"/>
        </w:rPr>
        <w:t xml:space="preserve">. A similar trend has been observed in the U.S.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"Slowinski", "given" : "Gene", "non-dropping-particle" : "", "parse-names" : false, "suffix" : "" }, { "dropping-particle" : "", "family" : "Hummel", "given" : "Edward", "non-dropping-particle" : "", "parse-names" : false, "suffix" : "" }, { "dropping-particle" : "", "family" : "Gupta", "given" : "Amitabh", "non-dropping-particle" : "", "parse-names" : false, "suffix" : "" }, { "dropping-particle" : "", "family" : "Gilmont", "given" : "Ernest R", "non-dropping-particle" : "", "parse-names" : false, "suffix" : "" } ], "container-title" : "Research Technology Management", "id" : "ITEM-1", "issue" : "1", "issued" : { "date-parts" : [ [ "2009" ] ] }, "page" : "27-34", "title" : "Effective Practices For Sourcing Innovation", "type" : "article-journal", "volume" : "52" }, "uris" : [ "http://www.mendeley.com/documents/?uuid=70bbb5ae-a2a1-4817-bf83-484a3049b292" ] } ], "mendeley" : { "formattedCitation" : "(Slowinski, Hummel, Gupta, &amp; Gilmont, 2009)", "plainTextFormattedCitation" : "(Slowinski, Hummel, Gupta, &amp; Gilmont, 2009)", "previouslyFormattedCitation" : "(Slowinski, Hummel, Gupta, &amp; Gilmont,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(Slowinski, Hummel, Gupta, &amp; Gilmont, 2009)</w:t>
      </w:r>
      <w:r w:rsidRPr="00BA7968">
        <w:rPr>
          <w:rFonts w:ascii="Times New Roman" w:hAnsi="Times New Roman" w:cs="Times New Roman"/>
        </w:rPr>
        <w:fldChar w:fldCharType="end"/>
      </w:r>
      <w:r w:rsidRPr="00BA7968">
        <w:rPr>
          <w:rFonts w:ascii="Times New Roman" w:hAnsi="Times New Roman" w:cs="Times New Roman"/>
        </w:rPr>
        <w:t xml:space="preserve">, so that half of the innovation ‘value’ is sourced from or jointly developed with external organizations, and this phenomenon is termed innovation sourcing. </w:t>
      </w:r>
    </w:p>
    <w:p w14:paraId="1D65A25E" w14:textId="77777777" w:rsidR="00C7731B" w:rsidRDefault="00C7731B" w:rsidP="00C7731B">
      <w:pPr>
        <w:spacing w:line="360" w:lineRule="auto"/>
        <w:ind w:firstLine="720"/>
        <w:jc w:val="both"/>
        <w:rPr>
          <w:rFonts w:ascii="Times New Roman" w:hAnsi="Times New Roman" w:cs="Times New Roman"/>
        </w:rPr>
      </w:pPr>
      <w:r w:rsidRPr="00BA7968">
        <w:rPr>
          <w:rFonts w:ascii="Times New Roman" w:hAnsi="Times New Roman" w:cs="Times New Roman"/>
        </w:rPr>
        <w:t>Organizations attempt to acquire critical knowledge from external partners and incorporate that knowledge into their product or service development to meet customer value expectations and improve</w:t>
      </w:r>
      <w:r>
        <w:rPr>
          <w:rFonts w:ascii="Times New Roman" w:hAnsi="Times New Roman" w:cs="Times New Roman"/>
        </w:rPr>
        <w:t xml:space="preserve"> organizational</w:t>
      </w:r>
      <w:r w:rsidRPr="00BA7968">
        <w:rPr>
          <w:rFonts w:ascii="Times New Roman" w:hAnsi="Times New Roman" w:cs="Times New Roman"/>
        </w:rPr>
        <w:t xml:space="preserve"> performance. The goal of innovation sourcing is to </w:t>
      </w:r>
      <w:r>
        <w:rPr>
          <w:rFonts w:ascii="Times New Roman" w:hAnsi="Times New Roman" w:cs="Times New Roman"/>
        </w:rPr>
        <w:t>obtain</w:t>
      </w:r>
      <w:r w:rsidRPr="00BA7968">
        <w:rPr>
          <w:rFonts w:ascii="Times New Roman" w:hAnsi="Times New Roman" w:cs="Times New Roman"/>
        </w:rPr>
        <w:t xml:space="preserve"> and </w:t>
      </w:r>
      <w:r>
        <w:rPr>
          <w:rFonts w:ascii="Times New Roman" w:hAnsi="Times New Roman" w:cs="Times New Roman"/>
        </w:rPr>
        <w:t>apply</w:t>
      </w:r>
      <w:r w:rsidRPr="00BA7968">
        <w:rPr>
          <w:rFonts w:ascii="Times New Roman" w:hAnsi="Times New Roman" w:cs="Times New Roman"/>
        </w:rPr>
        <w:t xml:space="preserve"> innovative knowledge from external constituents to enhance the product and service portfolio, and ultimately gain market share and improve profits.</w:t>
      </w:r>
      <w:r w:rsidRPr="008376DD">
        <w:rPr>
          <w:rFonts w:ascii="Times New Roman" w:hAnsi="Times New Roman" w:cs="Times New Roman"/>
        </w:rPr>
        <w:t xml:space="preserve"> </w:t>
      </w:r>
      <w:r>
        <w:rPr>
          <w:rFonts w:ascii="Times New Roman" w:hAnsi="Times New Roman" w:cs="Times New Roman"/>
        </w:rPr>
        <w:t>I</w:t>
      </w:r>
      <w:r w:rsidRPr="00BA7968">
        <w:rPr>
          <w:rFonts w:ascii="Times New Roman" w:hAnsi="Times New Roman" w:cs="Times New Roman"/>
        </w:rPr>
        <w:t xml:space="preserve">nnovation sourcing is defined as the acquisition and integration of beneficial knowledge from the supply base to </w:t>
      </w:r>
      <w:r w:rsidRPr="00BA7968">
        <w:rPr>
          <w:rFonts w:ascii="Times New Roman" w:hAnsi="Times New Roman" w:cs="Times New Roman"/>
        </w:rPr>
        <w:lastRenderedPageBreak/>
        <w:t xml:space="preserve">enhance the </w:t>
      </w:r>
      <w:r>
        <w:rPr>
          <w:rFonts w:ascii="Times New Roman" w:hAnsi="Times New Roman" w:cs="Times New Roman"/>
        </w:rPr>
        <w:t>company</w:t>
      </w:r>
      <w:r w:rsidRPr="00BA7968">
        <w:rPr>
          <w:rFonts w:ascii="Times New Roman" w:hAnsi="Times New Roman" w:cs="Times New Roman"/>
        </w:rPr>
        <w:t>'s innovation performance</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"Schmelzle", "given" : "Ulrich", "non-dropping-particle" : "", "parse-names" : false, "suffix" : "" }, { "dropping-particle" : "", "family" : "Tate", "given" : "Wendy L", "non-dropping-particle" : "", "parse-names" : false, "suffix" : "" } ], "container-title" : "Transportation Journal", "id" : "ITEM-1", "issue" : "4", "issued" : { "date-parts" : [ [ "2018" ] ] }, "title" : "Integrating External Knowledge: Building a Conceptual Framework of Innovation Sourcing", "type" : "article-journal", "volume" : "56" }, "uris" : [ "http://www.mendeley.com/documents/?uuid=2ad4294a-5fd0-4ebc-b9d1-cceb9c3aea99" ] } ], "mendeley" : { "formattedCitation" : "(Schmelzle &amp; Tate, 2018)", "manualFormatting" : "(Schmelzle and Tate, forthcoming)", "plainTextFormattedCitation" : "(Schmelzle &amp; Tate, 2018)", "previouslyFormattedCitation" : "(Schmelzle &amp; Tate, 2018)" }, "properties" : { "noteIndex" : 0 }, "schema" : "https://github.com/citation-style-language/schema/raw/master/csl-citation.json" }</w:instrText>
      </w:r>
      <w:r>
        <w:rPr>
          <w:rFonts w:ascii="Times New Roman" w:hAnsi="Times New Roman" w:cs="Times New Roman"/>
        </w:rPr>
        <w:fldChar w:fldCharType="separate"/>
      </w:r>
      <w:r w:rsidRPr="00BE1A84">
        <w:rPr>
          <w:rFonts w:ascii="Times New Roman" w:hAnsi="Times New Roman" w:cs="Times New Roman"/>
          <w:noProof/>
        </w:rPr>
        <w:t>(Schmelzle and Tate</w:t>
      </w:r>
      <w:r>
        <w:rPr>
          <w:rFonts w:ascii="Times New Roman" w:hAnsi="Times New Roman" w:cs="Times New Roman"/>
          <w:noProof/>
        </w:rPr>
        <w:t>,</w:t>
      </w:r>
      <w:r w:rsidRPr="00BE1A84">
        <w:rPr>
          <w:rFonts w:ascii="Times New Roman" w:hAnsi="Times New Roman" w:cs="Times New Roman"/>
          <w:noProof/>
        </w:rPr>
        <w:t xml:space="preserve"> </w:t>
      </w:r>
      <w:r>
        <w:rPr>
          <w:rFonts w:ascii="Times New Roman" w:hAnsi="Times New Roman" w:cs="Times New Roman"/>
          <w:noProof/>
        </w:rPr>
        <w:t>forthcoming</w:t>
      </w:r>
      <w:r w:rsidRPr="00BE1A84">
        <w:rPr>
          <w:rFonts w:ascii="Times New Roman" w:hAnsi="Times New Roman" w:cs="Times New Roman"/>
          <w:noProof/>
        </w:rPr>
        <w:t>)</w:t>
      </w:r>
      <w:r>
        <w:rPr>
          <w:rFonts w:ascii="Times New Roman" w:hAnsi="Times New Roman" w:cs="Times New Roman"/>
        </w:rPr>
        <w:fldChar w:fldCharType="end"/>
      </w:r>
      <w:r w:rsidRPr="00BA7968">
        <w:rPr>
          <w:rFonts w:ascii="Times New Roman" w:hAnsi="Times New Roman" w:cs="Times New Roman"/>
        </w:rPr>
        <w:t>.</w:t>
      </w:r>
      <w:r w:rsidRPr="002B34FB">
        <w:rPr>
          <w:rFonts w:ascii="Times New Roman" w:hAnsi="Times New Roman" w:cs="Times New Roman"/>
        </w:rPr>
        <w:t xml:space="preserve"> </w:t>
      </w:r>
      <w:r w:rsidRPr="00BA7968">
        <w:rPr>
          <w:rFonts w:ascii="Times New Roman" w:hAnsi="Times New Roman" w:cs="Times New Roman"/>
        </w:rPr>
        <w:t xml:space="preserve">Innovation sourcing enhances </w:t>
      </w:r>
      <w:r>
        <w:rPr>
          <w:rFonts w:ascii="Times New Roman" w:hAnsi="Times New Roman" w:cs="Times New Roman"/>
        </w:rPr>
        <w:t>organizational development activities by seeking knowledge from</w:t>
      </w:r>
      <w:r w:rsidRPr="00BA7968">
        <w:rPr>
          <w:rFonts w:ascii="Times New Roman" w:hAnsi="Times New Roman" w:cs="Times New Roman"/>
        </w:rPr>
        <w:t xml:space="preserve"> the upstream supply chain</w:t>
      </w:r>
      <w:r>
        <w:rPr>
          <w:rFonts w:ascii="Times New Roman" w:hAnsi="Times New Roman" w:cs="Times New Roman"/>
        </w:rPr>
        <w:t>. Knowledge relates to beneficial ideas and solutions</w:t>
      </w:r>
      <w:r w:rsidRPr="00BA7968">
        <w:rPr>
          <w:rFonts w:ascii="Times New Roman" w:hAnsi="Times New Roman" w:cs="Times New Roman"/>
        </w:rPr>
        <w:t xml:space="preserve"> that can be applied to products, services and process</w:t>
      </w:r>
      <w:r>
        <w:rPr>
          <w:rFonts w:ascii="Times New Roman" w:hAnsi="Times New Roman" w:cs="Times New Roman"/>
        </w:rPr>
        <w:t xml:space="preserve"> enhancement</w:t>
      </w:r>
      <w:r w:rsidRPr="00BA7968">
        <w:rPr>
          <w:rFonts w:ascii="Times New Roman" w:hAnsi="Times New Roman" w:cs="Times New Roman"/>
        </w:rPr>
        <w:t xml:space="preserve">s. </w:t>
      </w:r>
      <w:r>
        <w:rPr>
          <w:rFonts w:ascii="Times New Roman" w:hAnsi="Times New Roman" w:cs="Times New Roman"/>
        </w:rPr>
        <w:t>However,</w:t>
      </w:r>
      <w:r w:rsidRPr="00BA7968">
        <w:rPr>
          <w:rFonts w:ascii="Times New Roman" w:hAnsi="Times New Roman" w:cs="Times New Roman"/>
        </w:rPr>
        <w:t xml:space="preserve"> the </w:t>
      </w:r>
      <w:r>
        <w:rPr>
          <w:rFonts w:ascii="Times New Roman" w:hAnsi="Times New Roman" w:cs="Times New Roman"/>
        </w:rPr>
        <w:t>phenomenon</w:t>
      </w:r>
      <w:r w:rsidRPr="00BA7968">
        <w:rPr>
          <w:rFonts w:ascii="Times New Roman" w:hAnsi="Times New Roman" w:cs="Times New Roman"/>
        </w:rPr>
        <w:t xml:space="preserve"> of innovation sourcing </w:t>
      </w:r>
      <w:r>
        <w:rPr>
          <w:rFonts w:ascii="Times New Roman" w:hAnsi="Times New Roman" w:cs="Times New Roman"/>
        </w:rPr>
        <w:t xml:space="preserve">appears under-researched to date. Besides, </w:t>
      </w:r>
      <w:r w:rsidRPr="00BA7968">
        <w:rPr>
          <w:rFonts w:ascii="Times New Roman" w:hAnsi="Times New Roman" w:cs="Times New Roman"/>
        </w:rPr>
        <w:t>innovation sourcing</w:t>
      </w:r>
      <w:r>
        <w:rPr>
          <w:rFonts w:ascii="Times New Roman" w:hAnsi="Times New Roman" w:cs="Times New Roman"/>
        </w:rPr>
        <w:t xml:space="preserve"> research</w:t>
      </w:r>
      <w:r w:rsidRPr="00BA7968">
        <w:rPr>
          <w:rFonts w:ascii="Times New Roman" w:hAnsi="Times New Roman" w:cs="Times New Roman"/>
        </w:rPr>
        <w:t xml:space="preserve"> is fragmented</w:t>
      </w:r>
      <w:r>
        <w:rPr>
          <w:rFonts w:ascii="Times New Roman" w:hAnsi="Times New Roman" w:cs="Times New Roman"/>
        </w:rPr>
        <w:t xml:space="preserve"> and incomplete</w:t>
      </w:r>
      <w:r w:rsidRPr="00BA7968">
        <w:rPr>
          <w:rFonts w:ascii="Times New Roman" w:hAnsi="Times New Roman" w:cs="Times New Roman"/>
        </w:rPr>
        <w:t xml:space="preserve">. Scholars do not sufficiently relate to prior findings and disagree about essential definitions.  </w:t>
      </w:r>
      <w:r>
        <w:rPr>
          <w:rFonts w:ascii="Times New Roman" w:hAnsi="Times New Roman" w:cs="Times New Roman"/>
        </w:rPr>
        <w:t>One indication is</w:t>
      </w:r>
      <w:r w:rsidRPr="00BA7968">
        <w:rPr>
          <w:rFonts w:ascii="Times New Roman" w:hAnsi="Times New Roman" w:cs="Times New Roman"/>
        </w:rPr>
        <w:t xml:space="preserve"> the</w:t>
      </w:r>
      <w:r>
        <w:rPr>
          <w:rFonts w:ascii="Times New Roman" w:hAnsi="Times New Roman" w:cs="Times New Roman"/>
        </w:rPr>
        <w:t xml:space="preserve"> use of</w:t>
      </w:r>
      <w:r w:rsidRPr="00BA7968">
        <w:rPr>
          <w:rFonts w:ascii="Times New Roman" w:hAnsi="Times New Roman" w:cs="Times New Roman"/>
        </w:rPr>
        <w:t xml:space="preserve"> deviating terminology </w:t>
      </w:r>
      <w:r>
        <w:rPr>
          <w:rFonts w:ascii="Times New Roman" w:hAnsi="Times New Roman" w:cs="Times New Roman"/>
        </w:rPr>
        <w:t>such as</w:t>
      </w:r>
      <w:r w:rsidRPr="00BA7968">
        <w:rPr>
          <w:rFonts w:ascii="Times New Roman" w:hAnsi="Times New Roman" w:cs="Times New Roman"/>
        </w:rPr>
        <w:t xml:space="preserve"> innovation sourcing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"The use of external sources for help with innovation is becoming increasingly prevalent. Rather than take an ad hoc approach, companies should develop a sourcing blueprint to obtain the consistent results they need.", "author" : [ { "dropping-particle" : "", "family" : "Linder", "given" : "Jane C.", "non-dropping-particle" : "", "parse-names" : false, "suffix" : "" }, { "dropping-particle" : "", "family" : "Jarvenpaa", "given" : "Sirkka", "non-dropping-particle" : "", "parse-names" : false, "suffix" : "" }, { "dropping-particle" : "", "family" : "Davenport", "given" : "Thomas H", "non-dropping-particle" : "", "parse-names" : false, "suffix" : "" } ], "container-title" : "MIT Sloan Management Review", "id" : "ITEM-1", "issue" : "4", "issued" : { "date-parts" : [ [ "2003" ] ] }, "page" : "43-49", "title" : "Toward an Innovation Sourcing Strategy", "type" : "article-journal", "volume" : "44" }, "uris" : [ "http://www.mendeley.com/documents/?uuid=27716433-2c9a-4fff-a9cf-14ca207837a8" ] } ], "mendeley" : { "formattedCitation" : "(Linder, Jarvenpaa, &amp; Davenport, 2003)", "plainTextFormattedCitation" : "(Linder, Jarvenpaa, &amp; Davenport, 2003)", "previouslyFormattedCitation" : "(Linder, Jarvenpaa, &amp; Davenport, 2003)"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(Linder, Jarvenpaa, &amp; Davenport, 2003)</w:t>
      </w:r>
      <w:r w:rsidRPr="00BA7968">
        <w:rPr>
          <w:rFonts w:ascii="Times New Roman" w:hAnsi="Times New Roman" w:cs="Times New Roman"/>
        </w:rPr>
        <w:fldChar w:fldCharType="end"/>
      </w:r>
      <w:r w:rsidRPr="00BA7968">
        <w:rPr>
          <w:rFonts w:ascii="Times New Roman" w:hAnsi="Times New Roman" w:cs="Times New Roman"/>
        </w:rPr>
        <w:t xml:space="preserve">, technology sourcing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"10.1017/CBO9781107415324.004", "ISBN" : "9788578110796", "ISSN" : "1098-6596", "PMID" : "25246403", "author" : [ { "dropping-particle" : "", "family" : "Allred", "given" : "Brent B", "non-dropping-particle" : "", "parse-names" : false, "suffix" : "" }, { "dropping-particle" : "", "family" : "Swan", "given" : "K. Scott", "non-dropping-particle" : "", "parse-names" : false, "suffix" : "" } ], "container-title" : "Journal of Product Innovation Management", "id" : "ITEM-1", "issue" : "6", "issued" : { "date-parts" : [ [ "2014" ] ] }, "page" : "1146-1166", "title" : "Process Technology Sourcing and the Innovation Context", "type" : "article-journal", "volume" : "31" }, "uris" : [ "http://www.mendeley.com/documents/?uuid=fd0bb0b5-08d1-4753-b997-8bd4e1082a0f" ] }, { "id" : "ITEM-2", "itemData" : { "DOI" : "10.1016/j.jengtecman.2014.02.001", "ISBN" : "0923-4748", "ISSN" : "09234748", "abstract" : "This paper assesses the impact on innovative performance of alternative external sourcing strategies. In particular, the study under discussion compared external sourcing strategies based on specialization to those based on integrating various sourcing modalities (e.g., alliances and M&amp;As). Survey data from three waves of the Community Innovation Survey (CIS) in the Netherlands were used to investigate the implications of these sourcing strategies for innovative performance. The findings indicate that synergies exist among external sourcing modalities: Integrating different external sourcing modes is more effective than specializing in a single mode, especially when the specialization is focused on M&amp;As. Among the specialized strategies, focusing on the use of strategic alliances leads to higher levels of innovative performance than relying exclusively on M&amp;As. ?? 2014 Elsevier B.V.", "author" : [ { "dropping-particle" : "", "family" : "Sabidussi", "given" : "Anna", "non-dropping-particle" : "", "parse-names" : false, "suffix" : "" }, { "dropping-particle" : "", "family" : "Lokshin", "given" : "Boris", "non-dropping-particle" : "", "parse-names" : false, "suffix" : "" }, { "dropping-particle" : "", "family" : "Leeuw", "given" : "Tim", "non-dropping-particle" : "De", "parse-names" : false, "suffix" : "" }, { "dropping-particle" : "", "family" : "Duysters", "given" : "Geert", "non-dropping-particle" : "", "parse-names" : false, "suffix" : "" }, { "dropping-particle" : "", "family" : "Bremmers", "given" : "Harry", "non-dropping-particle" : "", "parse-names" : false, "suffix" : "" }, { "dropping-particle" : "", "family" : "Omta", "given" : "Onno", "non-dropping-particle" : "", "parse-names" : false, "suffix" : "" } ], "container-title" : "Journal of Engineering and Technology Management", "id" : "ITEM-2", "issued" : { "date-parts" : [ [ "2014" ] ] }, "page" : "18-31", "title" : "A comparative perspective on external technology sourcing modalities: The role of synergies", "type" : "article-journal", "volume" : "33" }, "uris" : [ "http://www.mendeley.com/documents/?uuid=92e042ce-5612-48bf-80a2-8e3fd77e0a62" ] } ], "mendeley" : { "formattedCitation" : "(Allred &amp; Swan, 2014; Sabidussi et al., 2014)", "plainTextFormattedCitation" : "(Allred &amp; Swan, 2014; Sabidussi et al., 2014)", "previouslyFormattedCitation" : "(Allred &amp; Swan, 2014; Sabidussi et al., 2014)"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(Allred &amp; Swan, 2014; Sabidussi et al., 2014)</w:t>
      </w:r>
      <w:r w:rsidRPr="00BA7968">
        <w:rPr>
          <w:rFonts w:ascii="Times New Roman" w:hAnsi="Times New Roman" w:cs="Times New Roman"/>
        </w:rPr>
        <w:fldChar w:fldCharType="end"/>
      </w:r>
      <w:r w:rsidRPr="00BA7968">
        <w:rPr>
          <w:rFonts w:ascii="Times New Roman" w:hAnsi="Times New Roman" w:cs="Times New Roman"/>
        </w:rPr>
        <w:t xml:space="preserve">, knowledge sourcing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"10.1002/smj", "ISSN" : "01432095", "abstract" : "Given the inherent risk of innovative activity, firms can improve the odds of success by pursuing multiple parallel objectives. Because innovation draws on many sources of ideas, firms also may improve their odds of successful innovation by accessing a large number of knowledge sources. In this study, we conduct one of the first firm-level statistical analyses of the impact on innovation of breadth in both innovation objectives and knowledge sources. The empirical results suggest that broader horizons with respect to innovation objectives and knowledge sources are associated with successful innovation.We do not find diminishing returns to breadth in innovation objectives, which suggests that firms may tend to search too narrowly. We interpret these results in light of well-known cognitive biases toward searching in relatively familiar domains. Copyright 2009 John Wiley &amp; Sons, Ltd.", "author" : [ { "dropping-particle" : "", "family" : "Leiponen", "given" : "Alja", "non-dropping-particle" : "", "parse-names" : false, "suffix" : "" }, { "dropping-particle" : "", "family" : "Helfat", "given" : "Constance E", "non-dropping-particle" : "", "parse-names" : false, "suffix" : "" } ], "container-title" : "Stratgic Management Journal", "id" : "ITEM-1", "issued" : { "date-parts" : [ [ "2010" ] ] }, "page" : "224-236", "title" : "Innovation Objectives, Knowledge Sources, and the Benefits of Breadth", "type" : "article-journal", "volume" : "31" }, "uris" : [ "http://www.mendeley.com/documents/?uuid=8b1572f7-d2b7-4be7-870b-c8078b263b94" ] }, { "id" : "ITEM-2", "itemData" : { "DOI" : "10.1142/S1363919609002194", "ISBN" : "13639196", "ISSN" : "1363-9196", "PMID" : "37381271", "abstract" : "Inthe era of \u201copen innovation\u201d, external knowledge is a very important source for technology innovation. In this paper, we investigate the relationship between external knowledge and performance of technology innovation.The effect of external knowledge on the performance of technology innovation can vary with different external knowledge sourcing methods. We identify three ways of external knowledge sourcing: information transfer from informal network, R&amp;D collaboration and technology acquisition. We propose three hypotheses to examine relationship between the three methods of external knowledge sourcing and the technology innovation performance. Our results show that information transfer from informal network and technology acquisition have positive relationships with the technology innovation performance. R&amp;D collaboration, however, has an inverted-U-shape relationship with technology innovation performance. This implies that the effect of external knowledge on technology innovation varies depending on the particular external knowledge sourcing method. This research has an important implication for firms in selecting an appropriate strategy for accessing external knowledge.", "author" : [ { "dropping-particle" : "", "family" : "Kang", "given" : "Ki H.", "non-dropping-particle" : "", "parse-names" : false, "suffix" : "" }, { "dropping-particle" : "", "family" : "Kang", "given" : "Jina", "non-dropping-particle" : "", "parse-names" : false, "suffix" : "" } ], "container-title" : "International Journal of Innovation Management", "id" : "ITEM-2", "issue" : "01", "issued" : { "date-parts" : [ [ "2009" ] ] }, "page" : "1-17", "title" : "How Do Firms Source External Knowledge for Innovation? Analysing Effects of Different Knowledge Sourcing Methods", "type" : "article-journal", "volume" : "13" }, "uris" : [ "http://www.mendeley.com/documents/?uuid=bfcabe16-b933-4e56-8e12-abb71a383ca0" ] } ], "mendeley" : { "formattedCitation" : "(Kang &amp; Kang, 2009; Leiponen &amp; Helfat, 2010)", "plainTextFormattedCitation" : "(Kang &amp; Kang, 2009; Leiponen &amp; Helfat, 2010)", "previouslyFormattedCitation" : "(Kang &amp; Kang, 2009; Leiponen &amp; Helfat, 2010)"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(Kang &amp; Kang, 2009; Leiponen &amp; Helfat, 2010)</w:t>
      </w:r>
      <w:r w:rsidRPr="00BA7968">
        <w:rPr>
          <w:rFonts w:ascii="Times New Roman" w:hAnsi="Times New Roman" w:cs="Times New Roman"/>
        </w:rPr>
        <w:fldChar w:fldCharType="end"/>
      </w:r>
      <w:r w:rsidRPr="00BA7968">
        <w:rPr>
          <w:rFonts w:ascii="Times New Roman" w:hAnsi="Times New Roman" w:cs="Times New Roman"/>
        </w:rPr>
        <w:t xml:space="preserve">, knowledge transfer and application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"Bierly", "given" : "Paul E", "non-dropping-particle" : "", "parse-names" : false, "suffix" : "" }, { "dropping-particle" : "", "family" : "Damanpour", "given" : "Fariborz", "non-dropping-particle" : "", "parse-names" : false, "suffix" : "" }, { "dropping-particle" : "", "family" : "Santoro", "given" : "Michael D", "non-dropping-particle" : "", "parse-names" : false, "suffix" : "" } ], "container-title" : "Journal of Management Studies", "id" : "ITEM-1", "issue" : "3", "issued" : { "date-parts" : [ [ "2009" ] ] }, "page" : "481-509", "title" : "The Application of External Knowledge: Organizational Conditions for Exploration and Exploitation", "type" : "article-journal", "volume" : "46" }, "uris" : [ "http://www.mendeley.com/documents/?uuid=10a7c45e-9031-424a-ba92-962f57f883e8" ] } ], "mendeley" : { "formattedCitation" : "(Bierly, Damanpour, &amp; Santoro, 2009)", "plainTextFormattedCitation" : "(Bierly, Damanpour, &amp; Santoro, 2009)", "previouslyFormattedCitation" : "(Bierly, Damanpour, &amp; Santoro,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(Bierly, Damanpour, &amp; Santoro, 2009)</w:t>
      </w:r>
      <w:r w:rsidRPr="00BA7968">
        <w:rPr>
          <w:rFonts w:ascii="Times New Roman" w:hAnsi="Times New Roman" w:cs="Times New Roman"/>
        </w:rPr>
        <w:fldChar w:fldCharType="end"/>
      </w:r>
      <w:r w:rsidRPr="00BA7968">
        <w:rPr>
          <w:rFonts w:ascii="Times New Roman" w:hAnsi="Times New Roman" w:cs="Times New Roman"/>
        </w:rPr>
        <w:t xml:space="preserve">, knowledge integration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"10.1016/j.ijpe.2012.07.002", "abstract" : "Based on the knowledge-based view of inter-\ufb01rm collaboration, this study develops and proposes a parsimonious taxonomy of how buyers and suppliers develop knowledge integration in terms of two mechanisms: joint sense meaning and joint decision making. The \ufb01rst focuses on the interpretation and sense making of knowledge about strategic, relevant issues for the buyer\u2013supplier relationship (BSR). The latter emphasizes joint problem solving related to their interlinked operative routine activities. Using survey data from 130 collaborative BSRs and cluster analysis, the results suggest that buyers that purposely develop a balanced knowledge integration with their suppliers\u2014characterized by managing high levels of both joint sense meaning and joint decision making\u2014show improved ef\ufb01ciency and innovation simultaneously even though they have to deal with the tension of managing the requirements of these two key, albeit competing outcomes. The results also suggest that buyers pursuing focused knowledge integration with their suppliers\u2014characterized by managing high levels of either joint sense meaning or joint decision making\u2014outperform in a speci\ufb01c outcome at the expense of the other. This study thus provides a comprehensive framework that allows organizations to evaluate the knowledge integration strategy that best supports their goals related to their collaborative buyer\u2013 supplier relationships.", "author" : [ { "dropping-particle" : "", "family" : "Revilla", "given" : "Elena", "non-dropping-particle" : "", "parse-names" : false, "suffix" : "" }, { "dropping-particle" : "", "family" : "Villena", "given" : "Ver\u00f3nica H", "non-dropping-particle" : "", "parse-names" : false, "suffix" : "" } ], "container-title" : "International Journal of Production Economics", "id" : "ITEM-1", "issued" : { "date-parts" : [ [ "2012" ] ] }, "page" : "854-864", "title" : "Knowledge integration taxonomy in buyer \u2013 supplier relationships: Trade-offs between efficiency and innovation", "type" : "article-journal", "volume" : "140" }, "uris" : [ "http://www.mendeley.com/documents/?uuid=501954d9-ce5b-4c99-a2c7-5d937ee7a2c4" ] } ], "mendeley" : { "formattedCitation" : "(Revilla &amp; Villena, 2012)", "plainTextFormattedCitation" : "(Revilla &amp; Villena, 2012)", "previouslyFormattedCitation" : "(Revilla &amp; Villena,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(Revilla &amp; Villena, 2012)</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and</w:t>
      </w:r>
      <w:r w:rsidRPr="00BA7968">
        <w:rPr>
          <w:rFonts w:ascii="Times New Roman" w:hAnsi="Times New Roman" w:cs="Times New Roman"/>
        </w:rPr>
        <w:t xml:space="preserve"> knowledge acquisition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"ITEM-1", "issue" : "1", "issued" : { "date-parts" : [ [ "2006" ] ] }, "page" : "68-82", "title" : "In Search of Complementarity in Innovation Strategy: Internal R&amp;D and External Knowledge Acquisition", "type" : "article-journal", "volume" : "52" }, "uris" : [ "http://www.mendeley.com/documents/?uuid=e3cb49dc-e5f8-42f4-a0f3-7ec7ae458508" ] } ], "mendeley" : { "formattedCitation" : "(Cassiman &amp; Veugelers, 2006)", "plainTextFormattedCitation" : "(Cassiman &amp; Veugelers, 2006)", "previouslyFormattedCitation" : "(Cassiman &amp; Veugelers,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(Cassiman &amp; Veugelers, 2006)</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 xml:space="preserve">In this dissertation research, the author </w:t>
      </w:r>
      <w:r w:rsidRPr="00BA7968">
        <w:rPr>
          <w:rFonts w:ascii="Times New Roman" w:hAnsi="Times New Roman" w:cs="Times New Roman"/>
        </w:rPr>
        <w:t xml:space="preserve">develops a holistic term for innovation sourcing to streamline the fragmented literature. </w:t>
      </w:r>
    </w:p>
    <w:p w14:paraId="5F12ADF7" w14:textId="77777777" w:rsidR="00C7731B" w:rsidRDefault="00C7731B" w:rsidP="00C7731B">
      <w:pPr>
        <w:spacing w:line="360" w:lineRule="auto"/>
        <w:ind w:firstLine="720"/>
        <w:jc w:val="both"/>
        <w:rPr>
          <w:rFonts w:ascii="Times New Roman" w:hAnsi="Times New Roman" w:cs="Times New Roman"/>
        </w:rPr>
      </w:pPr>
      <w:r w:rsidRPr="00BA7968">
        <w:rPr>
          <w:rFonts w:ascii="Times New Roman" w:hAnsi="Times New Roman" w:cs="Times New Roman"/>
        </w:rPr>
        <w:t xml:space="preserve">Open innovation is a related concept to innovation sourcing and refers to the inflow and outflow, use, and commercialization of ideas and technologies for organizations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"Chesbrough", "given" : "Henry", "non-dropping-particle" : "", "parse-names" : false, "suffix" : "" } ], "id" : "ITEM-1",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"plainTextFormattedCitation" : "(Chesbrough, 2003)", "previouslyFormattedCitation" : "(Chesbrough, 2003)"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(Chesbrough, 2003)</w:t>
      </w:r>
      <w:r w:rsidRPr="00BA7968">
        <w:rPr>
          <w:rFonts w:ascii="Times New Roman" w:hAnsi="Times New Roman" w:cs="Times New Roman"/>
        </w:rPr>
        <w:fldChar w:fldCharType="end"/>
      </w:r>
      <w:r w:rsidRPr="00BA7968">
        <w:rPr>
          <w:rFonts w:ascii="Times New Roman" w:hAnsi="Times New Roman" w:cs="Times New Roman"/>
        </w:rPr>
        <w:t xml:space="preserve">. Open innovation is much broader in scope than innovation sourcing. The latter refers to specific practices, including the active search for applicable external knowledge and its subsequent integration, combining internal and external information to create new, innovative solutions for product, service, or process enhancement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"The use of external sources for help with innovation is becoming increasingly prevalent. Rather than take an ad hoc approach, companies should develop a sourcing blueprint to obtain the consistent results they need.", "author" : [ { "dropping-particle" : "", "family" : "Linder", "given" : "Jane C.", "non-dropping-particle" : "", "parse-names" : false, "suffix" : "" }, { "dropping-particle" : "", "family" : "Jarvenpaa", "given" : "Sirkka", "non-dropping-particle" : "", "parse-names" : false, "suffix" : "" }, { "dropping-particle" : "", "family" : "Davenport", "given" : "Thomas H", "non-dropping-particle" : "", "parse-names" : false, "suffix" : "" } ], "container-title" : "MIT Sloan Management Review", "id" : "ITEM-1", "issue" : "4", "issued" : { "date-parts" : [ [ "2003" ] ] }, "page" : "43-49", "title" : "Toward an Innovation Sourcing Strategy", "type" : "article-journal", "volume" : "44" }, "uris" : [ "http://www.mendeley.com/documents/?uuid=27716433-2c9a-4fff-a9cf-14ca207837a8" ] } ], "mendeley" : { "formattedCitation" : "(Linder et al., 2003)", "plainTextFormattedCitation" : "(Linder et al., 2003)", "previouslyFormattedCitation" : "(Linder et al., 2003)"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(Linder et al., 2003)</w:t>
      </w:r>
      <w:r w:rsidRPr="00BA7968">
        <w:rPr>
          <w:rFonts w:ascii="Times New Roman" w:hAnsi="Times New Roman" w:cs="Times New Roman"/>
        </w:rPr>
        <w:fldChar w:fldCharType="end"/>
      </w:r>
      <w:r w:rsidRPr="00BA7968">
        <w:rPr>
          <w:rFonts w:ascii="Times New Roman" w:hAnsi="Times New Roman" w:cs="Times New Roman"/>
        </w:rPr>
        <w:t xml:space="preserve">. Innovation sourcing focuses specifically on the upstream acquisition of knowledge whereas the emphasis of open innovation literature has been on joint development with downstream constituents, the co-creation and co-development activities with external market participants, such as customers and/or end users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"dropping-particle" : "", "family" : "Chesbrough", "given" : "Henry", "non-dropping-particle" : "", "parse-names" : false, "suffix" : "" } ], "container-title" : "R&amp;D Management", "id" : "ITEM-1", "issued" : { "date-parts" : [ [ "2010" ] ] }, "page" : "1-9", "title" : "The future of open innovation", "type" : "article-journal" }, "uris" : [ "http://www.mendeley.com/documents/?uuid=b72ab66a-e5df-4c16-9ca8-c68543a53ab4" ] } ], "mendeley" : { "formattedCitation" : "(Gassmann, Enkel, &amp; Chesbrough, 2010)", "plainTextFormattedCitation" : "(Gassmann, Enkel, &amp; Chesbrough, 2010)", "previouslyFormattedCitation" : "(Gassmann, Enkel, &amp; Chesbrough, 2010)"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(Gassmann, Enkel, &amp; Chesbrough, 2010)</w:t>
      </w:r>
      <w:r w:rsidRPr="00BA7968">
        <w:rPr>
          <w:rFonts w:ascii="Times New Roman" w:hAnsi="Times New Roman" w:cs="Times New Roman"/>
        </w:rPr>
        <w:fldChar w:fldCharType="end"/>
      </w:r>
      <w:r w:rsidRPr="00BA7968">
        <w:rPr>
          <w:rFonts w:ascii="Times New Roman" w:hAnsi="Times New Roman" w:cs="Times New Roman"/>
        </w:rPr>
        <w:t>.</w:t>
      </w:r>
    </w:p>
    <w:p w14:paraId="6AA8BC73" w14:textId="77777777" w:rsidR="00C7731B" w:rsidRPr="00BA7968" w:rsidRDefault="00C7731B" w:rsidP="00C7731B">
      <w:pPr>
        <w:spacing w:line="360" w:lineRule="auto"/>
        <w:ind w:firstLine="720"/>
        <w:jc w:val="both"/>
        <w:rPr>
          <w:rFonts w:ascii="Times New Roman" w:hAnsi="Times New Roman" w:cs="Times New Roman"/>
        </w:rPr>
      </w:pPr>
      <w:r w:rsidRPr="00BA7968">
        <w:rPr>
          <w:rFonts w:ascii="Times New Roman" w:hAnsi="Times New Roman"/>
        </w:rPr>
        <w:t xml:space="preserve">There have been calls for research on how supply chain management can support innovation efforts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"10.1111/jpim.12115", "ISSN" : "07376782", "author" : [ { "dropping-particle" : "", "family" : "Brattstr\u00f6m", "given" : "Anna", "non-dropping-particle" : "", "parse-names" : false, "suffix" : "" }, { "dropping-particle" : "", "family" : "Richtn\u00e9r", "given" : "Anders", "non-dropping-particle" : "", "parse-names" : false, "suffix" : "" } ], "container-title" : "Journal of Product Innovation Management", "id" : "ITEM-1", "issue" : "3", "issued" : { "date-parts" : [ [ "2014" ] ] }, "page" : "584-598", "title" : "Good Cop-Bad Cop: Trust, Control, and the Lure of Integration", "type" : "article-journal", "volume" : "31" }, "uris" : [ "http://www.mendeley.com/documents/?uuid=fa1ef440-75b7-42a6-8c54-f1ac4542c0c2" ] }, { "id" : "ITEM-2", "itemData" : { "DOI" : "10.1080/09537325.2012.751009", "ISBN" : "09537325", "ISSN" : "0953-7325", "abstract" : "Open innovation (OI) is an innovation paradigm which argues that firms\\nshould use external knowledge in order to succeed in the innovation\\nprocess. It is currently unclear however how firms are able to source\\nexternal knowledge from external actors when attempting to innovate. In\\nthis paper we examine the relationship between absorptive capacity and\\nfirms' ability to enter into innovation cooperation with external\\nactors. Our econometric results show that internal R&amp;D, training and an\\neducated workforce, as core aspects of firms' absorptive capacity, are\\npositively associated with (the intensity of) innovation cooperation. An\\nimplication is that external knowledge does not enter the firm freely.\\nThe costs firms must invoke in order to be able to source external\\nknowledge in the OI context is considerable. Without investing in\\ninternal R&amp;D, training and recruiting workers with good educational\\nqualifications, firms may not be able to follow the open approach to\\ninnovation.", "author" : [ { "dropping-particle" : "", "family" : "Clausen", "given" : "Tommy H\u00f8yvarde", "non-dropping-particle" : "", "parse-names" : false, "suffix" : "" } ], "container-title" : "Technology Analysis &amp; Strategic Management", "id" : "ITEM-2", "issue" : "1", "issued" : { "date-parts" : [ [ "2013" ] ] }, "page" : "57-70", "title" : "External knowledge sourcing from innovation cooperation and the role of absorptive capacity: empirical evidence from Norway and Sweden", "type" : "article-journal", "volume" : "25" }, "uris" : [ "http://www.mendeley.com/documents/?uuid=314d0311-58e1-468c-83b3-b9f13e791b5c" ] } ], "mendeley" : { "formattedCitation" : "(Brattstr\u00f6m &amp; Richtn\u00e9r, 2014; Clausen, 2013)", "plainTextFormattedCitation" : "(Brattstr\u00f6m &amp; Richtn\u00e9r, 2014; Clausen, 2013)", "previouslyFormattedCitation" : "(Brattstr\u00f6m &amp; Richtn\u00e9r, 2014; Clausen, 2013)"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(Brattström &amp; Richtnér, 2014; Clausen, 2013)</w:t>
      </w:r>
      <w:r w:rsidRPr="00BA7968">
        <w:rPr>
          <w:rFonts w:ascii="Times New Roman" w:hAnsi="Times New Roman" w:cs="Times New Roman"/>
        </w:rPr>
        <w:fldChar w:fldCharType="end"/>
      </w:r>
      <w:r w:rsidRPr="00BA7968">
        <w:rPr>
          <w:rFonts w:ascii="Times New Roman" w:hAnsi="Times New Roman" w:cs="Times New Roman"/>
        </w:rPr>
        <w:t xml:space="preserve">. This </w:t>
      </w:r>
      <w:r>
        <w:rPr>
          <w:rFonts w:ascii="Times New Roman" w:hAnsi="Times New Roman" w:cs="Times New Roman"/>
        </w:rPr>
        <w:t>dissertation</w:t>
      </w:r>
      <w:r w:rsidRPr="00BA7968">
        <w:rPr>
          <w:rFonts w:ascii="Times New Roman" w:hAnsi="Times New Roman" w:cs="Times New Roman"/>
        </w:rPr>
        <w:t xml:space="preserve"> responds to those calls by focusing on the innovation sourcing concept, which encompasses the knowledge inflow from </w:t>
      </w:r>
      <w:r>
        <w:rPr>
          <w:rFonts w:ascii="Times New Roman" w:hAnsi="Times New Roman" w:cs="Times New Roman"/>
        </w:rPr>
        <w:t xml:space="preserve">suppliers </w:t>
      </w:r>
      <w:r w:rsidRPr="00BA7968">
        <w:rPr>
          <w:rFonts w:ascii="Times New Roman" w:hAnsi="Times New Roman" w:cs="Times New Roman"/>
        </w:rPr>
        <w:t xml:space="preserve">and its effective integration. By clarifying the key dimensions of innovation sourcing and relating the construct to innovation performance, this study </w:t>
      </w:r>
      <w:r>
        <w:rPr>
          <w:rFonts w:ascii="Times New Roman" w:hAnsi="Times New Roman" w:cs="Times New Roman"/>
        </w:rPr>
        <w:t>might add in addressing</w:t>
      </w:r>
      <w:r w:rsidRPr="00BA7968">
        <w:rPr>
          <w:rFonts w:ascii="Times New Roman" w:hAnsi="Times New Roman" w:cs="Times New Roman"/>
        </w:rPr>
        <w:t xml:space="preserve"> a noticeable </w:t>
      </w:r>
      <w:r>
        <w:rPr>
          <w:rFonts w:ascii="Times New Roman" w:hAnsi="Times New Roman" w:cs="Times New Roman"/>
        </w:rPr>
        <w:t xml:space="preserve">knowledge </w:t>
      </w:r>
      <w:r w:rsidRPr="00BA7968">
        <w:rPr>
          <w:rFonts w:ascii="Times New Roman" w:hAnsi="Times New Roman" w:cs="Times New Roman"/>
        </w:rPr>
        <w:t>gap.</w:t>
      </w:r>
    </w:p>
    <w:p w14:paraId="66527685" w14:textId="77777777" w:rsidR="00C7731B" w:rsidRDefault="00C7731B" w:rsidP="00C7731B">
      <w:pPr>
        <w:spacing w:line="360" w:lineRule="auto"/>
        <w:jc w:val="both"/>
        <w:rPr>
          <w:rFonts w:ascii="Times New Roman" w:hAnsi="Times New Roman" w:cs="Times New Roman"/>
        </w:rPr>
      </w:pPr>
      <w:r w:rsidRPr="00BA7968">
        <w:rPr>
          <w:rFonts w:ascii="Times New Roman" w:hAnsi="Times New Roman" w:cs="Times New Roman"/>
        </w:rPr>
        <w:lastRenderedPageBreak/>
        <w:tab/>
      </w:r>
      <w:r>
        <w:rPr>
          <w:rFonts w:ascii="Times New Roman" w:hAnsi="Times New Roman" w:cs="Times New Roman"/>
        </w:rPr>
        <w:t>A</w:t>
      </w:r>
      <w:r w:rsidRPr="00BA7968">
        <w:rPr>
          <w:rFonts w:ascii="Times New Roman" w:hAnsi="Times New Roman" w:cs="Times New Roman"/>
        </w:rPr>
        <w:t xml:space="preserve"> comprehensive literature review is the appropriate method </w:t>
      </w:r>
      <w:r>
        <w:rPr>
          <w:rFonts w:ascii="Times New Roman" w:hAnsi="Times New Roman" w:cs="Times New Roman"/>
        </w:rPr>
        <w:t>for</w:t>
      </w:r>
      <w:r w:rsidRPr="00BA7968">
        <w:rPr>
          <w:rFonts w:ascii="Times New Roman" w:hAnsi="Times New Roman" w:cs="Times New Roman"/>
        </w:rPr>
        <w:t xml:space="preserve"> establish</w:t>
      </w:r>
      <w:r>
        <w:rPr>
          <w:rFonts w:ascii="Times New Roman" w:hAnsi="Times New Roman" w:cs="Times New Roman"/>
        </w:rPr>
        <w:t>ing</w:t>
      </w:r>
      <w:r w:rsidRPr="00BA7968">
        <w:rPr>
          <w:rFonts w:ascii="Times New Roman" w:hAnsi="Times New Roman" w:cs="Times New Roman"/>
        </w:rPr>
        <w:t xml:space="preserve"> an “initial or preliminary conceptualization” of an unexplored phenomenon</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"10.1108/13598541211246594", "ISBN" : "0144357011", "ISSN" : "1359-8546", "abstract" : "Purpose \u2013 The purpose of this paper is to explore the role of logistics capabilities in achieving supply chain agility through a multi-disciplinary review of the relevant research. The systematic literature review aims to provide the basis for formulating a conceptual framework of the relationship. Design/methodology/approach \u2013 A systematic, comprehensive review of the literature on manufacturing, organizational and supply chain agility from 1991 through 2010 was conducted. The literature on logistics capabilities was also examined to identify the various elements that contribute to supply chain agility. Findings \u2013 Supply chain agility has primarily been explored in the literature through a focus on manufacturing flexibility, supply chain speed, or lean manufacturing. The role of logistics capabilities in achieving supply chain agility has not been addressed from a holistic conceptual perspective. This research addresses that gap using a multi-disciplinary approach. As such, it is the first phase in theory building on the concept of supply chain agility. Further research is needed to empirically test the conceptualized relationships. Research limitations/implications \u2013 This research is a systematic, integrative review of the existing literature on the concept of agility and logistics capabilities. As such, the next phase of research needed for theory building will be the operationalization of constructs and testing of the hypothesized relationships proposed by the conceptual framework. Practical implications \u2013 The level of agility in a supply chain can determine the efficiency and effectiveness of the collective efforts. It is important that firms become more knowledgeable about the role of logistics capabilities in achieving agility. Originality/value \u2013 Through a systematic, comprehensive review of the literature in four distinct areas, the paper explores the relationship between logistics capabilities and supply chain agility.", "author" : [ { "dropping-particle" : "", "family" : "Gligor", "given" : "David M.", "non-dropping-particle" : "", "parse-names" : false, "suffix" : "" }, { "dropping-particle" : "", "family" : "Holcomb", "given" : "Mary C.", "non-dropping-particle" : "", "parse-names" : false, "suffix" : "" } ], "container-title" : "Supply Chain Management: An International Journal", "id" : "ITEM-1", "issue" : "4", "issued" : { "date-parts" : [ [ "2012" ] ] }, "page" : "438-453", "title" : "Understanding the role of logistics capabilities in achieving supply chain agility: a systematic literature review", "type" : "article-journal", "volume" : "17" }, "locator" : "439", "uris" : [ "http://www.mendeley.com/documents/?uuid=6448954e-101b-45c5-bdf5-ea5c619ea04d" ] } ], "mendeley" : { "formattedCitation" : "(Gligor &amp; Holcomb, 2012, p. 439)", "plainTextFormattedCitation" : "(Gligor &amp; Holcomb, 2012, p. 439)", "previouslyFormattedCitation" : "(Gligor &amp; Holcomb, 2012, p. 439)" }, "properties" : { "noteIndex" : 0 }, "schema" : "https://github.com/citation-style-language/schema/raw/master/csl-citation.json" }</w:instrText>
      </w:r>
      <w:r>
        <w:rPr>
          <w:rFonts w:ascii="Times New Roman" w:hAnsi="Times New Roman" w:cs="Times New Roman"/>
        </w:rPr>
        <w:fldChar w:fldCharType="separate"/>
      </w:r>
      <w:r w:rsidRPr="006A22BF">
        <w:rPr>
          <w:rFonts w:ascii="Times New Roman" w:hAnsi="Times New Roman" w:cs="Times New Roman"/>
          <w:noProof/>
        </w:rPr>
        <w:t>(Gligor &amp; Holcomb, 2012, p. 439)</w:t>
      </w:r>
      <w:r>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Hence</w:t>
      </w:r>
      <w:r w:rsidRPr="00BA7968">
        <w:rPr>
          <w:rFonts w:ascii="Times New Roman" w:hAnsi="Times New Roman" w:cs="Times New Roman"/>
        </w:rPr>
        <w:t xml:space="preserve">, the overarching objective of this </w:t>
      </w:r>
      <w:r>
        <w:rPr>
          <w:rFonts w:ascii="Times New Roman" w:hAnsi="Times New Roman" w:cs="Times New Roman"/>
        </w:rPr>
        <w:t>dissertation research</w:t>
      </w:r>
      <w:r w:rsidRPr="00BA7968">
        <w:rPr>
          <w:rFonts w:ascii="Times New Roman" w:hAnsi="Times New Roman" w:cs="Times New Roman"/>
        </w:rPr>
        <w:t xml:space="preserve"> is to perform a systematic literature review that synthesizes the current but fragmented scholarly knowledge regarding innovation sourcing and the corresponding performance impact. A critical necessity for the theoretical development of a field is to achieve a minimal degree of consensus regarding the main dimensions of the core constructs</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"Combs", "given" : "James G", "non-dropping-particle" : "", "parse-names" : false, "suffix" : "" }, { "dropping-particle" : "", "family" : "Crook", "given" : "T Russell", "non-dropping-particle" : "", "parse-names" : false, "suffix" : "" }, { "dropping-particle" : "", "family" : "Shook", "given" : "Christopher L", "non-dropping-particle" : "", "parse-names" : false, "suffix" : "" } ], "container-title" : "Research methodology in strategy and management", "id" : "ITEM-1", "issue" : "05", "issued" : { "date-parts" : [ [ "2005" ] ] }, "page" : "259-286", "title" : "The dimensionality of organizational performance and its implications for strategic management research", "type" : "article-journal", "volume" : "02" }, "uris" : [ "http://www.mendeley.com/documents/?uuid=a17cb41c-2e25-4c62-a482-2a651f064b59" ] }, { "id" : "ITEM-2", "itemData" : { "author" : [ { "dropping-particle" : "", "family" : "Venkataraman", "given" : "Nenkat", "non-dropping-particle" : "", "parse-names" : false, "suffix" : "" }, { "dropping-particle" : "", "family" : "Grant", "given" : "John H", "non-dropping-particle" : "", "parse-names" : false, "suffix" : "" } ], "container-title" : "Academy of Management Review", "id" : "ITEM-2", "issue" : "1", "issued" : { "date-parts" : [ [ "1986" ] ] }, "page" : "71-87", "title" : "Construct measurement in organizational strategy research: A critique and proposal", "type" : "article-journal", "volume" : "11" }, "uris" : [ "http://www.mendeley.com/documents/?uuid=65c3614a-741e-4f4e-8f00-dae1c0381e37" ] }, { "id" : "ITEM-3", "itemData" : { "author" : [ { "dropping-particle" : "", "family" : "Autry", "given" : "Chad W", "non-dropping-particle" : "", "parse-names" : false, "suffix" : "" }, { "dropping-particle" : "", "family" : "Rose", "given" : "William J", "non-dropping-particle" : "", "parse-names" : false, "suffix" : "" }, { "dropping-particle" : "", "family" : "Bell", "given" : "John E", "non-dropping-particle" : "", "parse-names" : false, "suffix" : "" } ], "container-title" : "Journal of Business Logistics", "id" : "ITEM-3", "issue" : "3", "issued" : { "date-parts" : [ [ "2014" ] ] }, "page" : "275-276", "title" : "Reconsidering the Supply Chain Integration \u2013 Performance Relationship: In Search of Theoretical Consistency and Clarity", "type" : "article-journal", "volume" : "35" }, "uris" : [ "http://www.mendeley.com/documents/?uuid=7c1b7a9d-57d2-4b72-b215-e773fdd59fb7" ] } ], "mendeley" : { "formattedCitation" : "(Autry, Rose, &amp; Bell, 2014; Combs, Crook, &amp; Shook, 2005; Venkataraman &amp; Grant, 1986)", "plainTextFormattedCitation" : "(Autry, Rose, &amp; Bell, 2014; Combs, Crook, &amp; Shook, 2005; Venkataraman &amp; Grant, 1986)", "previouslyFormattedCitation" : "(Autry, Rose, &amp; Bell, 2014; Combs, Crook, &amp; Shook, 2005; Venkataraman &amp; Grant, 1986)" }, "properties" : { "noteIndex" : 0 }, "schema" : "https://github.com/citation-style-language/schema/raw/master/csl-citation.json" }</w:instrText>
      </w:r>
      <w:r>
        <w:rPr>
          <w:rFonts w:ascii="Times New Roman" w:hAnsi="Times New Roman" w:cs="Times New Roman"/>
        </w:rPr>
        <w:fldChar w:fldCharType="separate"/>
      </w:r>
      <w:r w:rsidRPr="00972B36">
        <w:rPr>
          <w:rFonts w:ascii="Times New Roman" w:hAnsi="Times New Roman" w:cs="Times New Roman"/>
          <w:noProof/>
        </w:rPr>
        <w:t>(Autry, Rose, &amp; Bell, 2014; Combs, Crook, &amp; Shook, 2005; Venkataraman &amp; Grant, 1986)</w:t>
      </w:r>
      <w:r>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Therefore</w:t>
      </w:r>
      <w:r w:rsidRPr="00BA7968">
        <w:rPr>
          <w:rFonts w:ascii="Times New Roman" w:hAnsi="Times New Roman" w:cs="Times New Roman"/>
        </w:rPr>
        <w:t xml:space="preserve">, this </w:t>
      </w:r>
      <w:r>
        <w:rPr>
          <w:rFonts w:ascii="Times New Roman" w:hAnsi="Times New Roman" w:cs="Times New Roman"/>
        </w:rPr>
        <w:t>dissertation</w:t>
      </w:r>
      <w:r w:rsidRPr="00BA7968">
        <w:rPr>
          <w:rFonts w:ascii="Times New Roman" w:hAnsi="Times New Roman" w:cs="Times New Roman"/>
        </w:rPr>
        <w:t xml:space="preserve"> focuses on the main underlying dimensions of innovation sourcing to derive a conceptual model and a foundation for future research. It is directed by three research questions:</w:t>
      </w:r>
    </w:p>
    <w:p w14:paraId="07BDC6FD" w14:textId="77777777" w:rsidR="003D2878" w:rsidRPr="00BA7968" w:rsidRDefault="003D2878" w:rsidP="00C7731B">
      <w:pPr>
        <w:spacing w:line="360" w:lineRule="auto"/>
        <w:jc w:val="both"/>
        <w:rPr>
          <w:rFonts w:ascii="Times New Roman" w:hAnsi="Times New Roman" w:cs="Times New Roman"/>
        </w:rPr>
      </w:pPr>
    </w:p>
    <w:p w14:paraId="0499B7FE" w14:textId="77777777" w:rsidR="00C7731B" w:rsidRPr="00BA7968" w:rsidRDefault="00C7731B" w:rsidP="00C7731B">
      <w:pPr>
        <w:spacing w:line="360" w:lineRule="auto"/>
        <w:ind w:left="360"/>
        <w:jc w:val="both"/>
        <w:rPr>
          <w:rFonts w:ascii="Times New Roman" w:hAnsi="Times New Roman" w:cs="Times New Roman"/>
        </w:rPr>
      </w:pPr>
      <w:r w:rsidRPr="00BA7968">
        <w:rPr>
          <w:rFonts w:ascii="Times New Roman" w:hAnsi="Times New Roman" w:cs="Times New Roman"/>
        </w:rPr>
        <w:t>RQ1: What are the key dimensions of innovation sourcing?</w:t>
      </w:r>
    </w:p>
    <w:p w14:paraId="18343F6D" w14:textId="77777777" w:rsidR="00C7731B" w:rsidRPr="00BA7968" w:rsidRDefault="00C7731B" w:rsidP="00C7731B">
      <w:pPr>
        <w:spacing w:line="360" w:lineRule="auto"/>
        <w:ind w:left="360"/>
        <w:jc w:val="both"/>
        <w:rPr>
          <w:rFonts w:ascii="Times New Roman" w:hAnsi="Times New Roman" w:cs="Times New Roman"/>
        </w:rPr>
      </w:pPr>
      <w:r w:rsidRPr="00BA7968">
        <w:rPr>
          <w:rFonts w:ascii="Times New Roman" w:hAnsi="Times New Roman" w:cs="Times New Roman"/>
        </w:rPr>
        <w:t>RQ2: How is innovation sourcing related to innovation performance?</w:t>
      </w:r>
    </w:p>
    <w:p w14:paraId="2771FC42" w14:textId="77777777" w:rsidR="00C7731B" w:rsidRDefault="00C7731B" w:rsidP="00C7731B">
      <w:pPr>
        <w:spacing w:line="360" w:lineRule="auto"/>
        <w:ind w:left="936" w:hanging="576"/>
        <w:jc w:val="both"/>
        <w:rPr>
          <w:rFonts w:ascii="Times New Roman" w:hAnsi="Times New Roman" w:cs="Times New Roman"/>
        </w:rPr>
      </w:pPr>
      <w:r w:rsidRPr="00BA7968">
        <w:rPr>
          <w:rFonts w:ascii="Times New Roman" w:hAnsi="Times New Roman" w:cs="Times New Roman"/>
        </w:rPr>
        <w:t>RQ3: What future research issues should be addressed to enhance the understanding of the innovation sourcing phenomenon?</w:t>
      </w:r>
    </w:p>
    <w:p w14:paraId="36A3E5E5" w14:textId="77777777" w:rsidR="00120598" w:rsidRPr="00BA7968" w:rsidRDefault="00120598" w:rsidP="00C7731B">
      <w:pPr>
        <w:spacing w:line="360" w:lineRule="auto"/>
        <w:ind w:left="936" w:hanging="576"/>
        <w:jc w:val="both"/>
        <w:rPr>
          <w:rFonts w:ascii="Times New Roman" w:hAnsi="Times New Roman" w:cs="Times New Roman"/>
        </w:rPr>
      </w:pPr>
    </w:p>
    <w:p w14:paraId="5AE74AA3" w14:textId="77777777" w:rsidR="00C7731B" w:rsidRPr="00BA7968" w:rsidRDefault="00C7731B" w:rsidP="00C7731B">
      <w:pPr>
        <w:spacing w:line="360" w:lineRule="auto"/>
        <w:jc w:val="both"/>
        <w:rPr>
          <w:rFonts w:ascii="Times New Roman" w:hAnsi="Times New Roman" w:cs="Times New Roman"/>
          <w:b/>
        </w:rPr>
      </w:pPr>
      <w:r w:rsidRPr="00BA7968">
        <w:rPr>
          <w:rFonts w:ascii="Times New Roman" w:hAnsi="Times New Roman" w:cs="Times New Roman"/>
        </w:rPr>
        <w:t xml:space="preserve">First, the essential literature on innovation sourcing is </w:t>
      </w:r>
      <w:r>
        <w:rPr>
          <w:rFonts w:ascii="Times New Roman" w:hAnsi="Times New Roman" w:cs="Times New Roman"/>
        </w:rPr>
        <w:t>synthesized</w:t>
      </w:r>
      <w:r w:rsidRPr="00BA7968">
        <w:rPr>
          <w:rFonts w:ascii="Times New Roman" w:hAnsi="Times New Roman" w:cs="Times New Roman"/>
        </w:rPr>
        <w:t xml:space="preserve"> to establish a </w:t>
      </w:r>
      <w:r>
        <w:rPr>
          <w:rFonts w:ascii="Times New Roman" w:hAnsi="Times New Roman" w:cs="Times New Roman"/>
        </w:rPr>
        <w:t xml:space="preserve">foundation for the subsequent model and proposition development. This dissertation chapter concludes with suggested </w:t>
      </w:r>
      <w:r w:rsidRPr="00BA7968">
        <w:rPr>
          <w:rFonts w:ascii="Times New Roman" w:hAnsi="Times New Roman" w:cs="Times New Roman"/>
        </w:rPr>
        <w:t>future research.</w:t>
      </w:r>
    </w:p>
    <w:p w14:paraId="7627472C" w14:textId="77777777" w:rsidR="00C7731B" w:rsidRPr="00BA7968" w:rsidRDefault="00C7731B" w:rsidP="00C7731B">
      <w:pPr>
        <w:spacing w:line="360" w:lineRule="auto"/>
        <w:rPr>
          <w:rFonts w:ascii="Times New Roman" w:hAnsi="Times New Roman" w:cs="Times New Roman"/>
          <w:b/>
        </w:rPr>
      </w:pPr>
    </w:p>
    <w:p w14:paraId="5BE25BC4" w14:textId="4D7B216A" w:rsidR="00C7731B" w:rsidRPr="003D2878" w:rsidRDefault="00C7731B" w:rsidP="003D2878">
      <w:pPr>
        <w:pStyle w:val="Heading3new"/>
      </w:pPr>
      <w:r w:rsidRPr="003D2878">
        <w:t>Innovation Sourcing and Innovation Performance</w:t>
      </w:r>
    </w:p>
    <w:p w14:paraId="15E766EA"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In many </w:t>
      </w:r>
      <w:r>
        <w:rPr>
          <w:rFonts w:ascii="Times New Roman" w:hAnsi="Times New Roman" w:cs="Times New Roman"/>
        </w:rPr>
        <w:t>organizations</w:t>
      </w:r>
      <w:r w:rsidRPr="00BA7968">
        <w:rPr>
          <w:rFonts w:ascii="Times New Roman" w:hAnsi="Times New Roman" w:cs="Times New Roman"/>
        </w:rPr>
        <w:t xml:space="preserve">, innovation is primarily driven by internal activities, championed by the in-house R&amp;D or commercialization departments. However, this internally focused “design-it-yourself” mentality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"10.1108/00251741111143630", "ISBN" : "0025174121122", "abstract" : "Purpose \u2013 The purpose of the paper is to analyse the changing of governance modes for the acquisition of external technology in the context of design driven innovation. Design/methodology/approach \u2013 This is an explorative study drawing on cases of new product development (NPD) by six design-oriented Italian firms. In analyzing the cases a longitudinal approach is taken. Findings \u2013 The analysis of the cases shows a similar pattern for technology sourcing during the NPD process, starting with informal networks and ending with hierarchical structures. In the early stages of NPD, when market uncertainty and technological uncertainty are very high, these companies choose an informal network. However, once the product concept is defined and the companies need to become familiar with a technology, they move to strategic alliances with partners. In the final stages of NPD, more hierarchical structures seem to prevail. Research limitations/implications \u2013 There are two main limitations of the study. The paper investigates the influence of uncertainty on the choice of governance modes and does not consider other variables that could impact on choice such as assets specificity, frequency of transactions, product complexity, cultural distance among partners, etc. Another limitation of the study is the small set of cases. Practical implications \u2013 From a managerial point of view, this study suggests that firms which develop successful design-driven innovations follow an organizational pattern for technology sourcing during the NPD process, starting with informal networks and ending with hierarchical structures. Thus it is extremely important for these firms to have an open-minded management that fosters the creation of a wide external network. This openness shown by the firms towards collaboration with other organizations in order to acquire ideas, new materials and knowledge must be offset by the secure protection of the results of the innovation process. Managers must foresee these needs and find ways to safeguard the results obtained through experimentation by means of patents or exclusive contracts with the supplier. Originality/value \u2013 The paper contributes to the research on the theme of design-driven innovation, analyzing the evolution and change in governance modes across the new product development process. It thus differentiates from the existing literature adopting a dynamic view, where multiple transactions are taken into consideration.", "author" : [ { "dropping-particle" : "", "family" : "Cantarello", "given" : "Silvia", "non-dropping-particle" : "", "parse-names" : false, "suffix" : "" }, { "dropping-particle" : "", "family" : "Nosella", "given" : "Anna", "non-dropping-particle" : "", "parse-names" : false, "suffix" : "" }, { "dropping-particle" : "", "family" : "Petroni", "given" : "Giorgio", "non-dropping-particle" : "", "parse-names" : false, "suffix" : "" }, { "dropping-particle" : "", "family" : "Venturini", "given" : "Karen", "non-dropping-particle" : "", "parse-names" : false, "suffix" : "" } ], "container-title" : "Management Decision", "id" : "ITEM-1", "issue" : "6", "issued" : { "date-parts" : [ [ "2011" ] ] }, "page" : "962-983", "title" : "External technology sourcing: evidence from design-driven innovation", "type" : "article-journal", "volume" : "49" }, "uris" : [ "http://www.mendeley.com/documents/?uuid=95a220ff-6722-487d-bfa8-247c9e2f30dd" ] }, { "id" : "ITEM-2", "itemData" : { "DOI" : "10.1111/j.1467-9310.2006.00437.x", "author" : [ { "dropping-particle" : "", "family" : "Gassmann", "given" : "Oliver", "non-dropping-particle" : "", "parse-names" : false, "suffix" : "" } ], "container-title" : "R&amp;D Management", "id" : "ITEM-2", "issue" : "3", "issued" : { "date-parts" : [ [ "2006" ] ] }, "page" : "223-228", "title" : "Opening Up the Innovation Process: Towards an Agenda", "type" : "article-journal", "volume" : "36" }, "uris" : [ "http://www.mendeley.com/documents/?uuid=be9ecf10-5378-466b-8674-237f61bab574" ] } ], "mendeley" : { "formattedCitation" : "(Cantarello, Nosella, Petroni, &amp; Venturini, 2011; Gassmann, 2006)", "plainTextFormattedCitation" : "(Cantarello, Nosella, Petroni, &amp; Venturini, 2011; Gassmann, 2006)", "previouslyFormattedCitation" : "(Cantarello, Nosella, Petroni, &amp; Venturini, 2011; Gassmann,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(Cantarello, Nosella, Petroni, &amp; Venturini, 2011; Gassmann, 2006)</w:t>
      </w:r>
      <w:r w:rsidRPr="00BA7968">
        <w:rPr>
          <w:rFonts w:ascii="Times New Roman" w:hAnsi="Times New Roman" w:cs="Times New Roman"/>
        </w:rPr>
        <w:fldChar w:fldCharType="end"/>
      </w:r>
      <w:r w:rsidRPr="00BA7968">
        <w:rPr>
          <w:rFonts w:ascii="Times New Roman" w:hAnsi="Times New Roman" w:cs="Times New Roman"/>
        </w:rPr>
        <w:t xml:space="preserve"> is arduous and neglects external knowledge from the supply network, limiting competitiveness. Similar to the global division of labor in manufacturing and logistics, research and development activities are increasingly shared cooperatively among supply network partners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"2039", "ISBN" : "00178012", "ISSN" : "0017-8012", "PMID" : "12389463", "abstract" : "Companies in many industries are feeling immense pressure to improve\\ntheir ability to innovate. Even in these tough economic times,\\nexecutives have pushed innovation initiatives to the top of their\\npriority lists, but they know that the best ideas aren't always coming\\nout of their own R&amp;D labs.\\nThat's why a growing number of companies are exploring the idea of\\nopen-market innovation-an approach that uses tools such as\\nlicensing,joint ventures, and strategic alliances to bring the benefits\\nof free trade to the flow of new ideas. For instance, when faced with\\nthe unanticipated anthrax scare last fall, Pitney Bowes had nothing in\\nits R&amp;D pipeline to help its customers combat the deadly spores. So it\\nsought help from outside innovators to come up with scanning and imaging\\ntechnologies that could alert its customers to tainted letters and\\npackages. And Dow Chemical and Cargill jointly produced a new form of\\nplastic derived from plant starches-a breakthrough product that neither\\ncompany could have created on its own.\\nIn this article, Bain consultants Darrell Rigby and Chris Zook describe\\nthe advantages and disadvantages of open-market innovation and the ways\\nsome companies are using it to gain competitive advantage. By importing\\nideas from the outside, the authors say, companies can collect more and\\nbetter ideas from different kinds of experts. Creative types within a\\ncompany will stick around longer if they know their ideas will\\neventually find a home-as internal R&amp;D projects or as concepts licensed\\nto outside buyers. Exporting ideas also gives companies a way to measure\\nan innovation's real value.\\nHowever, the authors warn against entering into open-market innovation\\nwithout properly structuring deals: Xerox and TRW virtually gave away\\ntheir innovations and had to stand by while other companies capitalized\\non them.", "author" : [ { "dropping-particle" : "", "family" : "Rigby", "given" : "Darrell", "non-dropping-particle" : "", "parse-names" : false, "suffix" : "" }, { "dropping-particle" : "", "family" : "Zook", "given" : "Chris", "non-dropping-particle" : "", "parse-names" : false, "suffix" : "" } ], "container-title" : "Harvard Business Review", "id" : "ITEM-1", "issue" : "10", "issued" : { "date-parts" : [ [ "2002" ] ] }, "page" : "80-93", "title" : "Open-market innovation", "type" : "article-journal", "volume" : "80" }, "uris" : [ "http://www.mendeley.com/documents/?uuid=8d0689c3-4f62-48c4-8436-fec5bdeb437d" ] }, { "id" : "ITEM-2", "itemData" : { "ISBN" : "978-1-4221-0427-9", "author" : [ { "dropping-particle" : "", "family" : "Chesbrough", "given" : "Henry", "non-dropping-particle" : "", "parse-names" : false, "suffix" : "" } ], "id" : "ITEM-2", "issued" : { "date-parts" : [ [ "2006" ] ] }, "publisher" : "Harvard Business School Press", "publisher-place" : "Boston, MA", "title" : "Open business models: How to thrive in the new innovation landscape", "type" : "book" }, "uris" : [ "http://www.mendeley.com/documents/?uuid=ae1a9449-a1f6-428e-a760-4d1fd41a734d" ] } ], "mendeley" : { "formattedCitation" : "(Chesbrough, 2006; Rigby &amp; Zook, 2002)", "plainTextFormattedCitation" : "(Chesbrough, 2006; Rigby &amp; Zook, 2002)", "previouslyFormattedCitation" : "(Chesbrough, 2006; Rigby &amp; Zook, 2002)"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(Chesbrough, 2006; Rigby &amp; Zook, 2002)</w:t>
      </w:r>
      <w:r w:rsidRPr="00BA7968">
        <w:rPr>
          <w:rFonts w:ascii="Times New Roman" w:hAnsi="Times New Roman" w:cs="Times New Roman"/>
        </w:rPr>
        <w:fldChar w:fldCharType="end"/>
      </w:r>
      <w:r w:rsidRPr="00BA7968">
        <w:rPr>
          <w:rFonts w:ascii="Times New Roman" w:hAnsi="Times New Roman" w:cs="Times New Roman"/>
        </w:rPr>
        <w:t xml:space="preserve">. Joint innovation collaboration has become essential because of increasing product, service, and process complexity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"Companies have historically invested in large research and development departments to drive innovation and provide sustainable growth. This model, however, is eroding due to a number of factors. What is emerging is a more open model, where companies recognize that not all good ideas will come from inside the organization and not all good ideas created within the organization can be successfully marketed internally. To date, Open Innovation concepts have been regarded as relevant primarily to \u2018high-technology\u2019 industries, with examples that include Lucent, 3Com, IBM, Intel and Millenium Pharmaceuticals. In this article, we identify organizations in industries outside \u2018high technology\u2019 that are early adopters of the concept. Our findings demonstrate that many Open Innovation concepts are already in use in a wide range of industries. We document practices that appear to assist organizations adopting these concepts, and discover that Open Innovation is not ipso facto a recipe for outsourcing R&amp;D. We conclude that Open Innovation has utility as a paradigm for industrial innovation beyond high tech to more traditional and mature industries.", "author" : [ { "dropping-particle" : "", "family" : "Chesbrough", "given" : "Henry", "non-dropping-particle" : "", "parse-names" : false, "suffix" : "" }, { "dropping-particle" : "", "family" : "Crowther", "given" : "Adrienne Kardon", "non-dropping-particle" : "", "parse-names" : false, "suffix" : "" } ], "container-title" : "R&amp;D Management", "id" : "ITEM-1", "issue" : "3", "issued" : { "date-parts" : [ [ "2006" ] ] }, "page" : "229-236", "title" : "Beyond high tech: Early adopters of open innovation in other industries", "type" : "article-journal", "volume" : "36" }, "uris" : [ "http://www.mendeley.com/documents/?uuid=f4e6a3e0-3858-4eec-af6c-509d8e44595b" ] }, { "id" : "ITEM-2", "itemData" : { "author" : [ { "dropping-particle" : "", "family" : "Enkel", "given" : "Ellen", "non-dropping-particle" : "", "parse-names" : false, "suffix" : "" }, { "dropping-particle" : "", "family" : "Gassmann", "given" : "Oliver", "non-dropping-particle" : "", "parse-names" : false, "suffix" : "" }, { "dropping-particle" : "", "family" : "Chesbrough", "given" : "Henry", "non-dropping-particle" : "", "parse-names" : false, "suffix" : "" } ], "container-title" : "R&amp;D Management", "id" : "ITEM-2", "issue" : "4", "issued" : { "date-parts" : [ [ "2009" ] ] }, "page" : "311-316", "title" : "Open R &amp; D and open innovation : exploring the phenomenon", "type" : "article-journal", "volume" : "39" }, "uris" : [ "http://www.mendeley.com/documents/?uuid=8e6f6115-4d74-48be-a446-87fcb9e20a64" ] } ], "mendeley" : { "formattedCitation" : "(Chesbrough &amp; Crowther, 2006; Enkel, Gassmann, &amp; Chesbrough, 2009)", "plainTextFormattedCitation" : "(Chesbrough &amp; Crowther, 2006; Enkel, Gassmann, &amp; Chesbrough, 2009)", "previouslyFormattedCitation" : "(Chesbrough &amp; Crowther, 2006; Enkel, Gassmann, &amp; Chesbrough,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(Chesbrough &amp; Crowther, 2006; Enkel, Gassmann, &amp; Chesbrough, 2009)</w:t>
      </w:r>
      <w:r w:rsidRPr="00BA7968">
        <w:rPr>
          <w:rFonts w:ascii="Times New Roman" w:hAnsi="Times New Roman" w:cs="Times New Roman"/>
        </w:rPr>
        <w:fldChar w:fldCharType="end"/>
      </w:r>
      <w:r w:rsidRPr="00BA7968">
        <w:rPr>
          <w:rFonts w:ascii="Times New Roman" w:hAnsi="Times New Roman" w:cs="Times New Roman"/>
        </w:rPr>
        <w:t>.</w:t>
      </w:r>
    </w:p>
    <w:p w14:paraId="6963EA62"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lastRenderedPageBreak/>
        <w:tab/>
        <w:t>The innovation sourcing process involves constant scanning for new ideas in methods, products or practices from upstream supply chain members. With innovation sourcing, organizations are acquiring relevant knowledge from a collaborative network of various suppliers supporting the focal</w:t>
      </w:r>
      <w:r>
        <w:rPr>
          <w:rFonts w:ascii="Times New Roman" w:hAnsi="Times New Roman" w:cs="Times New Roman"/>
        </w:rPr>
        <w:t xml:space="preserve"> firm</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"10.2307/2393988", "ISBN" : "0001-8392", "ISSN" : "0001-8392", "PMID" : "9606053202", "abstract" : "We argue in this paper that when the knowledge base of an industry is both complex and expanding and the sources of expertise are widely dispersed, the locus of innovation will be found in networks of learning, rather than in individual firms. The large-scale reliance on interorganizational collaborations in the biotechnology industry reflects a fundamental and pervasive concern with access to knowledge. We develop a network approach to organizational learning and derive firm-level, longitudinal hypotheses that link research and development alliances, experience with managing interfirm relationships, network position, rates of growth, and portfolios of collaborative activities. We test these hypotheses on a sample of dedicated biotechnology firms in the years 1990-1994. Results from pooled, within-firm, time series analyses support a learning view and have broad implications for future theoretical and empirical research on organizational networks and strategic alliances..", "author" : [ { "dropping-particle" : "", "family" : "Powell", "given" : "Walter W", "non-dropping-particle" : "", "parse-names" : false, "suffix" : "" }, { "dropping-particle" : "", "family" : "Koput", "given" : "Kenneth W", "non-dropping-particle" : "", "parse-names" : false, "suffix" : "" }, { "dropping-particle" : "", "family" : "Smith-Doerr", "given" : "Laurel", "non-dropping-particle" : "", "parse-names" : false, "suffix" : "" } ], "container-title" : "Administrative Science Quarterly", "id" : "ITEM-1", "issue" : "1", "issued" : { "date-parts" : [ [ "1996" ] ] }, "page" : "116-145", "title" : "Interorganizational Collaboration and the Locus of Innovation: Networks of Learning in Biotechnology", "type" : "article-journal", "volume" : "41" }, "uris" : [ "http://www.mendeley.com/documents/?uuid=a25d483b-654f-40c5-ab47-3e2db887d3ee" ] }, { "id" : "ITEM-2", "itemData" : { "author" : [ { "dropping-particle" : "", "family" : "Gallego", "given" : "Jorge", "non-dropping-particle" : "", "parse-names" : false, "suffix" : "" }, { "dropping-particle" : "", "family" : "Rubalcaba", "given" : "Luis", "non-dropping-particle" : "", "parse-names" : false, "suffix" : "" }, { "dropping-particle" : "", "family" : "Su\u00e1rez", "given" : "Cristina", "non-dropping-particle" : "", "parse-names" : false, "suffix" : "" } ], "container-title" : "Journal of Business Research", "id" : "ITEM-2", "issued" : { "date-parts" : [ [ "2013" ] ] }, "page" : "2034-2041", "title" : "Knowledge for innovation in Europe: The role of external knowledge on firms' cooperation strategies", "type" : "article-journal", "volume" : "66" }, "uris" : [ "http://www.mendeley.com/documents/?uuid=edb64ecd-c9b3-4786-9f69-0c95f4128a67" ] }, { "id" : "ITEM-3", "itemData" : { "author" : [ { "dropping-particle" : "", "family" : "Chesbrough", "given" : "Henry", "non-dropping-particle" : "", "parse-names" : false, "suffix" : "" } ], "id" : "ITEM-3",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Gallego, Rubalcaba, &amp; Su\u00e1rez, 2013; Powell, Koput, &amp; Smith-Doerr, 1996)", "plainTextFormattedCitation" : "(Chesbrough, 2003; Gallego, Rubalcaba, &amp; Su\u00e1rez, 2013; Powell, Koput, &amp; Smith-Doerr, 1996)", "previouslyFormattedCitation" : "(Chesbrough, 2003; Gallego, Rubalcaba, &amp; Su\u00e1rez, 2013; Powell, Koput, &amp; Smith-Doerr, 1996)"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(Chesbrough, 2003; Gallego, Rubalcaba, &amp; Suárez, 2013; Powell, Koput, &amp; Smith-Doerr, 1996)</w:t>
      </w:r>
      <w:r w:rsidRPr="00BA7968">
        <w:rPr>
          <w:rFonts w:ascii="Times New Roman" w:hAnsi="Times New Roman" w:cs="Times New Roman"/>
        </w:rPr>
        <w:fldChar w:fldCharType="end"/>
      </w:r>
      <w:r w:rsidRPr="00BA7968">
        <w:rPr>
          <w:rFonts w:ascii="Times New Roman" w:hAnsi="Times New Roman" w:cs="Times New Roman"/>
        </w:rPr>
        <w:t xml:space="preserve">. An organization’s formal boundaries are converted “into a more </w:t>
      </w:r>
      <w:r w:rsidRPr="00BA7968">
        <w:rPr>
          <w:rFonts w:ascii="Times New Roman" w:hAnsi="Times New Roman" w:cs="Times New Roman"/>
          <w:bCs/>
        </w:rPr>
        <w:t>semi-permeable membrane</w:t>
      </w:r>
      <w:r w:rsidRPr="00BA7968">
        <w:rPr>
          <w:rFonts w:ascii="Times New Roman" w:hAnsi="Times New Roman" w:cs="Times New Roman"/>
          <w:b/>
          <w:bCs/>
        </w:rPr>
        <w:t xml:space="preserve"> </w:t>
      </w:r>
      <w:r w:rsidRPr="00BA7968">
        <w:rPr>
          <w:rFonts w:ascii="Times New Roman" w:hAnsi="Times New Roman" w:cs="Times New Roman"/>
        </w:rPr>
        <w:t xml:space="preserve">that enables knowledge to move more easily between the external environment and the </w:t>
      </w:r>
      <w:r>
        <w:rPr>
          <w:rFonts w:ascii="Times New Roman" w:hAnsi="Times New Roman" w:cs="Times New Roman"/>
        </w:rPr>
        <w:t>organization</w:t>
      </w:r>
      <w:r w:rsidRPr="00BA7968">
        <w:rPr>
          <w:rFonts w:ascii="Times New Roman" w:hAnsi="Times New Roman" w:cs="Times New Roman"/>
        </w:rPr>
        <w:t xml:space="preserve">’s internal innovation process”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"container-title" : "Proceedings of The R&amp;D Management Conference, Lisbon, Portugal, July 6\u20139.", "id" : "ITEM-1", "issued" : { "date-parts" : [ [ "2004" ] ] }, "page" : "1-18", "title" : "Towards a Theory of Open Innovation: Three Core Process Archetypes", "type" : "paper-conference" }, "uris" : [ "http://www.mendeley.com/documents/?uuid=3aeea0b9-4be6-4349-b20d-9f5884fc2963" ] } ], "mendeley" : { "formattedCitation" : "(Gassmann &amp; Enkel, 2004)", "manualFormatting" : "(Gassmann and Enkel 2004, p. 2)", "plainTextFormattedCitation" : "(Gassmann &amp; Enkel, 2004)", "previouslyFormattedCitation" : "(Gassmann &amp; Enkel, 2004)" }, "properties" : { "noteIndex" : 0 }, "schema" : "https://github.com/citation-style-language/schema/raw/master/csl-citation.json" }</w:instrText>
      </w:r>
      <w:r w:rsidRPr="00BA7968">
        <w:rPr>
          <w:rFonts w:ascii="Times New Roman" w:hAnsi="Times New Roman" w:cs="Times New Roman"/>
        </w:rPr>
        <w:fldChar w:fldCharType="separate"/>
      </w:r>
      <w:r w:rsidRPr="00BA7968">
        <w:rPr>
          <w:rFonts w:ascii="Times New Roman" w:hAnsi="Times New Roman" w:cs="Times New Roman"/>
          <w:noProof/>
        </w:rPr>
        <w:t>(Gassmann and Enkel 2004, p. 2)</w:t>
      </w:r>
      <w:r w:rsidRPr="00BA7968">
        <w:rPr>
          <w:rFonts w:ascii="Times New Roman" w:hAnsi="Times New Roman" w:cs="Times New Roman"/>
        </w:rPr>
        <w:fldChar w:fldCharType="end"/>
      </w:r>
      <w:r w:rsidRPr="00BA7968">
        <w:rPr>
          <w:rFonts w:ascii="Times New Roman" w:hAnsi="Times New Roman" w:cs="Times New Roman"/>
        </w:rPr>
        <w:t xml:space="preserve">. The sourcing of external knowledge enables the </w:t>
      </w:r>
      <w:r>
        <w:rPr>
          <w:rFonts w:ascii="Times New Roman" w:hAnsi="Times New Roman" w:cs="Times New Roman"/>
        </w:rPr>
        <w:t>company</w:t>
      </w:r>
      <w:r w:rsidRPr="00BA7968">
        <w:rPr>
          <w:rFonts w:ascii="Times New Roman" w:hAnsi="Times New Roman" w:cs="Times New Roman"/>
        </w:rPr>
        <w:t xml:space="preserve"> to strategically share development risks and costs with other organizations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"Companies have historically invested in large research and development departments to drive innovation and provide sustainable growth. This model, however, is eroding due to a number of factors. What is emerging is a more open model, where companies recognize that not all good ideas will come from inside the organization and not all good ideas created within the organization can be successfully marketed internally. To date, Open Innovation concepts have been regarded as relevant primarily to \u2018high-technology\u2019 industries, with examples that include Lucent, 3Com, IBM, Intel and Millenium Pharmaceuticals. In this article, we identify organizations in industries outside \u2018high technology\u2019 that are early adopters of the concept. Our findings demonstrate that many Open Innovation concepts are already in use in a wide range of industries. We document practices that appear to assist organizations adopting these concepts, and discover that Open Innovation is not ipso facto a recipe for outsourcing R&amp;D. We conclude that Open Innovation has utility as a paradigm for industrial innovation beyond high tech to more traditional and mature industries.", "author" : [ { "dropping-particle" : "", "family" : "Chesbrough", "given" : "Henry", "non-dropping-particle" : "", "parse-names" : false, "suffix" : "" }, { "dropping-particle" : "", "family" : "Crowther", "given" : "Adrienne Kardon", "non-dropping-particle" : "", "parse-names" : false, "suffix" : "" } ], "container-title" : "R&amp;D Management", "id" : "ITEM-1", "issue" : "3", "issued" : { "date-parts" : [ [ "2006" ] ] }, "page" : "229-236", "title" : "Beyond high tech: Early adopters of open innovation in other industries", "type" : "article-journal", "volume" : "36" }, "uris" : [ "http://www.mendeley.com/documents/?uuid=f4e6a3e0-3858-4eec-af6c-509d8e44595b" ] } ], "mendeley" : { "formattedCitation" : "(Chesbrough &amp; Crowther, 2006)", "plainTextFormattedCitation" : "(Chesbrough &amp; Crowther, 2006)", "previouslyFormattedCitation" : "(Chesbrough &amp; Crowther,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(Chesbrough &amp; Crowther, 2006)</w:t>
      </w:r>
      <w:r w:rsidRPr="00BA7968">
        <w:rPr>
          <w:rFonts w:ascii="Times New Roman" w:hAnsi="Times New Roman" w:cs="Times New Roman"/>
        </w:rPr>
        <w:fldChar w:fldCharType="end"/>
      </w:r>
      <w:r w:rsidRPr="00BA7968">
        <w:rPr>
          <w:rFonts w:ascii="Times New Roman" w:hAnsi="Times New Roman" w:cs="Times New Roman"/>
        </w:rPr>
        <w:t>.</w:t>
      </w:r>
    </w:p>
    <w:p w14:paraId="3923A777" w14:textId="77777777" w:rsidR="00C7731B" w:rsidRDefault="00C7731B" w:rsidP="00C7731B">
      <w:pPr>
        <w:spacing w:line="360" w:lineRule="auto"/>
        <w:jc w:val="both"/>
        <w:rPr>
          <w:rFonts w:ascii="Times New Roman" w:hAnsi="Times New Roman" w:cs="Times New Roman"/>
        </w:rPr>
      </w:pPr>
    </w:p>
    <w:p w14:paraId="27DC4F5B" w14:textId="494FCEC8" w:rsidR="00C7731B" w:rsidRPr="00BA7968" w:rsidRDefault="00C7731B" w:rsidP="003D2878">
      <w:pPr>
        <w:pStyle w:val="Heading3new"/>
      </w:pPr>
      <w:r w:rsidRPr="00BA7968">
        <w:t>Innovation Performance</w:t>
      </w:r>
      <w:r>
        <w:t xml:space="preserve"> Definitions and Operationalization</w:t>
      </w:r>
    </w:p>
    <w:p w14:paraId="49DD28B4" w14:textId="6814BAF1" w:rsidR="00C7731B" w:rsidRDefault="00C7731B" w:rsidP="00C7731B">
      <w:pPr>
        <w:spacing w:line="360" w:lineRule="auto"/>
        <w:jc w:val="both"/>
        <w:rPr>
          <w:rFonts w:ascii="Times New Roman" w:hAnsi="Times New Roman" w:cs="Times New Roman"/>
        </w:rPr>
      </w:pPr>
      <w:r>
        <w:rPr>
          <w:rFonts w:ascii="Times New Roman" w:hAnsi="Times New Roman" w:cs="Times New Roman"/>
        </w:rPr>
        <w:t>I</w:t>
      </w:r>
      <w:r w:rsidRPr="00BA7968">
        <w:rPr>
          <w:rFonts w:ascii="Times New Roman" w:hAnsi="Times New Roman" w:cs="Times New Roman"/>
        </w:rPr>
        <w:t>nter-</w:t>
      </w:r>
      <w:r>
        <w:rPr>
          <w:rFonts w:ascii="Times New Roman" w:hAnsi="Times New Roman" w:cs="Times New Roman"/>
        </w:rPr>
        <w:t>firm</w:t>
      </w:r>
      <w:r w:rsidRPr="00BA7968">
        <w:rPr>
          <w:rFonts w:ascii="Times New Roman" w:hAnsi="Times New Roman" w:cs="Times New Roman"/>
        </w:rPr>
        <w:t xml:space="preserve"> innovation can </w:t>
      </w:r>
      <w:r>
        <w:rPr>
          <w:rFonts w:ascii="Times New Roman" w:hAnsi="Times New Roman" w:cs="Times New Roman"/>
        </w:rPr>
        <w:t>lead to better</w:t>
      </w:r>
      <w:r w:rsidRPr="00BA7968">
        <w:rPr>
          <w:rFonts w:ascii="Times New Roman" w:hAnsi="Times New Roman" w:cs="Times New Roman"/>
        </w:rPr>
        <w:t xml:space="preserve"> innovation performance such as </w:t>
      </w:r>
      <w:r>
        <w:rPr>
          <w:rFonts w:ascii="Times New Roman" w:hAnsi="Times New Roman" w:cs="Times New Roman"/>
        </w:rPr>
        <w:t>shorter development</w:t>
      </w:r>
      <w:r w:rsidRPr="00BA7968">
        <w:rPr>
          <w:rFonts w:ascii="Times New Roman" w:hAnsi="Times New Roman" w:cs="Times New Roman"/>
        </w:rPr>
        <w:t xml:space="preserve"> time</w:t>
      </w:r>
      <w:r>
        <w:rPr>
          <w:rFonts w:ascii="Times New Roman" w:hAnsi="Times New Roman" w:cs="Times New Roman"/>
        </w:rPr>
        <w:t>s</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"Benedetto", "given" : "C. Anthony", "non-dropping-particle" : "Di", "parse-names" : false, "suffix" : "" } ], "container-title" : "Journal of Product Innovation Management", "id" : "ITEM-1", "issued" : { "date-parts" : [ [ "1999" ] ] }, "page" : "530-544", "title" : "Identifying the Key Success Factors in New Product Launch", "type" : "article-journal", "volume" : "16" }, "uris" : [ "http://www.mendeley.com/documents/?uuid=360d7bb3-95cf-4f1e-bea9-1f5139a3d88f" ] }, { "id" : "ITEM-2", "itemData" : { "ISBN" : "0144357071075", "author" : [ { "dropping-particle" : "", "family" : "Rothwell", "given" : "Roy", "non-dropping-particle" : "", "parse-names" : false, "suffix" : "" } ], "container-title" : "International Marketing Review", "id" : "ITEM-2", "issue" : "1", "issued" : { "date-parts" : [ [ "1994" ] ] }, "page" : "7-31", "title" : "Towards the Fifth-generation Innovation Process", "type" : "article-journal", "volume" : "11" }, "uris" : [ "http://www.mendeley.com/documents/?uuid=fcf284b1-921d-4c11-b077-2a704edb2d60" ] } ], "mendeley" : { "formattedCitation" : "(Di Benedetto, 1999; Rothwell, 1994)", "plainTextFormattedCitation" : "(Di Benedetto, 1999; Rothwell, 1994)", "previouslyFormattedCitation" : "(Di Benedetto, 1999; Rothwell, 1994)"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(Di Benedetto, 1999; Rothwell, 1994)</w:t>
      </w:r>
      <w:r w:rsidRPr="00BA7968">
        <w:rPr>
          <w:rFonts w:ascii="Times New Roman" w:hAnsi="Times New Roman" w:cs="Times New Roman"/>
        </w:rPr>
        <w:fldChar w:fldCharType="end"/>
      </w:r>
      <w:r w:rsidRPr="00BA7968">
        <w:rPr>
          <w:rFonts w:ascii="Times New Roman" w:hAnsi="Times New Roman" w:cs="Times New Roman"/>
        </w:rPr>
        <w:t xml:space="preserve"> or lower costs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"ISBN" : "978-1-4221-0427-9", "author" : [ { "dropping-particle" : "", "family" : "Chesbrough", "given" : "Henry", "non-dropping-particle" : "", "parse-names" : false, "suffix" : "" } ], "id" : "ITEM-1", "issued" : { "date-parts" : [ [ "2006" ] ] }, "publisher" : "Harvard Business School Press", "publisher-place" : "Boston, MA", "title" : "Open business models: How to thrive in the new innovation landscape", "type" : "book" }, "uris" : [ "http://www.mendeley.com/documents/?uuid=ae1a9449-a1f6-428e-a760-4d1fd41a734d" ] } ], "mendeley" : { "formattedCitation" : "(Chesbrough, 2006)", "plainTextFormattedCitation" : "(Chesbrough, 2006)", "previouslyFormattedCitation" : "(Chesbrough,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(Chesbrough, 2006)</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Scholars have applied numerous different definitions and measures to capture i</w:t>
      </w:r>
      <w:r w:rsidRPr="00BA7968">
        <w:rPr>
          <w:rFonts w:ascii="Times New Roman" w:hAnsi="Times New Roman" w:cs="Times New Roman"/>
        </w:rPr>
        <w:t>nnovation performance</w:t>
      </w:r>
      <w:r w:rsidR="00DE39FE">
        <w:rPr>
          <w:rFonts w:ascii="Times New Roman" w:hAnsi="Times New Roman" w:cs="Times New Roman"/>
        </w:rPr>
        <w:t xml:space="preserve">. </w:t>
      </w:r>
      <w:r w:rsidR="00DE39FE">
        <w:rPr>
          <w:rFonts w:ascii="Times New Roman" w:hAnsi="Times New Roman" w:cs="Times New Roman"/>
        </w:rPr>
        <w:fldChar w:fldCharType="begin"/>
      </w:r>
      <w:r w:rsidR="00DE39FE">
        <w:rPr>
          <w:rFonts w:ascii="Times New Roman" w:hAnsi="Times New Roman" w:cs="Times New Roman"/>
        </w:rPr>
        <w:instrText xml:space="preserve"> REF _Ref357387785 \h </w:instrText>
      </w:r>
      <w:r w:rsidR="00DE39FE">
        <w:rPr>
          <w:rFonts w:ascii="Times New Roman" w:hAnsi="Times New Roman" w:cs="Times New Roman"/>
        </w:rPr>
      </w:r>
      <w:r w:rsidR="00DE39FE">
        <w:rPr>
          <w:rFonts w:ascii="Times New Roman" w:hAnsi="Times New Roman" w:cs="Times New Roman"/>
        </w:rPr>
        <w:fldChar w:fldCharType="separate"/>
      </w:r>
      <w:r w:rsidR="00C2793E">
        <w:t xml:space="preserve">Table </w:t>
      </w:r>
      <w:r w:rsidR="00C2793E">
        <w:rPr>
          <w:noProof/>
        </w:rPr>
        <w:t>1</w:t>
      </w:r>
      <w:r w:rsidR="00DE39FE">
        <w:rPr>
          <w:rFonts w:ascii="Times New Roman" w:hAnsi="Times New Roman" w:cs="Times New Roman"/>
        </w:rPr>
        <w:fldChar w:fldCharType="end"/>
      </w:r>
      <w:r w:rsidR="00DE39FE">
        <w:rPr>
          <w:rFonts w:ascii="Times New Roman" w:hAnsi="Times New Roman" w:cs="Times New Roman"/>
        </w:rPr>
        <w:t xml:space="preserve"> </w:t>
      </w:r>
      <w:r>
        <w:rPr>
          <w:rFonts w:ascii="Times New Roman" w:hAnsi="Times New Roman" w:cs="Times New Roman"/>
        </w:rPr>
        <w:t xml:space="preserve">depicts the four main dimensions of innovation performance definitions and provides corresponding sample definitions from the literature. Either single or multi-dimensional definitions have been applied.  Based on the literature review, innovation performance was mainly defined in terms of market performance (Dimension A) and/or product and service performance (Dimension B), and some scholars defined the concept in both of those directions. Less frequent was the use of financial (Dimension C) and process performance (Dimension D) for the definition of innovation performance. </w:t>
      </w:r>
    </w:p>
    <w:p w14:paraId="446F68A4" w14:textId="0C36CB80" w:rsidR="00C7731B" w:rsidRDefault="00C7731B" w:rsidP="00C7731B">
      <w:pPr>
        <w:spacing w:line="360" w:lineRule="auto"/>
        <w:ind w:firstLine="720"/>
        <w:jc w:val="both"/>
        <w:rPr>
          <w:rFonts w:ascii="Times New Roman" w:hAnsi="Times New Roman" w:cs="Times New Roman"/>
        </w:rPr>
      </w:pPr>
      <w:r>
        <w:rPr>
          <w:rFonts w:ascii="Times New Roman" w:hAnsi="Times New Roman" w:cs="Times New Roman"/>
        </w:rPr>
        <w:t>Similar to the diversity of definitions, researchers are measuring innovation performance in numero</w:t>
      </w:r>
      <w:r w:rsidR="008B6C3B">
        <w:rPr>
          <w:rFonts w:ascii="Times New Roman" w:hAnsi="Times New Roman" w:cs="Times New Roman"/>
        </w:rPr>
        <w:t xml:space="preserve">us different ways. In </w:t>
      </w:r>
      <w:r w:rsidR="00675F5E">
        <w:rPr>
          <w:rFonts w:ascii="Times New Roman" w:hAnsi="Times New Roman" w:cs="Times New Roman"/>
        </w:rPr>
        <w:fldChar w:fldCharType="begin"/>
      </w:r>
      <w:r w:rsidR="00675F5E">
        <w:rPr>
          <w:rFonts w:ascii="Times New Roman" w:hAnsi="Times New Roman" w:cs="Times New Roman"/>
        </w:rPr>
        <w:instrText xml:space="preserve"> REF _Ref357415049 \h </w:instrText>
      </w:r>
      <w:r w:rsidR="00675F5E">
        <w:rPr>
          <w:rFonts w:ascii="Times New Roman" w:hAnsi="Times New Roman" w:cs="Times New Roman"/>
        </w:rPr>
      </w:r>
      <w:r w:rsidR="00675F5E">
        <w:rPr>
          <w:rFonts w:ascii="Times New Roman" w:hAnsi="Times New Roman" w:cs="Times New Roman"/>
        </w:rPr>
        <w:fldChar w:fldCharType="separate"/>
      </w:r>
      <w:r w:rsidR="00C2793E">
        <w:t xml:space="preserve">Appendix </w:t>
      </w:r>
      <w:r w:rsidR="00C2793E">
        <w:rPr>
          <w:noProof/>
        </w:rPr>
        <w:t>3</w:t>
      </w:r>
      <w:r w:rsidR="00675F5E">
        <w:rPr>
          <w:rFonts w:ascii="Times New Roman" w:hAnsi="Times New Roman" w:cs="Times New Roman"/>
        </w:rPr>
        <w:fldChar w:fldCharType="end"/>
      </w:r>
      <w:r>
        <w:rPr>
          <w:rFonts w:ascii="Times New Roman" w:hAnsi="Times New Roman" w:cs="Times New Roman"/>
        </w:rPr>
        <w:t>, the diverse construct operationalization of supply chain management and related fields is summarized. For example</w:t>
      </w:r>
      <w:r w:rsidRPr="00BA7968">
        <w:rPr>
          <w:rFonts w:ascii="Times New Roman" w:hAnsi="Times New Roman" w:cs="Times New Roman"/>
        </w:rPr>
        <w:t>,</w:t>
      </w:r>
      <w:r>
        <w:rPr>
          <w:rFonts w:ascii="Times New Roman" w:hAnsi="Times New Roman" w:cs="Times New Roman"/>
        </w:rPr>
        <w:t xml:space="preserve"> some scholars measure</w:t>
      </w:r>
      <w:r w:rsidRPr="00BA7968">
        <w:rPr>
          <w:rFonts w:ascii="Times New Roman" w:hAnsi="Times New Roman" w:cs="Times New Roman"/>
        </w:rPr>
        <w:t xml:space="preserve"> innovation performance relative to </w:t>
      </w:r>
      <w:r>
        <w:rPr>
          <w:rFonts w:ascii="Times New Roman" w:hAnsi="Times New Roman" w:cs="Times New Roman"/>
        </w:rPr>
        <w:t>internal targets</w:t>
      </w:r>
      <w:r w:rsidRPr="00BA7968">
        <w:rPr>
          <w:rFonts w:ascii="Times New Roman" w:hAnsi="Times New Roman" w:cs="Times New Roman"/>
        </w:rPr>
        <w:t xml:space="preserve"> for new products and services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"Nakata", "given" : "Cheryl", "non-dropping-particle" : "", "parse-names" : false, "suffix" : "" }, { "dropping-particle" : "", "family" : "Im", "given" : "Subin", "non-dropping-particle" : "", "parse-names" : false, "suffix" : "" } ], "container-title" : "Journal of Product Innovation Management", "id" : "ITEM-1", "issued" : { "date-parts" : [ [ "2010" ] ] }, "page" : "554-571", "title" : "Spurring Cross-Functional Integration for Higher New Product Performance: A Group Effectiveness Perspective", "type" : "article-journal", "volume" : "27" }, "uris" : [ "http://www.mendeley.com/documents/?uuid=de524e51-0275-4728-8f50-2c4cabd03743" ] } ], "mendeley" : { "formattedCitation" : "(Nakata &amp; Im, 2010)", "plainTextFormattedCitation" : "(Nakata &amp; Im, 2010)", "previouslyFormattedCitation" : "(Nakata &amp; Im, 2010)"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(Nakata &amp; Im, 2010)</w:t>
      </w:r>
      <w:r w:rsidRPr="00BA7968">
        <w:rPr>
          <w:rFonts w:ascii="Times New Roman" w:hAnsi="Times New Roman" w:cs="Times New Roman"/>
        </w:rPr>
        <w:fldChar w:fldCharType="end"/>
      </w:r>
      <w:r w:rsidRPr="00BA7968">
        <w:rPr>
          <w:rFonts w:ascii="Times New Roman" w:hAnsi="Times New Roman" w:cs="Times New Roman"/>
        </w:rPr>
        <w:t>.</w:t>
      </w:r>
      <w:r>
        <w:rPr>
          <w:rFonts w:ascii="Times New Roman" w:hAnsi="Times New Roman" w:cs="Times New Roman"/>
        </w:rPr>
        <w:t xml:space="preserve"> Alternatively, </w:t>
      </w:r>
      <w:r w:rsidRPr="00BA7968">
        <w:rPr>
          <w:rFonts w:ascii="Times New Roman" w:hAnsi="Times New Roman" w:cs="Times New Roman"/>
        </w:rPr>
        <w:t>market performance (sales volume, market share, and number of product introductions) or financial performance (e.g., profitability)</w:t>
      </w:r>
      <w:r>
        <w:rPr>
          <w:rFonts w:ascii="Times New Roman" w:hAnsi="Times New Roman" w:cs="Times New Roman"/>
        </w:rPr>
        <w:t xml:space="preserve"> have been utilized in the literature as measures</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"ITEM-1", "issue" : "1", "issued" : { "date-parts" : [ [ "2011" ] ] }, "page" : "54-64", "title" : "Some immediate but negative effects of openness on product development performance", "type" : "article-journal", "volume" : "31" }, "uris" : [ "http://www.mendeley.com/documents/?uuid=89aed28a-6bb6-488a-8cff-0b99ffa65593" ] }, { "id" : "ITEM-2", "itemData" : { "ISSN" : "2157-328X", "abstract" : "Since the past decades, supply chain integration (SCI) has been a phenomenon of interest in the shipping industry. This article examines and ranks the effects of internal and external SCI on operational performances. Pairwise interactions among components of SCI were also studied. Expert interviews followed by a survey on 172 shipping companies in Singapore were conducted. Based on the results from regression analysis, it was found that external SCI contributes more positively to operational performances. Positive interactions between similar internal and external SCI components were also noted. The result indicates that firm performances can be maximized from establishing closer relationships with supply chain partners. Additional performances can also be realized from synergies that are generated from performing similar internal and external SCI activities. The current article has provided explanations for the sources of synergies in SCI and their role in driving firms\u2019 performances.", "author" : [ { "dropping-particle" : "", "family" : "Yuen", "given" : "Kum Fai", "non-dropping-particle" : "", "parse-names" : false, "suffix" : "" }, { "dropping-particle" : "V.", "family" : "Thai", "given" : "Vinh", "non-dropping-particle" : "", "parse-names" : false, "suffix" : "" } ], "container-title" : "Transportation Journal", "id" : "ITEM-2", "issue" : "1", "issued" : { "date-parts" : [ [ "2016" ] ] }, "page" : "31-50", "title" : "The Relationship between Supply Chain Integration and Operational Performances: A Study of Priorities and Synergies", "type" : "article-journal", "volume" : "55" }, "uris" : [ "http://www.mendeley.com/documents/?uuid=6f74c0e8-9abb-4084-ac30-f330875a15d0" ] } ], "mendeley" : { "formattedCitation" : "(Knudsen &amp; Mortensen, 2011; Yuen &amp; Thai, 2016)", "plainTextFormattedCitation" : "(Knudsen &amp; Mortensen, 2011; Yuen &amp; Thai, 2016)", "previouslyFormattedCitation" : "(Knudsen &amp; Mortensen, 2011; Yuen &amp; Thai, 2016)"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(Knudsen &amp; Mortensen, 2011; Yuen &amp; Thai, 2016)</w:t>
      </w:r>
      <w:r w:rsidRPr="00BA7968">
        <w:rPr>
          <w:rFonts w:ascii="Times New Roman" w:hAnsi="Times New Roman" w:cs="Times New Roman"/>
        </w:rPr>
        <w:fldChar w:fldCharType="end"/>
      </w:r>
      <w:r w:rsidRPr="00BA7968">
        <w:rPr>
          <w:rFonts w:ascii="Times New Roman" w:hAnsi="Times New Roman" w:cs="Times New Roman"/>
        </w:rPr>
        <w:t>. Other</w:t>
      </w:r>
      <w:r>
        <w:rPr>
          <w:rFonts w:ascii="Times New Roman" w:hAnsi="Times New Roman" w:cs="Times New Roman"/>
        </w:rPr>
        <w:t xml:space="preserve"> researcher</w:t>
      </w:r>
      <w:r w:rsidRPr="00BA7968">
        <w:rPr>
          <w:rFonts w:ascii="Times New Roman" w:hAnsi="Times New Roman" w:cs="Times New Roman"/>
        </w:rPr>
        <w:t xml:space="preserve">s have </w:t>
      </w:r>
      <w:r>
        <w:rPr>
          <w:rFonts w:ascii="Times New Roman" w:hAnsi="Times New Roman" w:cs="Times New Roman"/>
        </w:rPr>
        <w:t>assessed</w:t>
      </w:r>
      <w:r w:rsidRPr="00BA7968">
        <w:rPr>
          <w:rFonts w:ascii="Times New Roman" w:hAnsi="Times New Roman" w:cs="Times New Roman"/>
        </w:rPr>
        <w:t xml:space="preserve"> process performance, product/service performance (e.g., functionality and quality), and technological achievements (e.g., patents)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"id" : "ITEM-2", "itemData" : { "DOI" : "10.1016/j.indmarman.2008.12.003", "ISSN" : "0019-8501", "author" : [ { "dropping-particle" : "", "family" : "Chen", "given" : "Yu-shan", "non-dropping-particle" : "", "parse-names" : false, "suffix" : "" }, { "dropping-particle" : "", "family" : "Lin", "given" : "Ming-ji James", "non-dropping-particle" : "", "parse-names" : false, "suffix" : "" }, { "dropping-particle" : "", "family" : "Chang", "given" : "Ching-hsun", "non-dropping-particle" : "", "parse-names" : false, "suffix" : "" } ], "container-title" : "Industrial Marketing Management", "id" : "ITEM-2", "issue" : "2", "issued" : { "date-parts" : [ [ "2009" ] ] }, "page" : "152-158", "title" : "The positive effects of relationship learning and absorptive capacity on innovation performance and competitive advantage in industrial markets", "type" : "article-journal", "volume" : "38" }, "uris" : [ "http://www.mendeley.com/documents/?uuid=22ddccf0-47b0-463a-9814-90f998dd7f52" ] } ], "mendeley" : { "formattedCitation" : "(Y. Chen, Lin, &amp; Chang, 2009; Marsh &amp; Stock, 2006)", "plainTextFormattedCitation" : "(Y. Chen, Lin, &amp; Chang, 2009; Marsh &amp; Stock, 2006)", "previouslyFormattedCitation" : "(Y. Chen, Lin, &amp; Chang, 2009;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(Y. Chen, Lin, &amp; Chang, 2009; Marsh &amp; Stock, 2006)</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lastRenderedPageBreak/>
        <w:t>Therefore</w:t>
      </w:r>
      <w:r w:rsidRPr="00BA7968">
        <w:rPr>
          <w:rFonts w:ascii="Times New Roman" w:hAnsi="Times New Roman" w:cs="Times New Roman"/>
        </w:rPr>
        <w:t xml:space="preserve">, further </w:t>
      </w:r>
      <w:r>
        <w:rPr>
          <w:rFonts w:ascii="Times New Roman" w:hAnsi="Times New Roman" w:cs="Times New Roman"/>
        </w:rPr>
        <w:t xml:space="preserve">measurement </w:t>
      </w:r>
      <w:r w:rsidRPr="00BA7968">
        <w:rPr>
          <w:rFonts w:ascii="Times New Roman" w:hAnsi="Times New Roman" w:cs="Times New Roman"/>
        </w:rPr>
        <w:t>scale harmonization appears warranted</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"Autry", "given" : "Chad W", "non-dropping-particle" : "", "parse-names" : false, "suffix" : "" }, { "dropping-particle" : "", "family" : "Rose", "given" : "William J", "non-dropping-particle" : "", "parse-names" : false, "suffix" : "" }, { "dropping-particle" : "", "family" : "Bell", "given" : "John E", "non-dropping-particle" : "", "parse-names" : false, "suffix" : "" } ], "container-title" : "Journal of Business Logistics", "id" : "ITEM-1", "issue" : "3", "issued" : { "date-parts" : [ [ "2014" ] ] }, "page" : "275-276", "title" : "Reconsidering the Supply Chain Integration \u2013 Performance Relationship: In Search of Theoretical Consistency and Clarity", "type" : "article-journal", "volume" : "35" }, "uris" : [ "http://www.mendeley.com/documents/?uuid=7c1b7a9d-57d2-4b72-b215-e773fdd59fb7" ] } ], "mendeley" : { "formattedCitation" : "(Autry et al., 2014)", "plainTextFormattedCitation" : "(Autry et al., 2014)" }, "properties" : { "noteIndex" : 0 }, "schema" : "https://github.com/citation-style-language/schema/raw/master/csl-citation.json" }</w:instrText>
      </w:r>
      <w:r>
        <w:rPr>
          <w:rFonts w:ascii="Times New Roman" w:hAnsi="Times New Roman" w:cs="Times New Roman"/>
        </w:rPr>
        <w:fldChar w:fldCharType="separate"/>
      </w:r>
      <w:r w:rsidRPr="00E07999">
        <w:rPr>
          <w:rFonts w:ascii="Times New Roman" w:hAnsi="Times New Roman" w:cs="Times New Roman"/>
          <w:noProof/>
        </w:rPr>
        <w:t>(Autry et al., 2014)</w:t>
      </w:r>
      <w:r>
        <w:rPr>
          <w:rFonts w:ascii="Times New Roman" w:hAnsi="Times New Roman" w:cs="Times New Roman"/>
        </w:rPr>
        <w:fldChar w:fldCharType="end"/>
      </w:r>
      <w:r w:rsidRPr="00BA7968">
        <w:rPr>
          <w:rFonts w:ascii="Times New Roman" w:hAnsi="Times New Roman" w:cs="Times New Roman"/>
        </w:rPr>
        <w:t xml:space="preserve">. In this </w:t>
      </w:r>
      <w:r>
        <w:rPr>
          <w:rFonts w:ascii="Times New Roman" w:hAnsi="Times New Roman" w:cs="Times New Roman"/>
        </w:rPr>
        <w:t>dissertation research</w:t>
      </w:r>
      <w:r w:rsidRPr="00BA7968">
        <w:rPr>
          <w:rFonts w:ascii="Times New Roman" w:hAnsi="Times New Roman" w:cs="Times New Roman"/>
        </w:rPr>
        <w:t xml:space="preserve">, innovation performance is defined holistically as the extent of how well a </w:t>
      </w:r>
      <w:r>
        <w:rPr>
          <w:rFonts w:ascii="Times New Roman" w:hAnsi="Times New Roman" w:cs="Times New Roman"/>
        </w:rPr>
        <w:t>company</w:t>
      </w:r>
      <w:r w:rsidRPr="00BA7968">
        <w:rPr>
          <w:rFonts w:ascii="Times New Roman" w:hAnsi="Times New Roman" w:cs="Times New Roman"/>
        </w:rPr>
        <w:t xml:space="preserve"> has implemented</w:t>
      </w:r>
      <w:r>
        <w:rPr>
          <w:rFonts w:ascii="Times New Roman" w:hAnsi="Times New Roman" w:cs="Times New Roman"/>
        </w:rPr>
        <w:t xml:space="preserve"> processes</w:t>
      </w:r>
      <w:r w:rsidRPr="00BA7968">
        <w:rPr>
          <w:rFonts w:ascii="Times New Roman" w:hAnsi="Times New Roman" w:cs="Times New Roman"/>
        </w:rPr>
        <w:t xml:space="preserve"> or commercialized new ideas in their product/service offerings. To </w:t>
      </w:r>
      <w:r>
        <w:rPr>
          <w:rFonts w:ascii="Times New Roman" w:hAnsi="Times New Roman" w:cs="Times New Roman"/>
        </w:rPr>
        <w:t>conclude: O</w:t>
      </w:r>
      <w:r w:rsidRPr="00BA7968">
        <w:rPr>
          <w:rFonts w:ascii="Times New Roman" w:hAnsi="Times New Roman" w:cs="Times New Roman"/>
        </w:rPr>
        <w:t xml:space="preserve">rganizations are </w:t>
      </w:r>
      <w:r>
        <w:rPr>
          <w:rFonts w:ascii="Times New Roman" w:hAnsi="Times New Roman" w:cs="Times New Roman"/>
        </w:rPr>
        <w:t>acquiring</w:t>
      </w:r>
      <w:r w:rsidRPr="00BA7968">
        <w:rPr>
          <w:rFonts w:ascii="Times New Roman" w:hAnsi="Times New Roman" w:cs="Times New Roman"/>
        </w:rPr>
        <w:t xml:space="preserve"> relevant new knowledge from </w:t>
      </w:r>
      <w:r>
        <w:rPr>
          <w:rFonts w:ascii="Times New Roman" w:hAnsi="Times New Roman" w:cs="Times New Roman"/>
        </w:rPr>
        <w:t>their upstream supply chain</w:t>
      </w:r>
      <w:r w:rsidRPr="00BA7968">
        <w:rPr>
          <w:rFonts w:ascii="Times New Roman" w:hAnsi="Times New Roman" w:cs="Times New Roman"/>
        </w:rPr>
        <w:t xml:space="preserve"> to </w:t>
      </w:r>
      <w:r>
        <w:rPr>
          <w:rFonts w:ascii="Times New Roman" w:hAnsi="Times New Roman" w:cs="Times New Roman"/>
        </w:rPr>
        <w:t>improve</w:t>
      </w:r>
      <w:r w:rsidRPr="00BA7968">
        <w:rPr>
          <w:rFonts w:ascii="Times New Roman" w:hAnsi="Times New Roman" w:cs="Times New Roman"/>
        </w:rPr>
        <w:t xml:space="preserve"> their products, services, and processes</w:t>
      </w:r>
      <w:r>
        <w:rPr>
          <w:rFonts w:ascii="Times New Roman" w:hAnsi="Times New Roman" w:cs="Times New Roman"/>
        </w:rPr>
        <w:t xml:space="preserve"> and thereby strengthen their competitiveness</w:t>
      </w:r>
      <w:r w:rsidRPr="00BA7968">
        <w:rPr>
          <w:rFonts w:ascii="Times New Roman" w:hAnsi="Times New Roman" w:cs="Times New Roman"/>
        </w:rPr>
        <w:t>.</w:t>
      </w:r>
    </w:p>
    <w:p w14:paraId="010E40F6" w14:textId="77777777" w:rsidR="00C7731B" w:rsidRPr="00BA7968" w:rsidRDefault="00C7731B" w:rsidP="00C7731B">
      <w:pPr>
        <w:spacing w:line="360" w:lineRule="auto"/>
        <w:jc w:val="both"/>
        <w:rPr>
          <w:rFonts w:ascii="Times New Roman" w:hAnsi="Times New Roman" w:cs="Times New Roman"/>
        </w:rPr>
      </w:pPr>
    </w:p>
    <w:p w14:paraId="1ADEC7A1" w14:textId="77777777" w:rsidR="00C7731B" w:rsidRDefault="00C7731B" w:rsidP="00C7731B">
      <w:pPr>
        <w:spacing w:line="360" w:lineRule="auto"/>
        <w:rPr>
          <w:rFonts w:ascii="Times New Roman" w:hAnsi="Times New Roman" w:cs="Times New Roman"/>
        </w:rPr>
        <w:sectPr w:rsidR="00C7731B" w:rsidSect="00FF7DB0">
          <w:headerReference w:type="default" r:id="rId13"/>
          <w:footerReference w:type="even" r:id="rId14"/>
          <w:footerReference w:type="default" r:id="rId15"/>
          <w:pgSz w:w="12240" w:h="15840"/>
          <w:pgMar w:top="1440" w:right="1440" w:bottom="1800" w:left="1440" w:header="720" w:footer="720" w:gutter="0"/>
          <w:cols w:space="720"/>
          <w:docGrid w:linePitch="360"/>
        </w:sectPr>
      </w:pPr>
    </w:p>
    <w:p w14:paraId="1891B694" w14:textId="3638A183" w:rsidR="008C5BA3" w:rsidRDefault="00970289" w:rsidP="00970289">
      <w:pPr>
        <w:pStyle w:val="Caption"/>
      </w:pPr>
      <w:bookmarkStart w:id="25" w:name="_Toc358326837"/>
      <w:bookmarkStart w:id="26" w:name="_Ref357387785"/>
      <w:r>
        <w:lastRenderedPageBreak/>
        <w:t xml:space="preserve">Table </w:t>
      </w:r>
      <w:fldSimple w:instr=" SEQ Table \* ARABIC ">
        <w:r w:rsidR="00C2793E">
          <w:rPr>
            <w:noProof/>
          </w:rPr>
          <w:t>1</w:t>
        </w:r>
        <w:bookmarkEnd w:id="25"/>
      </w:fldSimple>
      <w:bookmarkEnd w:id="26"/>
    </w:p>
    <w:p w14:paraId="6F9D300C" w14:textId="6523C984" w:rsidR="00C7731B" w:rsidRPr="00970289" w:rsidRDefault="00C7731B" w:rsidP="00A744F8">
      <w:pPr>
        <w:rPr>
          <w:rFonts w:ascii="Times New Roman" w:hAnsi="Times New Roman" w:cs="Times New Roman"/>
          <w:b/>
        </w:rPr>
      </w:pPr>
      <w:r w:rsidRPr="00970289">
        <w:rPr>
          <w:rFonts w:ascii="Times New Roman" w:hAnsi="Times New Roman" w:cs="Times New Roman"/>
          <w:b/>
        </w:rPr>
        <w:t xml:space="preserve">Main Definitions of Innovation Performance </w:t>
      </w:r>
    </w:p>
    <w:p w14:paraId="7C49296A" w14:textId="77777777" w:rsidR="00C7731B" w:rsidRDefault="00C7731B" w:rsidP="00C7731B">
      <w:pPr>
        <w:spacing w:line="360" w:lineRule="auto"/>
        <w:rPr>
          <w:rFonts w:ascii="Times New Roman" w:hAnsi="Times New Roman" w:cs="Times New Roman"/>
          <w:b/>
        </w:rPr>
      </w:pPr>
      <w:r>
        <w:rPr>
          <w:rFonts w:ascii="Times New Roman" w:hAnsi="Times New Roman" w:cs="Times New Roman"/>
          <w:b/>
          <w:noProof/>
        </w:rPr>
        <w:drawing>
          <wp:inline distT="0" distB="0" distL="0" distR="0" wp14:anchorId="1077507F" wp14:editId="4C57CF6F">
            <wp:extent cx="8001000" cy="4431929"/>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0" cy="4431929"/>
                    </a:xfrm>
                    <a:prstGeom prst="rect">
                      <a:avLst/>
                    </a:prstGeom>
                    <a:noFill/>
                    <a:ln>
                      <a:noFill/>
                    </a:ln>
                  </pic:spPr>
                </pic:pic>
              </a:graphicData>
            </a:graphic>
          </wp:inline>
        </w:drawing>
      </w:r>
    </w:p>
    <w:p w14:paraId="1DC6C311" w14:textId="77777777" w:rsidR="00C7731B" w:rsidRDefault="00C7731B" w:rsidP="00C7731B">
      <w:pPr>
        <w:spacing w:line="360" w:lineRule="auto"/>
        <w:rPr>
          <w:rFonts w:ascii="Times New Roman" w:hAnsi="Times New Roman" w:cs="Times New Roman"/>
          <w:b/>
        </w:rPr>
        <w:sectPr w:rsidR="00C7731B" w:rsidSect="00FF7DB0">
          <w:pgSz w:w="15840" w:h="12240" w:orient="landscape"/>
          <w:pgMar w:top="1440" w:right="1800" w:bottom="1440" w:left="1440" w:header="720" w:footer="720" w:gutter="0"/>
          <w:cols w:space="720"/>
          <w:docGrid w:linePitch="360"/>
        </w:sectPr>
      </w:pPr>
    </w:p>
    <w:p w14:paraId="6D362AE1" w14:textId="279F006B" w:rsidR="00C7731B" w:rsidRPr="00E71364" w:rsidRDefault="00C7731B" w:rsidP="00E71364">
      <w:pPr>
        <w:pStyle w:val="Heading2"/>
      </w:pPr>
      <w:bookmarkStart w:id="27" w:name="_Toc357382411"/>
      <w:bookmarkStart w:id="28" w:name="_Toc357383257"/>
      <w:bookmarkStart w:id="29" w:name="_Toc358326728"/>
      <w:r w:rsidRPr="00E71364">
        <w:lastRenderedPageBreak/>
        <w:t>M</w:t>
      </w:r>
      <w:bookmarkEnd w:id="27"/>
      <w:bookmarkEnd w:id="28"/>
      <w:r w:rsidR="000933C3">
        <w:t>ethodology</w:t>
      </w:r>
      <w:bookmarkEnd w:id="29"/>
    </w:p>
    <w:p w14:paraId="5217F36C" w14:textId="77777777" w:rsidR="00C7731B" w:rsidRDefault="00C7731B" w:rsidP="00C7731B">
      <w:pPr>
        <w:spacing w:line="360" w:lineRule="auto"/>
        <w:jc w:val="both"/>
        <w:rPr>
          <w:rFonts w:ascii="Times New Roman" w:hAnsi="Times New Roman" w:cs="Times New Roman"/>
        </w:rPr>
      </w:pPr>
      <w:r>
        <w:rPr>
          <w:rFonts w:ascii="Times New Roman" w:hAnsi="Times New Roman" w:cs="Times New Roman"/>
        </w:rPr>
        <w:t>In this dissertation, the author follows a</w:t>
      </w:r>
      <w:r w:rsidRPr="00BA7968">
        <w:rPr>
          <w:rFonts w:ascii="Times New Roman" w:hAnsi="Times New Roman" w:cs="Times New Roman"/>
        </w:rPr>
        <w:t xml:space="preserve"> systematic literature review method</w:t>
      </w:r>
      <w:r>
        <w:rPr>
          <w:rFonts w:ascii="Times New Roman" w:hAnsi="Times New Roman" w:cs="Times New Roman"/>
        </w:rPr>
        <w:t>ology</w:t>
      </w:r>
      <w:r w:rsidRPr="00BA7968">
        <w:rPr>
          <w:rFonts w:ascii="Times New Roman" w:hAnsi="Times New Roman" w:cs="Times New Roman"/>
        </w:rPr>
        <w:t>, which is</w:t>
      </w:r>
      <w:r w:rsidRPr="00BA7968" w:rsidDel="00937318">
        <w:rPr>
          <w:rFonts w:ascii="Times New Roman" w:hAnsi="Times New Roman" w:cs="Times New Roman"/>
        </w:rPr>
        <w:t xml:space="preserve"> </w:t>
      </w:r>
      <w:r w:rsidRPr="00BA7968">
        <w:rPr>
          <w:rFonts w:ascii="Times New Roman" w:hAnsi="Times New Roman" w:cs="Times New Roman"/>
        </w:rPr>
        <w:t xml:space="preserve">an suitable approach to </w:t>
      </w:r>
      <w:r>
        <w:rPr>
          <w:rFonts w:ascii="Times New Roman" w:hAnsi="Times New Roman" w:cs="Times New Roman"/>
        </w:rPr>
        <w:t>identify</w:t>
      </w:r>
      <w:r w:rsidRPr="00BA7968">
        <w:rPr>
          <w:rFonts w:ascii="Times New Roman" w:hAnsi="Times New Roman" w:cs="Times New Roman"/>
        </w:rPr>
        <w:t xml:space="preserve"> </w:t>
      </w:r>
      <w:r>
        <w:rPr>
          <w:rFonts w:ascii="Times New Roman" w:hAnsi="Times New Roman" w:cs="Times New Roman"/>
        </w:rPr>
        <w:t>theoretical</w:t>
      </w:r>
      <w:r w:rsidRPr="00BA7968">
        <w:rPr>
          <w:rFonts w:ascii="Times New Roman" w:hAnsi="Times New Roman" w:cs="Times New Roman"/>
        </w:rPr>
        <w:t xml:space="preserve"> gaps</w:t>
      </w:r>
      <w:r>
        <w:rPr>
          <w:rFonts w:ascii="Times New Roman" w:hAnsi="Times New Roman" w:cs="Times New Roman"/>
        </w:rPr>
        <w:t xml:space="preserve"> and </w:t>
      </w:r>
      <w:r w:rsidRPr="00BA7968">
        <w:rPr>
          <w:rFonts w:ascii="Times New Roman" w:hAnsi="Times New Roman" w:cs="Times New Roman"/>
        </w:rPr>
        <w:t xml:space="preserve">conceivable </w:t>
      </w:r>
      <w:r>
        <w:rPr>
          <w:rFonts w:ascii="Times New Roman" w:hAnsi="Times New Roman" w:cs="Times New Roman"/>
        </w:rPr>
        <w:t xml:space="preserve">research </w:t>
      </w:r>
      <w:r w:rsidRPr="00BA7968">
        <w:rPr>
          <w:rFonts w:ascii="Times New Roman" w:hAnsi="Times New Roman" w:cs="Times New Roman"/>
        </w:rPr>
        <w:t xml:space="preserve">inconsistencies impeding the </w:t>
      </w:r>
      <w:r>
        <w:rPr>
          <w:rFonts w:ascii="Times New Roman" w:hAnsi="Times New Roman" w:cs="Times New Roman"/>
        </w:rPr>
        <w:t>further</w:t>
      </w:r>
      <w:r w:rsidRPr="00BA7968">
        <w:rPr>
          <w:rFonts w:ascii="Times New Roman" w:hAnsi="Times New Roman" w:cs="Times New Roman"/>
        </w:rPr>
        <w:t xml:space="preserve"> development in the field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"10.1177/0149206308330558", "author" : [ { "dropping-particle" : "", "family" : "Keupp", "given" : "Marcus Matthias", "non-dropping-particle" : "", "parse-names" : false, "suffix" : "" }, { "dropping-particle" : "", "family" : "Gassmann", "given" : "Oliver", "non-dropping-particle" : "", "parse-names" : false, "suffix" : "" } ], "container-title" : "Journal of Management", "id" : "ITEM-1", "issue" : "3", "issued" : { "date-parts" : [ [ "2009" ] ] }, "page" : "600-633", "title" : "The Past and the Future of International Entrepreneurship: A Review and Suggestions for Developing the Field", "type" : "article-journal", "volume" : "35" }, "uris" : [ "http://www.mendeley.com/documents/?uuid=c0f5ca86-036d-486a-8c5e-b3e2fc404be6" ] } ], "mendeley" : { "formattedCitation" : "(Keupp &amp; Gassmann, 2009)", "plainTextFormattedCitation" : "(Keupp &amp; Gassmann, 2009)", "previouslyFormattedCitation" : "(Keupp &amp; Gassmann,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(Keupp &amp; Gassmann, 2009)</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Previous research has</w:t>
      </w:r>
      <w:r w:rsidRPr="00BA7968">
        <w:rPr>
          <w:rFonts w:ascii="Times New Roman" w:hAnsi="Times New Roman" w:cs="Times New Roman"/>
        </w:rPr>
        <w:t xml:space="preserve"> suggested five distinct stages in performing a systematic literature review</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"10.1108/SCM-12-2013-0474", "ISBN" : "1220130478", "ISSN" : "1359-8546", "abstract" : "Purpose \u2013 The purpose of this paper is both to provide an overview of existing knowledge pertaining to the management of price risks in manufacturing companies from an operations management (OM) perspective and to establish an agenda for future research. Risks related to the purchase prices of industrial consumption factors (raw materials, semi-finished/finished goods, auxiliary materials and operating materials) exert an increasing influence on manufacturing companies\u2019 business continuity and economic sustainability. Design/methodology/approach \u2013 A systematic literature review was conducted following the literature search approach of vom Brocke et al. (2009). In total, 138 relevant articles were identified, analysed and synthesised. Findings \u2013 The literature review reveals that the existing OM literature devotes little attention to price risks and their management in manufacturing companies. In particular, further empirical investigation is required to support decision-making in various risk contexts. Social implications \u2013 This paper emphasises that in addition to existing national resource funds and inter-company alliances, alternative concepts are required to secure both stable prices and access to natural resources. Otherwise, in the future, small- and medium-sized companies, along with companies based in countries lacking available resource funds, will not have an opportunity to engage in fair competition. Originality/value \u2013 To the best of the authors\u2019 knowledge, this is the first literature review to focus on price as a specific supply risk.", "author" : [ { "dropping-particle" : "", "family" : "Fischl", "given" : "Maria", "non-dropping-particle" : "", "parse-names" : false, "suffix" : "" }, { "dropping-particle" : "", "family" : "Scherrer-Rathje", "given" : "Maike", "non-dropping-particle" : "", "parse-names" : false, "suffix" : "" }, { "dropping-particle" : "", "family" : "Friedli", "given" : "Thomas", "non-dropping-particle" : "", "parse-names" : false, "suffix" : "" } ], "container-title" : "Supply Chain Management: An International Journal", "id" : "ITEM-1", "issue" : "5/6", "issued" : { "date-parts" : [ [ "2014" ] ] }, "page" : "480-503", "title" : "Digging deeper into supply risk: a systematic literature review on price risks", "type" : "article-journal", "volume" : "19" }, "uris" : [ "http://www.mendeley.com/documents/?uuid=63f559e1-f72a-445b-858c-e887f0c0c69b" ] } ], "mendeley" : { "formattedCitation" : "(Fischl, Scherrer-Rathje, &amp; Friedli, 2014)", "plainTextFormattedCitation" : "(Fischl, Scherrer-Rathje, &amp; Friedli, 2014)", "previouslyFormattedCitation" : "(Fischl, Scherrer-Rathje, &amp; Friedli, 2014)" }, "properties" : { "noteIndex" : 0 }, "schema" : "https://github.com/citation-style-language/schema/raw/master/csl-citation.json" }</w:instrText>
      </w:r>
      <w:r>
        <w:rPr>
          <w:rFonts w:ascii="Times New Roman" w:hAnsi="Times New Roman" w:cs="Times New Roman"/>
        </w:rPr>
        <w:fldChar w:fldCharType="separate"/>
      </w:r>
      <w:r w:rsidRPr="006A22BF">
        <w:rPr>
          <w:rFonts w:ascii="Times New Roman" w:hAnsi="Times New Roman" w:cs="Times New Roman"/>
          <w:noProof/>
        </w:rPr>
        <w:t>(Fischl, Scherrer-Rathje, &amp; Friedli, 2014)</w:t>
      </w:r>
      <w:r>
        <w:rPr>
          <w:rFonts w:ascii="Times New Roman" w:hAnsi="Times New Roman" w:cs="Times New Roman"/>
        </w:rPr>
        <w:fldChar w:fldCharType="end"/>
      </w:r>
      <w:r>
        <w:rPr>
          <w:rFonts w:ascii="Times New Roman" w:hAnsi="Times New Roman" w:cs="Times New Roman"/>
        </w:rPr>
        <w:t>.</w:t>
      </w:r>
      <w:r w:rsidRPr="00BA7968">
        <w:rPr>
          <w:rFonts w:ascii="Times New Roman" w:hAnsi="Times New Roman" w:cs="Times New Roman"/>
        </w:rPr>
        <w:t xml:space="preserve"> </w:t>
      </w:r>
      <w:r>
        <w:rPr>
          <w:rFonts w:ascii="Times New Roman" w:hAnsi="Times New Roman" w:cs="Times New Roman"/>
        </w:rPr>
        <w:t>This research is</w:t>
      </w:r>
      <w:r w:rsidRPr="00BA7968">
        <w:rPr>
          <w:rFonts w:ascii="Times New Roman" w:hAnsi="Times New Roman" w:cs="Times New Roman"/>
        </w:rPr>
        <w:t xml:space="preserve"> following those </w:t>
      </w:r>
      <w:r>
        <w:rPr>
          <w:rFonts w:ascii="Times New Roman" w:hAnsi="Times New Roman" w:cs="Times New Roman"/>
        </w:rPr>
        <w:t>stages</w:t>
      </w:r>
      <w:r w:rsidRPr="00BA7968">
        <w:rPr>
          <w:rFonts w:ascii="Times New Roman" w:hAnsi="Times New Roman" w:cs="Times New Roman"/>
        </w:rPr>
        <w:t xml:space="preserve"> in a systematic</w:t>
      </w:r>
      <w:r>
        <w:rPr>
          <w:rFonts w:ascii="Times New Roman" w:hAnsi="Times New Roman" w:cs="Times New Roman"/>
        </w:rPr>
        <w:t>,</w:t>
      </w:r>
      <w:r w:rsidRPr="00BA7968">
        <w:rPr>
          <w:rFonts w:ascii="Times New Roman" w:hAnsi="Times New Roman" w:cs="Times New Roman"/>
        </w:rPr>
        <w:t xml:space="preserve"> transparent way</w:t>
      </w:r>
      <w:r>
        <w:rPr>
          <w:rFonts w:ascii="Times New Roman" w:hAnsi="Times New Roman" w:cs="Times New Roman"/>
        </w:rPr>
        <w:t xml:space="preserve"> to minimize</w:t>
      </w:r>
      <w:r w:rsidRPr="00BA7968">
        <w:rPr>
          <w:rFonts w:ascii="Times New Roman" w:hAnsi="Times New Roman" w:cs="Times New Roman"/>
        </w:rPr>
        <w:t xml:space="preserve"> the risk of bias </w:t>
      </w:r>
      <w:r>
        <w:rPr>
          <w:rFonts w:ascii="Times New Roman" w:hAnsi="Times New Roman" w:cs="Times New Roman"/>
        </w:rPr>
        <w:t>and support</w:t>
      </w:r>
      <w:r w:rsidRPr="00BA7968">
        <w:rPr>
          <w:rFonts w:ascii="Times New Roman" w:hAnsi="Times New Roman" w:cs="Times New Roman"/>
        </w:rPr>
        <w:t xml:space="preserve"> a potential study replication.  </w:t>
      </w:r>
    </w:p>
    <w:p w14:paraId="7BE24F78" w14:textId="77777777" w:rsidR="00C7731B" w:rsidRDefault="00C7731B" w:rsidP="00C7731B">
      <w:pPr>
        <w:spacing w:line="360" w:lineRule="auto"/>
        <w:jc w:val="both"/>
        <w:rPr>
          <w:rFonts w:ascii="Times New Roman" w:hAnsi="Times New Roman" w:cs="Times New Roman"/>
        </w:rPr>
      </w:pPr>
    </w:p>
    <w:p w14:paraId="340FBB9C" w14:textId="77777777" w:rsidR="00C7731B" w:rsidRDefault="00C7731B" w:rsidP="00C7731B">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rPr>
        <w:t xml:space="preserve">Stage One </w:t>
      </w:r>
      <w:r>
        <w:rPr>
          <w:rFonts w:ascii="Times New Roman" w:hAnsi="Times New Roman" w:cs="Times New Roman"/>
        </w:rPr>
        <w:tab/>
        <w:t>– Definition of Scope</w:t>
      </w:r>
    </w:p>
    <w:p w14:paraId="5A9D23D1" w14:textId="77777777" w:rsidR="00C7731B" w:rsidRDefault="00C7731B" w:rsidP="00C7731B">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rPr>
        <w:t xml:space="preserve">Stage Two </w:t>
      </w:r>
      <w:r>
        <w:rPr>
          <w:rFonts w:ascii="Times New Roman" w:hAnsi="Times New Roman" w:cs="Times New Roman"/>
        </w:rPr>
        <w:tab/>
        <w:t>– Topic Conceptualization</w:t>
      </w:r>
    </w:p>
    <w:p w14:paraId="5973E217" w14:textId="77777777" w:rsidR="00C7731B" w:rsidRDefault="00C7731B" w:rsidP="00C7731B">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rPr>
        <w:t xml:space="preserve">Stage Three </w:t>
      </w:r>
      <w:r>
        <w:rPr>
          <w:rFonts w:ascii="Times New Roman" w:hAnsi="Times New Roman" w:cs="Times New Roman"/>
        </w:rPr>
        <w:tab/>
        <w:t>– Literature Search Execution</w:t>
      </w:r>
    </w:p>
    <w:p w14:paraId="4DB56C0A" w14:textId="77777777" w:rsidR="00C7731B" w:rsidRDefault="00C7731B" w:rsidP="00C7731B">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rPr>
        <w:t xml:space="preserve">Stage Four </w:t>
      </w:r>
      <w:r>
        <w:rPr>
          <w:rFonts w:ascii="Times New Roman" w:hAnsi="Times New Roman" w:cs="Times New Roman"/>
        </w:rPr>
        <w:tab/>
        <w:t>– Article Analysis and Model Conceptualization</w:t>
      </w:r>
    </w:p>
    <w:p w14:paraId="43FE93C0" w14:textId="77777777" w:rsidR="00C7731B" w:rsidRPr="006B1953" w:rsidRDefault="00C7731B" w:rsidP="00C7731B">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rPr>
        <w:t xml:space="preserve">Stage Five </w:t>
      </w:r>
      <w:r>
        <w:rPr>
          <w:rFonts w:ascii="Times New Roman" w:hAnsi="Times New Roman" w:cs="Times New Roman"/>
        </w:rPr>
        <w:tab/>
        <w:t xml:space="preserve">– Future Research </w:t>
      </w:r>
    </w:p>
    <w:p w14:paraId="1876F79B" w14:textId="77777777" w:rsidR="00C7731B" w:rsidRPr="00BA7968" w:rsidRDefault="00C7731B" w:rsidP="00C7731B">
      <w:pPr>
        <w:spacing w:line="360" w:lineRule="auto"/>
        <w:rPr>
          <w:rFonts w:ascii="Times New Roman" w:hAnsi="Times New Roman" w:cs="Times New Roman"/>
        </w:rPr>
      </w:pPr>
    </w:p>
    <w:p w14:paraId="2705BA65" w14:textId="77777777" w:rsidR="00C7731B" w:rsidRPr="00BA7968" w:rsidRDefault="00C7731B" w:rsidP="00C7731B">
      <w:pPr>
        <w:spacing w:line="360" w:lineRule="auto"/>
        <w:rPr>
          <w:rFonts w:ascii="Times New Roman" w:hAnsi="Times New Roman" w:cs="Times New Roman"/>
        </w:rPr>
      </w:pPr>
    </w:p>
    <w:p w14:paraId="21CC7A4D" w14:textId="14FB47B3" w:rsidR="00C7731B" w:rsidRPr="009A7194" w:rsidRDefault="00C7731B" w:rsidP="00C7731B">
      <w:pPr>
        <w:spacing w:line="360" w:lineRule="auto"/>
        <w:jc w:val="both"/>
        <w:rPr>
          <w:rFonts w:ascii="Times New Roman" w:hAnsi="Times New Roman" w:cs="Times New Roman"/>
          <w:i/>
          <w:u w:val="single"/>
        </w:rPr>
      </w:pPr>
      <w:r w:rsidRPr="009A7194">
        <w:rPr>
          <w:rFonts w:ascii="Times New Roman" w:hAnsi="Times New Roman" w:cs="Times New Roman"/>
          <w:i/>
          <w:u w:val="single"/>
        </w:rPr>
        <w:t xml:space="preserve">Stage One – Definition of Scope  </w:t>
      </w:r>
    </w:p>
    <w:p w14:paraId="3C7CABFF"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The scope is defined based on the following premises: </w:t>
      </w:r>
    </w:p>
    <w:p w14:paraId="15DF2F2E" w14:textId="77777777" w:rsidR="00C7731B" w:rsidRPr="00BA7968" w:rsidRDefault="00C7731B" w:rsidP="00C7731B">
      <w:pPr>
        <w:spacing w:line="360" w:lineRule="auto"/>
        <w:jc w:val="both"/>
        <w:rPr>
          <w:rFonts w:ascii="Times New Roman" w:hAnsi="Times New Roman" w:cs="Times New Roman"/>
        </w:rPr>
      </w:pPr>
    </w:p>
    <w:p w14:paraId="2E21AD83" w14:textId="77777777" w:rsidR="00C7731B" w:rsidRPr="003F7F89" w:rsidRDefault="00C7731B" w:rsidP="00C7731B">
      <w:pPr>
        <w:pStyle w:val="ListParagraph"/>
        <w:numPr>
          <w:ilvl w:val="0"/>
          <w:numId w:val="16"/>
        </w:numPr>
        <w:spacing w:line="360" w:lineRule="auto"/>
        <w:jc w:val="both"/>
        <w:rPr>
          <w:rFonts w:ascii="Times New Roman" w:hAnsi="Times New Roman" w:cs="Times New Roman"/>
        </w:rPr>
      </w:pPr>
      <w:r w:rsidRPr="003F7F89">
        <w:rPr>
          <w:rFonts w:ascii="Times New Roman" w:hAnsi="Times New Roman" w:cs="Times New Roman"/>
          <w:b/>
        </w:rPr>
        <w:t>Focus</w:t>
      </w:r>
      <w:r w:rsidRPr="003F7F89">
        <w:rPr>
          <w:rFonts w:ascii="Times New Roman" w:hAnsi="Times New Roman" w:cs="Times New Roman"/>
        </w:rPr>
        <w:t xml:space="preserve">: The research focus lies on deriving both a theoretical contribution and practical implications. </w:t>
      </w:r>
    </w:p>
    <w:p w14:paraId="5D0A3E19" w14:textId="77777777" w:rsidR="00C7731B" w:rsidRPr="003F7F89" w:rsidRDefault="00C7731B" w:rsidP="00C7731B">
      <w:pPr>
        <w:pStyle w:val="ListParagraph"/>
        <w:numPr>
          <w:ilvl w:val="0"/>
          <w:numId w:val="16"/>
        </w:numPr>
        <w:spacing w:line="360" w:lineRule="auto"/>
        <w:jc w:val="both"/>
        <w:rPr>
          <w:rFonts w:ascii="Times New Roman" w:hAnsi="Times New Roman" w:cs="Times New Roman"/>
        </w:rPr>
      </w:pPr>
      <w:r w:rsidRPr="003F7F89">
        <w:rPr>
          <w:rFonts w:ascii="Times New Roman" w:hAnsi="Times New Roman" w:cs="Times New Roman"/>
          <w:b/>
        </w:rPr>
        <w:t>Goals</w:t>
      </w:r>
      <w:r w:rsidRPr="003F7F89">
        <w:rPr>
          <w:rFonts w:ascii="Times New Roman" w:hAnsi="Times New Roman" w:cs="Times New Roman"/>
        </w:rPr>
        <w:t xml:space="preserve">: The goal of this research is to enhance the understanding of the dimensions of innovation sourcing and its relationship to innovation performance, to synthesize the current empirical literature focusing on this topic, and to develop a future research agenda. </w:t>
      </w:r>
    </w:p>
    <w:p w14:paraId="6CFD382B" w14:textId="77777777" w:rsidR="00C7731B" w:rsidRPr="003F7F89" w:rsidRDefault="00C7731B" w:rsidP="00C7731B">
      <w:pPr>
        <w:pStyle w:val="ListParagraph"/>
        <w:numPr>
          <w:ilvl w:val="0"/>
          <w:numId w:val="16"/>
        </w:numPr>
        <w:spacing w:line="360" w:lineRule="auto"/>
        <w:jc w:val="both"/>
        <w:rPr>
          <w:rFonts w:ascii="Times New Roman" w:hAnsi="Times New Roman" w:cs="Times New Roman"/>
        </w:rPr>
      </w:pPr>
      <w:r w:rsidRPr="003F7F89">
        <w:rPr>
          <w:rFonts w:ascii="Times New Roman" w:hAnsi="Times New Roman" w:cs="Times New Roman"/>
          <w:b/>
        </w:rPr>
        <w:t>Organization</w:t>
      </w:r>
      <w:r w:rsidRPr="003F7F89">
        <w:rPr>
          <w:rFonts w:ascii="Times New Roman" w:hAnsi="Times New Roman" w:cs="Times New Roman"/>
        </w:rPr>
        <w:t xml:space="preserve">: This research is following a systematic literature review methodology </w:t>
      </w:r>
    </w:p>
    <w:p w14:paraId="4960C9D3" w14:textId="77777777" w:rsidR="00C7731B" w:rsidRPr="003F7F89" w:rsidRDefault="00C7731B" w:rsidP="00C7731B">
      <w:pPr>
        <w:pStyle w:val="ListParagraph"/>
        <w:numPr>
          <w:ilvl w:val="0"/>
          <w:numId w:val="16"/>
        </w:numPr>
        <w:spacing w:line="360" w:lineRule="auto"/>
        <w:jc w:val="both"/>
        <w:rPr>
          <w:rFonts w:ascii="Times New Roman" w:hAnsi="Times New Roman" w:cs="Times New Roman"/>
        </w:rPr>
      </w:pPr>
      <w:r w:rsidRPr="003F7F89">
        <w:rPr>
          <w:rFonts w:ascii="Times New Roman" w:hAnsi="Times New Roman" w:cs="Times New Roman"/>
          <w:b/>
        </w:rPr>
        <w:t>Perspective</w:t>
      </w:r>
      <w:r w:rsidRPr="003F7F89">
        <w:rPr>
          <w:rFonts w:ascii="Times New Roman" w:hAnsi="Times New Roman" w:cs="Times New Roman"/>
        </w:rPr>
        <w:t>: The authors’ position on this research is neutral and not pre-conceived.</w:t>
      </w:r>
    </w:p>
    <w:p w14:paraId="212B7567" w14:textId="77777777" w:rsidR="00C7731B" w:rsidRPr="003F7F89" w:rsidRDefault="00C7731B" w:rsidP="00C7731B">
      <w:pPr>
        <w:pStyle w:val="ListParagraph"/>
        <w:numPr>
          <w:ilvl w:val="0"/>
          <w:numId w:val="16"/>
        </w:numPr>
        <w:spacing w:line="360" w:lineRule="auto"/>
        <w:jc w:val="both"/>
        <w:rPr>
          <w:rFonts w:ascii="Times New Roman" w:hAnsi="Times New Roman" w:cs="Times New Roman"/>
        </w:rPr>
      </w:pPr>
      <w:r w:rsidRPr="003F7F89">
        <w:rPr>
          <w:rFonts w:ascii="Times New Roman" w:hAnsi="Times New Roman" w:cs="Times New Roman"/>
          <w:b/>
        </w:rPr>
        <w:t>Audience</w:t>
      </w:r>
      <w:r w:rsidRPr="003F7F89">
        <w:rPr>
          <w:rFonts w:ascii="Times New Roman" w:hAnsi="Times New Roman" w:cs="Times New Roman"/>
        </w:rPr>
        <w:t>: This research is intended for the scholarly community (either supply chain-specialized or general) and the research findings will be published in an academic journal.</w:t>
      </w:r>
    </w:p>
    <w:p w14:paraId="1B43AA6A" w14:textId="77777777" w:rsidR="00C7731B" w:rsidRPr="003F7F89" w:rsidRDefault="00C7731B" w:rsidP="00C7731B">
      <w:pPr>
        <w:pStyle w:val="ListParagraph"/>
        <w:numPr>
          <w:ilvl w:val="0"/>
          <w:numId w:val="16"/>
        </w:numPr>
        <w:spacing w:line="360" w:lineRule="auto"/>
        <w:jc w:val="both"/>
        <w:rPr>
          <w:rFonts w:ascii="Times New Roman" w:hAnsi="Times New Roman" w:cs="Times New Roman"/>
        </w:rPr>
      </w:pPr>
      <w:r w:rsidRPr="003F7F89">
        <w:rPr>
          <w:rFonts w:ascii="Times New Roman" w:hAnsi="Times New Roman" w:cs="Times New Roman"/>
          <w:b/>
        </w:rPr>
        <w:lastRenderedPageBreak/>
        <w:t>Coverage</w:t>
      </w:r>
      <w:r w:rsidRPr="003F7F89">
        <w:rPr>
          <w:rFonts w:ascii="Times New Roman" w:hAnsi="Times New Roman" w:cs="Times New Roman"/>
        </w:rPr>
        <w:t xml:space="preserve">: This dissertation research is based on a representative coverage strategy. This refers to the degree to which relevant articles are considered in this literature review. Following Fischl et al. (2014), a representative coverage strategy was chosen because an exhaustive approach appears unfeasible in light of the characteristics of the knowledge base which is noticeably growing, widely dispersed, and of a cross-disciplinary nature. </w:t>
      </w:r>
    </w:p>
    <w:p w14:paraId="0DED6E9E" w14:textId="77777777" w:rsidR="00C7731B" w:rsidRPr="00074BC3" w:rsidRDefault="00C7731B" w:rsidP="00C7731B">
      <w:pPr>
        <w:spacing w:line="360" w:lineRule="auto"/>
        <w:jc w:val="both"/>
        <w:rPr>
          <w:rFonts w:ascii="Times New Roman" w:hAnsi="Times New Roman" w:cs="Times New Roman"/>
        </w:rPr>
      </w:pPr>
    </w:p>
    <w:p w14:paraId="68B94929" w14:textId="06FA4C0A" w:rsidR="00C7731B" w:rsidRPr="009A7194" w:rsidRDefault="00C7731B" w:rsidP="00C7731B">
      <w:pPr>
        <w:spacing w:line="360" w:lineRule="auto"/>
        <w:jc w:val="both"/>
        <w:rPr>
          <w:rFonts w:ascii="Times New Roman" w:hAnsi="Times New Roman" w:cs="Times New Roman"/>
          <w:i/>
          <w:u w:val="single"/>
        </w:rPr>
      </w:pPr>
      <w:r w:rsidRPr="009A7194">
        <w:rPr>
          <w:rFonts w:ascii="Times New Roman" w:hAnsi="Times New Roman" w:cs="Times New Roman"/>
          <w:i/>
          <w:u w:val="single"/>
        </w:rPr>
        <w:t>Stage Two – Topic Conceptualization</w:t>
      </w:r>
    </w:p>
    <w:p w14:paraId="273898B7"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This </w:t>
      </w:r>
      <w:r>
        <w:rPr>
          <w:rFonts w:ascii="Times New Roman" w:hAnsi="Times New Roman" w:cs="Times New Roman"/>
        </w:rPr>
        <w:t xml:space="preserve">dissertation </w:t>
      </w:r>
      <w:r w:rsidRPr="00BA7968">
        <w:rPr>
          <w:rFonts w:ascii="Times New Roman" w:hAnsi="Times New Roman" w:cs="Times New Roman"/>
        </w:rPr>
        <w:t>research is intended to contribute to the scholarly debate about how sourcing processes might enhance innovation</w:t>
      </w:r>
      <w:r>
        <w:rPr>
          <w:rFonts w:ascii="Times New Roman" w:hAnsi="Times New Roman" w:cs="Times New Roman"/>
        </w:rPr>
        <w:t xml:space="preserve"> performance of a company</w:t>
      </w:r>
      <w:r w:rsidRPr="00BA7968">
        <w:rPr>
          <w:rFonts w:ascii="Times New Roman" w:hAnsi="Times New Roman" w:cs="Times New Roman"/>
        </w:rPr>
        <w:t xml:space="preserve">. </w:t>
      </w:r>
      <w:r>
        <w:rPr>
          <w:rFonts w:ascii="Times New Roman" w:hAnsi="Times New Roman" w:cs="Times New Roman"/>
        </w:rPr>
        <w:t>It</w:t>
      </w:r>
      <w:r w:rsidRPr="00BA7968">
        <w:rPr>
          <w:rFonts w:ascii="Times New Roman" w:hAnsi="Times New Roman" w:cs="Times New Roman"/>
        </w:rPr>
        <w:t xml:space="preserve"> centers on the concept of innovation sourcing, its critical dimensions, and its </w:t>
      </w:r>
      <w:r>
        <w:rPr>
          <w:rFonts w:ascii="Times New Roman" w:hAnsi="Times New Roman" w:cs="Times New Roman"/>
        </w:rPr>
        <w:t>impact on</w:t>
      </w:r>
      <w:r w:rsidRPr="00BA7968">
        <w:rPr>
          <w:rFonts w:ascii="Times New Roman" w:hAnsi="Times New Roman" w:cs="Times New Roman"/>
        </w:rPr>
        <w:t xml:space="preserve"> innovation performance. Innovation sourcing deals with finding new knowledge from external suppliers and </w:t>
      </w:r>
      <w:r>
        <w:rPr>
          <w:rFonts w:ascii="Times New Roman" w:hAnsi="Times New Roman" w:cs="Times New Roman"/>
        </w:rPr>
        <w:t>integrating</w:t>
      </w:r>
      <w:r w:rsidRPr="00BA7968">
        <w:rPr>
          <w:rFonts w:ascii="Times New Roman" w:hAnsi="Times New Roman" w:cs="Times New Roman"/>
        </w:rPr>
        <w:t xml:space="preserve"> </w:t>
      </w:r>
      <w:r>
        <w:rPr>
          <w:rFonts w:ascii="Times New Roman" w:hAnsi="Times New Roman" w:cs="Times New Roman"/>
        </w:rPr>
        <w:t>it</w:t>
      </w:r>
      <w:r w:rsidRPr="00BA7968">
        <w:rPr>
          <w:rFonts w:ascii="Times New Roman" w:hAnsi="Times New Roman" w:cs="Times New Roman"/>
        </w:rPr>
        <w:t xml:space="preserve"> to </w:t>
      </w:r>
      <w:r>
        <w:rPr>
          <w:rFonts w:ascii="Times New Roman" w:hAnsi="Times New Roman" w:cs="Times New Roman"/>
        </w:rPr>
        <w:t>enhance</w:t>
      </w:r>
      <w:r w:rsidRPr="00BA7968">
        <w:rPr>
          <w:rFonts w:ascii="Times New Roman" w:hAnsi="Times New Roman" w:cs="Times New Roman"/>
        </w:rPr>
        <w:t xml:space="preserve"> its </w:t>
      </w:r>
      <w:r>
        <w:rPr>
          <w:rFonts w:ascii="Times New Roman" w:hAnsi="Times New Roman" w:cs="Times New Roman"/>
        </w:rPr>
        <w:t xml:space="preserve">portfolio of </w:t>
      </w:r>
      <w:r w:rsidRPr="00BA7968">
        <w:rPr>
          <w:rFonts w:ascii="Times New Roman" w:hAnsi="Times New Roman" w:cs="Times New Roman"/>
        </w:rPr>
        <w:t>product, service, and process</w:t>
      </w:r>
      <w:r>
        <w:rPr>
          <w:rFonts w:ascii="Times New Roman" w:hAnsi="Times New Roman" w:cs="Times New Roman"/>
        </w:rPr>
        <w:t>es</w:t>
      </w:r>
      <w:r w:rsidRPr="00BA7968">
        <w:rPr>
          <w:rFonts w:ascii="Times New Roman" w:hAnsi="Times New Roman" w:cs="Times New Roman"/>
        </w:rPr>
        <w:t xml:space="preserve">.  </w:t>
      </w:r>
      <w:r>
        <w:rPr>
          <w:rFonts w:ascii="Times New Roman" w:hAnsi="Times New Roman" w:cs="Times New Roman"/>
        </w:rPr>
        <w:t>Innovation sourcing necessitates</w:t>
      </w:r>
      <w:r w:rsidRPr="00BA7968">
        <w:rPr>
          <w:rFonts w:ascii="Times New Roman" w:hAnsi="Times New Roman" w:cs="Times New Roman"/>
        </w:rPr>
        <w:t xml:space="preserve"> </w:t>
      </w:r>
      <w:r>
        <w:rPr>
          <w:rFonts w:ascii="Times New Roman" w:hAnsi="Times New Roman" w:cs="Times New Roman"/>
        </w:rPr>
        <w:t xml:space="preserve">combining and assimilating </w:t>
      </w:r>
      <w:r w:rsidRPr="00BA7968">
        <w:rPr>
          <w:rFonts w:ascii="Times New Roman" w:hAnsi="Times New Roman" w:cs="Times New Roman"/>
        </w:rPr>
        <w:t>the new</w:t>
      </w:r>
      <w:r>
        <w:rPr>
          <w:rFonts w:ascii="Times New Roman" w:hAnsi="Times New Roman" w:cs="Times New Roman"/>
        </w:rPr>
        <w:t>ly acquired</w:t>
      </w:r>
      <w:r w:rsidRPr="00BA7968">
        <w:rPr>
          <w:rFonts w:ascii="Times New Roman" w:hAnsi="Times New Roman" w:cs="Times New Roman"/>
        </w:rPr>
        <w:t xml:space="preserve"> external</w:t>
      </w:r>
      <w:r>
        <w:rPr>
          <w:rFonts w:ascii="Times New Roman" w:hAnsi="Times New Roman" w:cs="Times New Roman"/>
        </w:rPr>
        <w:t xml:space="preserve"> knowledge</w:t>
      </w:r>
      <w:r w:rsidRPr="00BA7968">
        <w:rPr>
          <w:rFonts w:ascii="Times New Roman" w:hAnsi="Times New Roman" w:cs="Times New Roman"/>
        </w:rPr>
        <w:t xml:space="preserve"> </w:t>
      </w:r>
      <w:r>
        <w:rPr>
          <w:rFonts w:ascii="Times New Roman" w:hAnsi="Times New Roman" w:cs="Times New Roman"/>
        </w:rPr>
        <w:t>with</w:t>
      </w:r>
      <w:r w:rsidRPr="00BA7968">
        <w:rPr>
          <w:rFonts w:ascii="Times New Roman" w:hAnsi="Times New Roman" w:cs="Times New Roman"/>
        </w:rPr>
        <w:t xml:space="preserve"> the existing internal knowledge</w:t>
      </w:r>
      <w:r>
        <w:rPr>
          <w:rFonts w:ascii="Times New Roman" w:hAnsi="Times New Roman" w:cs="Times New Roman"/>
        </w:rPr>
        <w:t xml:space="preserve"> base</w:t>
      </w:r>
      <w:r w:rsidRPr="00BA7968">
        <w:rPr>
          <w:rFonts w:ascii="Times New Roman" w:hAnsi="Times New Roman" w:cs="Times New Roman"/>
        </w:rPr>
        <w:t xml:space="preserve">.  </w:t>
      </w:r>
    </w:p>
    <w:p w14:paraId="414770C2" w14:textId="77777777" w:rsidR="00C7731B" w:rsidRPr="00BA7968" w:rsidRDefault="00C7731B" w:rsidP="00C7731B">
      <w:pPr>
        <w:spacing w:line="360" w:lineRule="auto"/>
        <w:rPr>
          <w:rFonts w:ascii="Times New Roman" w:hAnsi="Times New Roman" w:cs="Times New Roman"/>
        </w:rPr>
      </w:pPr>
    </w:p>
    <w:p w14:paraId="6CBD98DE" w14:textId="4B43BCFA" w:rsidR="00C7731B" w:rsidRPr="009A7194" w:rsidRDefault="00C7731B" w:rsidP="00C7731B">
      <w:pPr>
        <w:spacing w:line="360" w:lineRule="auto"/>
        <w:jc w:val="both"/>
        <w:rPr>
          <w:rFonts w:ascii="Times New Roman" w:hAnsi="Times New Roman" w:cs="Times New Roman"/>
          <w:i/>
          <w:u w:val="single"/>
        </w:rPr>
      </w:pPr>
      <w:r w:rsidRPr="009A7194">
        <w:rPr>
          <w:rFonts w:ascii="Times New Roman" w:hAnsi="Times New Roman" w:cs="Times New Roman"/>
          <w:i/>
          <w:u w:val="single"/>
        </w:rPr>
        <w:t>Stage Three – Literature Search Execution</w:t>
      </w:r>
    </w:p>
    <w:p w14:paraId="409E670C"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The </w:t>
      </w:r>
      <w:r>
        <w:rPr>
          <w:rFonts w:ascii="Times New Roman" w:hAnsi="Times New Roman" w:cs="Times New Roman"/>
        </w:rPr>
        <w:t>concept</w:t>
      </w:r>
      <w:r w:rsidRPr="00BA7968">
        <w:rPr>
          <w:rFonts w:ascii="Times New Roman" w:hAnsi="Times New Roman" w:cs="Times New Roman"/>
        </w:rPr>
        <w:t xml:space="preserve"> of innovation sourcing </w:t>
      </w:r>
      <w:r>
        <w:rPr>
          <w:rFonts w:ascii="Times New Roman" w:hAnsi="Times New Roman" w:cs="Times New Roman"/>
        </w:rPr>
        <w:t>relates to</w:t>
      </w:r>
      <w:r w:rsidRPr="00BA7968">
        <w:rPr>
          <w:rFonts w:ascii="Times New Roman" w:hAnsi="Times New Roman" w:cs="Times New Roman"/>
        </w:rPr>
        <w:t xml:space="preserve"> the fields of supply management, strategic management, marketing, innovation/technology management, engineering, and entrepreneurship. </w:t>
      </w:r>
      <w:r>
        <w:rPr>
          <w:rFonts w:ascii="Times New Roman" w:hAnsi="Times New Roman" w:cs="Times New Roman"/>
        </w:rPr>
        <w:t>Hence</w:t>
      </w:r>
      <w:r w:rsidRPr="00BA7968">
        <w:rPr>
          <w:rFonts w:ascii="Times New Roman" w:hAnsi="Times New Roman" w:cs="Times New Roman"/>
        </w:rPr>
        <w:t>, the</w:t>
      </w:r>
      <w:r>
        <w:rPr>
          <w:rFonts w:ascii="Times New Roman" w:hAnsi="Times New Roman" w:cs="Times New Roman"/>
        </w:rPr>
        <w:t xml:space="preserve"> author selected</w:t>
      </w:r>
      <w:r w:rsidRPr="00BA7968">
        <w:rPr>
          <w:rFonts w:ascii="Times New Roman" w:hAnsi="Times New Roman" w:cs="Times New Roman"/>
        </w:rPr>
        <w:t xml:space="preserve"> EBSCOhost (business source complete) database </w:t>
      </w:r>
      <w:r>
        <w:rPr>
          <w:rFonts w:ascii="Times New Roman" w:hAnsi="Times New Roman" w:cs="Times New Roman"/>
        </w:rPr>
        <w:t xml:space="preserve">as </w:t>
      </w:r>
      <w:r w:rsidRPr="00BA7968">
        <w:rPr>
          <w:rFonts w:ascii="Times New Roman" w:hAnsi="Times New Roman" w:cs="Times New Roman"/>
        </w:rPr>
        <w:t xml:space="preserve">it addresses all </w:t>
      </w:r>
      <w:r>
        <w:rPr>
          <w:rFonts w:ascii="Times New Roman" w:hAnsi="Times New Roman" w:cs="Times New Roman"/>
        </w:rPr>
        <w:t>relevant academic</w:t>
      </w:r>
      <w:r w:rsidRPr="00BA7968">
        <w:rPr>
          <w:rFonts w:ascii="Times New Roman" w:hAnsi="Times New Roman" w:cs="Times New Roman"/>
        </w:rPr>
        <w:t xml:space="preserve"> </w:t>
      </w:r>
      <w:r>
        <w:rPr>
          <w:rFonts w:ascii="Times New Roman" w:hAnsi="Times New Roman" w:cs="Times New Roman"/>
        </w:rPr>
        <w:t>fields</w:t>
      </w:r>
      <w:r w:rsidRPr="00BA7968">
        <w:rPr>
          <w:rFonts w:ascii="Times New Roman" w:hAnsi="Times New Roman" w:cs="Times New Roman"/>
        </w:rPr>
        <w:t xml:space="preserve"> extensively, and has been applied by similar systematic literature review</w:t>
      </w:r>
      <w:r>
        <w:rPr>
          <w:rFonts w:ascii="Times New Roman" w:hAnsi="Times New Roman" w:cs="Times New Roman"/>
        </w:rPr>
        <w:t>s</w:t>
      </w:r>
      <w:r w:rsidRPr="00BA7968">
        <w:rPr>
          <w:rFonts w:ascii="Times New Roman" w:hAnsi="Times New Roman" w:cs="Times New Roman"/>
        </w:rPr>
        <w:t xml:space="preserve"> on boundary-spanning topics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"10.1108/SCM-12-2013-0474", "ISBN" : "1220130478", "ISSN" : "1359-8546", "abstract" : "Purpose \u2013 The purpose of this paper is both to provide an overview of existing knowledge pertaining to the management of price risks in manufacturing companies from an operations management (OM) perspective and to establish an agenda for future research. Risks related to the purchase prices of industrial consumption factors (raw materials, semi-finished/finished goods, auxiliary materials and operating materials) exert an increasing influence on manufacturing companies\u2019 business continuity and economic sustainability. Design/methodology/approach \u2013 A systematic literature review was conducted following the literature search approach of vom Brocke et al. (2009). In total, 138 relevant articles were identified, analysed and synthesised. Findings \u2013 The literature review reveals that the existing OM literature devotes little attention to price risks and their management in manufacturing companies. In particular, further empirical investigation is required to support decision-making in various risk contexts. Social implications \u2013 This paper emphasises that in addition to existing national resource funds and inter-company alliances, alternative concepts are required to secure both stable prices and access to natural resources. Otherwise, in the future, small- and medium-sized companies, along with companies based in countries lacking available resource funds, will not have an opportunity to engage in fair competition. Originality/value \u2013 To the best of the authors\u2019 knowledge, this is the first literature review to focus on price as a specific supply risk.", "author" : [ { "dropping-particle" : "", "family" : "Fischl", "given" : "Maria", "non-dropping-particle" : "", "parse-names" : false, "suffix" : "" }, { "dropping-particle" : "", "family" : "Scherrer-Rathje", "given" : "Maike", "non-dropping-particle" : "", "parse-names" : false, "suffix" : "" }, { "dropping-particle" : "", "family" : "Friedli", "given" : "Thomas", "non-dropping-particle" : "", "parse-names" : false, "suffix" : "" } ], "container-title" : "Supply Chain Management: An International Journal", "id" : "ITEM-1", "issue" : "5/6", "issued" : { "date-parts" : [ [ "2014" ] ] }, "page" : "480-503", "title" : "Digging deeper into supply risk: a systematic literature review on price risks", "type" : "article-journal", "volume" : "19" }, "uris" : [ "http://www.mendeley.com/documents/?uuid=63f559e1-f72a-445b-858c-e887f0c0c69b" ] }, { "id" : "ITEM-2", "itemData" : { "DOI" : "10.1108/SCM-10-2013-0363", "ISSN" : "1359-8546", "abstract" : "Purpose - The purpose of this paper is to explore the role of demand management in achieving supply chain agility (SCA) through amulti-disciplinary review of the relevant research. The systematic literature review provides the basis for formulating a conceptual framework of the relationship.\\nDesign/methodology/approach - A systematic, comprehensive review of the literature on manufacturing, marketing organizational and SCA from 1991 through 2013 was conducted. The literature on demand management is also examined to identify the various elements that contribute to SCA.\\nFindings - Most agility frameworks take a supply-side perspective and assume that demand is known. Those that do acknowledge the role of demand fall short of offering a holistic framework that acknowledges the role of both. This paper suggests that it is simply not enough to have flexible manufacturing, distribution and procurement systems to achieve SCA. Flexibility in managing demand is also needed. Furthermore, it is the premise of this paper that demand and supply integration (DSI) inside the firm is critical to achieving SCA.\\nResearch limitations/implications - This research is a systematic, integrative review of the existing literature on the concept of agility. As such, the next phase of research needed for theory building will be the operationalization of constructs and testing of the hypothesized relationships proposed by the conceptual framework.\\nPractical implications - The paper has several managerial implications as well. It illustrates how firms can create and sustain competitive advantages in turbulent environments. Managers can use the framework developed here to assess what structures and decision-making processes they can use to increase the firm\u2019s SCA. Practitioners can use this model as a checklist to identify candidate areas for improving agility. The section illustrating the use of knowledge management to increase DSI should be of particular interest to managers, considering that a great deal of firms experience a disconnect between demand creation and supply fulfillment.\\nOriginality/value - Through a systematic, comprehensive review of multi-disciplinary literature, the paper explores the role of demand management in achieving SCA.", "author" : [ { "dropping-particle" : "", "family" : "Gligor", "given" : "David M", "non-dropping-particle" : "", "parse-names" : false, "suffix" : "" } ], "container-title" : "Supply Chain Management: An International Journal", "id" : "ITEM-2", "issue" : "5/6", "issued" : { "date-parts" : [ [ "2014" ] ] }, "page" : "577-591", "title" : "The role of demand management in achieving supply chain agility", "type" : "article-journal", "volume" : "19" }, "uris" : [ "http://www.mendeley.com/documents/?uuid=91f7bfaa-0f93-49a4-b7d1-db56ec70e8e4" ] } ], "mendeley" : { "formattedCitation" : "(Fischl et al., 2014; Gligor, 2014)", "plainTextFormattedCitation" : "(Fischl et al., 2014; Gligor, 2014)", "previouslyFormattedCitation" : "(Fischl et al., 2014; Gligor, 2014)"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(Fischl et al., 2014; Gligor, 2014)</w:t>
      </w:r>
      <w:r w:rsidRPr="00BA7968">
        <w:rPr>
          <w:rFonts w:ascii="Times New Roman" w:hAnsi="Times New Roman" w:cs="Times New Roman"/>
        </w:rPr>
        <w:fldChar w:fldCharType="end"/>
      </w:r>
      <w:r w:rsidRPr="00BA7968">
        <w:rPr>
          <w:rFonts w:ascii="Times New Roman" w:hAnsi="Times New Roman" w:cs="Times New Roman"/>
        </w:rPr>
        <w:t xml:space="preserve">. EBSCOhost is considered one of the most extensive databases in management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"10.1108/SCM-02-2014-0070", "ISBN" : "1359-8546", "ISSN" : "13598546", "abstract" : "Purpose - The purpose of this paper is to develop a comprehensive framework that synthesizes approaches and contingency variables to manage the sustainability of multi-tier supply chains and sub-suppliers. Design/methodology/approach - Using a systematic literature review, the authors analyse 39 studies and relevant theories to develop a comprehensive framework that integrates research efforts so far. Findings - The authors build a conceptual framework that incorporates four approaches to manage the sustainability of multi-tier supply chains. They also identify several contingency variables (e.g. power, dependency, distance, industry, knowledge resources) and their effect on the proposed approaches. Research limitations/implications - Based on the framework, six research propositions that advance the theories on multi-tier supply chain management, allow lead firms to develop comprehensive sustainable supply chain strategies and set the ground for future research in the area were developed. Originality/value - This study provides a novel framework for studying sustainability in multi-tier supply chains that goes beyond the single-tier perspective and incorporates the extended supply chain.", "author" : [ { "dropping-particle" : "", "family" : "Tachizawa", "given" : "Elcio M.", "non-dropping-particle" : "", "parse-names" : false, "suffix" : "" }, { "dropping-particle" : "", "family" : "Wong", "given" : "Chee Y.", "non-dropping-particle" : "", "parse-names" : false, "suffix" : "" } ], "container-title" : "Supply Chain Management: An International Journal", "id" : "ITEM-1", "issue" : "5/6", "issued" : { "date-parts" : [ [ "2014" ] ] }, "page" : "643-663", "title" : "Towards a theory of multi-tier sustainable supply chains: a systematic literature review", "type" : "article-journal", "volume" : "19" }, "uris" : [ "http://www.mendeley.com/documents/?uuid=aa229065-8a1d-442b-93f9-f60fa3f1fadd" ] }, { "id" : "ITEM-2", "itemData" : { "DOI" : "10.1108/SCM-10-2013-0363", "ISSN" : "1359-8546", "abstract" : "Purpose - The purpose of this paper is to explore the role of demand management in achieving supply chain agility (SCA) through amulti-disciplinary review of the relevant research. The systematic literature review provides the basis for formulating a conceptual framework of the relationship.\\nDesign/methodology/approach - A systematic, comprehensive review of the literature on manufacturing, marketing organizational and SCA from 1991 through 2013 was conducted. The literature on demand management is also examined to identify the various elements that contribute to SCA.\\nFindings - Most agility frameworks take a supply-side perspective and assume that demand is known. Those that do acknowledge the role of demand fall short of offering a holistic framework that acknowledges the role of both. This paper suggests that it is simply not enough to have flexible manufacturing, distribution and procurement systems to achieve SCA. Flexibility in managing demand is also needed. Furthermore, it is the premise of this paper that demand and supply integration (DSI) inside the firm is critical to achieving SCA.\\nResearch limitations/implications - This research is a systematic, integrative review of the existing literature on the concept of agility. As such, the next phase of research needed for theory building will be the operationalization of constructs and testing of the hypothesized relationships proposed by the conceptual framework.\\nPractical implications - The paper has several managerial implications as well. It illustrates how firms can create and sustain competitive advantages in turbulent environments. Managers can use the framework developed here to assess what structures and decision-making processes they can use to increase the firm\u2019s SCA. Practitioners can use this model as a checklist to identify candidate areas for improving agility. The section illustrating the use of knowledge management to increase DSI should be of particular interest to managers, considering that a great deal of firms experience a disconnect between demand creation and supply fulfillment.\\nOriginality/value - Through a systematic, comprehensive review of multi-disciplinary literature, the paper explores the role of demand management in achieving SCA.", "author" : [ { "dropping-particle" : "", "family" : "Gligor", "given" : "David M", "non-dropping-particle" : "", "parse-names" : false, "suffix" : "" } ], "container-title" : "Supply Chain Management: An International Journal", "id" : "ITEM-2", "issue" : "5/6", "issued" : { "date-parts" : [ [ "2014" ] ] }, "page" : "577-591", "title" : "The role of demand management in achieving supply chain agility", "type" : "article-journal", "volume" : "19" }, "uris" : [ "http://www.mendeley.com/documents/?uuid=91f7bfaa-0f93-49a4-b7d1-db56ec70e8e4" ] } ], "mendeley" : { "formattedCitation" : "(Gligor, 2014; Tachizawa &amp; Wong, 2014)", "plainTextFormattedCitation" : "(Gligor, 2014; Tachizawa &amp; Wong, 2014)", "previouslyFormattedCitation" : "(Gligor, 2014; Tachizawa &amp; Wong, 2014)"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(Gligor, 2014; Tachizawa &amp; Wong, 2014)</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Furthermore</w:t>
      </w:r>
      <w:r w:rsidRPr="00BA7968">
        <w:rPr>
          <w:rFonts w:ascii="Times New Roman" w:hAnsi="Times New Roman" w:cs="Times New Roman"/>
        </w:rPr>
        <w:t xml:space="preserve">, Google Scholar (GS) and Science Direct (SD) were </w:t>
      </w:r>
      <w:r>
        <w:rPr>
          <w:rFonts w:ascii="Times New Roman" w:hAnsi="Times New Roman" w:cs="Times New Roman"/>
        </w:rPr>
        <w:t>used</w:t>
      </w:r>
      <w:r w:rsidRPr="00BA7968">
        <w:rPr>
          <w:rFonts w:ascii="Times New Roman" w:hAnsi="Times New Roman" w:cs="Times New Roman"/>
        </w:rPr>
        <w:t xml:space="preserve"> to </w:t>
      </w:r>
      <w:r>
        <w:rPr>
          <w:rFonts w:ascii="Times New Roman" w:hAnsi="Times New Roman" w:cs="Times New Roman"/>
        </w:rPr>
        <w:t>enable</w:t>
      </w:r>
      <w:r w:rsidRPr="00BA7968">
        <w:rPr>
          <w:rFonts w:ascii="Times New Roman" w:hAnsi="Times New Roman" w:cs="Times New Roman"/>
        </w:rPr>
        <w:t xml:space="preserve"> a broad coverage of relevant literature.</w:t>
      </w:r>
    </w:p>
    <w:p w14:paraId="17E40E81"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r>
      <w:r>
        <w:rPr>
          <w:rFonts w:ascii="Times New Roman" w:hAnsi="Times New Roman" w:cs="Times New Roman"/>
        </w:rPr>
        <w:t xml:space="preserve">What timeframe should be covered in the literature search? </w:t>
      </w:r>
      <w:r w:rsidRPr="00BA7968">
        <w:rPr>
          <w:rFonts w:ascii="Times New Roman" w:hAnsi="Times New Roman" w:cs="Times New Roman"/>
        </w:rPr>
        <w:t xml:space="preserve">In 2003, Chesbrough published his seminal book on open innovation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"Chesbrough", "given" : "Henry", "non-dropping-particle" : "", "parse-names" : false, "suffix" : "" } ], "id" : "ITEM-1",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"plainTextFormattedCitation" : "(Chesbrough, 2003)", "previouslyFormattedCitation" : "(Chesbrough, 2003)"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(Chesbrough, 2003)</w:t>
      </w:r>
      <w:r w:rsidRPr="00BA7968">
        <w:rPr>
          <w:rFonts w:ascii="Times New Roman" w:hAnsi="Times New Roman" w:cs="Times New Roman"/>
        </w:rPr>
        <w:fldChar w:fldCharType="end"/>
      </w:r>
      <w:r w:rsidRPr="00BA7968">
        <w:rPr>
          <w:rFonts w:ascii="Times New Roman" w:hAnsi="Times New Roman" w:cs="Times New Roman"/>
        </w:rPr>
        <w:t>. At that time, he referred to an emerging conversation among scholars and practitioners about capturing external knowledge for the focal</w:t>
      </w:r>
      <w:r>
        <w:rPr>
          <w:rFonts w:ascii="Times New Roman" w:hAnsi="Times New Roman" w:cs="Times New Roman"/>
        </w:rPr>
        <w:t xml:space="preserve"> firm</w:t>
      </w:r>
      <w:r w:rsidRPr="00BA7968">
        <w:rPr>
          <w:rFonts w:ascii="Times New Roman" w:hAnsi="Times New Roman" w:cs="Times New Roman"/>
        </w:rPr>
        <w:t>. Quinn, another significant scholar</w:t>
      </w:r>
      <w:r>
        <w:rPr>
          <w:rFonts w:ascii="Times New Roman" w:hAnsi="Times New Roman" w:cs="Times New Roman"/>
        </w:rPr>
        <w:t>ly driver in this emerging field</w:t>
      </w:r>
      <w:r w:rsidRPr="00BA7968">
        <w:rPr>
          <w:rFonts w:ascii="Times New Roman" w:hAnsi="Times New Roman" w:cs="Times New Roman"/>
        </w:rPr>
        <w:t>, published a seminal article about outsourcing innovation as the new growth engine</w:t>
      </w:r>
      <w:r>
        <w:rPr>
          <w:rFonts w:ascii="Times New Roman" w:hAnsi="Times New Roman" w:cs="Times New Roman"/>
        </w:rPr>
        <w:t xml:space="preserve"> in 2000</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"Quinn", "given" : "James Brian", "non-dropping-particle" : "", "parse-names" : false, "suffix" : "" } ], "container-title" : "Sloan Management Review", "id" : "ITEM-1", "issue" : "4", "issued" : { "date-parts" : [ [ "2000" ] ] }, "page" : "13-28", "title" : "Outsourcing Innovation : The New Engine of Growth", "type" : "article-journal", "volume" : "41" }, "uris" : [ "http://www.mendeley.com/documents/?uuid=a45106ed-8659-4155-be2e-0bb26c9ab14b" ] } ], "mendeley" : { "formattedCitation" : "(Quinn, 2000)", "plainTextFormattedCitation" : "(Quinn, 2000)", "previouslyFormattedCitation" : "(Quinn, 2000)"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(Quinn, 2000)</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Therefore</w:t>
      </w:r>
      <w:r w:rsidRPr="00BA7968">
        <w:rPr>
          <w:rFonts w:ascii="Times New Roman" w:hAnsi="Times New Roman" w:cs="Times New Roman"/>
        </w:rPr>
        <w:t xml:space="preserve">, the year 2000 is used as the foundational year for innovation sourcing in this literature </w:t>
      </w:r>
      <w:r w:rsidRPr="00BA7968">
        <w:rPr>
          <w:rFonts w:ascii="Times New Roman" w:hAnsi="Times New Roman" w:cs="Times New Roman"/>
        </w:rPr>
        <w:lastRenderedPageBreak/>
        <w:t xml:space="preserve">review. Due to research purpose and target audience, the data collection is based on peer-reviewed scholarly journals but not practitioner-based journals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"10.1108/13598541211246594", "ISBN" : "0144357011", "ISSN" : "1359-8546", "abstract" : "Purpose \u2013 The purpose of this paper is to explore the role of logistics capabilities in achieving supply chain agility through a multi-disciplinary review of the relevant research. The systematic literature review aims to provide the basis for formulating a conceptual framework of the relationship. Design/methodology/approach \u2013 A systematic, comprehensive review of the literature on manufacturing, organizational and supply chain agility from 1991 through 2010 was conducted. The literature on logistics capabilities was also examined to identify the various elements that contribute to supply chain agility. Findings \u2013 Supply chain agility has primarily been explored in the literature through a focus on manufacturing flexibility, supply chain speed, or lean manufacturing. The role of logistics capabilities in achieving supply chain agility has not been addressed from a holistic conceptual perspective. This research addresses that gap using a multi-disciplinary approach. As such, it is the first phase in theory building on the concept of supply chain agility. Further research is needed to empirically test the conceptualized relationships. Research limitations/implications \u2013 This research is a systematic, integrative review of the existing literature on the concept of agility and logistics capabilities. As such, the next phase of research needed for theory building will be the operationalization of constructs and testing of the hypothesized relationships proposed by the conceptual framework. Practical implications \u2013 The level of agility in a supply chain can determine the efficiency and effectiveness of the collective efforts. It is important that firms become more knowledgeable about the role of logistics capabilities in achieving agility. Originality/value \u2013 Through a systematic, comprehensive review of the literature in four distinct areas, the paper explores the relationship between logistics capabilities and supply chain agility.", "author" : [ { "dropping-particle" : "", "family" : "Gligor", "given" : "David M.", "non-dropping-particle" : "", "parse-names" : false, "suffix" : "" }, { "dropping-particle" : "", "family" : "Holcomb", "given" : "Mary C.", "non-dropping-particle" : "", "parse-names" : false, "suffix" : "" } ], "container-title" : "Supply Chain Management: An International Journal", "id" : "ITEM-1", "issue" : "4", "issued" : { "date-parts" : [ [ "2012" ] ] }, "page" : "438-453", "title" : "Understanding the role of logistics capabilities in achieving supply chain agility: a systematic literature review", "type" : "article-journal", "volume" : "17" }, "uris" : [ "http://www.mendeley.com/documents/?uuid=6448954e-101b-45c5-bdf5-ea5c619ea04d" ] } ], "mendeley" : { "formattedCitation" : "(Gligor &amp; Holcomb, 2012)", "plainTextFormattedCitation" : "(Gligor &amp; Holcomb, 2012)", "previouslyFormattedCitation" : "(Gligor &amp; Holcomb,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(Gligor &amp; Holcomb, 2012)</w:t>
      </w:r>
      <w:r w:rsidRPr="00BA7968">
        <w:rPr>
          <w:rFonts w:ascii="Times New Roman" w:hAnsi="Times New Roman" w:cs="Times New Roman"/>
        </w:rPr>
        <w:fldChar w:fldCharType="end"/>
      </w:r>
      <w:r w:rsidRPr="00BA7968">
        <w:rPr>
          <w:rFonts w:ascii="Times New Roman" w:hAnsi="Times New Roman" w:cs="Times New Roman"/>
        </w:rPr>
        <w:t xml:space="preserve"> to </w:t>
      </w:r>
      <w:r w:rsidRPr="00BA7968">
        <w:rPr>
          <w:rFonts w:ascii="Times New Roman" w:hAnsi="Times New Roman" w:cs="Times New Roman"/>
          <w:color w:val="000000" w:themeColor="text1"/>
        </w:rPr>
        <w:t xml:space="preserve">benefit from the rigor of the prior review process, which ensures a higher quality result </w:t>
      </w:r>
      <w:r w:rsidRPr="00BA7968">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 "citationItems" : [ { "id" : "ITEM-1", "itemData" : { "DOI" : "10.1002/smj.573", "ISBN" : "1097-0266", "ISSN" : "00014273", "author" : [ { "dropping-particle" : "", "family" : "Newbert", "given" : "Scott L", "non-dropping-particle" : "", "parse-names" : false, "suffix" : "" } ], "container-title" : "Strategic Management Journal", "id" : "ITEM-1", "issued" : { "date-parts" : [ [ "2007" ] ] }, "page" : "121-146", "title" : "Empirical Research on the Resource-Based View of the Firm: An Assessment and Suggestion for Future Research", "type" : "article-journal", "volume" : "28" }, "uris" : [ "http://www.mendeley.com/documents/?uuid=5e9a796b-4ed7-49db-8b9c-fff534cb8c3a" ] } ], "mendeley" : { "formattedCitation" : "(Newbert, 2007)", "plainTextFormattedCitation" : "(Newbert, 2007)", "previouslyFormattedCitation" : "(Newbert, 2007)" }, "properties" : { "noteIndex" : 0 }, "schema" : "https://github.com/citation-style-language/schema/raw/master/csl-citation.json" }</w:instrText>
      </w:r>
      <w:r w:rsidRPr="00BA7968">
        <w:rPr>
          <w:rFonts w:ascii="Times New Roman" w:hAnsi="Times New Roman" w:cs="Times New Roman"/>
          <w:color w:val="000000" w:themeColor="text1"/>
        </w:rPr>
        <w:fldChar w:fldCharType="separate"/>
      </w:r>
      <w:r w:rsidRPr="006A22BF">
        <w:rPr>
          <w:rFonts w:ascii="Times New Roman" w:hAnsi="Times New Roman" w:cs="Times New Roman"/>
          <w:noProof/>
          <w:color w:val="000000" w:themeColor="text1"/>
        </w:rPr>
        <w:t>(Newbert, 2007)</w:t>
      </w:r>
      <w:r w:rsidRPr="00BA7968">
        <w:rPr>
          <w:rFonts w:ascii="Times New Roman" w:hAnsi="Times New Roman" w:cs="Times New Roman"/>
          <w:color w:val="000000" w:themeColor="text1"/>
        </w:rPr>
        <w:fldChar w:fldCharType="end"/>
      </w:r>
      <w:r w:rsidRPr="00BA7968">
        <w:rPr>
          <w:rFonts w:ascii="Times New Roman" w:hAnsi="Times New Roman" w:cs="Times New Roman"/>
          <w:color w:val="000000" w:themeColor="text1"/>
        </w:rPr>
        <w:t xml:space="preserve">. </w:t>
      </w:r>
      <w:r w:rsidRPr="00BA7968">
        <w:rPr>
          <w:rFonts w:ascii="Times New Roman" w:hAnsi="Times New Roman" w:cs="Times New Roman"/>
        </w:rPr>
        <w:t xml:space="preserve">Only peer-reviewed academic journals in English were considered. Editorials, book reviews, conceptual papers, and literature reviews were excluded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"10.1108/SCM-12-2013-0474", "ISBN" : "1220130478", "ISSN" : "1359-8546", "abstract" : "Purpose \u2013 The purpose of this paper is both to provide an overview of existing knowledge pertaining to the management of price risks in manufacturing companies from an operations management (OM) perspective and to establish an agenda for future research. Risks related to the purchase prices of industrial consumption factors (raw materials, semi-finished/finished goods, auxiliary materials and operating materials) exert an increasing influence on manufacturing companies\u2019 business continuity and economic sustainability. Design/methodology/approach \u2013 A systematic literature review was conducted following the literature search approach of vom Brocke et al. (2009). In total, 138 relevant articles were identified, analysed and synthesised. Findings \u2013 The literature review reveals that the existing OM literature devotes little attention to price risks and their management in manufacturing companies. In particular, further empirical investigation is required to support decision-making in various risk contexts. Social implications \u2013 This paper emphasises that in addition to existing national resource funds and inter-company alliances, alternative concepts are required to secure both stable prices and access to natural resources. Otherwise, in the future, small- and medium-sized companies, along with companies based in countries lacking available resource funds, will not have an opportunity to engage in fair competition. Originality/value \u2013 To the best of the authors\u2019 knowledge, this is the first literature review to focus on price as a specific supply risk.", "author" : [ { "dropping-particle" : "", "family" : "Fischl", "given" : "Maria", "non-dropping-particle" : "", "parse-names" : false, "suffix" : "" }, { "dropping-particle" : "", "family" : "Scherrer-Rathje", "given" : "Maike", "non-dropping-particle" : "", "parse-names" : false, "suffix" : "" }, { "dropping-particle" : "", "family" : "Friedli", "given" : "Thomas", "non-dropping-particle" : "", "parse-names" : false, "suffix" : "" } ], "container-title" : "Supply Chain Management: An International Journal", "id" : "ITEM-1", "issue" : "5/6", "issued" : { "date-parts" : [ [ "2014" ] ] }, "page" : "480-503", "title" : "Digging deeper into supply risk: a systematic literature review on price risks", "type" : "article-journal", "volume" : "19" }, "uris" : [ "http://www.mendeley.com/documents/?uuid=63f559e1-f72a-445b-858c-e887f0c0c69b" ] } ], "mendeley" : { "formattedCitation" : "(Fischl et al., 2014)", "plainTextFormattedCitation" : "(Fischl et al., 2014)", "previouslyFormattedCitation" : "(Fischl et al., 2014)"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(Fischl et al., 2014)</w:t>
      </w:r>
      <w:r w:rsidRPr="00BA7968">
        <w:rPr>
          <w:rFonts w:ascii="Times New Roman" w:hAnsi="Times New Roman" w:cs="Times New Roman"/>
        </w:rPr>
        <w:fldChar w:fldCharType="end"/>
      </w:r>
      <w:r w:rsidRPr="00BA7968">
        <w:rPr>
          <w:rFonts w:ascii="Times New Roman" w:hAnsi="Times New Roman" w:cs="Times New Roman"/>
        </w:rPr>
        <w:t>.</w:t>
      </w:r>
    </w:p>
    <w:p w14:paraId="230D27DB"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color w:val="000000" w:themeColor="text1"/>
        </w:rPr>
        <w:tab/>
        <w:t xml:space="preserve">According to Seuring and Gold (2012), the two most common approaches of literature reviews in the SCM domain are (1) title, abstract, keyword searches or (2) a focus on selected journals (determined a-priori). The </w:t>
      </w:r>
      <w:r>
        <w:rPr>
          <w:rFonts w:ascii="Times New Roman" w:hAnsi="Times New Roman" w:cs="Times New Roman"/>
          <w:color w:val="000000" w:themeColor="text1"/>
        </w:rPr>
        <w:t>author selected the former in order</w:t>
      </w:r>
      <w:r w:rsidRPr="00BA7968">
        <w:rPr>
          <w:rFonts w:ascii="Times New Roman" w:hAnsi="Times New Roman" w:cs="Times New Roman"/>
          <w:color w:val="000000" w:themeColor="text1"/>
        </w:rPr>
        <w:t xml:space="preserve"> to avoid a potential pre-mature exclusion of relevant articles </w:t>
      </w:r>
      <w:r>
        <w:rPr>
          <w:rFonts w:ascii="Times New Roman" w:hAnsi="Times New Roman" w:cs="Times New Roman"/>
          <w:color w:val="000000" w:themeColor="text1"/>
        </w:rPr>
        <w:t>by</w:t>
      </w:r>
      <w:r w:rsidRPr="00BA7968">
        <w:rPr>
          <w:rFonts w:ascii="Times New Roman" w:hAnsi="Times New Roman" w:cs="Times New Roman"/>
          <w:color w:val="000000" w:themeColor="text1"/>
        </w:rPr>
        <w:t xml:space="preserve"> </w:t>
      </w:r>
      <w:r>
        <w:rPr>
          <w:rFonts w:ascii="Times New Roman" w:hAnsi="Times New Roman" w:cs="Times New Roman"/>
          <w:color w:val="000000" w:themeColor="text1"/>
        </w:rPr>
        <w:t>narrowing</w:t>
      </w:r>
      <w:r w:rsidRPr="00BA7968">
        <w:rPr>
          <w:rFonts w:ascii="Times New Roman" w:hAnsi="Times New Roman" w:cs="Times New Roman"/>
          <w:color w:val="000000" w:themeColor="text1"/>
        </w:rPr>
        <w:t xml:space="preserve"> the search to specific journals a-priori. </w:t>
      </w:r>
      <w:r>
        <w:rPr>
          <w:rFonts w:ascii="Times New Roman" w:hAnsi="Times New Roman" w:cs="Times New Roman"/>
          <w:color w:val="000000" w:themeColor="text1"/>
        </w:rPr>
        <w:t>Such an approach is better accounting for</w:t>
      </w:r>
      <w:r w:rsidRPr="00BA7968">
        <w:rPr>
          <w:rFonts w:ascii="Times New Roman" w:hAnsi="Times New Roman" w:cs="Times New Roman"/>
          <w:color w:val="000000" w:themeColor="text1"/>
        </w:rPr>
        <w:t xml:space="preserve"> the multi-disciplinary breadth of the topic by covering articles from related fields in the search </w:t>
      </w:r>
      <w:r w:rsidRPr="00BA7968">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 "citationItems" : [ { "id" : "ITEM-1", "itemData" : { "DOI" : "10.1108/13598541211258609", "ISBN" : "1359-8546", "ISSN" : "1359-8546", "abstract" : "Purpose ? Inconsistent research output makes critical literature reviews crucial tools for assessing and developing the knowledge base within a research field. Literature reviews in the field of supply chain management (SCM) are often considerably less stringently presented than other empirical research. Replicability of the research and traceability of the arguments and conclusions call for more transparent and systematic procedures. The purpose of this paper is to elaborate on the importance of literature reviews in SCM. Design/methodology/approach ? Literature reviews are defined as primarily qualitative synthesis. Content analysis is introduced and applied for reviewing 22 literature reviews of seven sub-fields of SCM, published in English-speaking peer-reviewed journals between 2000 and 2009. A descriptive evaluation of the literature body is followed by a content analysis on the basis of a specific pattern of analytic categories derived from a typical research process. Findings ? Each paper was assessed for the aim of research, the method of data gathering, the method of data analysis, and quality measures. While some papers provide information on all of these categories, many fail to provide all the information. This questions the quality of the literature review process and the findings presented in respective papers. Research limitations/implications ? While 22 literature reviews are taken into account in this paper as the basis of the empirical analysis, this allows for assessing the range of procedures applied in previous literature reviews and for pointing to their strengths and shortcomings. Originality/value ? The findings and subsequent methodological discussions aim at providing practical guidance for SCM researchers on how to use content analysis for conducting literature reviews.", "author" : [ { "dropping-particle" : "", "family" : "Seuring", "given" : "Stefan", "non-dropping-particle" : "", "parse-names" : false, "suffix" : "" }, { "dropping-particle" : "", "family" : "Gold", "given" : "Stefan", "non-dropping-particle" : "", "parse-names" : false, "suffix" : "" } ], "container-title" : "Supply Chain Management: An International Journal", "id" : "ITEM-1", "issue" : "5", "issued" : { "date-parts" : [ [ "2012" ] ] }, "page" : "544-555", "title" : "Conducting content-analysis based literature reviews in supply chain management", "type" : "article-journal", "volume" : "17" }, "uris" : [ "http://www.mendeley.com/documents/?uuid=41d92744-52e4-4524-8a6b-f937442d07c8" ] } ], "mendeley" : { "formattedCitation" : "(Seuring &amp; Gold, 2012)", "plainTextFormattedCitation" : "(Seuring &amp; Gold, 2012)", "previouslyFormattedCitation" : "(Seuring &amp; Gold, 2012)" }, "properties" : { "noteIndex" : 0 }, "schema" : "https://github.com/citation-style-language/schema/raw/master/csl-citation.json" }</w:instrText>
      </w:r>
      <w:r w:rsidRPr="00BA7968">
        <w:rPr>
          <w:rFonts w:ascii="Times New Roman" w:hAnsi="Times New Roman" w:cs="Times New Roman"/>
          <w:color w:val="000000" w:themeColor="text1"/>
        </w:rPr>
        <w:fldChar w:fldCharType="separate"/>
      </w:r>
      <w:r w:rsidRPr="006A22BF">
        <w:rPr>
          <w:rFonts w:ascii="Times New Roman" w:hAnsi="Times New Roman" w:cs="Times New Roman"/>
          <w:noProof/>
          <w:color w:val="000000" w:themeColor="text1"/>
        </w:rPr>
        <w:t>(Seuring &amp; Gold, 2012)</w:t>
      </w:r>
      <w:r w:rsidRPr="00BA7968">
        <w:rPr>
          <w:rFonts w:ascii="Times New Roman" w:hAnsi="Times New Roman" w:cs="Times New Roman"/>
          <w:color w:val="000000" w:themeColor="text1"/>
        </w:rPr>
        <w:fldChar w:fldCharType="end"/>
      </w:r>
      <w:r w:rsidRPr="00BA7968">
        <w:rPr>
          <w:rFonts w:ascii="Times New Roman" w:hAnsi="Times New Roman" w:cs="Times New Roman"/>
          <w:color w:val="000000" w:themeColor="text1"/>
        </w:rPr>
        <w:t xml:space="preserve">. </w:t>
      </w:r>
      <w:r w:rsidRPr="00BA7968">
        <w:rPr>
          <w:rFonts w:ascii="Times New Roman" w:hAnsi="Times New Roman" w:cs="Times New Roman"/>
        </w:rPr>
        <w:t xml:space="preserve">The first activity was to define the keyword strings </w:t>
      </w:r>
      <w:r w:rsidRPr="00BA7968">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 "citationItems" : [ { "id" : "ITEM-1", "itemData" : { "DOI" : "10.1108/SCM-12-2013-0487", "ISBN" : "1359-8546", "ISSN" : "1359-8546", "abstract" : "Purpose \u2013 The purpose of this paper is to systematically review the extant literature on the relationship between product architectures and supply chain design to identify gaps in the literature and identify future research opportunities. Design/methodology/approach \u2013 This paper examines the peer-reviewed literature on product architectures and supply chain written in English. The search strategy is based on selected databases and keywords. In total, 56 articles from 1995 to 2013 were identified. Findings \u2013 Three key dimensions are identified for the categorization of the literature: the type of product architecture, the type of supply chain and the research methodology. Furthermore, we identify themes related to outsourcing, supplier selection, supplier relationships, distance from focal firm and alignment. Research limitations/implications \u2013 The present search strategy may have missed some references that are related to the area. However, as a counter-measure, we used back-tracking and forward-tracking ...", "author" : [ { "dropping-particle" : "", "family" : "Pashaei", "given" : "Sebastian", "non-dropping-particle" : "", "parse-names" : false, "suffix" : "" }, { "dropping-particle" : "", "family" : "Olhager", "given" : "Jan", "non-dropping-particle" : "", "parse-names" : false, "suffix" : "" } ], "container-title" : "Supply Chain Management: An International Journal", "id" : "ITEM-1", "issue" : "1", "issued" : { "date-parts" : [ [ "2015" ] ] }, "page" : "98-112", "title" : "Product architecture and supply chain design: a systematic review and research agenda", "type" : "article-journal", "volume" : "20" }, "uris" : [ "http://www.mendeley.com/documents/?uuid=d1127bda-81f9-41ba-b842-8f26ca218de3" ] } ], "mendeley" : { "formattedCitation" : "(Pashaei &amp; Olhager, 2015)", "plainTextFormattedCitation" : "(Pashaei &amp; Olhager, 2015)", "previouslyFormattedCitation" : "(Pashaei &amp; Olhager, 2015)" }, "properties" : { "noteIndex" : 0 }, "schema" : "https://github.com/citation-style-language/schema/raw/master/csl-citation.json" }</w:instrText>
      </w:r>
      <w:r w:rsidRPr="00BA7968">
        <w:rPr>
          <w:rFonts w:ascii="Times New Roman" w:hAnsi="Times New Roman" w:cs="Times New Roman"/>
          <w:color w:val="000000" w:themeColor="text1"/>
        </w:rPr>
        <w:fldChar w:fldCharType="separate"/>
      </w:r>
      <w:r w:rsidRPr="006A22BF">
        <w:rPr>
          <w:rFonts w:ascii="Times New Roman" w:hAnsi="Times New Roman" w:cs="Times New Roman"/>
          <w:noProof/>
          <w:color w:val="000000" w:themeColor="text1"/>
        </w:rPr>
        <w:t>(Pashaei &amp; Olhager, 2015)</w:t>
      </w:r>
      <w:r w:rsidRPr="00BA7968">
        <w:rPr>
          <w:rFonts w:ascii="Times New Roman" w:hAnsi="Times New Roman" w:cs="Times New Roman"/>
          <w:color w:val="000000" w:themeColor="text1"/>
        </w:rPr>
        <w:fldChar w:fldCharType="end"/>
      </w:r>
      <w:r w:rsidRPr="00BA7968">
        <w:rPr>
          <w:rFonts w:ascii="Times New Roman" w:hAnsi="Times New Roman" w:cs="Times New Roman"/>
        </w:rPr>
        <w:t xml:space="preserve">, which were sourc*, innovat*, strateg*, and purchas*. The results were compiled, compared, and sorted to identify potential duplications. This </w:t>
      </w:r>
      <w:r>
        <w:rPr>
          <w:rFonts w:ascii="Times New Roman" w:hAnsi="Times New Roman" w:cs="Times New Roman"/>
        </w:rPr>
        <w:t>step</w:t>
      </w:r>
      <w:r w:rsidRPr="00BA7968">
        <w:rPr>
          <w:rFonts w:ascii="Times New Roman" w:hAnsi="Times New Roman" w:cs="Times New Roman"/>
        </w:rPr>
        <w:t xml:space="preserve"> yielded 538 published articles, with a search time horizon of January 2000 to March 2015. Next, the titles and keywords of each article were verified to ensure a fit to the research question. In case of doubt, the article was kept to have a rather extensive (inclusive) literature foundation. Consequently, 242 articles remained in the pool for the next </w:t>
      </w:r>
      <w:r>
        <w:rPr>
          <w:rFonts w:ascii="Times New Roman" w:hAnsi="Times New Roman" w:cs="Times New Roman"/>
        </w:rPr>
        <w:t>step of abstract screening</w:t>
      </w:r>
      <w:r w:rsidRPr="00BA7968">
        <w:rPr>
          <w:rFonts w:ascii="Times New Roman" w:hAnsi="Times New Roman" w:cs="Times New Roman"/>
        </w:rPr>
        <w:t xml:space="preserve">. </w:t>
      </w:r>
    </w:p>
    <w:p w14:paraId="4ABED0DA" w14:textId="307AEBB2"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After the initial screening (duplicate removal; title and key word screening; abstract screening), a total of 118 articles remained potentially relevant for the </w:t>
      </w:r>
      <w:r>
        <w:rPr>
          <w:rFonts w:ascii="Times New Roman" w:hAnsi="Times New Roman" w:cs="Times New Roman"/>
        </w:rPr>
        <w:t>subsequent analysis</w:t>
      </w:r>
      <w:r w:rsidRPr="00BA7968">
        <w:rPr>
          <w:rFonts w:ascii="Times New Roman" w:hAnsi="Times New Roman" w:cs="Times New Roman"/>
        </w:rPr>
        <w:t xml:space="preserve">. In the </w:t>
      </w:r>
      <w:r>
        <w:rPr>
          <w:rFonts w:ascii="Times New Roman" w:hAnsi="Times New Roman" w:cs="Times New Roman"/>
        </w:rPr>
        <w:t>concluding screening</w:t>
      </w:r>
      <w:r w:rsidRPr="00BA7968">
        <w:rPr>
          <w:rFonts w:ascii="Times New Roman" w:hAnsi="Times New Roman" w:cs="Times New Roman"/>
        </w:rPr>
        <w:t xml:space="preserve"> </w:t>
      </w:r>
      <w:r>
        <w:rPr>
          <w:rFonts w:ascii="Times New Roman" w:hAnsi="Times New Roman" w:cs="Times New Roman"/>
        </w:rPr>
        <w:t>step</w:t>
      </w:r>
      <w:r w:rsidRPr="00BA7968">
        <w:rPr>
          <w:rFonts w:ascii="Times New Roman" w:hAnsi="Times New Roman" w:cs="Times New Roman"/>
        </w:rPr>
        <w:t xml:space="preserve">, all remaining articles were read completely, assessed, and categorized according to type (empirical, conceptual), topic, context, main theoretical frameworks, critical definitions, methodology, methodological rigor, main constructs (independent and dependent variables) and contribution/findings. This </w:t>
      </w:r>
      <w:r>
        <w:rPr>
          <w:rFonts w:ascii="Times New Roman" w:hAnsi="Times New Roman" w:cs="Times New Roman"/>
        </w:rPr>
        <w:t xml:space="preserve">step </w:t>
      </w:r>
      <w:r w:rsidRPr="00BA7968">
        <w:rPr>
          <w:rFonts w:ascii="Times New Roman" w:hAnsi="Times New Roman" w:cs="Times New Roman"/>
        </w:rPr>
        <w:t xml:space="preserve">included an assessment whether the article matched the scope and purpose of this study. At this stage, </w:t>
      </w:r>
      <w:r>
        <w:rPr>
          <w:rFonts w:ascii="Times New Roman" w:hAnsi="Times New Roman" w:cs="Times New Roman"/>
        </w:rPr>
        <w:t>the author</w:t>
      </w:r>
      <w:r w:rsidRPr="00BA7968">
        <w:rPr>
          <w:rFonts w:ascii="Times New Roman" w:hAnsi="Times New Roman" w:cs="Times New Roman"/>
        </w:rPr>
        <w:t xml:space="preserve"> decided to solely focus on </w:t>
      </w:r>
      <w:r w:rsidRPr="00DE6D12">
        <w:rPr>
          <w:rFonts w:ascii="Times New Roman" w:hAnsi="Times New Roman" w:cs="Times New Roman"/>
        </w:rPr>
        <w:t>empirical work following</w:t>
      </w:r>
      <w:r w:rsidRPr="00F77066">
        <w:rPr>
          <w:rFonts w:ascii="Times New Roman" w:hAnsi="Times New Roman" w:cs="Times New Roman"/>
        </w:rPr>
        <w:t xml:space="preserve"> </w:t>
      </w:r>
      <w:r w:rsidRPr="006B1953">
        <w:rPr>
          <w:rFonts w:ascii="Times New Roman" w:hAnsi="Times New Roman" w:cs="Times New Roman"/>
        </w:rPr>
        <w:fldChar w:fldCharType="begin" w:fldLock="1"/>
      </w:r>
      <w:r w:rsidRPr="006B1953">
        <w:rPr>
          <w:rFonts w:ascii="Times New Roman" w:hAnsi="Times New Roman" w:cs="Times New Roman"/>
        </w:rPr>
        <w:instrText>ADDIN CSL_CITATION { "citationItems" : [ { "id" : "ITEM-1", "itemData" : { "DOI" : "10.1002/smj.573", "ISBN" : "1097-0266", "ISSN" : "00014273", "author" : [ { "dropping-particle" : "", "family" : "Newbert", "given" : "Scott L", "non-dropping-particle" : "", "parse-names" : false, "suffix" : "" } ], "container-title" : "Strategic Management Journal", "id" : "ITEM-1", "issued" : { "date-parts" : [ [ "2007" ] ] }, "page" : "121-146", "title" : "Empirical Research on the Resource-Based View of the Firm: An Assessment and Suggestion for Future Research", "type" : "article-journal", "volume" : "28" }, "uris" : [ "http://www.mendeley.com/documents/?uuid=5e9a796b-4ed7-49db-8b9c-fff534cb8c3a" ] } ], "mendeley" : { "formattedCitation" : "(Newbert, 2007)", "plainTextFormattedCitation" : "(Newbert, 2007)", "previouslyFormattedCitation" : "(Newbert, 2007)" }, "properties" : { "noteIndex" : 0 }, "schema" : "https://github.com/citation-style-language/schema/raw/master/csl-citation.json" }</w:instrText>
      </w:r>
      <w:r w:rsidRPr="006B1953">
        <w:rPr>
          <w:rFonts w:ascii="Times New Roman" w:hAnsi="Times New Roman" w:cs="Times New Roman"/>
        </w:rPr>
        <w:fldChar w:fldCharType="separate"/>
      </w:r>
      <w:r w:rsidRPr="006B1953">
        <w:rPr>
          <w:rFonts w:ascii="Times New Roman" w:hAnsi="Times New Roman" w:cs="Times New Roman"/>
          <w:noProof/>
        </w:rPr>
        <w:t>(Newbert, 2007)</w:t>
      </w:r>
      <w:r w:rsidRPr="006B1953">
        <w:rPr>
          <w:rFonts w:ascii="Times New Roman" w:hAnsi="Times New Roman" w:cs="Times New Roman"/>
        </w:rPr>
        <w:fldChar w:fldCharType="end"/>
      </w:r>
      <w:r w:rsidRPr="006B1953">
        <w:rPr>
          <w:rFonts w:ascii="Times New Roman" w:hAnsi="Times New Roman" w:cs="Times New Roman"/>
        </w:rPr>
        <w:t xml:space="preserve">. </w:t>
      </w:r>
      <w:r w:rsidRPr="006B1953">
        <w:rPr>
          <w:rFonts w:ascii="Times New Roman" w:hAnsi="Times New Roman" w:cs="Times New Roman"/>
          <w:color w:val="000000" w:themeColor="text1"/>
        </w:rPr>
        <w:t xml:space="preserve">The detailed inclusion and exclusion </w:t>
      </w:r>
      <w:r>
        <w:rPr>
          <w:rFonts w:ascii="Times New Roman" w:hAnsi="Times New Roman" w:cs="Times New Roman"/>
          <w:color w:val="000000" w:themeColor="text1"/>
        </w:rPr>
        <w:t xml:space="preserve">decision-making steps and </w:t>
      </w:r>
      <w:r w:rsidRPr="006B1953">
        <w:rPr>
          <w:rFonts w:ascii="Times New Roman" w:hAnsi="Times New Roman" w:cs="Times New Roman"/>
          <w:color w:val="000000" w:themeColor="text1"/>
        </w:rPr>
        <w:t>criteria are</w:t>
      </w:r>
      <w:r w:rsidRPr="00BA7968">
        <w:rPr>
          <w:rFonts w:ascii="Times New Roman" w:hAnsi="Times New Roman" w:cs="Times New Roman"/>
          <w:color w:val="000000" w:themeColor="text1"/>
        </w:rPr>
        <w:t xml:space="preserve"> </w:t>
      </w:r>
      <w:r>
        <w:rPr>
          <w:rFonts w:ascii="Times New Roman" w:hAnsi="Times New Roman" w:cs="Times New Roman"/>
          <w:color w:val="000000" w:themeColor="text1"/>
        </w:rPr>
        <w:t>described</w:t>
      </w:r>
      <w:r w:rsidR="00EF338F">
        <w:rPr>
          <w:rFonts w:ascii="Times New Roman" w:hAnsi="Times New Roman" w:cs="Times New Roman"/>
          <w:color w:val="000000" w:themeColor="text1"/>
        </w:rPr>
        <w:t xml:space="preserve"> in </w:t>
      </w:r>
      <w:r w:rsidR="00EF338F">
        <w:rPr>
          <w:rFonts w:ascii="Times New Roman" w:hAnsi="Times New Roman" w:cs="Times New Roman"/>
          <w:color w:val="000000" w:themeColor="text1"/>
        </w:rPr>
        <w:fldChar w:fldCharType="begin"/>
      </w:r>
      <w:r w:rsidR="00EF338F">
        <w:rPr>
          <w:rFonts w:ascii="Times New Roman" w:hAnsi="Times New Roman" w:cs="Times New Roman"/>
          <w:color w:val="000000" w:themeColor="text1"/>
        </w:rPr>
        <w:instrText xml:space="preserve"> REF _Ref357415108 \h </w:instrText>
      </w:r>
      <w:r w:rsidR="00EF338F">
        <w:rPr>
          <w:rFonts w:ascii="Times New Roman" w:hAnsi="Times New Roman" w:cs="Times New Roman"/>
          <w:color w:val="000000" w:themeColor="text1"/>
        </w:rPr>
      </w:r>
      <w:r w:rsidR="00EF338F">
        <w:rPr>
          <w:rFonts w:ascii="Times New Roman" w:hAnsi="Times New Roman" w:cs="Times New Roman"/>
          <w:color w:val="000000" w:themeColor="text1"/>
        </w:rPr>
        <w:fldChar w:fldCharType="separate"/>
      </w:r>
      <w:r w:rsidR="00C2793E">
        <w:t xml:space="preserve">Appendix </w:t>
      </w:r>
      <w:r w:rsidR="00C2793E">
        <w:rPr>
          <w:noProof/>
        </w:rPr>
        <w:t>1</w:t>
      </w:r>
      <w:r w:rsidR="00EF338F">
        <w:rPr>
          <w:rFonts w:ascii="Times New Roman" w:hAnsi="Times New Roman" w:cs="Times New Roman"/>
          <w:color w:val="000000" w:themeColor="text1"/>
        </w:rPr>
        <w:fldChar w:fldCharType="end"/>
      </w:r>
      <w:r w:rsidR="00EF338F">
        <w:rPr>
          <w:rFonts w:ascii="Times New Roman" w:hAnsi="Times New Roman" w:cs="Times New Roman"/>
          <w:color w:val="000000" w:themeColor="text1"/>
        </w:rPr>
        <w:t xml:space="preserve"> and </w:t>
      </w:r>
      <w:r w:rsidR="00EF338F">
        <w:rPr>
          <w:rFonts w:ascii="Times New Roman" w:hAnsi="Times New Roman" w:cs="Times New Roman"/>
          <w:color w:val="000000" w:themeColor="text1"/>
        </w:rPr>
        <w:fldChar w:fldCharType="begin"/>
      </w:r>
      <w:r w:rsidR="00EF338F">
        <w:rPr>
          <w:rFonts w:ascii="Times New Roman" w:hAnsi="Times New Roman" w:cs="Times New Roman"/>
          <w:color w:val="000000" w:themeColor="text1"/>
        </w:rPr>
        <w:instrText xml:space="preserve"> REF _Ref357415127 \h </w:instrText>
      </w:r>
      <w:r w:rsidR="00EF338F">
        <w:rPr>
          <w:rFonts w:ascii="Times New Roman" w:hAnsi="Times New Roman" w:cs="Times New Roman"/>
          <w:color w:val="000000" w:themeColor="text1"/>
        </w:rPr>
      </w:r>
      <w:r w:rsidR="00EF338F">
        <w:rPr>
          <w:rFonts w:ascii="Times New Roman" w:hAnsi="Times New Roman" w:cs="Times New Roman"/>
          <w:color w:val="000000" w:themeColor="text1"/>
        </w:rPr>
        <w:fldChar w:fldCharType="separate"/>
      </w:r>
      <w:r w:rsidR="00C2793E">
        <w:t xml:space="preserve">Appendix </w:t>
      </w:r>
      <w:r w:rsidR="00C2793E">
        <w:rPr>
          <w:noProof/>
        </w:rPr>
        <w:t>2</w:t>
      </w:r>
      <w:r w:rsidR="00EF338F">
        <w:rPr>
          <w:rFonts w:ascii="Times New Roman" w:hAnsi="Times New Roman" w:cs="Times New Roman"/>
          <w:color w:val="000000" w:themeColor="text1"/>
        </w:rPr>
        <w:fldChar w:fldCharType="end"/>
      </w:r>
      <w:r w:rsidRPr="00BA7968">
        <w:rPr>
          <w:rFonts w:ascii="Times New Roman" w:hAnsi="Times New Roman" w:cs="Times New Roman"/>
          <w:color w:val="000000" w:themeColor="text1"/>
        </w:rPr>
        <w:t xml:space="preserve">. </w:t>
      </w:r>
      <w:r w:rsidRPr="00BA7968">
        <w:rPr>
          <w:rFonts w:ascii="Times New Roman" w:hAnsi="Times New Roman" w:cs="Times New Roman"/>
        </w:rPr>
        <w:t xml:space="preserve">The analysis results and categorization decisions were </w:t>
      </w:r>
      <w:r>
        <w:rPr>
          <w:rFonts w:ascii="Times New Roman" w:hAnsi="Times New Roman" w:cs="Times New Roman"/>
        </w:rPr>
        <w:t>iteratively reviewed until common categories emerged</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"Miles", "given" : "Matthew B", "non-dropping-particle" : "", "parse-names" : false, "suffix" : "" }, { "dropping-particle" : "", "family" : "Huberman", "given" : "A. Michael", "non-dropping-particle" : "", "parse-names" : false, "suffix" : "" } ], "edition" : "2nd ed.", "id" : "ITEM-1", "issued" : { "date-parts" : [ [ "1994" ] ] }, "publisher" : "Sage Publications", "publisher-place" : "Thousand Oaks, CA", "title" : "Qualitative Data Analysis: An expanded sourcebook", "type" : "book" }, "uris" : [ "http://www.mendeley.com/documents/?uuid=9a331f92-bfaf-4703-9205-eba6d68a8253" ] } ], "mendeley" : { "formattedCitation" : "(Miles &amp; Huberman, 1994)", "plainTextFormattedCitation" : "(Miles &amp; Huberman, 1994)", "previouslyFormattedCitation" : "(Miles &amp; Huberman, 1994)"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(Miles &amp; Huberman, 1994)</w:t>
      </w:r>
      <w:r w:rsidRPr="00BA7968">
        <w:rPr>
          <w:rFonts w:ascii="Times New Roman" w:hAnsi="Times New Roman" w:cs="Times New Roman"/>
        </w:rPr>
        <w:fldChar w:fldCharType="end"/>
      </w:r>
      <w:r w:rsidRPr="00BA7968">
        <w:rPr>
          <w:rFonts w:ascii="Times New Roman" w:hAnsi="Times New Roman" w:cs="Times New Roman"/>
        </w:rPr>
        <w:t xml:space="preserve">. In this final screening, a number of articles were </w:t>
      </w:r>
      <w:r>
        <w:rPr>
          <w:rFonts w:ascii="Times New Roman" w:hAnsi="Times New Roman" w:cs="Times New Roman"/>
        </w:rPr>
        <w:t>identified</w:t>
      </w:r>
      <w:r w:rsidRPr="00BA7968">
        <w:rPr>
          <w:rFonts w:ascii="Times New Roman" w:hAnsi="Times New Roman" w:cs="Times New Roman"/>
        </w:rPr>
        <w:t xml:space="preserve"> as not fitting with the overall research purpose (only partial fit or peripheral coverage), lacking a solid theoretical </w:t>
      </w:r>
      <w:r w:rsidRPr="00BA7968">
        <w:rPr>
          <w:rFonts w:ascii="Times New Roman" w:hAnsi="Times New Roman" w:cs="Times New Roman"/>
        </w:rPr>
        <w:lastRenderedPageBreak/>
        <w:t xml:space="preserve">foundation, or showing methodological weaknesses. In addition, some articles were </w:t>
      </w:r>
      <w:r>
        <w:rPr>
          <w:rFonts w:ascii="Times New Roman" w:hAnsi="Times New Roman" w:cs="Times New Roman"/>
        </w:rPr>
        <w:t>considered</w:t>
      </w:r>
      <w:r w:rsidRPr="00BA7968">
        <w:rPr>
          <w:rFonts w:ascii="Times New Roman" w:hAnsi="Times New Roman" w:cs="Times New Roman"/>
        </w:rPr>
        <w:t xml:space="preserve"> </w:t>
      </w:r>
      <w:r>
        <w:rPr>
          <w:rFonts w:ascii="Times New Roman" w:hAnsi="Times New Roman" w:cs="Times New Roman"/>
        </w:rPr>
        <w:t>to be</w:t>
      </w:r>
      <w:r w:rsidRPr="00BA7968">
        <w:rPr>
          <w:rFonts w:ascii="Times New Roman" w:hAnsi="Times New Roman" w:cs="Times New Roman"/>
        </w:rPr>
        <w:t xml:space="preserve"> redundant </w:t>
      </w:r>
      <w:r>
        <w:rPr>
          <w:rFonts w:ascii="Times New Roman" w:hAnsi="Times New Roman" w:cs="Times New Roman"/>
        </w:rPr>
        <w:t>because</w:t>
      </w:r>
      <w:r w:rsidRPr="00BA7968">
        <w:rPr>
          <w:rFonts w:ascii="Times New Roman" w:hAnsi="Times New Roman" w:cs="Times New Roman"/>
        </w:rPr>
        <w:t xml:space="preserve"> other papers of the sample were more comprehensive. This final screening </w:t>
      </w:r>
      <w:r>
        <w:rPr>
          <w:rFonts w:ascii="Times New Roman" w:hAnsi="Times New Roman" w:cs="Times New Roman"/>
        </w:rPr>
        <w:t>step</w:t>
      </w:r>
      <w:r w:rsidRPr="00BA7968">
        <w:rPr>
          <w:rFonts w:ascii="Times New Roman" w:hAnsi="Times New Roman" w:cs="Times New Roman"/>
        </w:rPr>
        <w:t xml:space="preserve"> reduced the number of pape</w:t>
      </w:r>
      <w:r w:rsidR="00DE39FE">
        <w:rPr>
          <w:rFonts w:ascii="Times New Roman" w:hAnsi="Times New Roman" w:cs="Times New Roman"/>
        </w:rPr>
        <w:t>rs from 118 to 30 papers (</w:t>
      </w:r>
      <w:r w:rsidR="00DE39FE">
        <w:rPr>
          <w:rFonts w:ascii="Times New Roman" w:hAnsi="Times New Roman" w:cs="Times New Roman"/>
        </w:rPr>
        <w:fldChar w:fldCharType="begin"/>
      </w:r>
      <w:r w:rsidR="00DE39FE">
        <w:rPr>
          <w:rFonts w:ascii="Times New Roman" w:hAnsi="Times New Roman" w:cs="Times New Roman"/>
        </w:rPr>
        <w:instrText xml:space="preserve"> REF _Ref357387817 \h </w:instrText>
      </w:r>
      <w:r w:rsidR="00DE39FE">
        <w:rPr>
          <w:rFonts w:ascii="Times New Roman" w:hAnsi="Times New Roman" w:cs="Times New Roman"/>
        </w:rPr>
      </w:r>
      <w:r w:rsidR="00DE39FE">
        <w:rPr>
          <w:rFonts w:ascii="Times New Roman" w:hAnsi="Times New Roman" w:cs="Times New Roman"/>
        </w:rPr>
        <w:fldChar w:fldCharType="separate"/>
      </w:r>
      <w:r w:rsidR="00C2793E">
        <w:t xml:space="preserve">Table </w:t>
      </w:r>
      <w:r w:rsidR="00C2793E">
        <w:rPr>
          <w:noProof/>
        </w:rPr>
        <w:t>2</w:t>
      </w:r>
      <w:r w:rsidR="00DE39FE">
        <w:rPr>
          <w:rFonts w:ascii="Times New Roman" w:hAnsi="Times New Roman" w:cs="Times New Roman"/>
        </w:rPr>
        <w:fldChar w:fldCharType="end"/>
      </w:r>
      <w:r w:rsidRPr="00BA7968">
        <w:rPr>
          <w:rFonts w:ascii="Times New Roman" w:hAnsi="Times New Roman" w:cs="Times New Roman"/>
        </w:rPr>
        <w:t>).</w:t>
      </w:r>
    </w:p>
    <w:p w14:paraId="155F224D" w14:textId="77777777" w:rsidR="00C7731B" w:rsidRPr="00BA7968" w:rsidRDefault="00C7731B" w:rsidP="00C7731B">
      <w:pPr>
        <w:spacing w:line="360" w:lineRule="auto"/>
        <w:jc w:val="both"/>
        <w:rPr>
          <w:rFonts w:ascii="Times New Roman" w:hAnsi="Times New Roman" w:cs="Times New Roman"/>
        </w:rPr>
      </w:pPr>
    </w:p>
    <w:p w14:paraId="287EFBC1" w14:textId="7DA8DCF3" w:rsidR="00AC1509" w:rsidRDefault="00AC1509" w:rsidP="00AC1509">
      <w:pPr>
        <w:pStyle w:val="Caption"/>
        <w:keepNext/>
      </w:pPr>
      <w:bookmarkStart w:id="30" w:name="_Toc358326838"/>
      <w:bookmarkStart w:id="31" w:name="_Ref357387817"/>
      <w:r>
        <w:t xml:space="preserve">Table </w:t>
      </w:r>
      <w:fldSimple w:instr=" SEQ Table \* ARABIC ">
        <w:r w:rsidR="00C2793E">
          <w:rPr>
            <w:noProof/>
          </w:rPr>
          <w:t>2</w:t>
        </w:r>
        <w:bookmarkEnd w:id="30"/>
      </w:fldSimple>
      <w:bookmarkEnd w:id="31"/>
    </w:p>
    <w:p w14:paraId="7DB3950C" w14:textId="044070CE" w:rsidR="00C7731B" w:rsidRPr="00970289" w:rsidRDefault="00C7731B" w:rsidP="009A7194">
      <w:pPr>
        <w:rPr>
          <w:rFonts w:ascii="Times New Roman" w:hAnsi="Times New Roman" w:cs="Times New Roman"/>
          <w:b/>
        </w:rPr>
      </w:pPr>
      <w:r w:rsidRPr="00970289">
        <w:rPr>
          <w:rFonts w:ascii="Times New Roman" w:hAnsi="Times New Roman" w:cs="Times New Roman"/>
          <w:b/>
        </w:rPr>
        <w:t xml:space="preserve">Article Screening  </w:t>
      </w:r>
    </w:p>
    <w:tbl>
      <w:tblPr>
        <w:tblStyle w:val="TableGrid"/>
        <w:tblW w:w="0" w:type="auto"/>
        <w:tblLook w:val="04A0" w:firstRow="1" w:lastRow="0" w:firstColumn="1" w:lastColumn="0" w:noHBand="0" w:noVBand="1"/>
      </w:tblPr>
      <w:tblGrid>
        <w:gridCol w:w="1915"/>
        <w:gridCol w:w="1915"/>
        <w:gridCol w:w="1915"/>
        <w:gridCol w:w="1915"/>
        <w:gridCol w:w="1916"/>
      </w:tblGrid>
      <w:tr w:rsidR="00C7731B" w14:paraId="5E1F3C8C" w14:textId="77777777" w:rsidTr="00FF7DB0">
        <w:tc>
          <w:tcPr>
            <w:tcW w:w="1915" w:type="dxa"/>
          </w:tcPr>
          <w:p w14:paraId="6D69EC96" w14:textId="77777777" w:rsidR="00C7731B" w:rsidRPr="00806E44" w:rsidRDefault="00C7731B" w:rsidP="00FF7DB0">
            <w:pPr>
              <w:jc w:val="right"/>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Step</w:t>
            </w:r>
          </w:p>
        </w:tc>
        <w:tc>
          <w:tcPr>
            <w:tcW w:w="1915" w:type="dxa"/>
          </w:tcPr>
          <w:p w14:paraId="13A620D2"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1</w:t>
            </w:r>
          </w:p>
        </w:tc>
        <w:tc>
          <w:tcPr>
            <w:tcW w:w="1915" w:type="dxa"/>
          </w:tcPr>
          <w:p w14:paraId="6745C22C"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2</w:t>
            </w:r>
          </w:p>
        </w:tc>
        <w:tc>
          <w:tcPr>
            <w:tcW w:w="1915" w:type="dxa"/>
          </w:tcPr>
          <w:p w14:paraId="7A37006D"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3</w:t>
            </w:r>
          </w:p>
        </w:tc>
        <w:tc>
          <w:tcPr>
            <w:tcW w:w="1916" w:type="dxa"/>
          </w:tcPr>
          <w:p w14:paraId="2B184BC3"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4</w:t>
            </w:r>
          </w:p>
        </w:tc>
      </w:tr>
      <w:tr w:rsidR="00C7731B" w14:paraId="551BC6A0" w14:textId="77777777" w:rsidTr="00FF7DB0">
        <w:tc>
          <w:tcPr>
            <w:tcW w:w="1915" w:type="dxa"/>
          </w:tcPr>
          <w:p w14:paraId="6F62B65A" w14:textId="77777777" w:rsidR="00C7731B" w:rsidRPr="00806E44" w:rsidRDefault="00C7731B" w:rsidP="00FF7DB0">
            <w:pPr>
              <w:jc w:val="right"/>
              <w:rPr>
                <w:rFonts w:ascii="Times New Roman" w:eastAsiaTheme="majorEastAsia" w:hAnsi="Times New Roman" w:cs="Times New Roman"/>
                <w:b/>
                <w:bCs/>
                <w:color w:val="4F81BD" w:themeColor="accent1"/>
                <w:sz w:val="22"/>
              </w:rPr>
            </w:pPr>
            <w:r w:rsidRPr="00806E44">
              <w:rPr>
                <w:rFonts w:ascii="Times New Roman" w:hAnsi="Times New Roman" w:cs="Times New Roman"/>
                <w:b/>
                <w:sz w:val="22"/>
              </w:rPr>
              <w:t>Activity</w:t>
            </w:r>
          </w:p>
        </w:tc>
        <w:tc>
          <w:tcPr>
            <w:tcW w:w="1915" w:type="dxa"/>
          </w:tcPr>
          <w:p w14:paraId="38FA7F53"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Duplicate Removal</w:t>
            </w:r>
          </w:p>
        </w:tc>
        <w:tc>
          <w:tcPr>
            <w:tcW w:w="1915" w:type="dxa"/>
          </w:tcPr>
          <w:p w14:paraId="7CF36AE4"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Title and Key Word Screening</w:t>
            </w:r>
          </w:p>
        </w:tc>
        <w:tc>
          <w:tcPr>
            <w:tcW w:w="1915" w:type="dxa"/>
          </w:tcPr>
          <w:p w14:paraId="2158A192"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Abstract Screening</w:t>
            </w:r>
          </w:p>
        </w:tc>
        <w:tc>
          <w:tcPr>
            <w:tcW w:w="1916" w:type="dxa"/>
          </w:tcPr>
          <w:p w14:paraId="603B1183"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Analysis of Full Articles</w:t>
            </w:r>
          </w:p>
        </w:tc>
      </w:tr>
      <w:tr w:rsidR="00C7731B" w14:paraId="602878A4" w14:textId="77777777" w:rsidTr="00FF7DB0">
        <w:tc>
          <w:tcPr>
            <w:tcW w:w="1915" w:type="dxa"/>
          </w:tcPr>
          <w:p w14:paraId="259FC184" w14:textId="77777777" w:rsidR="00C7731B" w:rsidRPr="00806E44" w:rsidRDefault="00C7731B" w:rsidP="00FF7DB0">
            <w:pPr>
              <w:rPr>
                <w:rFonts w:ascii="Times New Roman" w:eastAsiaTheme="majorEastAsia" w:hAnsi="Times New Roman" w:cs="Times New Roman"/>
                <w:b/>
                <w:bCs/>
                <w:color w:val="4F81BD" w:themeColor="accent1"/>
                <w:sz w:val="22"/>
              </w:rPr>
            </w:pPr>
            <w:r w:rsidRPr="00806E44">
              <w:rPr>
                <w:rFonts w:ascii="Times New Roman" w:hAnsi="Times New Roman" w:cs="Times New Roman"/>
                <w:b/>
                <w:sz w:val="22"/>
              </w:rPr>
              <w:t>EBSCO</w:t>
            </w:r>
          </w:p>
          <w:p w14:paraId="7CCFB32D" w14:textId="77777777" w:rsidR="00C7731B" w:rsidRPr="00806E44" w:rsidRDefault="00C7731B" w:rsidP="00FF7DB0">
            <w:pPr>
              <w:rPr>
                <w:rFonts w:ascii="Times New Roman" w:hAnsi="Times New Roman" w:cs="Times New Roman"/>
                <w:b/>
                <w:sz w:val="22"/>
              </w:rPr>
            </w:pPr>
          </w:p>
        </w:tc>
        <w:tc>
          <w:tcPr>
            <w:tcW w:w="1915" w:type="dxa"/>
          </w:tcPr>
          <w:p w14:paraId="4719B777"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425</w:t>
            </w:r>
          </w:p>
        </w:tc>
        <w:tc>
          <w:tcPr>
            <w:tcW w:w="1915" w:type="dxa"/>
          </w:tcPr>
          <w:p w14:paraId="40A01C48"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169</w:t>
            </w:r>
          </w:p>
        </w:tc>
        <w:tc>
          <w:tcPr>
            <w:tcW w:w="1915" w:type="dxa"/>
          </w:tcPr>
          <w:p w14:paraId="5969DE01"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72</w:t>
            </w:r>
          </w:p>
        </w:tc>
        <w:tc>
          <w:tcPr>
            <w:tcW w:w="1916" w:type="dxa"/>
          </w:tcPr>
          <w:p w14:paraId="4D76C320"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19</w:t>
            </w:r>
          </w:p>
        </w:tc>
      </w:tr>
      <w:tr w:rsidR="00C7731B" w14:paraId="1557F94C" w14:textId="77777777" w:rsidTr="00FF7DB0">
        <w:tc>
          <w:tcPr>
            <w:tcW w:w="1915" w:type="dxa"/>
          </w:tcPr>
          <w:p w14:paraId="0BA91980" w14:textId="77777777" w:rsidR="00C7731B" w:rsidRPr="00806E44" w:rsidRDefault="00C7731B" w:rsidP="00FF7DB0">
            <w:pPr>
              <w:rPr>
                <w:rFonts w:ascii="Times New Roman" w:eastAsiaTheme="majorEastAsia" w:hAnsi="Times New Roman" w:cs="Times New Roman"/>
                <w:b/>
                <w:bCs/>
                <w:color w:val="4F81BD" w:themeColor="accent1"/>
                <w:sz w:val="22"/>
              </w:rPr>
            </w:pPr>
            <w:r w:rsidRPr="00806E44">
              <w:rPr>
                <w:rFonts w:ascii="Times New Roman" w:hAnsi="Times New Roman" w:cs="Times New Roman"/>
                <w:b/>
                <w:sz w:val="22"/>
              </w:rPr>
              <w:t>SD</w:t>
            </w:r>
          </w:p>
          <w:p w14:paraId="714408E2" w14:textId="77777777" w:rsidR="00C7731B" w:rsidRPr="00806E44" w:rsidRDefault="00C7731B" w:rsidP="00FF7DB0">
            <w:pPr>
              <w:rPr>
                <w:rFonts w:ascii="Times New Roman" w:hAnsi="Times New Roman" w:cs="Times New Roman"/>
                <w:b/>
                <w:sz w:val="22"/>
              </w:rPr>
            </w:pPr>
          </w:p>
        </w:tc>
        <w:tc>
          <w:tcPr>
            <w:tcW w:w="1915" w:type="dxa"/>
          </w:tcPr>
          <w:p w14:paraId="5A15A795"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73</w:t>
            </w:r>
          </w:p>
        </w:tc>
        <w:tc>
          <w:tcPr>
            <w:tcW w:w="1915" w:type="dxa"/>
          </w:tcPr>
          <w:p w14:paraId="0BCAE51C"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46</w:t>
            </w:r>
          </w:p>
        </w:tc>
        <w:tc>
          <w:tcPr>
            <w:tcW w:w="1915" w:type="dxa"/>
          </w:tcPr>
          <w:p w14:paraId="01C41ED2"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31</w:t>
            </w:r>
          </w:p>
        </w:tc>
        <w:tc>
          <w:tcPr>
            <w:tcW w:w="1916" w:type="dxa"/>
          </w:tcPr>
          <w:p w14:paraId="5BDF01E1"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7</w:t>
            </w:r>
          </w:p>
        </w:tc>
      </w:tr>
      <w:tr w:rsidR="00C7731B" w14:paraId="490B4A56" w14:textId="77777777" w:rsidTr="00FF7DB0">
        <w:tc>
          <w:tcPr>
            <w:tcW w:w="1915" w:type="dxa"/>
          </w:tcPr>
          <w:p w14:paraId="6B0399F2" w14:textId="77777777" w:rsidR="00C7731B" w:rsidRPr="00806E44" w:rsidRDefault="00C7731B" w:rsidP="00FF7DB0">
            <w:pPr>
              <w:rPr>
                <w:rFonts w:ascii="Times New Roman" w:eastAsiaTheme="majorEastAsia" w:hAnsi="Times New Roman" w:cs="Times New Roman"/>
                <w:b/>
                <w:bCs/>
                <w:color w:val="4F81BD" w:themeColor="accent1"/>
                <w:sz w:val="22"/>
              </w:rPr>
            </w:pPr>
            <w:r w:rsidRPr="00806E44">
              <w:rPr>
                <w:rFonts w:ascii="Times New Roman" w:hAnsi="Times New Roman" w:cs="Times New Roman"/>
                <w:b/>
                <w:sz w:val="22"/>
              </w:rPr>
              <w:t xml:space="preserve">GS </w:t>
            </w:r>
            <w:r w:rsidRPr="00806E44">
              <w:rPr>
                <w:rFonts w:ascii="Times New Roman" w:hAnsi="Times New Roman" w:cs="Times New Roman"/>
                <w:b/>
                <w:sz w:val="22"/>
                <w:vertAlign w:val="superscript"/>
              </w:rPr>
              <w:t>(*)</w:t>
            </w:r>
          </w:p>
          <w:p w14:paraId="0435C1BE" w14:textId="77777777" w:rsidR="00C7731B" w:rsidRPr="00806E44" w:rsidRDefault="00C7731B" w:rsidP="00FF7DB0">
            <w:pPr>
              <w:rPr>
                <w:rFonts w:ascii="Times New Roman" w:hAnsi="Times New Roman" w:cs="Times New Roman"/>
                <w:b/>
                <w:sz w:val="22"/>
              </w:rPr>
            </w:pPr>
          </w:p>
        </w:tc>
        <w:tc>
          <w:tcPr>
            <w:tcW w:w="1915" w:type="dxa"/>
          </w:tcPr>
          <w:p w14:paraId="1D564DFF"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40</w:t>
            </w:r>
          </w:p>
        </w:tc>
        <w:tc>
          <w:tcPr>
            <w:tcW w:w="1915" w:type="dxa"/>
          </w:tcPr>
          <w:p w14:paraId="12FAFD6A"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27</w:t>
            </w:r>
          </w:p>
        </w:tc>
        <w:tc>
          <w:tcPr>
            <w:tcW w:w="1915" w:type="dxa"/>
          </w:tcPr>
          <w:p w14:paraId="41D893D0"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15</w:t>
            </w:r>
          </w:p>
        </w:tc>
        <w:tc>
          <w:tcPr>
            <w:tcW w:w="1916" w:type="dxa"/>
          </w:tcPr>
          <w:p w14:paraId="2CAB7745"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sz w:val="22"/>
              </w:rPr>
              <w:t>4</w:t>
            </w:r>
          </w:p>
        </w:tc>
      </w:tr>
      <w:tr w:rsidR="00C7731B" w14:paraId="20D4CCDB" w14:textId="77777777" w:rsidTr="00FF7DB0">
        <w:tc>
          <w:tcPr>
            <w:tcW w:w="1915" w:type="dxa"/>
          </w:tcPr>
          <w:p w14:paraId="512FAEE4" w14:textId="77777777" w:rsidR="00C7731B" w:rsidRPr="00806E44" w:rsidRDefault="00C7731B" w:rsidP="00FF7DB0">
            <w:pPr>
              <w:rPr>
                <w:rFonts w:ascii="Times New Roman" w:eastAsiaTheme="majorEastAsia" w:hAnsi="Times New Roman" w:cs="Times New Roman"/>
                <w:b/>
                <w:bCs/>
                <w:color w:val="4F81BD" w:themeColor="accent1"/>
                <w:sz w:val="22"/>
              </w:rPr>
            </w:pPr>
            <w:r w:rsidRPr="00806E44">
              <w:rPr>
                <w:rFonts w:ascii="Times New Roman" w:hAnsi="Times New Roman" w:cs="Times New Roman"/>
                <w:b/>
                <w:sz w:val="22"/>
              </w:rPr>
              <w:t>Article Count</w:t>
            </w:r>
          </w:p>
        </w:tc>
        <w:tc>
          <w:tcPr>
            <w:tcW w:w="1915" w:type="dxa"/>
          </w:tcPr>
          <w:p w14:paraId="2D553F04"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b/>
                <w:sz w:val="22"/>
              </w:rPr>
              <w:t>538</w:t>
            </w:r>
          </w:p>
        </w:tc>
        <w:tc>
          <w:tcPr>
            <w:tcW w:w="1915" w:type="dxa"/>
          </w:tcPr>
          <w:p w14:paraId="3A5F3C4B"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b/>
                <w:sz w:val="22"/>
              </w:rPr>
              <w:t>242</w:t>
            </w:r>
          </w:p>
        </w:tc>
        <w:tc>
          <w:tcPr>
            <w:tcW w:w="1915" w:type="dxa"/>
          </w:tcPr>
          <w:p w14:paraId="7298D9CB"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b/>
                <w:sz w:val="22"/>
              </w:rPr>
              <w:t>118</w:t>
            </w:r>
          </w:p>
        </w:tc>
        <w:tc>
          <w:tcPr>
            <w:tcW w:w="1916" w:type="dxa"/>
          </w:tcPr>
          <w:p w14:paraId="6CE824B3" w14:textId="77777777" w:rsidR="00C7731B" w:rsidRPr="00806E44" w:rsidRDefault="00C7731B" w:rsidP="00FF7DB0">
            <w:pPr>
              <w:jc w:val="center"/>
              <w:rPr>
                <w:rFonts w:ascii="Times New Roman" w:eastAsiaTheme="majorEastAsia" w:hAnsi="Times New Roman" w:cs="Times New Roman"/>
                <w:b/>
                <w:bCs/>
                <w:color w:val="4F81BD" w:themeColor="accent1"/>
                <w:sz w:val="22"/>
              </w:rPr>
            </w:pPr>
            <w:r w:rsidRPr="00806E44">
              <w:rPr>
                <w:rFonts w:ascii="Times New Roman" w:hAnsi="Times New Roman" w:cs="Times New Roman"/>
                <w:b/>
                <w:sz w:val="22"/>
              </w:rPr>
              <w:t>30</w:t>
            </w:r>
          </w:p>
        </w:tc>
      </w:tr>
    </w:tbl>
    <w:p w14:paraId="1EC3C1B5" w14:textId="77777777" w:rsidR="00C7731B" w:rsidRPr="00BA7968" w:rsidRDefault="00C7731B" w:rsidP="00C7731B">
      <w:pPr>
        <w:spacing w:line="360" w:lineRule="auto"/>
        <w:jc w:val="both"/>
        <w:rPr>
          <w:rFonts w:ascii="Times New Roman" w:hAnsi="Times New Roman" w:cs="Times New Roman"/>
          <w:i/>
          <w:sz w:val="14"/>
          <w:szCs w:val="14"/>
        </w:rPr>
      </w:pPr>
      <w:r w:rsidRPr="00BA7968">
        <w:rPr>
          <w:rFonts w:ascii="Times New Roman" w:hAnsi="Times New Roman" w:cs="Times New Roman"/>
          <w:i/>
          <w:sz w:val="14"/>
          <w:szCs w:val="14"/>
          <w:vertAlign w:val="superscript"/>
        </w:rPr>
        <w:t xml:space="preserve"> (*) </w:t>
      </w:r>
      <w:r w:rsidRPr="00BA7968">
        <w:rPr>
          <w:rFonts w:ascii="Times New Roman" w:hAnsi="Times New Roman" w:cs="Times New Roman"/>
          <w:i/>
          <w:sz w:val="14"/>
          <w:szCs w:val="14"/>
        </w:rPr>
        <w:t xml:space="preserve">The Google Scholar list was limited to the first 100 hits </w:t>
      </w:r>
    </w:p>
    <w:p w14:paraId="56EAEF8E" w14:textId="77777777" w:rsidR="00C7731B" w:rsidRDefault="00C7731B" w:rsidP="00C7731B">
      <w:pPr>
        <w:spacing w:line="360" w:lineRule="auto"/>
        <w:jc w:val="both"/>
        <w:rPr>
          <w:rFonts w:ascii="Times New Roman" w:hAnsi="Times New Roman" w:cs="Times New Roman"/>
          <w:b/>
        </w:rPr>
      </w:pPr>
    </w:p>
    <w:p w14:paraId="0DF4FA46" w14:textId="77777777" w:rsidR="00C7731B" w:rsidRDefault="00C7731B" w:rsidP="00C7731B">
      <w:pPr>
        <w:spacing w:line="360" w:lineRule="auto"/>
        <w:jc w:val="both"/>
        <w:rPr>
          <w:rFonts w:ascii="Times New Roman" w:hAnsi="Times New Roman" w:cs="Times New Roman"/>
          <w:b/>
        </w:rPr>
      </w:pPr>
    </w:p>
    <w:p w14:paraId="0A320130" w14:textId="38C04248" w:rsidR="00C7731B" w:rsidRPr="003571AC" w:rsidRDefault="004440E0" w:rsidP="00E71364">
      <w:pPr>
        <w:pStyle w:val="Heading2"/>
      </w:pPr>
      <w:bookmarkStart w:id="32" w:name="_Toc357382412"/>
      <w:bookmarkStart w:id="33" w:name="_Toc357383258"/>
      <w:bookmarkStart w:id="34" w:name="_Toc358326729"/>
      <w:r>
        <w:t>Stage Four</w:t>
      </w:r>
      <w:r w:rsidR="00C7731B" w:rsidRPr="005E4425">
        <w:t xml:space="preserve"> </w:t>
      </w:r>
      <w:r w:rsidR="00C7731B" w:rsidRPr="003571AC">
        <w:t>– A</w:t>
      </w:r>
      <w:r>
        <w:t>rticle Analysis and Conceptual Development</w:t>
      </w:r>
      <w:bookmarkEnd w:id="32"/>
      <w:bookmarkEnd w:id="33"/>
      <w:bookmarkEnd w:id="34"/>
    </w:p>
    <w:p w14:paraId="3B6432EE" w14:textId="7E186EDB" w:rsidR="00C7731B" w:rsidRPr="00BA7968" w:rsidRDefault="00C7731B" w:rsidP="00C7731B">
      <w:pPr>
        <w:spacing w:line="360" w:lineRule="auto"/>
        <w:jc w:val="both"/>
        <w:rPr>
          <w:rFonts w:ascii="Times New Roman" w:hAnsi="Times New Roman" w:cs="Times New Roman"/>
        </w:rPr>
      </w:pPr>
      <w:r>
        <w:rPr>
          <w:rFonts w:ascii="Times New Roman" w:hAnsi="Times New Roman" w:cs="Times New Roman"/>
        </w:rPr>
        <w:t>The final two stages are the main stages in the systematic literature review and therefore both are included in separate sections. This section will entail the main conceptual development of the innovation sourcing framework. Based on the literature review,</w:t>
      </w:r>
      <w:r w:rsidRPr="00BA7968">
        <w:rPr>
          <w:rFonts w:ascii="Times New Roman" w:hAnsi="Times New Roman" w:cs="Times New Roman"/>
        </w:rPr>
        <w:t xml:space="preserve"> innovation sourcing is a multidimensional</w:t>
      </w:r>
      <w:r>
        <w:rPr>
          <w:rFonts w:ascii="Times New Roman" w:hAnsi="Times New Roman" w:cs="Times New Roman"/>
        </w:rPr>
        <w:t>, formative</w:t>
      </w:r>
      <w:r w:rsidRPr="00BA7968">
        <w:rPr>
          <w:rFonts w:ascii="Times New Roman" w:hAnsi="Times New Roman" w:cs="Times New Roman"/>
        </w:rPr>
        <w:t xml:space="preserve"> construct</w:t>
      </w:r>
      <w:r>
        <w:rPr>
          <w:rFonts w:ascii="Times New Roman" w:hAnsi="Times New Roman" w:cs="Times New Roman"/>
        </w:rPr>
        <w:t>. It is</w:t>
      </w:r>
      <w:r w:rsidRPr="00BA7968">
        <w:rPr>
          <w:rFonts w:ascii="Times New Roman" w:hAnsi="Times New Roman" w:cs="Times New Roman"/>
        </w:rPr>
        <w:t xml:space="preserve"> </w:t>
      </w:r>
      <w:r>
        <w:rPr>
          <w:rFonts w:ascii="Times New Roman" w:hAnsi="Times New Roman" w:cs="Times New Roman"/>
        </w:rPr>
        <w:t>primarily formed by</w:t>
      </w:r>
      <w:r w:rsidRPr="00BA7968">
        <w:rPr>
          <w:rFonts w:ascii="Times New Roman" w:hAnsi="Times New Roman" w:cs="Times New Roman"/>
        </w:rPr>
        <w:t xml:space="preserve"> external knowledge integration, internal knowledge integration, and innovation </w:t>
      </w:r>
      <w:r>
        <w:rPr>
          <w:rFonts w:ascii="Times New Roman" w:hAnsi="Times New Roman" w:cs="Times New Roman"/>
        </w:rPr>
        <w:t>orientation</w:t>
      </w:r>
      <w:r w:rsidRPr="00BA7968">
        <w:rPr>
          <w:rFonts w:ascii="Times New Roman" w:hAnsi="Times New Roman" w:cs="Times New Roman"/>
        </w:rPr>
        <w:t xml:space="preserve"> (</w:t>
      </w:r>
      <w:r w:rsidR="0002219A">
        <w:rPr>
          <w:rFonts w:ascii="Times New Roman" w:hAnsi="Times New Roman" w:cs="Times New Roman"/>
        </w:rPr>
        <w:fldChar w:fldCharType="begin"/>
      </w:r>
      <w:r w:rsidR="0002219A">
        <w:rPr>
          <w:rFonts w:ascii="Times New Roman" w:hAnsi="Times New Roman" w:cs="Times New Roman"/>
        </w:rPr>
        <w:instrText xml:space="preserve"> REF _Ref357388211 \h </w:instrText>
      </w:r>
      <w:r w:rsidR="0002219A">
        <w:rPr>
          <w:rFonts w:ascii="Times New Roman" w:hAnsi="Times New Roman" w:cs="Times New Roman"/>
        </w:rPr>
      </w:r>
      <w:r w:rsidR="0002219A">
        <w:rPr>
          <w:rFonts w:ascii="Times New Roman" w:hAnsi="Times New Roman" w:cs="Times New Roman"/>
        </w:rPr>
        <w:fldChar w:fldCharType="separate"/>
      </w:r>
      <w:r w:rsidR="00C2793E">
        <w:t xml:space="preserve">Figure </w:t>
      </w:r>
      <w:r w:rsidR="00C2793E">
        <w:rPr>
          <w:noProof/>
        </w:rPr>
        <w:t>1</w:t>
      </w:r>
      <w:r w:rsidR="0002219A">
        <w:rPr>
          <w:rFonts w:ascii="Times New Roman" w:hAnsi="Times New Roman" w:cs="Times New Roman"/>
        </w:rPr>
        <w:fldChar w:fldCharType="end"/>
      </w:r>
      <w:r w:rsidRPr="00BA7968">
        <w:rPr>
          <w:rFonts w:ascii="Times New Roman" w:hAnsi="Times New Roman" w:cs="Times New Roman"/>
        </w:rPr>
        <w:t xml:space="preserve">).   </w:t>
      </w:r>
    </w:p>
    <w:p w14:paraId="0E02998C" w14:textId="77777777" w:rsidR="00C7731B" w:rsidRPr="00BA7968" w:rsidRDefault="00C7731B" w:rsidP="00C7731B">
      <w:pPr>
        <w:spacing w:line="360" w:lineRule="auto"/>
        <w:rPr>
          <w:rFonts w:ascii="Times New Roman" w:hAnsi="Times New Roman" w:cs="Times New Roman"/>
          <w:b/>
        </w:rPr>
      </w:pPr>
    </w:p>
    <w:p w14:paraId="14C95579" w14:textId="77777777" w:rsidR="00C7731B" w:rsidRPr="00BA7968" w:rsidRDefault="00C7731B" w:rsidP="00C7731B">
      <w:pPr>
        <w:spacing w:line="360" w:lineRule="auto"/>
        <w:rPr>
          <w:rFonts w:ascii="Times New Roman" w:hAnsi="Times New Roman" w:cs="Times New Roman"/>
        </w:rPr>
      </w:pPr>
      <w:r w:rsidRPr="00FD2047">
        <w:lastRenderedPageBreak/>
        <w:t xml:space="preserve"> </w:t>
      </w:r>
      <w:r w:rsidRPr="006B1953">
        <w:rPr>
          <w:rFonts w:ascii="Times New Roman" w:hAnsi="Times New Roman" w:cs="Times New Roman"/>
          <w:noProof/>
        </w:rPr>
        <w:drawing>
          <wp:inline distT="0" distB="0" distL="0" distR="0" wp14:anchorId="5FBDB11C" wp14:editId="0B406C92">
            <wp:extent cx="4648200" cy="3208413"/>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8722" cy="3208774"/>
                    </a:xfrm>
                    <a:prstGeom prst="rect">
                      <a:avLst/>
                    </a:prstGeom>
                    <a:noFill/>
                    <a:ln>
                      <a:noFill/>
                    </a:ln>
                  </pic:spPr>
                </pic:pic>
              </a:graphicData>
            </a:graphic>
          </wp:inline>
        </w:drawing>
      </w:r>
    </w:p>
    <w:p w14:paraId="0AE0AC9F" w14:textId="10290B5E" w:rsidR="00C7731B" w:rsidRPr="00456D95" w:rsidRDefault="00456D95" w:rsidP="00456D95">
      <w:pPr>
        <w:pStyle w:val="Caption"/>
        <w:keepNext/>
      </w:pPr>
      <w:bookmarkStart w:id="35" w:name="_Ref357388211"/>
      <w:bookmarkStart w:id="36" w:name="_Toc358326875"/>
      <w:r>
        <w:t xml:space="preserve">Figure </w:t>
      </w:r>
      <w:fldSimple w:instr=" SEQ Figure \* ARABIC ">
        <w:r w:rsidR="00C2793E">
          <w:rPr>
            <w:noProof/>
          </w:rPr>
          <w:t>1</w:t>
        </w:r>
      </w:fldSimple>
      <w:bookmarkEnd w:id="35"/>
      <w:r>
        <w:t xml:space="preserve"> - </w:t>
      </w:r>
      <w:r w:rsidR="00C50DE7">
        <w:rPr>
          <w:rFonts w:cs="Times New Roman"/>
        </w:rPr>
        <w:t>Conceptual F</w:t>
      </w:r>
      <w:r w:rsidR="00C7731B" w:rsidRPr="00F77066">
        <w:rPr>
          <w:rFonts w:cs="Times New Roman"/>
        </w:rPr>
        <w:t>ram</w:t>
      </w:r>
      <w:r w:rsidR="00C7731B" w:rsidRPr="006B1953">
        <w:rPr>
          <w:rFonts w:cs="Times New Roman"/>
        </w:rPr>
        <w:t>ework</w:t>
      </w:r>
      <w:bookmarkEnd w:id="36"/>
      <w:r w:rsidR="00C7731B" w:rsidRPr="006B1953">
        <w:rPr>
          <w:rFonts w:cs="Times New Roman"/>
        </w:rPr>
        <w:t xml:space="preserve"> </w:t>
      </w:r>
    </w:p>
    <w:p w14:paraId="684B02F0" w14:textId="77777777" w:rsidR="00C7731B" w:rsidRPr="00BA7968" w:rsidRDefault="00C7731B" w:rsidP="00C7731B">
      <w:pPr>
        <w:spacing w:line="360" w:lineRule="auto"/>
        <w:rPr>
          <w:rFonts w:ascii="Times New Roman" w:hAnsi="Times New Roman" w:cs="Times New Roman"/>
          <w:b/>
        </w:rPr>
      </w:pPr>
    </w:p>
    <w:p w14:paraId="20BC8D5A" w14:textId="389AB5F3" w:rsidR="00C7731B" w:rsidRPr="00D10448" w:rsidRDefault="00C7731B" w:rsidP="005C6E67">
      <w:pPr>
        <w:pStyle w:val="Heading3new"/>
      </w:pPr>
      <w:r w:rsidRPr="00D10448">
        <w:t>External Knowledge Integration</w:t>
      </w:r>
    </w:p>
    <w:p w14:paraId="7C877934"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External knowledge integration practices are a key dimension of innovation sourcing.  External integration </w:t>
      </w:r>
      <w:r>
        <w:rPr>
          <w:rFonts w:ascii="Times New Roman" w:hAnsi="Times New Roman" w:cs="Times New Roman"/>
        </w:rPr>
        <w:t>is defined broadly as</w:t>
      </w:r>
      <w:r w:rsidRPr="00BA7968">
        <w:rPr>
          <w:rFonts w:ascii="Times New Roman" w:hAnsi="Times New Roman" w:cs="Times New Roman"/>
        </w:rPr>
        <w:t xml:space="preserve"> </w:t>
      </w:r>
      <w:r>
        <w:rPr>
          <w:rFonts w:ascii="Times New Roman" w:hAnsi="Times New Roman" w:cs="Times New Roman"/>
        </w:rPr>
        <w:t>a focal firm’s</w:t>
      </w:r>
      <w:r w:rsidRPr="00BA7968">
        <w:rPr>
          <w:rFonts w:ascii="Times New Roman" w:hAnsi="Times New Roman" w:cs="Times New Roman"/>
        </w:rPr>
        <w:t xml:space="preserve"> cooperation with external partners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"10.1016/j.jom.2011.09.001", "ISSN" : "0272-6963", "author" : [ { "dropping-particle" : "", "family" : "Schoenherr", "given" : "Tobias", "non-dropping-particle" : "", "parse-names" : false, "suffix" : "" }, { "dropping-particle" : "", "family" : "Swink", "given" : "Morgan", "non-dropping-particle" : "", "parse-names" : false, "suffix" : "" } ], "container-title" : "Journal of Operations Management", "id" : "ITEM-1", "issue" : "1-2", "issued" : { "date-parts" : [ [ "2012" ] ] }, "page" : "99-115", "title" : "Revisiting the arcs of integration: Cross-validations and extensions", "type" : "article-journal", "volume" : "30" }, "uris" : [ "http://www.mendeley.com/documents/?uuid=e4a9e7e5-c4a2-4ba2-b0db-b3423960a377" ] } ], "mendeley" : { "formattedCitation" : "(Schoenherr &amp; Swink, 2012)", "plainTextFormattedCitation" : "(Schoenherr &amp; Swink, 2012)", "previouslyFormattedCitation" : "(Schoenherr &amp; Swink,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(Schoenherr &amp; Swink, 2012)</w:t>
      </w:r>
      <w:r w:rsidRPr="00BA7968">
        <w:rPr>
          <w:rFonts w:ascii="Times New Roman" w:hAnsi="Times New Roman" w:cs="Times New Roman"/>
        </w:rPr>
        <w:fldChar w:fldCharType="end"/>
      </w:r>
      <w:r w:rsidRPr="00BA7968">
        <w:rPr>
          <w:rFonts w:ascii="Times New Roman" w:hAnsi="Times New Roman" w:cs="Times New Roman"/>
        </w:rPr>
        <w:t xml:space="preserve">. In contrast, external knowledge integration </w:t>
      </w:r>
      <w:r>
        <w:rPr>
          <w:rFonts w:ascii="Times New Roman" w:hAnsi="Times New Roman" w:cs="Times New Roman"/>
        </w:rPr>
        <w:t>refers to</w:t>
      </w:r>
      <w:r w:rsidRPr="00BA7968">
        <w:rPr>
          <w:rFonts w:ascii="Times New Roman" w:hAnsi="Times New Roman" w:cs="Times New Roman"/>
        </w:rPr>
        <w:t xml:space="preserve"> the effective </w:t>
      </w:r>
      <w:r>
        <w:rPr>
          <w:rFonts w:ascii="Times New Roman" w:hAnsi="Times New Roman" w:cs="Times New Roman"/>
        </w:rPr>
        <w:t>application</w:t>
      </w:r>
      <w:r w:rsidRPr="00BA7968">
        <w:rPr>
          <w:rFonts w:ascii="Times New Roman" w:hAnsi="Times New Roman" w:cs="Times New Roman"/>
        </w:rPr>
        <w:t xml:space="preserve"> and </w:t>
      </w:r>
      <w:r>
        <w:rPr>
          <w:rFonts w:ascii="Times New Roman" w:hAnsi="Times New Roman" w:cs="Times New Roman"/>
        </w:rPr>
        <w:t>exploitation</w:t>
      </w:r>
      <w:r w:rsidRPr="00BA7968">
        <w:rPr>
          <w:rFonts w:ascii="Times New Roman" w:hAnsi="Times New Roman" w:cs="Times New Roman"/>
        </w:rPr>
        <w:t xml:space="preserve"> of externally-provided </w:t>
      </w:r>
      <w:r>
        <w:rPr>
          <w:rFonts w:ascii="Times New Roman" w:hAnsi="Times New Roman" w:cs="Times New Roman"/>
        </w:rPr>
        <w:t>knowledge</w:t>
      </w:r>
      <w:r w:rsidRPr="00BA7968">
        <w:rPr>
          <w:rFonts w:ascii="Times New Roman" w:hAnsi="Times New Roman" w:cs="Times New Roman"/>
        </w:rPr>
        <w:t xml:space="preserve"> for the benefit of product, service, or process </w:t>
      </w:r>
      <w:r>
        <w:rPr>
          <w:rFonts w:ascii="Times New Roman" w:hAnsi="Times New Roman" w:cs="Times New Roman"/>
        </w:rPr>
        <w:t>enhancements</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"ITEM-1", "issued" : { "date-parts" : [ [ "2007" ] ] }, "page" : "1319-1350", "title" : "Explicating Dynamic Capabilities: The Nature and Microfoundations of (Sustainable) Enterprise Performance", "type" : "article-journal", "volume" : "28" }, "uris" : [ "http://www.mendeley.com/documents/?uuid=294c960e-6f43-40bf-808a-3028629ef748" ] }, { "id" : "ITEM-2", "itemData" : { "author" : [ { "dropping-particle" : "", "family" : "Slowinski", "given" : "Gene", "non-dropping-particle" : "", "parse-names" : false, "suffix" : "" }, { "dropping-particle" : "", "family" : "Hummel", "given" : "Edward", "non-dropping-particle" : "", "parse-names" : false, "suffix" : "" }, { "dropping-particle" : "", "family" : "Gupta", "given" : "Amitabh", "non-dropping-particle" : "", "parse-names" : false, "suffix" : "" }, { "dropping-particle" : "", "family" : "Gilmont", "given" : "Ernest R", "non-dropping-particle" : "", "parse-names" : false, "suffix" : "" } ], "container-title" : "Research Technology Management", "id" : "ITEM-2", "issue" : "1", "issued" : { "date-parts" : [ [ "2009" ] ] }, "page" : "27-34", "title" : "Effective Practices For Sourcing Innovation", "type" : "article-journal", "volume" : "52" }, "uris" : [ "http://www.mendeley.com/documents/?uuid=70bbb5ae-a2a1-4817-bf83-484a3049b292" ] }, { "id" : "ITEM-3", "itemData" : { "author" : [ { "dropping-particle" : "", "family" : "Gallego", "given" : "Jorge", "non-dropping-particle" : "", "parse-names" : false, "suffix" : "" }, { "dropping-particle" : "", "family" : "Rubalcaba", "given" : "Luis", "non-dropping-particle" : "", "parse-names" : false, "suffix" : "" }, { "dropping-particle" : "", "family" : "Su\u00e1rez", "given" : "Cristina", "non-dropping-particle" : "", "parse-names" : false, "suffix" : "" } ], "container-title" : "Journal of Business Research", "id" : "ITEM-3", "issued" : { "date-parts" : [ [ "2013" ] ] }, "page" : "2034-2041", "title" : "Knowledge for innovation in Europe: The role of external knowledge on firms' cooperation strategies", "type" : "article-journal", "volume" : "66" }, "uris" : [ "http://www.mendeley.com/documents/?uuid=edb64ecd-c9b3-4786-9f69-0c95f4128a67" ] } ], "mendeley" : { "formattedCitation" : "(Gallego et al., 2013; Slowinski et al., 2009; Teece, 2007)", "plainTextFormattedCitation" : "(Gallego et al., 2013; Slowinski et al., 2009; Teece, 2007)", "previouslyFormattedCitation" : "(Gallego et al., 2013; Slowinski et al., 2009; Teece, 2007)"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(Gallego et al., 2013; Slowinski et al., 2009; Teece, 2007)</w:t>
      </w:r>
      <w:r w:rsidRPr="00BA7968">
        <w:rPr>
          <w:rFonts w:ascii="Times New Roman" w:hAnsi="Times New Roman" w:cs="Times New Roman"/>
        </w:rPr>
        <w:fldChar w:fldCharType="end"/>
      </w:r>
      <w:r w:rsidRPr="00BA7968">
        <w:rPr>
          <w:rFonts w:ascii="Times New Roman" w:hAnsi="Times New Roman" w:cs="Times New Roman"/>
        </w:rPr>
        <w:t xml:space="preserve">. The latter </w:t>
      </w:r>
      <w:r>
        <w:rPr>
          <w:rFonts w:ascii="Times New Roman" w:hAnsi="Times New Roman" w:cs="Times New Roman"/>
        </w:rPr>
        <w:t>definition is</w:t>
      </w:r>
      <w:r w:rsidRPr="00BA7968">
        <w:rPr>
          <w:rFonts w:ascii="Times New Roman" w:hAnsi="Times New Roman" w:cs="Times New Roman"/>
        </w:rPr>
        <w:t xml:space="preserve"> </w:t>
      </w:r>
      <w:r>
        <w:rPr>
          <w:rFonts w:ascii="Times New Roman" w:hAnsi="Times New Roman" w:cs="Times New Roman"/>
        </w:rPr>
        <w:t xml:space="preserve">less broad and concentrates </w:t>
      </w:r>
      <w:r w:rsidRPr="00BA7968">
        <w:rPr>
          <w:rFonts w:ascii="Times New Roman" w:hAnsi="Times New Roman" w:cs="Times New Roman"/>
        </w:rPr>
        <w:t xml:space="preserve">on the integration of intangible input (e.g., ideas), while the former is a much broader, strategic concept of the inter-organizational collaboration literature. The practices and processes of external knowledge integration were categorized into three areas. The first </w:t>
      </w:r>
      <w:r>
        <w:rPr>
          <w:rFonts w:ascii="Times New Roman" w:hAnsi="Times New Roman" w:cs="Times New Roman"/>
        </w:rPr>
        <w:t>represents the</w:t>
      </w:r>
      <w:r w:rsidRPr="00BA7968">
        <w:rPr>
          <w:rFonts w:ascii="Times New Roman" w:hAnsi="Times New Roman" w:cs="Times New Roman"/>
        </w:rPr>
        <w:t xml:space="preserve"> searching, scouting, or scanning practices. The second </w:t>
      </w:r>
      <w:r>
        <w:rPr>
          <w:rFonts w:ascii="Times New Roman" w:hAnsi="Times New Roman" w:cs="Times New Roman"/>
        </w:rPr>
        <w:t>concerns</w:t>
      </w:r>
      <w:r w:rsidRPr="00BA7968">
        <w:rPr>
          <w:rFonts w:ascii="Times New Roman" w:hAnsi="Times New Roman" w:cs="Times New Roman"/>
        </w:rPr>
        <w:t xml:space="preserve"> external collaboration and knowledge exchange. The third category </w:t>
      </w:r>
      <w:r>
        <w:rPr>
          <w:rFonts w:ascii="Times New Roman" w:hAnsi="Times New Roman" w:cs="Times New Roman"/>
        </w:rPr>
        <w:t>addresses</w:t>
      </w:r>
      <w:r w:rsidRPr="00BA7968">
        <w:rPr>
          <w:rFonts w:ascii="Times New Roman" w:hAnsi="Times New Roman" w:cs="Times New Roman"/>
        </w:rPr>
        <w:t xml:space="preserve"> the interactive learning process to integrate the external knowledge in the </w:t>
      </w:r>
      <w:r>
        <w:rPr>
          <w:rFonts w:ascii="Times New Roman" w:hAnsi="Times New Roman" w:cs="Times New Roman"/>
        </w:rPr>
        <w:t>company</w:t>
      </w:r>
      <w:r w:rsidRPr="00BA7968">
        <w:rPr>
          <w:rFonts w:ascii="Times New Roman" w:hAnsi="Times New Roman" w:cs="Times New Roman"/>
        </w:rPr>
        <w:t xml:space="preserve">. </w:t>
      </w:r>
    </w:p>
    <w:p w14:paraId="7441B2FA" w14:textId="77777777" w:rsidR="00C7731B" w:rsidRPr="00BA7968" w:rsidRDefault="00C7731B" w:rsidP="00C7731B">
      <w:pPr>
        <w:spacing w:line="360" w:lineRule="auto"/>
        <w:rPr>
          <w:rFonts w:ascii="Times New Roman" w:hAnsi="Times New Roman" w:cs="Times New Roman"/>
        </w:rPr>
      </w:pPr>
    </w:p>
    <w:p w14:paraId="177C2107" w14:textId="2242ED97" w:rsidR="00C7731B" w:rsidRPr="005C6E67" w:rsidRDefault="00C7731B" w:rsidP="00C7731B">
      <w:pPr>
        <w:spacing w:line="360" w:lineRule="auto"/>
        <w:rPr>
          <w:rFonts w:ascii="Times New Roman" w:hAnsi="Times New Roman" w:cs="Times New Roman"/>
          <w:i/>
          <w:u w:val="single"/>
        </w:rPr>
      </w:pPr>
      <w:r w:rsidRPr="005C6E67">
        <w:rPr>
          <w:rFonts w:ascii="Times New Roman" w:hAnsi="Times New Roman" w:cs="Times New Roman"/>
          <w:i/>
          <w:u w:val="single"/>
        </w:rPr>
        <w:t xml:space="preserve">Searching, Scouting, and Scanning </w:t>
      </w:r>
    </w:p>
    <w:p w14:paraId="100BB4EE" w14:textId="77777777" w:rsidR="00C7731B" w:rsidRPr="00BA7968" w:rsidRDefault="00C7731B" w:rsidP="00C7731B">
      <w:pPr>
        <w:spacing w:line="360" w:lineRule="auto"/>
        <w:jc w:val="both"/>
        <w:rPr>
          <w:rFonts w:ascii="Times New Roman" w:hAnsi="Times New Roman" w:cs="Times New Roman"/>
        </w:rPr>
      </w:pPr>
      <w:r>
        <w:rPr>
          <w:rFonts w:ascii="Times New Roman" w:hAnsi="Times New Roman" w:cs="Times New Roman"/>
        </w:rPr>
        <w:t>An important</w:t>
      </w:r>
      <w:r w:rsidRPr="00BA7968">
        <w:rPr>
          <w:rFonts w:ascii="Times New Roman" w:hAnsi="Times New Roman" w:cs="Times New Roman"/>
        </w:rPr>
        <w:t xml:space="preserve"> </w:t>
      </w:r>
      <w:r>
        <w:rPr>
          <w:rFonts w:ascii="Times New Roman" w:hAnsi="Times New Roman" w:cs="Times New Roman"/>
        </w:rPr>
        <w:t>aspect</w:t>
      </w:r>
      <w:r w:rsidRPr="00BA7968">
        <w:rPr>
          <w:rFonts w:ascii="Times New Roman" w:hAnsi="Times New Roman" w:cs="Times New Roman"/>
        </w:rPr>
        <w:t xml:space="preserve"> of external knowledge integration relates to the knowledge acquisition from external entities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"ITEM-1", "issue" : "1", "issued" : { "date-parts" : [ [ "2006" ] ] }, "page" : "68-82", "title" : "In Search of Complementarity in Innovation Strategy: Internal R&amp;D and External Knowledge Acquisition", "type" : "article-journal", "volume" : "52" }, "uris" : [ "http://www.mendeley.com/documents/?uuid=e3cb49dc-e5f8-42f4-a0f3-7ec7ae458508" ] } ], "mendeley" : { "formattedCitation" : "(Cassiman &amp; Veugelers, 2006)", "plainTextFormattedCitation" : "(Cassiman &amp; Veugelers, 2006)", "previouslyFormattedCitation" : "(Cassiman &amp; Veugelers,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(Cassiman &amp; Veugelers, 2006)</w:t>
      </w:r>
      <w:r w:rsidRPr="00BA7968">
        <w:rPr>
          <w:rFonts w:ascii="Times New Roman" w:hAnsi="Times New Roman" w:cs="Times New Roman"/>
        </w:rPr>
        <w:fldChar w:fldCharType="end"/>
      </w:r>
      <w:r w:rsidRPr="00BA7968">
        <w:rPr>
          <w:rFonts w:ascii="Times New Roman" w:hAnsi="Times New Roman" w:cs="Times New Roman"/>
        </w:rPr>
        <w:t xml:space="preserve"> and its influence on internal information </w:t>
      </w:r>
      <w:r w:rsidRPr="00BA7968">
        <w:rPr>
          <w:rFonts w:ascii="Times New Roman" w:hAnsi="Times New Roman" w:cs="Times New Roman"/>
        </w:rPr>
        <w:lastRenderedPageBreak/>
        <w:t xml:space="preserve">processing and knowledge exploitation processes. The searching, scouting, and scanning process involves a set of organizational practices with the purpose of monitoring the market development and recognizing when opportunities evolve that offer potential benefits for the </w:t>
      </w:r>
      <w:r>
        <w:rPr>
          <w:rFonts w:ascii="Times New Roman" w:hAnsi="Times New Roman" w:cs="Times New Roman"/>
        </w:rPr>
        <w:t>company</w:t>
      </w:r>
      <w:r w:rsidRPr="00BA7968">
        <w:rPr>
          <w:rFonts w:ascii="Times New Roman" w:hAnsi="Times New Roman" w:cs="Times New Roman"/>
        </w:rPr>
        <w:t xml:space="preserve">. This includes the practice of nurturing external links to various new entities in formal or informal arrangements to gain access to critical knowledge, and of establishing a scouting mechanism to enhance awareness of industry trends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"ITEM-1",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"mendeley" : { "formattedCitation" : "(J. Chen, Chen, &amp; Vanhaverbeke, 2011)", "plainTextFormattedCitation" : "(J. Chen, Chen, &amp; Vanhaverbeke, 2011)", "previouslyFormattedCitation" : "(J. Chen, Chen, &amp; Vanhaverbeke,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(J. Chen, Chen, &amp; Vanhaverbeke, 2011)</w:t>
      </w:r>
      <w:r w:rsidRPr="00BA7968">
        <w:rPr>
          <w:rFonts w:ascii="Times New Roman" w:hAnsi="Times New Roman" w:cs="Times New Roman"/>
        </w:rPr>
        <w:fldChar w:fldCharType="end"/>
      </w:r>
      <w:r w:rsidRPr="00BA7968">
        <w:rPr>
          <w:rFonts w:ascii="Times New Roman" w:hAnsi="Times New Roman" w:cs="Times New Roman"/>
        </w:rPr>
        <w:t xml:space="preserve">. According to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"Eisenhardt", "given" : "Kathleen M", "non-dropping-particle" : "", "parse-names" : false, "suffix" : "" }, { "dropping-particle" : "", "family" : "Santos", "given" : "Filipe M", "non-dropping-particle" : "", "parse-names" : false, "suffix" : "" } ], "container-title" : "Handbook of strategy and management", "id" : "ITEM-1", "issued" : { "date-parts" : [ [ "2002" ] ] }, "page" : "139-164", "publisher" : "Sage London", "title" : "Knowledge-based view: A new theory of strategy", "type" : "article-journal", "volume" : "1" }, "uris" : [ "http://www.mendeley.com/documents/?uuid=d35ff688-185d-4701-b771-1d26f36d1c64" ] } ], "mendeley" : { "formattedCitation" : "(Eisenhardt &amp; Santos, 2002)", "manualFormatting" : "Eisenhardt and Santos (2002)", "plainTextFormattedCitation" : "(Eisenhardt &amp; Santos, 2002)", "previouslyFormattedCitation" : "(Eisenhardt &amp; Santos, 2002)" }, "properties" : { "noteIndex" : 0 }, "schema" : "https://github.com/citation-style-language/schema/raw/master/csl-citation.json" }</w:instrText>
      </w:r>
      <w:r w:rsidRPr="00BA7968">
        <w:rPr>
          <w:rFonts w:ascii="Times New Roman" w:hAnsi="Times New Roman" w:cs="Times New Roman"/>
        </w:rPr>
        <w:fldChar w:fldCharType="separate"/>
      </w:r>
      <w:r w:rsidRPr="00BA7968">
        <w:rPr>
          <w:rFonts w:ascii="Times New Roman" w:hAnsi="Times New Roman" w:cs="Times New Roman"/>
          <w:noProof/>
        </w:rPr>
        <w:t>Eisenhardt and Santos (2002)</w:t>
      </w:r>
      <w:r w:rsidRPr="00BA7968">
        <w:rPr>
          <w:rFonts w:ascii="Times New Roman" w:hAnsi="Times New Roman" w:cs="Times New Roman"/>
        </w:rPr>
        <w:fldChar w:fldCharType="end"/>
      </w:r>
      <w:r w:rsidRPr="00BA7968">
        <w:rPr>
          <w:rFonts w:ascii="Times New Roman" w:hAnsi="Times New Roman" w:cs="Times New Roman"/>
        </w:rPr>
        <w:t xml:space="preserve">, multiple knowledge searching and acquisition mechanisms exist (e.g., probing processes (experimental products) or advice networks). Overall, organizations continuously scan their environment and attempt to acquire critical knowledge, which is not available in-house. </w:t>
      </w:r>
    </w:p>
    <w:p w14:paraId="2C28C875" w14:textId="77777777" w:rsidR="00C7731B" w:rsidRPr="00BA7968" w:rsidRDefault="00C7731B" w:rsidP="00C7731B">
      <w:pPr>
        <w:spacing w:line="360" w:lineRule="auto"/>
        <w:rPr>
          <w:rFonts w:ascii="Times New Roman" w:hAnsi="Times New Roman" w:cs="Times New Roman"/>
        </w:rPr>
      </w:pPr>
    </w:p>
    <w:p w14:paraId="339EFA9C" w14:textId="1FCDE36E" w:rsidR="00C7731B" w:rsidRPr="005C6E67" w:rsidRDefault="00C7731B" w:rsidP="00C7731B">
      <w:pPr>
        <w:spacing w:line="360" w:lineRule="auto"/>
        <w:rPr>
          <w:rFonts w:ascii="Times New Roman" w:hAnsi="Times New Roman" w:cs="Times New Roman"/>
          <w:i/>
          <w:u w:val="single"/>
        </w:rPr>
      </w:pPr>
      <w:r w:rsidRPr="005C6E67">
        <w:rPr>
          <w:rFonts w:ascii="Times New Roman" w:hAnsi="Times New Roman" w:cs="Times New Roman"/>
          <w:i/>
          <w:u w:val="single"/>
        </w:rPr>
        <w:t>External Collaboration and Knowledge Exchange</w:t>
      </w:r>
    </w:p>
    <w:p w14:paraId="7500FECC" w14:textId="77777777" w:rsidR="00C7731B" w:rsidRPr="00BA7968" w:rsidRDefault="00C7731B" w:rsidP="00C7731B">
      <w:pPr>
        <w:spacing w:line="360" w:lineRule="auto"/>
        <w:jc w:val="both"/>
        <w:rPr>
          <w:rFonts w:ascii="Times New Roman" w:hAnsi="Times New Roman" w:cs="Times New Roman"/>
        </w:rPr>
      </w:pPr>
      <w:r>
        <w:rPr>
          <w:rFonts w:ascii="Times New Roman" w:hAnsi="Times New Roman" w:cs="Times New Roman"/>
        </w:rPr>
        <w:t>In contrast to</w:t>
      </w:r>
      <w:r w:rsidRPr="00BA7968">
        <w:rPr>
          <w:rFonts w:ascii="Times New Roman" w:hAnsi="Times New Roman" w:cs="Times New Roman"/>
        </w:rPr>
        <w:t xml:space="preserve"> the first category, which</w:t>
      </w:r>
      <w:r>
        <w:rPr>
          <w:rFonts w:ascii="Times New Roman" w:hAnsi="Times New Roman" w:cs="Times New Roman"/>
        </w:rPr>
        <w:t xml:space="preserve"> included</w:t>
      </w:r>
      <w:r w:rsidRPr="00BA7968">
        <w:rPr>
          <w:rFonts w:ascii="Times New Roman" w:hAnsi="Times New Roman" w:cs="Times New Roman"/>
        </w:rPr>
        <w:t xml:space="preserve"> establishing fresh new ties to </w:t>
      </w:r>
      <w:r>
        <w:rPr>
          <w:rFonts w:ascii="Times New Roman" w:hAnsi="Times New Roman" w:cs="Times New Roman"/>
        </w:rPr>
        <w:t>organizations</w:t>
      </w:r>
      <w:r w:rsidRPr="00BA7968">
        <w:rPr>
          <w:rFonts w:ascii="Times New Roman" w:hAnsi="Times New Roman" w:cs="Times New Roman"/>
        </w:rPr>
        <w:t xml:space="preserve"> outside of the established supply base, the second category </w:t>
      </w:r>
      <w:r>
        <w:rPr>
          <w:rFonts w:ascii="Times New Roman" w:hAnsi="Times New Roman" w:cs="Times New Roman"/>
        </w:rPr>
        <w:t xml:space="preserve">emphasizes practices of building </w:t>
      </w:r>
      <w:r w:rsidRPr="00BA7968">
        <w:rPr>
          <w:rFonts w:ascii="Times New Roman" w:hAnsi="Times New Roman" w:cs="Times New Roman"/>
        </w:rPr>
        <w:t>collaborative</w:t>
      </w:r>
      <w:r>
        <w:rPr>
          <w:rFonts w:ascii="Times New Roman" w:hAnsi="Times New Roman" w:cs="Times New Roman"/>
        </w:rPr>
        <w:t>, strong</w:t>
      </w:r>
      <w:r w:rsidRPr="00BA7968">
        <w:rPr>
          <w:rFonts w:ascii="Times New Roman" w:hAnsi="Times New Roman" w:cs="Times New Roman"/>
        </w:rPr>
        <w:t xml:space="preserve"> ties to existing suppliers. Collaboration with innovative organizations is essential for maintaining an up-to-date knowledge repository for the </w:t>
      </w:r>
      <w:r>
        <w:rPr>
          <w:rFonts w:ascii="Times New Roman" w:hAnsi="Times New Roman" w:cs="Times New Roman"/>
        </w:rPr>
        <w:t>company</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"Bierly", "given" : "Paul E", "non-dropping-particle" : "", "parse-names" : false, "suffix" : "" }, { "dropping-particle" : "", "family" : "Damanpour", "given" : "Fariborz", "non-dropping-particle" : "", "parse-names" : false, "suffix" : "" }, { "dropping-particle" : "", "family" : "Santoro", "given" : "Michael D", "non-dropping-particle" : "", "parse-names" : false, "suffix" : "" } ], "container-title" : "Journal of Management Studies", "id" : "ITEM-1", "issue" : "3", "issued" : { "date-parts" : [ [ "2009" ] ] }, "page" : "481-509", "title" : "The Application of External Knowledge: Organizational Conditions for Exploration and Exploitation", "type" : "article-journal", "volume" : "46" }, "uris" : [ "http://www.mendeley.com/documents/?uuid=10a7c45e-9031-424a-ba92-962f57f883e8" ] } ], "mendeley" : { "formattedCitation" : "(Bierly et al., 2009)", "plainTextFormattedCitation" : "(Bierly et al., 2009)", "previouslyFormattedCitation" : "(Bierly et al.,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(Bierly et al., 2009)</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 xml:space="preserve">Effective </w:t>
      </w:r>
      <w:r w:rsidRPr="00BA7968">
        <w:rPr>
          <w:rFonts w:ascii="Times New Roman" w:hAnsi="Times New Roman" w:cs="Times New Roman"/>
        </w:rPr>
        <w:t xml:space="preserve">network collaboration </w:t>
      </w:r>
      <w:r>
        <w:rPr>
          <w:rFonts w:ascii="Times New Roman" w:hAnsi="Times New Roman" w:cs="Times New Roman"/>
        </w:rPr>
        <w:t>has proven</w:t>
      </w:r>
      <w:r w:rsidRPr="00BA7968">
        <w:rPr>
          <w:rFonts w:ascii="Times New Roman" w:hAnsi="Times New Roman" w:cs="Times New Roman"/>
        </w:rPr>
        <w:t xml:space="preserve"> to be decisive for innovation performance in a particular context such as high-velocity environments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"Eisenhardt", "given" : "Kathleen M", "non-dropping-particle" : "", "parse-names" : false, "suffix" : "" }, { "dropping-particle" : "", "family" : "Santos", "given" : "Filipe M", "non-dropping-particle" : "", "parse-names" : false, "suffix" : "" } ], "container-title" : "Handbook of strategy and management", "id" : "ITEM-1", "issued" : { "date-parts" : [ [ "2002" ] ] }, "page" : "139-164", "publisher" : "Sage London", "title" : "Knowledge-based view: A new theory of strategy", "type" : "article-journal", "volume" : "1" }, "uris" : [ "http://www.mendeley.com/documents/?uuid=d35ff688-185d-4701-b771-1d26f36d1c64" ] } ], "mendeley" : { "formattedCitation" : "(Eisenhardt &amp; Santos, 2002)", "plainTextFormattedCitation" : "(Eisenhardt &amp; Santos, 2002)", "previouslyFormattedCitation" : "(Eisenhardt &amp; Santos, 2002)"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(Eisenhardt &amp; Santos, 2002)</w:t>
      </w:r>
      <w:r w:rsidRPr="00BA7968">
        <w:rPr>
          <w:rFonts w:ascii="Times New Roman" w:hAnsi="Times New Roman" w:cs="Times New Roman"/>
        </w:rPr>
        <w:fldChar w:fldCharType="end"/>
      </w:r>
      <w:r w:rsidRPr="00BA7968">
        <w:rPr>
          <w:rFonts w:ascii="Times New Roman" w:hAnsi="Times New Roman" w:cs="Times New Roman"/>
        </w:rPr>
        <w:t xml:space="preserve">, but it requires </w:t>
      </w:r>
      <w:r>
        <w:rPr>
          <w:rFonts w:ascii="Times New Roman" w:hAnsi="Times New Roman" w:cs="Times New Roman"/>
        </w:rPr>
        <w:t>adequate</w:t>
      </w:r>
      <w:r w:rsidRPr="00BA7968">
        <w:rPr>
          <w:rFonts w:ascii="Times New Roman" w:hAnsi="Times New Roman" w:cs="Times New Roman"/>
        </w:rPr>
        <w:t xml:space="preserve"> knowledge integration practices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"Gallego", "given" : "Jorge", "non-dropping-particle" : "", "parse-names" : false, "suffix" : "" }, { "dropping-particle" : "", "family" : "Rubalcaba", "given" : "Luis", "non-dropping-particle" : "", "parse-names" : false, "suffix" : "" }, { "dropping-particle" : "", "family" : "Su\u00e1rez", "given" : "Cristina", "non-dropping-particle" : "", "parse-names" : false, "suffix" : "" } ], "container-title" : "Journal of Business Research", "id" : "ITEM-1", "issued" : { "date-parts" : [ [ "2013" ] ] }, "page" : "2034-2041", "title" : "Knowledge for innovation in Europe: The role of external knowledge on firms' cooperation strategies", "type" : "article-journal", "volume" : "66" }, "uris" : [ "http://www.mendeley.com/documents/?uuid=edb64ecd-c9b3-4786-9f69-0c95f4128a67" ] } ], "mendeley" : { "formattedCitation" : "(Gallego et al., 2013)", "plainTextFormattedCitation" : "(Gallego et al., 2013)", "previouslyFormattedCitation" : "(Gallego et al., 2013)"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(Gallego et al., 2013)</w:t>
      </w:r>
      <w:r w:rsidRPr="00BA7968">
        <w:rPr>
          <w:rFonts w:ascii="Times New Roman" w:hAnsi="Times New Roman" w:cs="Times New Roman"/>
        </w:rPr>
        <w:fldChar w:fldCharType="end"/>
      </w:r>
      <w:r w:rsidRPr="00BA7968">
        <w:rPr>
          <w:rFonts w:ascii="Times New Roman" w:hAnsi="Times New Roman" w:cs="Times New Roman"/>
        </w:rPr>
        <w:t xml:space="preserve">. Scholars have emphasized that effective integration practices focus on the orchestration of collaborative inter-organizational knowledge exchange and on enabling the effective and efficient in-house utilization of this newly obtained knowledge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"10.1016/j.ijpe.2012.07.002", "abstract" : "Based on the knowledge-based view of inter-\ufb01rm collaboration, this study develops and proposes a parsimonious taxonomy of how buyers and suppliers develop knowledge integration in terms of two mechanisms: joint sense meaning and joint decision making. The \ufb01rst focuses on the interpretation and sense making of knowledge about strategic, relevant issues for the buyer\u2013supplier relationship (BSR). The latter emphasizes joint problem solving related to their interlinked operative routine activities. Using survey data from 130 collaborative BSRs and cluster analysis, the results suggest that buyers that purposely develop a balanced knowledge integration with their suppliers\u2014characterized by managing high levels of both joint sense meaning and joint decision making\u2014show improved ef\ufb01ciency and innovation simultaneously even though they have to deal with the tension of managing the requirements of these two key, albeit competing outcomes. The results also suggest that buyers pursuing focused knowledge integration with their suppliers\u2014characterized by managing high levels of either joint sense meaning or joint decision making\u2014outperform in a speci\ufb01c outcome at the expense of the other. This study thus provides a comprehensive framework that allows organizations to evaluate the knowledge integration strategy that best supports their goals related to their collaborative buyer\u2013 supplier relationships.", "author" : [ { "dropping-particle" : "", "family" : "Revilla", "given" : "Elena", "non-dropping-particle" : "", "parse-names" : false, "suffix" : "" }, { "dropping-particle" : "", "family" : "Villena", "given" : "Ver\u00f3nica H", "non-dropping-particle" : "", "parse-names" : false, "suffix" : "" } ], "container-title" : "International Journal of Production Economics", "id" : "ITEM-1", "issued" : { "date-parts" : [ [ "2012" ] ] }, "page" : "854-864", "title" : "Knowledge integration taxonomy in buyer \u2013 supplier relationships: Trade-offs between efficiency and innovation", "type" : "article-journal", "volume" : "140" }, "uris" : [ "http://www.mendeley.com/documents/?uuid=501954d9-ce5b-4c99-a2c7-5d937ee7a2c4" ] } ], "mendeley" : { "formattedCitation" : "(Revilla &amp; Villena, 2012)", "plainTextFormattedCitation" : "(Revilla &amp; Villena, 2012)", "previouslyFormattedCitation" : "(Revilla &amp; Villena,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(Revilla &amp; Villena, 2012)</w:t>
      </w:r>
      <w:r w:rsidRPr="00BA7968">
        <w:rPr>
          <w:rFonts w:ascii="Times New Roman" w:hAnsi="Times New Roman" w:cs="Times New Roman"/>
        </w:rPr>
        <w:fldChar w:fldCharType="end"/>
      </w:r>
      <w:r w:rsidRPr="00BA7968">
        <w:rPr>
          <w:rFonts w:ascii="Times New Roman" w:hAnsi="Times New Roman" w:cs="Times New Roman"/>
        </w:rPr>
        <w:t>.</w:t>
      </w:r>
    </w:p>
    <w:p w14:paraId="423BC6EE"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r>
      <w:r>
        <w:rPr>
          <w:rFonts w:ascii="Times New Roman" w:hAnsi="Times New Roman" w:cs="Times New Roman"/>
        </w:rPr>
        <w:t>The</w:t>
      </w:r>
      <w:r w:rsidRPr="00BA7968">
        <w:rPr>
          <w:rFonts w:ascii="Times New Roman" w:hAnsi="Times New Roman" w:cs="Times New Roman"/>
        </w:rPr>
        <w:t xml:space="preserve"> development of a collaboration capability (collaborative know-how) to facilitate the knowledge exchange among respective constituents</w:t>
      </w:r>
      <w:r>
        <w:rPr>
          <w:rFonts w:ascii="Times New Roman" w:hAnsi="Times New Roman" w:cs="Times New Roman"/>
        </w:rPr>
        <w:t xml:space="preserve"> is critical</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"Bierly", "given" : "Paul E", "non-dropping-particle" : "", "parse-names" : false, "suffix" : "" }, { "dropping-particle" : "", "family" : "Damanpour", "given" : "Fariborz", "non-dropping-particle" : "", "parse-names" : false, "suffix" : "" }, { "dropping-particle" : "", "family" : "Santoro", "given" : "Michael D", "non-dropping-particle" : "", "parse-names" : false, "suffix" : "" } ], "container-title" : "Journal of Management Studies", "id" : "ITEM-1", "issue" : "3", "issued" : { "date-parts" : [ [ "2009" ] ] }, "page" : "481-509", "title" : "The Application of External Knowledge: Organizational Conditions for Exploration and Exploitation", "type" : "article-journal", "volume" : "46" }, "uris" : [ "http://www.mendeley.com/documents/?uuid=10a7c45e-9031-424a-ba92-962f57f883e8" ] } ], "mendeley" : { "formattedCitation" : "(Bierly et al., 2009)", "plainTextFormattedCitation" : "(Bierly et al., 2009)", "previouslyFormattedCitation" : "(Bierly et al.,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(Bierly et al., 2009)</w:t>
      </w:r>
      <w:r w:rsidRPr="00BA7968">
        <w:rPr>
          <w:rFonts w:ascii="Times New Roman" w:hAnsi="Times New Roman" w:cs="Times New Roman"/>
        </w:rPr>
        <w:fldChar w:fldCharType="end"/>
      </w:r>
      <w:r w:rsidRPr="00BA7968">
        <w:rPr>
          <w:rFonts w:ascii="Times New Roman" w:hAnsi="Times New Roman" w:cs="Times New Roman"/>
        </w:rPr>
        <w:t xml:space="preserve">. This includes effective collaborative practices of creating, maintaining, and utilizing the necessary communication channels with a network of suppliers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"Gallego", "given" : "Jorge", "non-dropping-particle" : "", "parse-names" : false, "suffix" : "" }, { "dropping-particle" : "", "family" : "Rubalcaba", "given" : "Luis", "non-dropping-particle" : "", "parse-names" : false, "suffix" : "" }, { "dropping-particle" : "", "family" : "Su\u00e1rez", "given" : "Cristina", "non-dropping-particle" : "", "parse-names" : false, "suffix" : "" } ], "container-title" : "Journal of Business Research", "id" : "ITEM-1", "issued" : { "date-parts" : [ [ "2013" ] ] }, "page" : "2034-2041", "title" : "Knowledge for innovation in Europe: The role of external knowledge on firms' cooperation strategies", "type" : "article-journal", "volume" : "66" }, "uris" : [ "http://www.mendeley.com/documents/?uuid=edb64ecd-c9b3-4786-9f69-0c95f4128a67" ] } ], "mendeley" : { "formattedCitation" : "(Gallego et al., 2013)", "plainTextFormattedCitation" : "(Gallego et al., 2013)", "previouslyFormattedCitation" : "(Gallego et al., 2013)"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(Gallego et al., 2013)</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Moreover</w:t>
      </w:r>
      <w:r w:rsidRPr="00BA7968">
        <w:rPr>
          <w:rFonts w:ascii="Times New Roman" w:hAnsi="Times New Roman" w:cs="Times New Roman"/>
        </w:rPr>
        <w:t xml:space="preserve">, the resource allocation among external partners needs to be organized effectively in a collaborative manner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"10.2307/2393988", "ISBN" : "0001-8392", "ISSN" : "0001-8392", "PMID" : "9606053202", "abstract" : "We argue in this paper that when the knowledge base of an industry is both complex and expanding and the sources of expertise are widely dispersed, the locus of innovation will be found in networks of learning, rather than in individual firms. The large-scale reliance on interorganizational collaborations in the biotechnology industry reflects a fundamental and pervasive concern with access to knowledge. We develop a network approach to organizational learning and derive firm-level, longitudinal hypotheses that link research and development alliances, experience with managing interfirm relationships, network position, rates of growth, and portfolios of collaborative activities. We test these hypotheses on a sample of dedicated biotechnology firms in the years 1990-1994. Results from pooled, within-firm, time series analyses support a learning view and have broad implications for future theoretical and empirical research on organizational networks and strategic alliances..", "author" : [ { "dropping-particle" : "", "family" : "Powell", "given" : "Walter W", "non-dropping-particle" : "", "parse-names" : false, "suffix" : "" }, { "dropping-particle" : "", "family" : "Koput", "given" : "Kenneth W", "non-dropping-particle" : "", "parse-names" : false, "suffix" : "" }, { "dropping-particle" : "", "family" : "Smith-Doerr", "given" : "Laurel", "non-dropping-particle" : "", "parse-names" : false, "suffix" : "" } ], "container-title" : "Administrative Science Quarterly", "id" : "ITEM-1", "issue" : "1", "issued" : { "date-parts" : [ [ "1996" ] ] }, "page" : "116-145", "title" : "Interorganizational Collaboration and the Locus of Innovation: Networks of Learning in Biotechnology", "type" : "article-journal", "volume" : "41" }, "uris" : [ "http://www.mendeley.com/documents/?uuid=a25d483b-654f-40c5-ab47-3e2db887d3ee" ] } ], "mendeley" : { "formattedCitation" : "(Powell et al., 1996)", "plainTextFormattedCitation" : "(Powell et al., 1996)", "previouslyFormattedCitation" : "(Powell et al., 1996)"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(Powell et al., 1996)</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Apart from</w:t>
      </w:r>
      <w:r w:rsidRPr="00BA7968">
        <w:rPr>
          <w:rFonts w:ascii="Times New Roman" w:hAnsi="Times New Roman" w:cs="Times New Roman"/>
        </w:rPr>
        <w:t xml:space="preserve"> the use of formal network connections such as alliances, </w:t>
      </w:r>
      <w:r>
        <w:rPr>
          <w:rFonts w:ascii="Times New Roman" w:hAnsi="Times New Roman" w:cs="Times New Roman"/>
        </w:rPr>
        <w:t>researchers have identified</w:t>
      </w:r>
      <w:r w:rsidRPr="00BA7968">
        <w:rPr>
          <w:rFonts w:ascii="Times New Roman" w:hAnsi="Times New Roman" w:cs="Times New Roman"/>
        </w:rPr>
        <w:t xml:space="preserve"> complementary </w:t>
      </w:r>
      <w:r>
        <w:rPr>
          <w:rFonts w:ascii="Times New Roman" w:hAnsi="Times New Roman" w:cs="Times New Roman"/>
        </w:rPr>
        <w:t>practices</w:t>
      </w:r>
      <w:r w:rsidRPr="00BA7968">
        <w:rPr>
          <w:rFonts w:ascii="Times New Roman" w:hAnsi="Times New Roman" w:cs="Times New Roman"/>
        </w:rPr>
        <w:t xml:space="preserve"> </w:t>
      </w:r>
      <w:r>
        <w:rPr>
          <w:rFonts w:ascii="Times New Roman" w:hAnsi="Times New Roman" w:cs="Times New Roman"/>
        </w:rPr>
        <w:t xml:space="preserve">such as </w:t>
      </w:r>
      <w:r w:rsidRPr="00BA7968">
        <w:rPr>
          <w:rFonts w:ascii="Times New Roman" w:hAnsi="Times New Roman" w:cs="Times New Roman"/>
        </w:rPr>
        <w:t xml:space="preserve">informal research collaborations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"Gallego", "given" : "Jorge", "non-dropping-particle" : "", "parse-names" : false, "suffix" : "" }, { "dropping-particle" : "", "family" : "Rubalcaba", "given" : "Luis", "non-dropping-particle" : "", "parse-names" : false, "suffix" : "" }, { "dropping-particle" : "", "family" : "Su\u00e1rez", "given" : "Cristina", "non-dropping-particle" : "", "parse-names" : false, "suffix" : "" } ], "container-title" : "Journal of Business Research", "id" : "ITEM-1", "issued" : { "date-parts" : [ [ "2013" ] ] }, "page" : "2034-2041", "title" : "Knowledge for innovation in Europe: The role of external knowledge on firms' cooperation strategies", "type" : "article-journal", "volume" : "66" }, "uris" : [ "http://www.mendeley.com/documents/?uuid=edb64ecd-c9b3-4786-9f69-0c95f4128a67" ] } ], "mendeley" : { "formattedCitation" : "(Gallego et al., 2013)", "plainTextFormattedCitation" : "(Gallego et al., 2013)", "previouslyFormattedCitation" : "(Gallego et al., 2013)"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(Gallego et al., 2013)</w:t>
      </w:r>
      <w:r w:rsidRPr="00BA7968">
        <w:rPr>
          <w:rFonts w:ascii="Times New Roman" w:hAnsi="Times New Roman" w:cs="Times New Roman"/>
        </w:rPr>
        <w:fldChar w:fldCharType="end"/>
      </w:r>
      <w:r w:rsidRPr="00BA7968">
        <w:rPr>
          <w:rFonts w:ascii="Times New Roman" w:hAnsi="Times New Roman" w:cs="Times New Roman"/>
        </w:rPr>
        <w:t xml:space="preserve">. In complex and dynamic environments such as </w:t>
      </w:r>
      <w:r w:rsidRPr="00BA7968">
        <w:rPr>
          <w:rFonts w:ascii="Times New Roman" w:hAnsi="Times New Roman" w:cs="Times New Roman"/>
        </w:rPr>
        <w:lastRenderedPageBreak/>
        <w:t xml:space="preserve">biotechnology, establishing boundary-spanning networks with informal relationships facilitates the acquisition of external knowledge and the subsequent knowledge exchange between the focal firm and research laboratories or universities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"Liebeskind", "given" : "Julia Porter", "non-dropping-particle" : "", "parse-names" : false, "suffix" : "" }, { "dropping-particle" : "", "family" : "Oliver", "given" : "Amalya Lumerman", "non-dropping-particle" : "", "parse-names" : false, "suffix" : "" }, { "dropping-particle" : "", "family" : "Zucker", "given" : "Lynne", "non-dropping-particle" : "", "parse-names" : false, "suffix" : "" }, { "dropping-particle" : "", "family" : "Brewer", "given" : "Marilynn", "non-dropping-particle" : "", "parse-names" : false, "suffix" : "" } ], "container-title" : "Organization Science", "id" : "ITEM-1", "issue" : "4", "issued" : { "date-parts" : [ [ "1996" ] ] }, "page" : "428-443", "title" : "Social Networks, Learning, and Flexibility: Sourcing Scientific Knowledge in New Biotechnology Firms", "type" : "article-journal", "volume" : "7" }, "uris" : [ "http://www.mendeley.com/documents/?uuid=6533b80c-bf35-4e29-99c0-054da693703e" ] } ], "mendeley" : { "formattedCitation" : "(Liebeskind, Oliver, Zucker, &amp; Brewer, 1996)", "plainTextFormattedCitation" : "(Liebeskind, Oliver, Zucker, &amp; Brewer, 1996)", "previouslyFormattedCitation" : "(Liebeskind, Oliver, Zucker, &amp; Brewer, 1996)"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(Liebeskind, Oliver, Zucker, &amp; Brewer, 1996)</w:t>
      </w:r>
      <w:r w:rsidRPr="00BA7968">
        <w:rPr>
          <w:rFonts w:ascii="Times New Roman" w:hAnsi="Times New Roman" w:cs="Times New Roman"/>
        </w:rPr>
        <w:fldChar w:fldCharType="end"/>
      </w:r>
      <w:r w:rsidRPr="00BA7968">
        <w:rPr>
          <w:rFonts w:ascii="Times New Roman" w:hAnsi="Times New Roman" w:cs="Times New Roman"/>
        </w:rPr>
        <w:t>.</w:t>
      </w:r>
    </w:p>
    <w:p w14:paraId="0A4B64D1" w14:textId="77777777" w:rsidR="00C7731B" w:rsidRPr="00BA7968" w:rsidRDefault="00C7731B" w:rsidP="00C7731B">
      <w:pPr>
        <w:spacing w:line="360" w:lineRule="auto"/>
        <w:ind w:firstLine="720"/>
        <w:rPr>
          <w:rFonts w:ascii="Times New Roman" w:hAnsi="Times New Roman" w:cs="Times New Roman"/>
        </w:rPr>
      </w:pPr>
    </w:p>
    <w:p w14:paraId="09675CED" w14:textId="28A0118C" w:rsidR="00C7731B" w:rsidRPr="005C6E67" w:rsidRDefault="00C7731B" w:rsidP="00C7731B">
      <w:pPr>
        <w:spacing w:line="360" w:lineRule="auto"/>
        <w:rPr>
          <w:rFonts w:ascii="Times New Roman" w:hAnsi="Times New Roman" w:cs="Times New Roman"/>
          <w:i/>
          <w:u w:val="single"/>
        </w:rPr>
      </w:pPr>
      <w:r w:rsidRPr="005C6E67">
        <w:rPr>
          <w:rFonts w:ascii="Times New Roman" w:hAnsi="Times New Roman" w:cs="Times New Roman"/>
          <w:i/>
          <w:u w:val="single"/>
        </w:rPr>
        <w:t xml:space="preserve">Interactive Learning </w:t>
      </w:r>
    </w:p>
    <w:p w14:paraId="5D64B003" w14:textId="7251AD7C" w:rsidR="00C7731B" w:rsidRPr="00BA7968" w:rsidRDefault="00C7731B" w:rsidP="00C7731B">
      <w:pPr>
        <w:spacing w:line="360" w:lineRule="auto"/>
        <w:jc w:val="both"/>
        <w:rPr>
          <w:rFonts w:ascii="Times New Roman" w:hAnsi="Times New Roman" w:cs="Times New Roman"/>
        </w:rPr>
      </w:pPr>
      <w:r>
        <w:rPr>
          <w:rFonts w:ascii="Times New Roman" w:hAnsi="Times New Roman" w:cs="Times New Roman"/>
        </w:rPr>
        <w:t>I</w:t>
      </w:r>
      <w:r w:rsidRPr="00BA7968">
        <w:rPr>
          <w:rFonts w:ascii="Times New Roman" w:hAnsi="Times New Roman" w:cs="Times New Roman"/>
        </w:rPr>
        <w:t xml:space="preserve">nteractive learning practices </w:t>
      </w:r>
      <w:r>
        <w:rPr>
          <w:rFonts w:ascii="Times New Roman" w:hAnsi="Times New Roman" w:cs="Times New Roman"/>
        </w:rPr>
        <w:t xml:space="preserve">influence the success of </w:t>
      </w:r>
      <w:r w:rsidRPr="00BA7968">
        <w:rPr>
          <w:rFonts w:ascii="Times New Roman" w:hAnsi="Times New Roman" w:cs="Times New Roman"/>
        </w:rPr>
        <w:t xml:space="preserve">knowledge integration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"10.1016/j.jom.2010.02.001", "ISSN" : "0272-6963", "author" : [ { "dropping-particle" : "", "family" : "Azadegan", "given" : "Arash", "non-dropping-particle" : "", "parse-names" : false, "suffix" : "" }, { "dropping-particle" : "", "family" : "Dooley", "given" : "Kevin J", "non-dropping-particle" : "", "parse-names" : false, "suffix" : "" } ], "container-title" : "Journal of Operations Management", "id" : "ITEM-1", "issue" : "6", "issued" : { "date-parts" : [ [ "2010" ] ] }, "page" : "488-505", "title" : "Supplier innovativeness, organizational learning styles and manufacturer performance: An empirical assessment", "type" : "article-journal", "volume" : "28" }, "uris" : [ "http://www.mendeley.com/documents/?uuid=76afabba-f3c3-4fb5-8466-bb21870974dc" ] } ], "mendeley" : { "formattedCitation" : "(Azadegan &amp; Dooley, 2010)", "plainTextFormattedCitation" : "(Azadegan &amp; Dooley, 2010)", "previouslyFormattedCitation" : "(Azadegan &amp; Dooley, 2010)"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(Azadegan &amp; Dooley, 2010)</w:t>
      </w:r>
      <w:r w:rsidRPr="00BA7968">
        <w:rPr>
          <w:rFonts w:ascii="Times New Roman" w:hAnsi="Times New Roman" w:cs="Times New Roman"/>
        </w:rPr>
        <w:fldChar w:fldCharType="end"/>
      </w:r>
      <w:r w:rsidRPr="00BA7968">
        <w:rPr>
          <w:rFonts w:ascii="Times New Roman" w:hAnsi="Times New Roman" w:cs="Times New Roman"/>
        </w:rPr>
        <w:t xml:space="preserve">. Learning can be understood as a process of accumulating knowledge for the </w:t>
      </w:r>
      <w:r>
        <w:rPr>
          <w:rFonts w:ascii="Times New Roman" w:hAnsi="Times New Roman" w:cs="Times New Roman"/>
        </w:rPr>
        <w:t>company</w:t>
      </w:r>
      <w:r w:rsidRPr="00BA7968">
        <w:rPr>
          <w:rFonts w:ascii="Times New Roman" w:hAnsi="Times New Roman" w:cs="Times New Roman"/>
        </w:rPr>
        <w:t xml:space="preserve">. Scholars have characterized learning practices as being experience-driven and focused on enhancing organizational routines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"Eisenhardt", "given" : "Kathleen M", "non-dropping-particle" : "", "parse-names" : false, "suffix" : "" }, { "dropping-particle" : "", "family" : "Santos", "given" : "Filipe M", "non-dropping-particle" : "", "parse-names" : false, "suffix" : "" } ], "container-title" : "Handbook of strategy and management", "id" : "ITEM-1", "issued" : { "date-parts" : [ [ "2002" ] ] }, "page" : "139-164", "publisher" : "Sage London", "title" : "Knowledge-based view: A new theory of strategy", "type" : "article-journal", "volume" : "1" }, "uris" : [ "http://www.mendeley.com/documents/?uuid=d35ff688-185d-4701-b771-1d26f36d1c64" ] } ], "mendeley" : { "formattedCitation" : "(Eisenhardt &amp; Santos, 2002)", "plainTextFormattedCitation" : "(Eisenhardt &amp; Santos, 2002)", "previouslyFormattedCitation" : "(Eisenhardt &amp; Santos, 2002)"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(Eisenhardt &amp; Santos, 2002)</w:t>
      </w:r>
      <w:r w:rsidRPr="00BA7968">
        <w:rPr>
          <w:rFonts w:ascii="Times New Roman" w:hAnsi="Times New Roman" w:cs="Times New Roman"/>
        </w:rPr>
        <w:fldChar w:fldCharType="end"/>
      </w:r>
      <w:r w:rsidRPr="00BA7968">
        <w:rPr>
          <w:rFonts w:ascii="Times New Roman" w:hAnsi="Times New Roman" w:cs="Times New Roman"/>
        </w:rPr>
        <w:t xml:space="preserve"> and the organization’s knowledge repository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"Cohen", "given" : "Wesley M", "non-dropping-particle" : "", "parse-names" : false, "suffix" : "" }, { "dropping-particle" : "", "family" : "Levinthal", "given" : "Daniel A", "non-dropping-particle" : "", "parse-names" : false, "suffix" : "" } ], "container-title" : "Administrative Science Quarterly", "id" : "ITEM-1", "issue" : "1", "issued" : { "date-parts" : [ [ "1990" ] ] }, "page" : "128-152", "title" : "Absorptive Capacity: A New Perspective on Learning and Innovation", "type" : "article-journal", "volume" : "35" }, "uris" : [ "http://www.mendeley.com/documents/?uuid=bf1f5f2d-ebf2-4a94-9a4a-7eb7d729abc2" ] } ], "mendeley" : { "formattedCitation" : "(Cohen &amp; Levinthal, 1990)", "plainTextFormattedCitation" : "(Cohen &amp; Levinthal, 1990)", "previouslyFormattedCitation" : "(Cohen &amp; Levinthal, 1990)"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(Cohen &amp; Levinthal, 1990)</w:t>
      </w:r>
      <w:r w:rsidRPr="00BA7968">
        <w:rPr>
          <w:rFonts w:ascii="Times New Roman" w:hAnsi="Times New Roman" w:cs="Times New Roman"/>
        </w:rPr>
        <w:fldChar w:fldCharType="end"/>
      </w:r>
      <w:r w:rsidRPr="00BA7968">
        <w:rPr>
          <w:rFonts w:ascii="Times New Roman" w:hAnsi="Times New Roman" w:cs="Times New Roman"/>
        </w:rPr>
        <w:t xml:space="preserve">. Looking at industries characterized by complex, expanding, and dispersed knowledge, research suggests that innovation is originating from networks of learning rather than individual firms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"10.2307/2393988", "ISBN" : "0001-8392", "ISSN" : "0001-8392", "PMID" : "9606053202", "abstract" : "We argue in this paper that when the knowledge base of an industry is both complex and expanding and the sources of expertise are widely dispersed, the locus of innovation will be found in networks of learning, rather than in individual firms. The large-scale reliance on interorganizational collaborations in the biotechnology industry reflects a fundamental and pervasive concern with access to knowledge. We develop a network approach to organizational learning and derive firm-level, longitudinal hypotheses that link research and development alliances, experience with managing interfirm relationships, network position, rates of growth, and portfolios of collaborative activities. We test these hypotheses on a sample of dedicated biotechnology firms in the years 1990-1994. Results from pooled, within-firm, time series analyses support a learning view and have broad implications for future theoretical and empirical research on organizational networks and strategic alliances..", "author" : [ { "dropping-particle" : "", "family" : "Powell", "given" : "Walter W", "non-dropping-particle" : "", "parse-names" : false, "suffix" : "" }, { "dropping-particle" : "", "family" : "Koput", "given" : "Kenneth W", "non-dropping-particle" : "", "parse-names" : false, "suffix" : "" }, { "dropping-particle" : "", "family" : "Smith-Doerr", "given" : "Laurel", "non-dropping-particle" : "", "parse-names" : false, "suffix" : "" } ], "container-title" : "Administrative Science Quarterly", "id" : "ITEM-1", "issue" : "1", "issued" : { "date-parts" : [ [ "1996" ] ] }, "page" : "116-145", "title" : "Interorganizational Collaboration and the Locus of Innovation: Networks of Learning in Biotechnology", "type" : "article-journal", "volume" : "41" }, "uris" : [ "http://www.mendeley.com/documents/?uuid=a25d483b-654f-40c5-ab47-3e2db887d3ee" ] } ], "mendeley" : { "formattedCitation" : "(Powell et al., 1996)", "plainTextFormattedCitation" : "(Powell et al., 1996)", "previouslyFormattedCitation" : "(Powell et al., 1996)"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(Powell et al., 1996)</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Hence,</w:t>
      </w:r>
      <w:r w:rsidRPr="00BA7968">
        <w:rPr>
          <w:rFonts w:ascii="Times New Roman" w:hAnsi="Times New Roman" w:cs="Times New Roman"/>
        </w:rPr>
        <w:t xml:space="preserve"> the innovation sourcing process </w:t>
      </w:r>
      <w:r>
        <w:rPr>
          <w:rFonts w:ascii="Times New Roman" w:hAnsi="Times New Roman" w:cs="Times New Roman"/>
        </w:rPr>
        <w:t>involves</w:t>
      </w:r>
      <w:r w:rsidRPr="00BA7968">
        <w:rPr>
          <w:rFonts w:ascii="Times New Roman" w:hAnsi="Times New Roman" w:cs="Times New Roman"/>
        </w:rPr>
        <w:t xml:space="preserve"> not solely the </w:t>
      </w:r>
      <w:r>
        <w:rPr>
          <w:rFonts w:ascii="Times New Roman" w:hAnsi="Times New Roman" w:cs="Times New Roman"/>
        </w:rPr>
        <w:t>acquisition</w:t>
      </w:r>
      <w:r w:rsidRPr="00BA7968">
        <w:rPr>
          <w:rFonts w:ascii="Times New Roman" w:hAnsi="Times New Roman" w:cs="Times New Roman"/>
        </w:rPr>
        <w:t xml:space="preserve"> of “finished” knowledge from </w:t>
      </w:r>
      <w:r>
        <w:rPr>
          <w:rFonts w:ascii="Times New Roman" w:hAnsi="Times New Roman" w:cs="Times New Roman"/>
        </w:rPr>
        <w:t>suppliers</w:t>
      </w:r>
      <w:r w:rsidRPr="00BA7968">
        <w:rPr>
          <w:rFonts w:ascii="Times New Roman" w:hAnsi="Times New Roman" w:cs="Times New Roman"/>
        </w:rPr>
        <w:t xml:space="preserve"> but rather </w:t>
      </w:r>
      <w:r>
        <w:rPr>
          <w:rFonts w:ascii="Times New Roman" w:hAnsi="Times New Roman" w:cs="Times New Roman"/>
        </w:rPr>
        <w:t>implies effective</w:t>
      </w:r>
      <w:r w:rsidRPr="00BA7968">
        <w:rPr>
          <w:rFonts w:ascii="Times New Roman" w:hAnsi="Times New Roman" w:cs="Times New Roman"/>
        </w:rPr>
        <w:t xml:space="preserve"> learning processes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"10.5325/transportationj.52.4.0463", "ISBN" : "00411612 (ISSN)", "ISSN" : "00411612", "abstract" : "The purpose of this article is to review literature on interorganizational learning (IOL) and related constructs systematically to develop a theoretical model of IOL. An extensive and systematic literature review was undertaken in major logistics, supply chain, operations, and strategic management journals to identify theories in which a model of IOL could be grounded and to document major relationships related to the concepts of organizational learning and IOL. Using resource-based view, relational view, and knowledge-based view as the theoretical foundations, a conceptual model depicting IOL as a source of a competitive advantage was developed. The proposed theoretical framework suggests IOL can be used to develop capabilities such as innovation and flexibility that, in turn, lead to higher levels of logistics performance and contribute to a firm's competitive advantage. Supply chain orientation is an important antecedent to IOL, and cultural distance is an important moderator of IOL. This article contributes to the body of knowledge on IOL by positioning IOL within the framework of received theories and constructs. Implications for managers and several directions for future research are also identified. Copyright \u00a9 2013 The Pennsylvania State University, University Park, PA.", "author" : [ { "dropping-particle" : "", "family" : "Manuj", "given" : "Ila", "non-dropping-particle" : "", "parse-names" : false, "suffix" : "" }, { "dropping-particle" : "", "family" : "Omar", "given" : "Ayman", "non-dropping-particle" : "", "parse-names" : false, "suffix" : "" }, { "dropping-particle" : "", "family" : "Yazdanparast", "given" : "Atefeh", "non-dropping-particle" : "", "parse-names" : false, "suffix" : "" } ], "container-title" : "Transportation Journal", "id" : "ITEM-1", "issue" : "4", "issued" : { "date-parts" : [ [ "2013" ] ] }, "page" : "463-492", "title" : "The Quest for Competitive Advantage in Global Supply Chains: The Role of Interorganizational Learning", "type" : "article-journal", "volume" : "52" }, "uris" : [ "http://www.mendeley.com/documents/?uuid=bd0b4da5-e2a9-4934-9bd4-122614ad5b11" ] } ], "mendeley" : { "formattedCitation" : "(Manuj, Omar, &amp; Yazdanparast, 2013)", "plainTextFormattedCitation" : "(Manuj, Omar, &amp; Yazdanparast, 2013)", "previouslyFormattedCitation" : "(Manuj, Omar, &amp; Yazdanparast, 2013)"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(Manuj, Omar, &amp; Yazdanparast, 2013)</w:t>
      </w:r>
      <w:r w:rsidRPr="00BA7968">
        <w:rPr>
          <w:rFonts w:ascii="Times New Roman" w:hAnsi="Times New Roman" w:cs="Times New Roman"/>
        </w:rPr>
        <w:fldChar w:fldCharType="end"/>
      </w:r>
      <w:r w:rsidRPr="00BA7968">
        <w:rPr>
          <w:rFonts w:ascii="Times New Roman" w:hAnsi="Times New Roman" w:cs="Times New Roman"/>
        </w:rPr>
        <w:t xml:space="preserve">. In this regard, learning mechanisms form the essential operational routines for the innovation process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"10.1016/j.pursup.2012.01.001", "ISBN" : "1478-4092", "ISSN" : "14784092", "abstract" : "In this study we investigate the influence of subcontracting-in production related jobs, outsourcing and collaborations with non-supply chain partners on small manufacturing firms' operational innovation. Further, we investigate the mechanism through which these sourcing and collaborative strategies influence small firm performance by focusing on the potential mediating role of operational innovation in the relationships. The structural equation modeling analysis of data collected from 476 small manufacturing firms, suggests that outsourcing, subcontracting-in, and collaborations with non-supply chain partners are positively related to operational innovation. Further, the structural equation modeling results indicate that operational innovation fully mediates the influence that subcontracting-in has on financial performance but partially mediates the influence of outsourcing and collaborations with non-supply chain partners on small firm financial performance. Implications for theory and practice are discussed. ?? 2012.", "author" : [ { "dropping-particle" : "", "family" : "Oke", "given" : "Adegoke", "non-dropping-particle" : "", "parse-names" : false, "suffix" : "" }, { "dropping-particle" : "", "family" : "Kach", "given" : "Andrew", "non-dropping-particle" : "", "parse-names" : false, "suffix" : "" } ], "container-title" : "Journal of Purchasing and Supply Management", "id" : "ITEM-1", "issue" : "1", "issued" : { "date-parts" : [ [ "2012" ] ] }, "page" : "46-59", "title" : "Linking sourcing and collaborative strategies to financial performance: The role of operational innovation", "type" : "article-journal", "volume" : "18" }, "uris" : [ "http://www.mendeley.com/documents/?uuid=7eb04bd9-ebb7-4eb5-990a-278bc4389117" ] }, { "id" : "ITEM-2", "itemData" : { "DOI" : "10.1016/j.jbusres.2013.05.037", "ISBN" : "0148-2963", "ISSN" : "01482963", "abstract" : "According to the institution-based view, ownership type is a key variable affecting environment-strategy configurations. This study configures the mechanism in which ownership types (as an institutional factor) moderate the effect of innovation strategies on firms' innovation performance. An empirical analysis was conducted on Chinese hi-tech manufacturing firms, using information related to the innovation activities of 303 firms. The empirical results suggest that ownership type affects the positive relationship between three sources of innovation (internal R&amp;D activities, partnering with alliance partners, and partnering with universities) and innovation performance, as well as the negative relationship between external contracting and innovation performance (product or process innovation). The results imply that organizations doing business in China must be aware of the business environment that they intend to enter, especially if the intention is to develop new products or innovate current business processes. ?? 2013 Elsevier Inc.", "author" : [ { "dropping-particle" : "", "family" : "Jiang", "given" : "Ling (Alice)", "non-dropping-particle" : "", "parse-names" : false, "suffix" : "" }, { "dropping-particle" : "", "family" : "Waller", "given" : "David S.", "non-dropping-particle" : "", "parse-names" : false, "suffix" : "" }, { "dropping-particle" : "", "family" : "Cai", "given" : "Shaohan", "non-dropping-particle" : "", "parse-names" : false, "suffix" : "" } ], "container-title" : "Journal of Business Research", "id" : "ITEM-2", "issue" : "12", "issued" : { "date-parts" : [ [ "2013" ] ] }, "page" : "2473-2478", "title" : "Does ownership type matter for innovation? Evidence from China", "type" : "article-journal", "volume" : "66" }, "uris" : [ "http://www.mendeley.com/documents/?uuid=302f7676-eab1-4750-bdb9-fdf4d62efcd1" ] } ], "mendeley" : { "formattedCitation" : "(Jiang, Waller, &amp; Cai, 2013; Oke &amp; Kach, 2012)", "plainTextFormattedCitation" : "(Jiang, Waller, &amp; Cai, 2013; Oke &amp; Kach, 2012)", "previouslyFormattedCitation" : "(Jiang, Waller, &amp; Cai, 2013; Oke &amp; Kach,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(Jiang, Waller, &amp; Cai, 2013; Oke &amp; Kach, 2012)</w:t>
      </w:r>
      <w:r w:rsidRPr="00BA7968">
        <w:rPr>
          <w:rFonts w:ascii="Times New Roman" w:hAnsi="Times New Roman" w:cs="Times New Roman"/>
        </w:rPr>
        <w:fldChar w:fldCharType="end"/>
      </w:r>
      <w:r w:rsidRPr="00BA7968">
        <w:rPr>
          <w:rFonts w:ascii="Times New Roman" w:hAnsi="Times New Roman" w:cs="Times New Roman"/>
        </w:rPr>
        <w:t>. Inter</w:t>
      </w:r>
      <w:r w:rsidR="00EE5779">
        <w:rPr>
          <w:rFonts w:ascii="Times New Roman" w:hAnsi="Times New Roman" w:cs="Times New Roman"/>
        </w:rPr>
        <w:t>-</w:t>
      </w:r>
      <w:r w:rsidRPr="00BA7968">
        <w:rPr>
          <w:rFonts w:ascii="Times New Roman" w:hAnsi="Times New Roman" w:cs="Times New Roman"/>
        </w:rPr>
        <w:t>organizational learning</w:t>
      </w:r>
      <w:r>
        <w:rPr>
          <w:rFonts w:ascii="Times New Roman" w:hAnsi="Times New Roman" w:cs="Times New Roman"/>
        </w:rPr>
        <w:t xml:space="preserve"> practices</w:t>
      </w:r>
      <w:r w:rsidRPr="00BA7968">
        <w:rPr>
          <w:rFonts w:ascii="Times New Roman" w:hAnsi="Times New Roman" w:cs="Times New Roman"/>
        </w:rPr>
        <w:t xml:space="preserve"> </w:t>
      </w:r>
      <w:r>
        <w:rPr>
          <w:rFonts w:ascii="Times New Roman" w:hAnsi="Times New Roman" w:cs="Times New Roman"/>
        </w:rPr>
        <w:t>might be understood as a</w:t>
      </w:r>
      <w:r w:rsidRPr="00BA7968">
        <w:rPr>
          <w:rFonts w:ascii="Times New Roman" w:hAnsi="Times New Roman" w:cs="Times New Roman"/>
        </w:rPr>
        <w:t xml:space="preserve"> </w:t>
      </w:r>
      <w:r>
        <w:rPr>
          <w:rFonts w:ascii="Times New Roman" w:hAnsi="Times New Roman" w:cs="Times New Roman"/>
        </w:rPr>
        <w:t>critical enabler</w:t>
      </w:r>
      <w:r w:rsidRPr="00BA7968">
        <w:rPr>
          <w:rFonts w:ascii="Times New Roman" w:hAnsi="Times New Roman" w:cs="Times New Roman"/>
        </w:rPr>
        <w:t xml:space="preserve"> for creating new organizational capabilities, </w:t>
      </w:r>
      <w:r>
        <w:rPr>
          <w:rFonts w:ascii="Times New Roman" w:hAnsi="Times New Roman" w:cs="Times New Roman"/>
        </w:rPr>
        <w:t>resulting in</w:t>
      </w:r>
      <w:r w:rsidRPr="00BA7968">
        <w:rPr>
          <w:rFonts w:ascii="Times New Roman" w:hAnsi="Times New Roman" w:cs="Times New Roman"/>
        </w:rPr>
        <w:t xml:space="preserve"> a competitive advantage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"id" : "ITEM-2", "itemData" : { "DOI" : "10.5325/transportationj.52.4.0463", "ISBN" : "00411612 (ISSN)", "ISSN" : "00411612", "abstract" : "The purpose of this article is to review literature on interorganizational learning (IOL) and related constructs systematically to develop a theoretical model of IOL. An extensive and systematic literature review was undertaken in major logistics, supply chain, operations, and strategic management journals to identify theories in which a model of IOL could be grounded and to document major relationships related to the concepts of organizational learning and IOL. Using resource-based view, relational view, and knowledge-based view as the theoretical foundations, a conceptual model depicting IOL as a source of a competitive advantage was developed. The proposed theoretical framework suggests IOL can be used to develop capabilities such as innovation and flexibility that, in turn, lead to higher levels of logistics performance and contribute to a firm's competitive advantage. Supply chain orientation is an important antecedent to IOL, and cultural distance is an important moderator of IOL. This article contributes to the body of knowledge on IOL by positioning IOL within the framework of received theories and constructs. Implications for managers and several directions for future research are also identified. Copyright \u00a9 2013 The Pennsylvania State University, University Park, PA.", "author" : [ { "dropping-particle" : "", "family" : "Manuj", "given" : "Ila", "non-dropping-particle" : "", "parse-names" : false, "suffix" : "" }, { "dropping-particle" : "", "family" : "Omar", "given" : "Ayman", "non-dropping-particle" : "", "parse-names" : false, "suffix" : "" }, { "dropping-particle" : "", "family" : "Yazdanparast", "given" : "Atefeh", "non-dropping-particle" : "", "parse-names" : false, "suffix" : "" } ], "container-title" : "Transportation Journal", "id" : "ITEM-2", "issue" : "4", "issued" : { "date-parts" : [ [ "2013" ] ] }, "page" : "463-492", "title" : "The Quest for Competitive Advantage in Global Supply Chains: The Role of Interorganizational Learning", "type" : "article-journal", "volume" : "52" }, "uris" : [ "http://www.mendeley.com/documents/?uuid=bd0b4da5-e2a9-4934-9bd4-122614ad5b11" ] } ], "mendeley" : { "formattedCitation" : "(Manuj et al., 2013; Marsh &amp; Stock, 2006)", "plainTextFormattedCitation" : "(Manuj et al., 2013; Marsh &amp; Stock, 2006)", "previouslyFormattedCitation" : "(Manuj et al., 2013;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(Manuj et al., 2013; Marsh &amp; Stock, 2006)</w:t>
      </w:r>
      <w:r w:rsidRPr="00BA7968">
        <w:rPr>
          <w:rFonts w:ascii="Times New Roman" w:hAnsi="Times New Roman" w:cs="Times New Roman"/>
        </w:rPr>
        <w:fldChar w:fldCharType="end"/>
      </w:r>
      <w:r w:rsidRPr="00BA7968">
        <w:rPr>
          <w:rFonts w:ascii="Times New Roman" w:hAnsi="Times New Roman" w:cs="Times New Roman"/>
        </w:rPr>
        <w:t xml:space="preserve">. </w:t>
      </w:r>
    </w:p>
    <w:p w14:paraId="7AC13A9A"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How </w:t>
      </w:r>
      <w:r>
        <w:rPr>
          <w:rFonts w:ascii="Times New Roman" w:hAnsi="Times New Roman" w:cs="Times New Roman"/>
        </w:rPr>
        <w:t>does interactive learning facilitate</w:t>
      </w:r>
      <w:r w:rsidRPr="00BA7968">
        <w:rPr>
          <w:rFonts w:ascii="Times New Roman" w:hAnsi="Times New Roman" w:cs="Times New Roman"/>
        </w:rPr>
        <w:t xml:space="preserve"> the </w:t>
      </w:r>
      <w:r>
        <w:rPr>
          <w:rFonts w:ascii="Times New Roman" w:hAnsi="Times New Roman" w:cs="Times New Roman"/>
        </w:rPr>
        <w:t xml:space="preserve">companies strive for </w:t>
      </w:r>
      <w:r w:rsidRPr="00BA7968">
        <w:rPr>
          <w:rFonts w:ascii="Times New Roman" w:hAnsi="Times New Roman" w:cs="Times New Roman"/>
        </w:rPr>
        <w:t xml:space="preserve">innovation? </w:t>
      </w:r>
      <w:r>
        <w:rPr>
          <w:rFonts w:ascii="Times New Roman" w:hAnsi="Times New Roman" w:cs="Times New Roman"/>
        </w:rPr>
        <w:t>For example, effective learning practices should assist in</w:t>
      </w:r>
      <w:r w:rsidRPr="00BA7968">
        <w:rPr>
          <w:rFonts w:ascii="Times New Roman" w:hAnsi="Times New Roman" w:cs="Times New Roman"/>
        </w:rPr>
        <w:t xml:space="preserve"> integrat</w:t>
      </w:r>
      <w:r>
        <w:rPr>
          <w:rFonts w:ascii="Times New Roman" w:hAnsi="Times New Roman" w:cs="Times New Roman"/>
        </w:rPr>
        <w:t>ing</w:t>
      </w:r>
      <w:r w:rsidRPr="00BA7968">
        <w:rPr>
          <w:rFonts w:ascii="Times New Roman" w:hAnsi="Times New Roman" w:cs="Times New Roman"/>
        </w:rPr>
        <w:t xml:space="preserve"> knowledge more quickly and effectively and </w:t>
      </w:r>
      <w:r>
        <w:rPr>
          <w:rFonts w:ascii="Times New Roman" w:hAnsi="Times New Roman" w:cs="Times New Roman"/>
        </w:rPr>
        <w:t xml:space="preserve">thus </w:t>
      </w:r>
      <w:r w:rsidRPr="00BA7968">
        <w:rPr>
          <w:rFonts w:ascii="Times New Roman" w:hAnsi="Times New Roman" w:cs="Times New Roman"/>
        </w:rPr>
        <w:t xml:space="preserve">enhance the knowledge assimilation and retention </w:t>
      </w:r>
      <w:r>
        <w:rPr>
          <w:rFonts w:ascii="Times New Roman" w:hAnsi="Times New Roman" w:cs="Times New Roman"/>
        </w:rPr>
        <w:t>capabilities</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(Marsh &amp; Stock, 2006)</w:t>
      </w:r>
      <w:r w:rsidRPr="00BA7968">
        <w:rPr>
          <w:rFonts w:ascii="Times New Roman" w:hAnsi="Times New Roman" w:cs="Times New Roman"/>
        </w:rPr>
        <w:fldChar w:fldCharType="end"/>
      </w:r>
      <w:r w:rsidRPr="00BA7968">
        <w:rPr>
          <w:rFonts w:ascii="Times New Roman" w:hAnsi="Times New Roman" w:cs="Times New Roman"/>
        </w:rPr>
        <w:t xml:space="preserve">. Essential aspects include operational routines to capture relevant knowledge, which then facilitates the internal knowledge absorption and exploitation process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"Zahra", "given" : "Shaker A", "non-dropping-particle" : "", "parse-names" : false, "suffix" : "" }, { "dropping-particle" : "", "family" : "George", "given" : "Gerard", "non-dropping-particle" : "", "parse-names" : false, "suffix" : "" } ], "container-title" : "Academy of Management Review", "id" : "ITEM-1", "issue" : "2", "issued" : { "date-parts" : [ [ "2002" ] ] }, "page" : "185-203", "title" : "Absorptive Capacity: A Review , Reconceptualization, and Extension", "type" : "article-journal", "volume" : "27" }, "uris" : [ "http://www.mendeley.com/documents/?uuid=d1ea9ea7-0bd1-4084-933c-9a10ea84787f" ] }, { "id" : "ITEM-2", "itemData" : { "DOI" : "10.1111/j.1540-5885.2008.00315.x", "ISBN" : "07376782", "ISSN" : "07376782", "PMID" : "33334669", "abstract" : "Numerous publications are dedicated to absorptive capacity and new product development (NPD). Most are centered on the recipient team, and very few consider the effects of the source team knowledge characteristics on the knowledge absorption and the NPD performance. This paper analyzes the type of the external knowledge sourced from outside the organization and the process through which it is used by the recipient firm and the effect on NPD performance. This is done through a specific type of source team knowledge, the design, and through the NPD process in industries (clothing and construction) where it plays a key role. NPD cases were analyzed and clustered in three categories of design absorption processes. From these categories, a conceptual framework of the source-recipient knowledge complementarity and its impact on the NPD performance is proposed. The main result is that the complementarity between the recipient and the source knowledge is a critical aspect of the absorption process and therefore of the NPD performance. From a managerial perspective, this research highlights the role of design in the NPD process and how the combination of design knowledge with prior knowledge (marketing or technological) is related to NPD performance. [PUBLICATION ABSTRACT]", "author" : [ { "dropping-particle" : "", "family" : "Abecassis-Moedas", "given" : "Celine", "non-dropping-particle" : "", "parse-names" : false, "suffix" : "" }, { "dropping-particle" : "Ben", "family" : "Mahmoud-Jouini", "given" : "Sihem", "non-dropping-particle" : "", "parse-names" : false, "suffix" : "" } ], "container-title" : "Journal of Product Innovation Management", "id" : "ITEM-2", "issue" : "5", "issued" : { "date-parts" : [ [ "2008" ] ] }, "page" : "473-490", "title" : "Absorptive capacity and source-recipient complementarity in designing new products: An empirically derived framework", "type" : "article-journal", "volume" : "25" }, "uris" : [ "http://www.mendeley.com/documents/?uuid=7d3399e2-7c34-45ce-9953-5b214c610b36" ] } ], "mendeley" : { "formattedCitation" : "(Abecassis-Moedas &amp; Mahmoud-Jouini, 2008; Zahra &amp; George, 2002)", "plainTextFormattedCitation" : "(Abecassis-Moedas &amp; Mahmoud-Jouini, 2008; Zahra &amp; George, 2002)", "previouslyFormattedCitation" : "(Abecassis-Moedas &amp; Mahmoud-Jouini, 2008; Zahra &amp; George, 2002)"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(Abecassis-Moedas &amp; Mahmoud-Jouini, 2008; Zahra &amp; George, 2002)</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Overall, three practices of e</w:t>
      </w:r>
      <w:r w:rsidRPr="00BA7968">
        <w:rPr>
          <w:rFonts w:ascii="Times New Roman" w:hAnsi="Times New Roman" w:cs="Times New Roman"/>
        </w:rPr>
        <w:t xml:space="preserve">xternal knowledge integration </w:t>
      </w:r>
      <w:r>
        <w:rPr>
          <w:rFonts w:ascii="Times New Roman" w:hAnsi="Times New Roman" w:cs="Times New Roman"/>
        </w:rPr>
        <w:t xml:space="preserve">were introduced. This cross-organizational integration </w:t>
      </w:r>
      <w:r w:rsidRPr="00BA7968">
        <w:rPr>
          <w:rFonts w:ascii="Times New Roman" w:hAnsi="Times New Roman" w:cs="Times New Roman"/>
        </w:rPr>
        <w:t xml:space="preserve">with various providers of valuable, non-redundant knowledge </w:t>
      </w:r>
      <w:r>
        <w:rPr>
          <w:rFonts w:ascii="Times New Roman" w:hAnsi="Times New Roman" w:cs="Times New Roman"/>
        </w:rPr>
        <w:t>can be understood</w:t>
      </w:r>
      <w:r w:rsidRPr="00BA7968">
        <w:rPr>
          <w:rFonts w:ascii="Times New Roman" w:hAnsi="Times New Roman" w:cs="Times New Roman"/>
        </w:rPr>
        <w:t xml:space="preserve"> as a fundamental dimension of the innovation sourcing concept. In summary, all three external knowledge integration </w:t>
      </w:r>
      <w:r>
        <w:rPr>
          <w:rFonts w:ascii="Times New Roman" w:hAnsi="Times New Roman" w:cs="Times New Roman"/>
        </w:rPr>
        <w:t>practices</w:t>
      </w:r>
      <w:r w:rsidRPr="00BA7968">
        <w:rPr>
          <w:rFonts w:ascii="Times New Roman" w:hAnsi="Times New Roman" w:cs="Times New Roman"/>
        </w:rPr>
        <w:t xml:space="preserve"> </w:t>
      </w:r>
      <w:r>
        <w:rPr>
          <w:rFonts w:ascii="Times New Roman" w:hAnsi="Times New Roman" w:cs="Times New Roman"/>
        </w:rPr>
        <w:t xml:space="preserve">positively </w:t>
      </w:r>
      <w:r w:rsidRPr="00BA7968">
        <w:rPr>
          <w:rFonts w:ascii="Times New Roman" w:hAnsi="Times New Roman" w:cs="Times New Roman"/>
        </w:rPr>
        <w:t>influence innovation sourcing, which leads to the first research proposition:</w:t>
      </w:r>
    </w:p>
    <w:p w14:paraId="61F22C24" w14:textId="77777777" w:rsidR="00C7731B" w:rsidRPr="00BA7968" w:rsidRDefault="00C7731B" w:rsidP="00C7731B">
      <w:pPr>
        <w:spacing w:line="360" w:lineRule="auto"/>
        <w:rPr>
          <w:rFonts w:ascii="Times New Roman" w:hAnsi="Times New Roman" w:cs="Times New Roman"/>
          <w:highlight w:val="yellow"/>
        </w:rPr>
      </w:pPr>
    </w:p>
    <w:p w14:paraId="22944735" w14:textId="77777777" w:rsidR="00C7731B" w:rsidRPr="00BA7968" w:rsidRDefault="00C7731B" w:rsidP="00C7731B">
      <w:pPr>
        <w:spacing w:line="360" w:lineRule="auto"/>
        <w:jc w:val="both"/>
        <w:rPr>
          <w:rFonts w:ascii="Times New Roman" w:hAnsi="Times New Roman" w:cs="Times New Roman"/>
          <w:b/>
        </w:rPr>
      </w:pPr>
      <w:r>
        <w:rPr>
          <w:rFonts w:ascii="Times New Roman" w:hAnsi="Times New Roman" w:cs="Times New Roman"/>
          <w:b/>
        </w:rPr>
        <w:lastRenderedPageBreak/>
        <w:t xml:space="preserve">Proposition </w:t>
      </w:r>
      <w:r w:rsidRPr="00BA7968">
        <w:rPr>
          <w:rFonts w:ascii="Times New Roman" w:hAnsi="Times New Roman" w:cs="Times New Roman"/>
          <w:b/>
        </w:rPr>
        <w:t>P</w:t>
      </w:r>
      <w:r w:rsidRPr="00BA7968">
        <w:rPr>
          <w:rFonts w:ascii="Times New Roman" w:hAnsi="Times New Roman" w:cs="Times New Roman"/>
          <w:b/>
          <w:vertAlign w:val="subscript"/>
        </w:rPr>
        <w:t>1</w:t>
      </w:r>
      <w:r w:rsidRPr="00BA7968">
        <w:rPr>
          <w:rFonts w:ascii="Times New Roman" w:hAnsi="Times New Roman" w:cs="Times New Roman"/>
          <w:b/>
        </w:rPr>
        <w:t xml:space="preserve">: </w:t>
      </w:r>
      <w:r>
        <w:rPr>
          <w:rFonts w:ascii="Times New Roman" w:hAnsi="Times New Roman" w:cs="Times New Roman"/>
          <w:b/>
        </w:rPr>
        <w:t>E</w:t>
      </w:r>
      <w:r w:rsidRPr="00BA7968">
        <w:rPr>
          <w:rFonts w:ascii="Times New Roman" w:hAnsi="Times New Roman" w:cs="Times New Roman"/>
          <w:b/>
        </w:rPr>
        <w:t xml:space="preserve">xternal knowledge integration is </w:t>
      </w:r>
      <w:r>
        <w:rPr>
          <w:rFonts w:ascii="Times New Roman" w:hAnsi="Times New Roman" w:cs="Times New Roman"/>
          <w:b/>
        </w:rPr>
        <w:t xml:space="preserve">positively </w:t>
      </w:r>
      <w:r w:rsidRPr="00BA7968">
        <w:rPr>
          <w:rFonts w:ascii="Times New Roman" w:hAnsi="Times New Roman" w:cs="Times New Roman"/>
          <w:b/>
        </w:rPr>
        <w:t xml:space="preserve">associated with </w:t>
      </w:r>
      <w:r>
        <w:rPr>
          <w:rFonts w:ascii="Times New Roman" w:hAnsi="Times New Roman" w:cs="Times New Roman"/>
          <w:b/>
        </w:rPr>
        <w:t>the</w:t>
      </w:r>
      <w:r w:rsidRPr="00BA7968">
        <w:rPr>
          <w:rFonts w:ascii="Times New Roman" w:hAnsi="Times New Roman" w:cs="Times New Roman"/>
          <w:b/>
        </w:rPr>
        <w:t xml:space="preserve"> level of innovation sourcing.</w:t>
      </w:r>
    </w:p>
    <w:p w14:paraId="2D7C85D6" w14:textId="77777777" w:rsidR="00C7731B" w:rsidRPr="00BA7968" w:rsidRDefault="00C7731B" w:rsidP="00C7731B">
      <w:pPr>
        <w:spacing w:line="360" w:lineRule="auto"/>
        <w:rPr>
          <w:rFonts w:ascii="Times New Roman" w:hAnsi="Times New Roman" w:cs="Times New Roman"/>
          <w:b/>
        </w:rPr>
      </w:pPr>
    </w:p>
    <w:p w14:paraId="1D272475" w14:textId="324F9FE6" w:rsidR="00C7731B" w:rsidRPr="00F31AB0" w:rsidRDefault="00C7731B" w:rsidP="00F31AB0">
      <w:pPr>
        <w:pStyle w:val="Heading3new"/>
      </w:pPr>
      <w:r w:rsidRPr="00F31AB0">
        <w:t>Internal Knowledge Integration</w:t>
      </w:r>
    </w:p>
    <w:p w14:paraId="01AE5B73"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Internal knowledge integration refers to two main categories. The first is an internal knowledge absorption process, and the second is knowledge resource management and cross-functional integration. While innovation sourcing from various external sources is an increasing trend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"The use of external sources for help with innovation is becoming increasingly prevalent. Rather than take an ad hoc approach, companies should develop a sourcing blueprint to obtain the consistent results they need.", "author" : [ { "dropping-particle" : "", "family" : "Linder", "given" : "Jane C.", "non-dropping-particle" : "", "parse-names" : false, "suffix" : "" }, { "dropping-particle" : "", "family" : "Jarvenpaa", "given" : "Sirkka", "non-dropping-particle" : "", "parse-names" : false, "suffix" : "" }, { "dropping-particle" : "", "family" : "Davenport", "given" : "Thomas H", "non-dropping-particle" : "", "parse-names" : false, "suffix" : "" } ], "container-title" : "MIT Sloan Management Review", "id" : "ITEM-1", "issue" : "4", "issued" : { "date-parts" : [ [ "2003" ] ] }, "page" : "43-49", "title" : "Toward an Innovation Sourcing Strategy", "type" : "article-journal", "volume" : "44" }, "uris" : [ "http://www.mendeley.com/documents/?uuid=27716433-2c9a-4fff-a9cf-14ca207837a8" ] } ], "mendeley" : { "formattedCitation" : "(Linder et al., 2003)", "plainTextFormattedCitation" : "(Linder et al., 2003)", "previouslyFormattedCitation" : "(Linder et al., 2003)"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(Linder et al., 2003)</w:t>
      </w:r>
      <w:r w:rsidRPr="00BA7968">
        <w:rPr>
          <w:rFonts w:ascii="Times New Roman" w:hAnsi="Times New Roman" w:cs="Times New Roman"/>
        </w:rPr>
        <w:fldChar w:fldCharType="end"/>
      </w:r>
      <w:r w:rsidRPr="00BA7968">
        <w:rPr>
          <w:rFonts w:ascii="Times New Roman" w:hAnsi="Times New Roman" w:cs="Times New Roman"/>
        </w:rPr>
        <w:t xml:space="preserve">, organizations need to maintain a sufficient level of internal R&amp;D capabilities in-house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"10.1016/j.respol.2008.10.007", "author" : [ { "dropping-particle" : "", "family" : "Tsai", "given" : "Kuen-hung", "non-dropping-particle" : "", "parse-names" : false, "suffix" : "" }, { "dropping-particle" : "", "family" : "Wang", "given" : "Jiann-chyuan", "non-dropping-particle" : "", "parse-names" : false, "suffix" : "" } ], "container-title" : "Research Policy", "id" : "ITEM-1", "issued" : { "date-parts" : [ [ "2009" ] ] }, "page" : "518-526", "title" : "External technology sourcing and innovation performance in LMT sectors: An analysis based on the Taiwanese Technological Innovation Survey", "type" : "article-journal", "volume" : "38" }, "uris" : [ "http://www.mendeley.com/documents/?uuid=32481df5-ec6e-43bb-9033-6939f8426824" ] } ], "mendeley" : { "formattedCitation" : "(Tsai &amp; Wang, 2009)", "plainTextFormattedCitation" : "(Tsai &amp; Wang, 2009)", "previouslyFormattedCitation" : "(Tsai &amp; Wang,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(Tsai &amp; Wang, 2009)</w:t>
      </w:r>
      <w:r w:rsidRPr="00BA7968">
        <w:rPr>
          <w:rFonts w:ascii="Times New Roman" w:hAnsi="Times New Roman" w:cs="Times New Roman"/>
        </w:rPr>
        <w:fldChar w:fldCharType="end"/>
      </w:r>
      <w:r w:rsidRPr="00BA7968">
        <w:rPr>
          <w:rFonts w:ascii="Times New Roman" w:hAnsi="Times New Roman" w:cs="Times New Roman"/>
        </w:rPr>
        <w:t xml:space="preserve">. Firms cannot simply acquire only external knowledge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"ITEM-1",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"mendeley" : { "formattedCitation" : "(J. Chen et al., 2011)", "plainTextFormattedCitation" : "(J. Chen et al., 2011)", "previouslyFormattedCitation" : "(J. Chen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(J. Chen et al., 2011)</w:t>
      </w:r>
      <w:r w:rsidRPr="00BA7968">
        <w:rPr>
          <w:rFonts w:ascii="Times New Roman" w:hAnsi="Times New Roman" w:cs="Times New Roman"/>
        </w:rPr>
        <w:fldChar w:fldCharType="end"/>
      </w:r>
      <w:r w:rsidRPr="00BA7968">
        <w:rPr>
          <w:rFonts w:ascii="Times New Roman" w:hAnsi="Times New Roman" w:cs="Times New Roman"/>
        </w:rPr>
        <w:t xml:space="preserve">. External and internal knowledge integration activities are complementary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"ITEM-1", "issue" : "1", "issued" : { "date-parts" : [ [ "2006" ] ] }, "page" : "68-82", "title" : "In Search of Complementarity in Innovation Strategy: Internal R&amp;D and External Knowledge Acquisition", "type" : "article-journal", "volume" : "52" }, "uris" : [ "http://www.mendeley.com/documents/?uuid=e3cb49dc-e5f8-42f4-a0f3-7ec7ae458508" ] } ], "mendeley" : { "formattedCitation" : "(Cassiman &amp; Veugelers, 2006)", "plainTextFormattedCitation" : "(Cassiman &amp; Veugelers, 2006)", "previouslyFormattedCitation" : "(Cassiman &amp; Veugelers,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(Cassiman &amp; Veugelers, 2006)</w:t>
      </w:r>
      <w:r w:rsidRPr="00BA7968">
        <w:rPr>
          <w:rFonts w:ascii="Times New Roman" w:hAnsi="Times New Roman" w:cs="Times New Roman"/>
        </w:rPr>
        <w:fldChar w:fldCharType="end"/>
      </w:r>
      <w:r w:rsidRPr="00BA7968">
        <w:rPr>
          <w:rFonts w:ascii="Times New Roman" w:hAnsi="Times New Roman" w:cs="Times New Roman"/>
        </w:rPr>
        <w:t xml:space="preserve">. On one hand, external technology sources might lack the essential “local or contextual knowledge of markets, supply chains, and </w:t>
      </w:r>
      <w:r>
        <w:rPr>
          <w:rFonts w:ascii="Times New Roman" w:hAnsi="Times New Roman" w:cs="Times New Roman"/>
        </w:rPr>
        <w:t>organization</w:t>
      </w:r>
      <w:r w:rsidRPr="00BA7968">
        <w:rPr>
          <w:rFonts w:ascii="Times New Roman" w:hAnsi="Times New Roman" w:cs="Times New Roman"/>
        </w:rPr>
        <w:t xml:space="preserve"> specific factors”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"10.1016/j.respol.2008.04.003", "ISBN" : "0048-7333", "ISSN" : "00487333", "abstract" : "This paper explores the use of specialist knowledge providers as sources of information in the innovation activities of manufacturing and service firms. Specialist knowledge providers are consultancies, private research organisations and the public science-base (i.e., universities and the government research laboratories). These may be engaged by firms in co-operative arrangement for innovation or as informal sources of information. We find, as anticipated, that amongst other factors specialist knowledge providers are more likely to be engaged by firms with more open approaches to innovation, those with high levels of absorptive capacity, those with greater social capital and networking capabilities, as well as by those with deeper commitments to innovation. Overall, the use of specialist knowledge providers tends to complement firms' own internal innovation activities and to complement other external sources of knowledge. Moreover, the individual types of specialist knowledge providers tend to complement rather than substitute for one another. Beyond this we find significant differences in the types of specialist knowledge providers used by manufacturing and service firms. Although service firms are more likely than manufacturers to use specialist knowledge providers, they are more likely to engage consultants, whilst their links with research-based organisations, including the public science-base, are weaker. We ask whether there is a case for increasing the extent to which the public science-base undertakes activities that are relevant to innovation in the services. ?? 2008 Elsevier B.V. All rights reserved.", "author" : [ { "dropping-particle" : "", "family" : "Tether", "given" : "Bruce S.", "non-dropping-particle" : "", "parse-names" : false, "suffix" : "" }, { "dropping-particle" : "", "family" : "Tajar", "given" : "Abdelouahid", "non-dropping-particle" : "", "parse-names" : false, "suffix" : "" } ], "container-title" : "Research Policy", "id" : "ITEM-1", "issue" : "6-7", "issued" : { "date-parts" : [ [ "2008" ] ] }, "page" : "1079-1095", "title" : "Beyond industry-university links: Sourcing knowledge for innovation from consultants, private research organisations and the public science-base", "type" : "article-journal", "volume" : "37" }, "uris" : [ "http://www.mendeley.com/documents/?uuid=a01ede38-b5b5-4378-a02c-9d62f6782527" ] } ], "mendeley" : { "formattedCitation" : "(Tether &amp; Tajar, 2008)", "plainTextFormattedCitation" : "(Tether &amp; Tajar, 2008)", "previouslyFormattedCitation" : "(Tether &amp; Tajar, 2008)"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(Tether &amp; Tajar, 2008)</w:t>
      </w:r>
      <w:r w:rsidRPr="00BA7968">
        <w:rPr>
          <w:rFonts w:ascii="Times New Roman" w:hAnsi="Times New Roman" w:cs="Times New Roman"/>
        </w:rPr>
        <w:fldChar w:fldCharType="end"/>
      </w:r>
      <w:r w:rsidRPr="00BA7968">
        <w:rPr>
          <w:rFonts w:ascii="Times New Roman" w:hAnsi="Times New Roman" w:cs="Times New Roman"/>
        </w:rPr>
        <w:t>. On the other hand, the focal</w:t>
      </w:r>
      <w:r>
        <w:rPr>
          <w:rFonts w:ascii="Times New Roman" w:hAnsi="Times New Roman" w:cs="Times New Roman"/>
        </w:rPr>
        <w:t xml:space="preserve"> firm</w:t>
      </w:r>
      <w:r w:rsidRPr="00BA7968">
        <w:rPr>
          <w:rFonts w:ascii="Times New Roman" w:hAnsi="Times New Roman" w:cs="Times New Roman"/>
        </w:rPr>
        <w:t xml:space="preserve"> needs to maintain the capabilities of evaluating the external knowledge and then amending its internal technological base through effective knowledge integration practices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(Marsh &amp; Stock, 2006)</w:t>
      </w:r>
      <w:r w:rsidRPr="00BA7968">
        <w:rPr>
          <w:rFonts w:ascii="Times New Roman" w:hAnsi="Times New Roman" w:cs="Times New Roman"/>
        </w:rPr>
        <w:fldChar w:fldCharType="end"/>
      </w:r>
      <w:r w:rsidRPr="00BA7968">
        <w:rPr>
          <w:rFonts w:ascii="Times New Roman" w:hAnsi="Times New Roman" w:cs="Times New Roman"/>
        </w:rPr>
        <w:t xml:space="preserve">. This adaptation necessitates an effective knowledge integration competence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"Bierly", "given" : "Paul E", "non-dropping-particle" : "", "parse-names" : false, "suffix" : "" }, { "dropping-particle" : "", "family" : "Damanpour", "given" : "Fariborz", "non-dropping-particle" : "", "parse-names" : false, "suffix" : "" }, { "dropping-particle" : "", "family" : "Santoro", "given" : "Michael D", "non-dropping-particle" : "", "parse-names" : false, "suffix" : "" } ], "container-title" : "Journal of Management Studies", "id" : "ITEM-1", "issue" : "3", "issued" : { "date-parts" : [ [ "2009" ] ] }, "page" : "481-509", "title" : "The Application of External Knowledge: Organizational Conditions for Exploration and Exploitation", "type" : "article-journal", "volume" : "46" }, "uris" : [ "http://www.mendeley.com/documents/?uuid=10a7c45e-9031-424a-ba92-962f57f883e8" ] } ], "mendeley" : { "formattedCitation" : "(Bierly et al., 2009)", "plainTextFormattedCitation" : "(Bierly et al., 2009)", "previouslyFormattedCitation" : "(Bierly et al.,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(Bierly et al., 2009)</w:t>
      </w:r>
      <w:r w:rsidRPr="00BA7968">
        <w:rPr>
          <w:rFonts w:ascii="Times New Roman" w:hAnsi="Times New Roman" w:cs="Times New Roman"/>
        </w:rPr>
        <w:fldChar w:fldCharType="end"/>
      </w:r>
      <w:r w:rsidRPr="00BA7968">
        <w:rPr>
          <w:rFonts w:ascii="Times New Roman" w:hAnsi="Times New Roman" w:cs="Times New Roman"/>
        </w:rPr>
        <w:t>.</w:t>
      </w:r>
    </w:p>
    <w:p w14:paraId="18F6EE12" w14:textId="77777777" w:rsidR="00C7731B" w:rsidRPr="00BA7968" w:rsidRDefault="00C7731B" w:rsidP="00C7731B">
      <w:pPr>
        <w:spacing w:line="360" w:lineRule="auto"/>
        <w:rPr>
          <w:rFonts w:ascii="Times New Roman" w:hAnsi="Times New Roman" w:cs="Times New Roman"/>
        </w:rPr>
      </w:pPr>
    </w:p>
    <w:p w14:paraId="5417F139" w14:textId="02901D60" w:rsidR="00C7731B" w:rsidRPr="00F31AB0" w:rsidRDefault="00C7731B" w:rsidP="00C7731B">
      <w:pPr>
        <w:spacing w:line="360" w:lineRule="auto"/>
        <w:rPr>
          <w:rFonts w:ascii="Times New Roman" w:hAnsi="Times New Roman" w:cs="Times New Roman"/>
          <w:i/>
          <w:u w:val="single"/>
        </w:rPr>
      </w:pPr>
      <w:r w:rsidRPr="00F31AB0">
        <w:rPr>
          <w:rFonts w:ascii="Times New Roman" w:hAnsi="Times New Roman" w:cs="Times New Roman"/>
          <w:i/>
          <w:u w:val="single"/>
        </w:rPr>
        <w:t>Knowledge Absorption</w:t>
      </w:r>
    </w:p>
    <w:p w14:paraId="358DE988"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In the literature, absorptive capacity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"Cohen", "given" : "Wesley M", "non-dropping-particle" : "", "parse-names" : false, "suffix" : "" }, { "dropping-particle" : "", "family" : "Levinthal", "given" : "Daniel A", "non-dropping-particle" : "", "parse-names" : false, "suffix" : "" } ], "container-title" : "Administrative Science Quarterly", "id" : "ITEM-1", "issue" : "1", "issued" : { "date-parts" : [ [ "1990" ] ] }, "page" : "128-152", "title" : "Absorptive Capacity: A New Perspective on Learning and Innovation", "type" : "article-journal", "volume" : "35" }, "uris" : [ "http://www.mendeley.com/documents/?uuid=bf1f5f2d-ebf2-4a94-9a4a-7eb7d729abc2" ] } ], "mendeley" : { "formattedCitation" : "(Cohen &amp; Levinthal, 1990)", "manualFormatting" : "(Cohen and Levinthal 1990)", "plainTextFormattedCitation" : "(Cohen &amp; Levinthal, 1990)", "previouslyFormattedCitation" : "(Cohen &amp; Levinthal, 1990)" }, "properties" : { "noteIndex" : 0 }, "schema" : "https://github.com/citation-style-language/schema/raw/master/csl-citation.json" }</w:instrText>
      </w:r>
      <w:r w:rsidRPr="00BA7968">
        <w:rPr>
          <w:rFonts w:ascii="Times New Roman" w:hAnsi="Times New Roman" w:cs="Times New Roman"/>
        </w:rPr>
        <w:fldChar w:fldCharType="separate"/>
      </w:r>
      <w:r w:rsidRPr="00BA7968">
        <w:rPr>
          <w:rFonts w:ascii="Times New Roman" w:hAnsi="Times New Roman" w:cs="Times New Roman"/>
          <w:noProof/>
        </w:rPr>
        <w:t>(Cohen and Levinthal 1990)</w:t>
      </w:r>
      <w:r w:rsidRPr="00BA7968">
        <w:rPr>
          <w:rFonts w:ascii="Times New Roman" w:hAnsi="Times New Roman" w:cs="Times New Roman"/>
        </w:rPr>
        <w:fldChar w:fldCharType="end"/>
      </w:r>
      <w:r w:rsidRPr="00BA7968">
        <w:rPr>
          <w:rFonts w:ascii="Times New Roman" w:hAnsi="Times New Roman" w:cs="Times New Roman"/>
        </w:rPr>
        <w:t xml:space="preserve"> and its critical impact on innovation performance have been empirically validated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"10.1002/smj.507", "author" : [ { "dropping-particle" : "", "family" : "Laursen", "given" : "Keld", "non-dropping-particle" : "", "parse-names" : false, "suffix" : "" }, { "dropping-particle" : "", "family" : "Salter", "given" : "Ammon", "non-dropping-particle" : "", "parse-names" : false, "suffix" : "" } ], "container-title" : "Strategic Management Journal", "id" : "ITEM-1", "issued" : { "date-parts" : [ [ "2006" ] ] }, "page" : "131-150", "title" : "Open for Innovation: The Role of Openness in Explaining Innovation Performance Among U.K. Manufacturing Firms", "type" : "article-journal", "volume" : "27" }, "uris" : [ "http://www.mendeley.com/documents/?uuid=8719c3d5-843e-4454-9eb4-c9d579a99d4b" ] } ], "mendeley" : { "formattedCitation" : "(Laursen &amp; Salter, 2006)", "plainTextFormattedCitation" : "(Laursen &amp; Salter, 2006)", "previouslyFormattedCitation" : "(Laursen &amp; Salter,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(Laursen &amp; Salter, 2006)</w:t>
      </w:r>
      <w:r w:rsidRPr="00BA7968">
        <w:rPr>
          <w:rFonts w:ascii="Times New Roman" w:hAnsi="Times New Roman" w:cs="Times New Roman"/>
        </w:rPr>
        <w:fldChar w:fldCharType="end"/>
      </w:r>
      <w:r w:rsidRPr="00BA7968">
        <w:rPr>
          <w:rFonts w:ascii="Times New Roman" w:hAnsi="Times New Roman" w:cs="Times New Roman"/>
        </w:rPr>
        <w:t xml:space="preserve">. Researchers have described the internal skills of effectively exploiting the externally acquired knowledge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"ITEM-1", "issue" : "1", "issued" : { "date-parts" : [ [ "2006" ] ] }, "page" : "68-82", "title" : "In Search of Complementarity in Innovation Strategy: Internal R&amp;D and External Knowledge Acquisition", "type" : "article-journal", "volume" : "52" }, "uris" : [ "http://www.mendeley.com/documents/?uuid=e3cb49dc-e5f8-42f4-a0f3-7ec7ae458508" ] } ], "mendeley" : { "formattedCitation" : "(Cassiman &amp; Veugelers, 2006)", "plainTextFormattedCitation" : "(Cassiman &amp; Veugelers, 2006)", "previouslyFormattedCitation" : "(Cassiman &amp; Veugelers,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(Cassiman &amp; Veugelers, 2006)</w:t>
      </w:r>
      <w:r w:rsidRPr="00BA7968">
        <w:rPr>
          <w:rFonts w:ascii="Times New Roman" w:hAnsi="Times New Roman" w:cs="Times New Roman"/>
        </w:rPr>
        <w:fldChar w:fldCharType="end"/>
      </w:r>
      <w:r w:rsidRPr="00BA7968">
        <w:rPr>
          <w:rFonts w:ascii="Times New Roman" w:hAnsi="Times New Roman" w:cs="Times New Roman"/>
        </w:rPr>
        <w:t xml:space="preserve">, including the capability to create more sophisticated knowledge combinations from different sources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"Chesbrough", "given" : "Henry", "non-dropping-particle" : "", "parse-names" : false, "suffix" : "" } ], "id" : "ITEM-1",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"plainTextFormattedCitation" : "(Chesbrough, 2003)", "previouslyFormattedCitation" : "(Chesbrough, 2003)"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(Chesbrough, 2003)</w:t>
      </w:r>
      <w:r w:rsidRPr="00BA7968">
        <w:rPr>
          <w:rFonts w:ascii="Times New Roman" w:hAnsi="Times New Roman" w:cs="Times New Roman"/>
        </w:rPr>
        <w:fldChar w:fldCharType="end"/>
      </w:r>
      <w:r w:rsidRPr="00BA7968">
        <w:rPr>
          <w:rFonts w:ascii="Times New Roman" w:hAnsi="Times New Roman" w:cs="Times New Roman"/>
        </w:rPr>
        <w:t xml:space="preserve">. Others have emphasized the internal capability of retaining and refining available knowledge for future use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(Marsh &amp; Stock, 2006)</w:t>
      </w:r>
      <w:r w:rsidRPr="00BA7968">
        <w:rPr>
          <w:rFonts w:ascii="Times New Roman" w:hAnsi="Times New Roman" w:cs="Times New Roman"/>
        </w:rPr>
        <w:fldChar w:fldCharType="end"/>
      </w:r>
      <w:r w:rsidRPr="00BA7968">
        <w:rPr>
          <w:rFonts w:ascii="Times New Roman" w:hAnsi="Times New Roman" w:cs="Times New Roman"/>
        </w:rPr>
        <w:t xml:space="preserve">. Overall, the essential internal knowledge integration capability encompasses the corresponding routines and administrative processes that facilitate the integration and utilization of knowledge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"10.1016/j.respol.2008.04.005", "ISBN" : "0048-7333", "ISSN" : "00487333", "abstract" : "Innovation events - the introduction of new products or processes - represent the end of a process of knowledge sourcing and transformation. They also represent the beginning of a process of exploitation which may result in an improvement in the performance of the innovating business. This recursive process of knowledge sourcing, transformation and exploitation comprises the innovation value chain. Modelling the innovation value chain for a large group of manufacturing firms in Ireland and Northern Ireland highlights the drivers of innovation, productivity and firm growth. In terms of knowledge sourcing, we find strong complementarity between horizontal, forwards, backwards, public and internal knowledge sourcing activities. Each of these forms of knowledge sourcing also makes a positive contribution to innovation in both products and processes although public knowledge sources have only an indirect effect on innovation outputs. In the exploitation phase, innovation in both products and processes contribute positively to company growth, with product innovation having a short-term 'disruption' effect on labour productivity. Modelling the complete innovation value chain highlights the structure and complexity of the process of translating knowledge into business value and emphasises the role of skills, capital investment and firms' other resources in the value creation process. ?? 2008 Elsevier B.V. All rights reserved.", "author" : [ { "dropping-particle" : "", "family" : "Roper", "given" : "Stephen", "non-dropping-particle" : "", "parse-names" : false, "suffix" : "" }, { "dropping-particle" : "", "family" : "Du", "given" : "Jun", "non-dropping-particle" : "", "parse-names" : false, "suffix" : "" }, { "dropping-particle" : "", "family" : "Love", "given" : "James H.", "non-dropping-particle" : "", "parse-names" : false, "suffix" : "" } ], "container-title" : "Research Policy", "id" : "ITEM-1", "issue" : "6-7", "issued" : { "date-parts" : [ [ "2008" ] ] }, "page" : "961-977", "title" : "Modelling the innovation value chain", "type" : "article-journal", "volume" : "37" }, "uris" : [ "http://www.mendeley.com/documents/?uuid=0131a6ec-c4a8-4fb4-9439-d4c0bc11bd23" ] } ], "mendeley" : { "formattedCitation" : "(Roper, Du, &amp; Love, 2008)", "plainTextFormattedCitation" : "(Roper, Du, &amp; Love, 2008)", "previouslyFormattedCitation" : "(Roper, Du, &amp; Love, 2008)"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(Roper, Du, &amp; Love, 2008)</w:t>
      </w:r>
      <w:r w:rsidRPr="00BA7968">
        <w:rPr>
          <w:rFonts w:ascii="Times New Roman" w:hAnsi="Times New Roman" w:cs="Times New Roman"/>
        </w:rPr>
        <w:fldChar w:fldCharType="end"/>
      </w:r>
      <w:r w:rsidRPr="00BA7968">
        <w:rPr>
          <w:rFonts w:ascii="Times New Roman" w:hAnsi="Times New Roman" w:cs="Times New Roman"/>
        </w:rPr>
        <w:t xml:space="preserve">. </w:t>
      </w:r>
    </w:p>
    <w:p w14:paraId="2044C75F" w14:textId="77777777" w:rsidR="00C7731B" w:rsidRDefault="00C7731B" w:rsidP="00C7731B">
      <w:pPr>
        <w:spacing w:line="360" w:lineRule="auto"/>
        <w:rPr>
          <w:rFonts w:ascii="Times New Roman" w:hAnsi="Times New Roman" w:cs="Times New Roman"/>
        </w:rPr>
      </w:pPr>
    </w:p>
    <w:p w14:paraId="09A14D80" w14:textId="77777777" w:rsidR="00C7731B" w:rsidRDefault="00C7731B" w:rsidP="00C7731B">
      <w:pPr>
        <w:spacing w:line="360" w:lineRule="auto"/>
        <w:rPr>
          <w:rFonts w:ascii="Times New Roman" w:hAnsi="Times New Roman" w:cs="Times New Roman"/>
        </w:rPr>
      </w:pPr>
    </w:p>
    <w:p w14:paraId="0C26CDA4" w14:textId="77777777" w:rsidR="00C7731B" w:rsidRPr="00BA7968" w:rsidRDefault="00C7731B" w:rsidP="00C7731B">
      <w:pPr>
        <w:spacing w:line="360" w:lineRule="auto"/>
        <w:rPr>
          <w:rFonts w:ascii="Times New Roman" w:hAnsi="Times New Roman" w:cs="Times New Roman"/>
        </w:rPr>
      </w:pPr>
    </w:p>
    <w:p w14:paraId="47ABD183" w14:textId="6DC3A5F1" w:rsidR="00C7731B" w:rsidRPr="00F31AB0" w:rsidRDefault="00C7731B" w:rsidP="00C7731B">
      <w:pPr>
        <w:spacing w:line="360" w:lineRule="auto"/>
        <w:rPr>
          <w:rFonts w:ascii="Times New Roman" w:hAnsi="Times New Roman" w:cs="Times New Roman"/>
          <w:i/>
          <w:u w:val="single"/>
        </w:rPr>
      </w:pPr>
      <w:r w:rsidRPr="00F31AB0">
        <w:rPr>
          <w:rFonts w:ascii="Times New Roman" w:hAnsi="Times New Roman" w:cs="Times New Roman"/>
          <w:i/>
          <w:u w:val="single"/>
        </w:rPr>
        <w:lastRenderedPageBreak/>
        <w:t>Knowledge Resource Management and Cross-Functional Integration</w:t>
      </w:r>
    </w:p>
    <w:p w14:paraId="25916CA0"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Consequently, this discussion on knowledge absorption leads to the second important category. The </w:t>
      </w:r>
      <w:r>
        <w:rPr>
          <w:rFonts w:ascii="Times New Roman" w:hAnsi="Times New Roman" w:cs="Times New Roman"/>
        </w:rPr>
        <w:t>company</w:t>
      </w:r>
      <w:r w:rsidRPr="00BA7968">
        <w:rPr>
          <w:rFonts w:ascii="Times New Roman" w:hAnsi="Times New Roman" w:cs="Times New Roman"/>
        </w:rPr>
        <w:t xml:space="preserve"> might need to align the internal capabilities of different functions to ensure an effective exploitation of the externally acquired knowledge. In the literature, cross-functional integration has been identified as an essential aspect in this regard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"10.2307/30166552", "ISBN" : "0022-2429", "ISSN" : "0022-2429", "PMID" : "18302842", "abstract" : "Managers face an important strategic dilemma in product innovation: how to exploit existing product innovation competencies (competence exploitation) while avoiding their dysfunctional rigidity effects by renewing and replac- ing them with entirely new competencies (competence exploration). Although the resolution of what is termed the \"capability-rigidity paradox\" is considered a fundamental managerial task in enhancing product innovation out- comes and the firm's competitive advantage, it has received little research attention. The author argues and finds support that market orientation provides a key to this paradox. Specifically, customer and competitor orientations ensure simultaneous investments in exploiting existing product innovation competencies and exploring new ones. The author also finds that the effects of these orientations on competence exploitation and exploration are differ- entially moderated by interfunctional coordination and perceived market opportunity. Regarding outcomes, compe- tence exploitation and exploration have opposing relationships with incremental and radical innovation perfor- mance. However, the relationship between competence exploration and radical innovation performance is positively moderated by interfunctional coordination. Overall, the results of this study suggest that market orienta- tion can prevent a firm from becoming operationally efficient but strategically inefficient by simultaneously engen- dering competence exploitation and exploration, which are differentially related to incremental and radical product innovation outcomes.", "author" : [ { "dropping-particle" : "", "family" : "Atuahene-Gima", "given" : "Kwaku", "non-dropping-particle" : "", "parse-names" : false, "suffix" : "" } ], "container-title" : "Journal of Marketing", "id" : "ITEM-1", "issue" : "4", "issued" : { "date-parts" : [ [ "2005" ] ] }, "page" : "61-83", "title" : "Resolving the Capability: Rigidity Paradox in New Product Innovation", "type" : "article-journal", "volume" : "69" }, "uris" : [ "http://www.mendeley.com/documents/?uuid=afe1a8a6-eb8f-4e16-b3ca-99a451a8403d" ] } ], "mendeley" : { "formattedCitation" : "(Atuahene-Gima, 2005)", "plainTextFormattedCitation" : "(Atuahene-Gima, 2005)", "previouslyFormattedCitation" : "(Atuahene-Gima, 2005)"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(Atuahene-Gima, 2005)</w:t>
      </w:r>
      <w:r w:rsidRPr="00BA7968">
        <w:rPr>
          <w:rFonts w:ascii="Times New Roman" w:hAnsi="Times New Roman" w:cs="Times New Roman"/>
        </w:rPr>
        <w:fldChar w:fldCharType="end"/>
      </w:r>
      <w:r w:rsidRPr="00BA7968">
        <w:rPr>
          <w:rFonts w:ascii="Times New Roman" w:hAnsi="Times New Roman" w:cs="Times New Roman"/>
        </w:rPr>
        <w:t xml:space="preserve">. Overall, the internal integration success appears very dependent on an effective knowledge resource management process at the organizational level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"10.1016/j.jbusres.2007.11.016", "ISSN" : "0148-2963", "author" : [ { "dropping-particle" : "", "family" : "Chen", "given" : "Chung-jen", "non-dropping-particle" : "", "parse-names" : false, "suffix" : "" }, { "dropping-particle" : "", "family" : "Huang", "given" : "Jing-wen", "non-dropping-particle" : "", "parse-names" : false, "suffix" : "" } ], "container-title" : "Journal of Business Research", "id" : "ITEM-1", "issue" : "1", "issued" : { "date-parts" : [ [ "2009" ] ] }, "page" : "104-114", "title" : "Strategic human resource practices and innovation performance \u2014 The mediating role of knowledge management capacity", "type" : "article-journal", "volume" : "62" }, "uris" : [ "http://www.mendeley.com/documents/?uuid=86c0b8af-b1ff-4e08-946d-f3f1e77fadbf" ] }, { "id" : "ITEM-2", "itemData" : { "DOI" : "10.1016/j.respol.2010.12.004", "ISBN" : "0048-7333", "ISSN" : "00487333", "abstract" : "Inter-departmental innovation collaboration facilitates innovation performance. At the same time, it has been identified as a source of increased coordination costs. Using organizational information processing theory, this paper builds and tests hypotheses on the costs and benefits of innovation-related collaboration within firms. Based on a sample of 433 German manufacturing firms we show inter-departmental innovation collaboration to increase process innovation performance, but also to produce costs in terms of project delay and project termination. These costs, however, do not affect innovation performance at the firm level. This finding suggests firms to be well able to balance the costs and benefits of inter-departmental collaboration across their innovation project portfolio. Theoretical and managerial implications are discussed. ?? 2010 Elsevier B.V. All rights reserved.", "author" : [ { "dropping-particle" : "", "family" : "Cuijpers", "given" : "Maarten", "non-dropping-particle" : "", "parse-names" : false, "suffix" : "" }, { "dropping-particle" : "", "family" : "Guenter", "given" : "Hannes", "non-dropping-particle" : "", "parse-names" : false, "suffix" : "" }, { "dropping-particle" : "", "family" : "Hussinger", "given" : "Katrin", "non-dropping-particle" : "", "parse-names" : false, "suffix" : "" } ], "container-title" : "Research Policy", "id" : "ITEM-2", "issue" : "4", "issued" : { "date-parts" : [ [ "2011" ] ] }, "page" : "565-575", "title" : "Costs and benefits of inter-departmental innovation collaboration", "type" : "article-journal", "volume" : "40" }, "uris" : [ "http://www.mendeley.com/documents/?uuid=3ca16487-6297-4f72-8a42-d5eb72733699" ] } ], "mendeley" : { "formattedCitation" : "(C. Chen &amp; Huang, 2009; Cuijpers, Guenter, &amp; Hussinger, 2011)", "plainTextFormattedCitation" : "(C. Chen &amp; Huang, 2009; Cuijpers, Guenter, &amp; Hussinger, 2011)", "previouslyFormattedCitation" : "(C. Chen &amp; Huang, 2009; Cuijpers, Guenter, &amp; Hussinger,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 Chen &amp; Huang, 2009; Cuijpers, Guenter, &amp; Hussinger, 2011)</w:t>
      </w:r>
      <w:r w:rsidRPr="00BA7968">
        <w:rPr>
          <w:rFonts w:ascii="Times New Roman" w:hAnsi="Times New Roman" w:cs="Times New Roman"/>
        </w:rPr>
        <w:fldChar w:fldCharType="end"/>
      </w:r>
      <w:r w:rsidRPr="00BA7968">
        <w:rPr>
          <w:rFonts w:ascii="Times New Roman" w:hAnsi="Times New Roman" w:cs="Times New Roman"/>
        </w:rPr>
        <w:t xml:space="preserve">. Effective internal knowledge sharing requires management policies be developed to enhance cross-functional integration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"Song", "given" : "Michael", "non-dropping-particle" : "", "parse-names" : false, "suffix" : "" }, { "dropping-particle" : "", "family" : "Kawakami", "given" : "Tomoko", "non-dropping-particle" : "", "parse-names" : false, "suffix" : "" }, { "dropping-particle" : "", "family" : "Stringfellow", "given" : "Anne", "non-dropping-particle" : "", "parse-names" : false, "suffix" : "" } ], "container-title" : "Journal of Product Innovation Management", "id" : "ITEM-1", "issue" : "2", "issued" : { "date-parts" : [ [ "2010" ] ] }, "page" : "179-200", "title" : "A Cross-National Comparative Study of Senior Management Policy, Marketing\u2013Manufacturing Involvement, and Innovation Performance", "type" : "article-journal", "volume" : "27" }, "uris" : [ "http://www.mendeley.com/documents/?uuid=32bfe96e-1e72-4996-b7bb-05d94b1c27a3" ] } ], "mendeley" : { "formattedCitation" : "(Song, Kawakami, &amp; Stringfellow, 2010)", "plainTextFormattedCitation" : "(Song, Kawakami, &amp; Stringfellow, 2010)", "previouslyFormattedCitation" : "(Song, Kawakami, &amp; Stringfellow, 2010)"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(Song, Kawakami, &amp; Stringfellow, 2010)</w:t>
      </w:r>
      <w:r w:rsidRPr="00BA7968">
        <w:rPr>
          <w:rFonts w:ascii="Times New Roman" w:hAnsi="Times New Roman" w:cs="Times New Roman"/>
        </w:rPr>
        <w:fldChar w:fldCharType="end"/>
      </w:r>
      <w:r w:rsidRPr="00BA7968">
        <w:rPr>
          <w:rFonts w:ascii="Times New Roman" w:hAnsi="Times New Roman" w:cs="Times New Roman"/>
        </w:rPr>
        <w:t xml:space="preserve">. Organizations must establish the adequate governance structure that fits to the strategic intent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"abstract" : "This study examines the effect of uncertainty on governance mode choice of interfirm relationships in new business development (NBD). We combine transaction cost economics and real options reasoning , arguing that in the early stages of NBD, where technological and market uncertainty are very high, companies are better off using governance modes that are reversible and involve a low level of commitment. When uncertainty has decreased as a result of prior R&amp;D investments, transaction costs considerations become dominant and companies will shift towards governance modes that are less reversible and more hierarchical. We argue that technological distance leads to less hierarchical governance modes and prior cooperation between firms leads to subsequent choices for more hierarchical modes. Finally, we propose that higher exogenous uncertainty leads to less hierarchical governance modes.", "author" : [ { "dropping-particle" : "Van De", "family" : "Vrande", "given" : "Vareska", "non-dropping-particle" : "", "parse-names" : false, "suffix" : "" }, { "dropping-particle" : "", "family" : "Lemmens", "given" : "Charmianne", "non-dropping-particle" : "", "parse-names" : false, "suffix" : "" }, { "dropping-particle" : "", "family" : "Vanhaverbeke", "given" : "Wim", "non-dropping-particle" : "", "parse-names" : false, "suffix" : "" } ], "container-title" : "R&amp;D Management", "id" : "ITEM-1", "issue" : "3", "issued" : { "date-parts" : [ [ "2006" ] ] }, "page" : "347-363", "title" : "Choosing governance modes for external technology sourcing", "type" : "article-journal", "volume" : "36" }, "uris" : [ "http://www.mendeley.com/documents/?uuid=27f99a48-0099-471a-b961-ec82b341d355" ] } ], "mendeley" : { "formattedCitation" : "(Vrande, Lemmens, &amp; Vanhaverbeke, 2006)", "plainTextFormattedCitation" : "(Vrande, Lemmens, &amp; Vanhaverbeke, 2006)", "previouslyFormattedCitation" : "(Vrande, Lemmens, &amp; Vanhaverbeke,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(Vrande, Lemmens, &amp; Vanhaverbeke, 2006)</w:t>
      </w:r>
      <w:r w:rsidRPr="00BA7968">
        <w:rPr>
          <w:rFonts w:ascii="Times New Roman" w:hAnsi="Times New Roman" w:cs="Times New Roman"/>
        </w:rPr>
        <w:fldChar w:fldCharType="end"/>
      </w:r>
      <w:r w:rsidRPr="00BA7968">
        <w:rPr>
          <w:rFonts w:ascii="Times New Roman" w:hAnsi="Times New Roman" w:cs="Times New Roman"/>
        </w:rPr>
        <w:t xml:space="preserve">, the specific developmental or technological life cycle stage(s)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"10.1016/j.respol.2010.12.004", "ISBN" : "0048-7333", "ISSN" : "00487333", "abstract" : "Inter-departmental innovation collaboration facilitates innovation performance. At the same time, it has been identified as a source of increased coordination costs. Using organizational information processing theory, this paper builds and tests hypotheses on the costs and benefits of innovation-related collaboration within firms. Based on a sample of 433 German manufacturing firms we show inter-departmental innovation collaboration to increase process innovation performance, but also to produce costs in terms of project delay and project termination. These costs, however, do not affect innovation performance at the firm level. This finding suggests firms to be well able to balance the costs and benefits of inter-departmental collaboration across their innovation project portfolio. Theoretical and managerial implications are discussed. ?? 2010 Elsevier B.V. All rights reserved.", "author" : [ { "dropping-particle" : "", "family" : "Cuijpers", "given" : "Maarten", "non-dropping-particle" : "", "parse-names" : false, "suffix" : "" }, { "dropping-particle" : "", "family" : "Guenter", "given" : "Hannes", "non-dropping-particle" : "", "parse-names" : false, "suffix" : "" }, { "dropping-particle" : "", "family" : "Hussinger", "given" : "Katrin", "non-dropping-particle" : "", "parse-names" : false, "suffix" : "" } ], "container-title" : "Research Policy", "id" : "ITEM-1", "issue" : "4", "issued" : { "date-parts" : [ [ "2011" ] ] }, "page" : "565-575", "title" : "Costs and benefits of inter-departmental innovation collaboration", "type" : "article-journal", "volume" : "40" }, "uris" : [ "http://www.mendeley.com/documents/?uuid=3ca16487-6297-4f72-8a42-d5eb72733699" ] } ], "mendeley" : { "formattedCitation" : "(Cuijpers et al., 2011)", "plainTextFormattedCitation" : "(Cuijpers et al., 2011)", "previouslyFormattedCitation" : "(Cuijpers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(Cuijpers et al., 2011)</w:t>
      </w:r>
      <w:r w:rsidRPr="00BA7968">
        <w:rPr>
          <w:rFonts w:ascii="Times New Roman" w:hAnsi="Times New Roman" w:cs="Times New Roman"/>
        </w:rPr>
        <w:fldChar w:fldCharType="end"/>
      </w:r>
      <w:r w:rsidRPr="00BA7968">
        <w:rPr>
          <w:rFonts w:ascii="Times New Roman" w:hAnsi="Times New Roman" w:cs="Times New Roman"/>
        </w:rPr>
        <w:t xml:space="preserve">, the environmental context (e.g. competitiveness, technological dynamism, uncertainty)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"ITEM-1",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"id" : "ITEM-2", "itemData" : { "DOI" : "10.1108/00251741111143630", "ISBN" : "0025174121122", "abstract" : "Purpose \u2013 The purpose of the paper is to analyse the changing of governance modes for the acquisition of external technology in the context of design driven innovation. Design/methodology/approach \u2013 This is an explorative study drawing on cases of new product development (NPD) by six design-oriented Italian firms. In analyzing the cases a longitudinal approach is taken. Findings \u2013 The analysis of the cases shows a similar pattern for technology sourcing during the NPD process, starting with informal networks and ending with hierarchical structures. In the early stages of NPD, when market uncertainty and technological uncertainty are very high, these companies choose an informal network. However, once the product concept is defined and the companies need to become familiar with a technology, they move to strategic alliances with partners. In the final stages of NPD, more hierarchical structures seem to prevail. Research limitations/implications \u2013 There are two main limitations of the study. The paper investigates the influence of uncertainty on the choice of governance modes and does not consider other variables that could impact on choice such as assets specificity, frequency of transactions, product complexity, cultural distance among partners, etc. Another limitation of the study is the small set of cases. Practical implications \u2013 From a managerial point of view, this study suggests that firms which develop successful design-driven innovations follow an organizational pattern for technology sourcing during the NPD process, starting with informal networks and ending with hierarchical structures. Thus it is extremely important for these firms to have an open-minded management that fosters the creation of a wide external network. This openness shown by the firms towards collaboration with other organizations in order to acquire ideas, new materials and knowledge must be offset by the secure protection of the results of the innovation process. Managers must foresee these needs and find ways to safeguard the results obtained through experimentation by means of patents or exclusive contracts with the supplier. Originality/value \u2013 The paper contributes to the research on the theme of design-driven innovation, analyzing the evolution and change in governance modes across the new product development process. It thus differentiates from the existing literature adopting a dynamic view, where multiple transactions are taken into consideration.", "author" : [ { "dropping-particle" : "", "family" : "Cantarello", "given" : "Silvia", "non-dropping-particle" : "", "parse-names" : false, "suffix" : "" }, { "dropping-particle" : "", "family" : "Nosella", "given" : "Anna", "non-dropping-particle" : "", "parse-names" : false, "suffix" : "" }, { "dropping-particle" : "", "family" : "Petroni", "given" : "Giorgio", "non-dropping-particle" : "", "parse-names" : false, "suffix" : "" }, { "dropping-particle" : "", "family" : "Venturini", "given" : "Karen", "non-dropping-particle" : "", "parse-names" : false, "suffix" : "" } ], "container-title" : "Management Decision", "id" : "ITEM-2", "issue" : "6", "issued" : { "date-parts" : [ [ "2011" ] ] }, "page" : "962-983", "title" : "External technology sourcing: evidence from design-driven innovation", "type" : "article-journal", "volume" : "49" }, "uris" : [ "http://www.mendeley.com/documents/?uuid=95a220ff-6722-487d-bfa8-247c9e2f30dd" ] } ], "mendeley" : { "formattedCitation" : "(Cantarello et al., 2011; J. Chen et al., 2011)", "plainTextFormattedCitation" : "(Cantarello et al., 2011; J. Chen et al., 2011)", "previouslyFormattedCitation" : "(Cantarello et al., 2011; J. Chen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(Cantarello et al., 2011; J. Chen et al., 2011)</w:t>
      </w:r>
      <w:r w:rsidRPr="00BA7968">
        <w:rPr>
          <w:rFonts w:ascii="Times New Roman" w:hAnsi="Times New Roman" w:cs="Times New Roman"/>
        </w:rPr>
        <w:fldChar w:fldCharType="end"/>
      </w:r>
      <w:r w:rsidRPr="00BA7968">
        <w:rPr>
          <w:rFonts w:ascii="Times New Roman" w:hAnsi="Times New Roman" w:cs="Times New Roman"/>
        </w:rPr>
        <w:t xml:space="preserve">, as well as to the prior experiences of the partners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"Slowinski", "given" : "Gene", "non-dropping-particle" : "", "parse-names" : false, "suffix" : "" }, { "dropping-particle" : "", "family" : "Hummel", "given" : "Edward", "non-dropping-particle" : "", "parse-names" : false, "suffix" : "" }, { "dropping-particle" : "", "family" : "Gupta", "given" : "Amitabh", "non-dropping-particle" : "", "parse-names" : false, "suffix" : "" }, { "dropping-particle" : "", "family" : "Gilmont", "given" : "Ernest R", "non-dropping-particle" : "", "parse-names" : false, "suffix" : "" } ], "container-title" : "Research Technology Management", "id" : "ITEM-1", "issue" : "1", "issued" : { "date-parts" : [ [ "2009" ] ] }, "page" : "27-34", "title" : "Effective Practices For Sourcing Innovation", "type" : "article-journal", "volume" : "52" }, "uris" : [ "http://www.mendeley.com/documents/?uuid=70bbb5ae-a2a1-4817-bf83-484a3049b292" ] } ], "mendeley" : { "formattedCitation" : "(Slowinski et al., 2009)", "plainTextFormattedCitation" : "(Slowinski et al., 2009)", "previouslyFormattedCitation" : "(Slowinski et al.,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(Slowinski et al., 2009)</w:t>
      </w:r>
      <w:r w:rsidRPr="00BA7968">
        <w:rPr>
          <w:rFonts w:ascii="Times New Roman" w:hAnsi="Times New Roman" w:cs="Times New Roman"/>
        </w:rPr>
        <w:fldChar w:fldCharType="end"/>
      </w:r>
      <w:r w:rsidRPr="00BA7968">
        <w:rPr>
          <w:rFonts w:ascii="Times New Roman" w:hAnsi="Times New Roman" w:cs="Times New Roman"/>
        </w:rPr>
        <w:t>.</w:t>
      </w:r>
    </w:p>
    <w:p w14:paraId="57010E64"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Cross-functional integration has been associated with successful technology commercialization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"10.1002/smj.229", "abstract" : "In recent years, companies have increased their use of internal and external sources in pursuit of a competitive advantage through the effective and timely commercialization of new technology. Grounded in the resource-based view of the firm, this study examines the effect of a company\u2019s use of internal and external sources on multiple dimensions of successful technology commer- cialization (TC). The study also explores the moderating role of formal vs. informal integration mechanisms on these relationships. Applying a longitudinal design and data from 119 companies, the results show that internal human and technology-based manufacturing sources are positively associated with successful TC. Formal and informal integration mechanisms also significantly moderate the relationships observed between capability sources and TC.", "author" : [ { "dropping-particle" : "", "family" : "Zahra", "given" : "Shaker A", "non-dropping-particle" : "", "parse-names" : false, "suffix" : "" }, { "dropping-particle" : "", "family" : "Nielsen", "given" : "Anders P", "non-dropping-particle" : "", "parse-names" : false, "suffix" : "" } ], "container-title" : "Strategic Management Journal", "id" : "ITEM-1", "issued" : { "date-parts" : [ [ "2002" ] ] }, "page" : "377-398", "title" : "Sources of Capabilities, Integration and Technology Commercialization", "type" : "article-journal", "volume" : "23" }, "uris" : [ "http://www.mendeley.com/documents/?uuid=c3c37001-7fe3-4ea6-9818-b7bce9df020d" ] }, { "id" : "ITEM-2", "itemData" : { "DOI" : "10.1016/0737-6782(96)82485-4", "ISBN" : "0008-1256", "ISSN" : "00081256", "PMID" : "9512123298", "abstract" : "This article explore the drivers of product development performance in a rapidly changing environment. Effective product developers in turbulent environments, such as Silicon Graphics and NEC, provide a contrast to traditional product development. They exhibit a development process characterized by extreme flexibility and responsiveness. This, in turn, hinges on the capability to gather and rapidly respond to new knowledge about technical and market information as a project evolves. Instead of focusing on execution and implementation, these companies' development process emphasizes the importance of the concept development stage, while keeping the product's specification fluid as late as possible in a project. This ensures the best match between system and component technologies, as well as the maximum flexibility to respond to changes. [ABSTRACT FROM AUTHOR]", "author" : [ { "dropping-particle" : "", "family" : "Iansiti", "given" : "Marco", "non-dropping-particle" : "", "parse-names" : false, "suffix" : "" } ], "container-title" : "California Management Review", "id" : "ITEM-2", "issue" : "1", "issued" : { "date-parts" : [ [ "1995" ] ] }, "page" : "37-58", "title" : "Shooting the Rapids: Managing Product Development In Turbulent Environments", "type" : "article-journal", "volume" : "38" }, "uris" : [ "http://www.mendeley.com/documents/?uuid=6a4f11db-1729-4be2-b89d-cfdf05d8ed48" ] } ], "mendeley" : { "formattedCitation" : "(Iansiti, 1995; Zahra &amp; Nielsen, 2002)", "plainTextFormattedCitation" : "(Iansiti, 1995; Zahra &amp; Nielsen, 2002)", "previouslyFormattedCitation" : "(Iansiti, 1995; Zahra &amp; Nielsen, 2002)"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(Iansiti, 1995; Zahra &amp; Nielsen, 2002)</w:t>
      </w:r>
      <w:r w:rsidRPr="00BA7968">
        <w:rPr>
          <w:rFonts w:ascii="Times New Roman" w:hAnsi="Times New Roman" w:cs="Times New Roman"/>
        </w:rPr>
        <w:fldChar w:fldCharType="end"/>
      </w:r>
      <w:r w:rsidRPr="00BA7968">
        <w:rPr>
          <w:rFonts w:ascii="Times New Roman" w:hAnsi="Times New Roman" w:cs="Times New Roman"/>
        </w:rPr>
        <w:t xml:space="preserve">. Critical is the ability to overcome internal political turf wars. The not-invented-here syndrome is an indicator of noticeable in-house resistance to the sourcing and utilization of external knowledge, which has been described as a knowledge assimilation barrier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"Bierly", "given" : "Paul E", "non-dropping-particle" : "", "parse-names" : false, "suffix" : "" }, { "dropping-particle" : "", "family" : "Damanpour", "given" : "Fariborz", "non-dropping-particle" : "", "parse-names" : false, "suffix" : "" }, { "dropping-particle" : "", "family" : "Santoro", "given" : "Michael D", "non-dropping-particle" : "", "parse-names" : false, "suffix" : "" } ], "container-title" : "Journal of Management Studies", "id" : "ITEM-1", "issue" : "3", "issued" : { "date-parts" : [ [ "2009" ] ] }, "page" : "481-509", "title" : "The Application of External Knowledge: Organizational Conditions for Exploration and Exploitation", "type" : "article-journal", "volume" : "46" }, "uris" : [ "http://www.mendeley.com/documents/?uuid=10a7c45e-9031-424a-ba92-962f57f883e8" ] } ], "mendeley" : { "formattedCitation" : "(Bierly et al., 2009)", "plainTextFormattedCitation" : "(Bierly et al., 2009)", "previouslyFormattedCitation" : "(Bierly et al.,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(Bierly et al., 2009)</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Hence</w:t>
      </w:r>
      <w:r w:rsidRPr="00BA7968">
        <w:rPr>
          <w:rFonts w:ascii="Times New Roman" w:hAnsi="Times New Roman" w:cs="Times New Roman"/>
        </w:rPr>
        <w:t xml:space="preserve">, the </w:t>
      </w:r>
      <w:r>
        <w:rPr>
          <w:rFonts w:ascii="Times New Roman" w:hAnsi="Times New Roman" w:cs="Times New Roman"/>
        </w:rPr>
        <w:t>company</w:t>
      </w:r>
      <w:r w:rsidRPr="00BA7968">
        <w:rPr>
          <w:rFonts w:ascii="Times New Roman" w:hAnsi="Times New Roman" w:cs="Times New Roman"/>
        </w:rPr>
        <w:t xml:space="preserve"> needs to avoid this internal inhibitor of effective innovation sourcing. Researchers have noted additional substantial risks related to internal knowledge integration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(Marsh &amp; Stock, 2006)</w:t>
      </w:r>
      <w:r w:rsidRPr="00BA7968">
        <w:rPr>
          <w:rFonts w:ascii="Times New Roman" w:hAnsi="Times New Roman" w:cs="Times New Roman"/>
        </w:rPr>
        <w:fldChar w:fldCharType="end"/>
      </w:r>
      <w:r w:rsidRPr="00BA7968">
        <w:rPr>
          <w:rFonts w:ascii="Times New Roman" w:hAnsi="Times New Roman" w:cs="Times New Roman"/>
        </w:rPr>
        <w:t xml:space="preserve">. Poor internal cooperation can lead to project delays and even termination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"10.1016/j.respol.2010.12.004", "ISBN" : "0048-7333", "ISSN" : "00487333", "abstract" : "Inter-departmental innovation collaboration facilitates innovation performance. At the same time, it has been identified as a source of increased coordination costs. Using organizational information processing theory, this paper builds and tests hypotheses on the costs and benefits of innovation-related collaboration within firms. Based on a sample of 433 German manufacturing firms we show inter-departmental innovation collaboration to increase process innovation performance, but also to produce costs in terms of project delay and project termination. These costs, however, do not affect innovation performance at the firm level. This finding suggests firms to be well able to balance the costs and benefits of inter-departmental collaboration across their innovation project portfolio. Theoretical and managerial implications are discussed. ?? 2010 Elsevier B.V. All rights reserved.", "author" : [ { "dropping-particle" : "", "family" : "Cuijpers", "given" : "Maarten", "non-dropping-particle" : "", "parse-names" : false, "suffix" : "" }, { "dropping-particle" : "", "family" : "Guenter", "given" : "Hannes", "non-dropping-particle" : "", "parse-names" : false, "suffix" : "" }, { "dropping-particle" : "", "family" : "Hussinger", "given" : "Katrin", "non-dropping-particle" : "", "parse-names" : false, "suffix" : "" } ], "container-title" : "Research Policy", "id" : "ITEM-1", "issue" : "4", "issued" : { "date-parts" : [ [ "2011" ] ] }, "page" : "565-575", "title" : "Costs and benefits of inter-departmental innovation collaboration", "type" : "article-journal", "volume" : "40" }, "uris" : [ "http://www.mendeley.com/documents/?uuid=3ca16487-6297-4f72-8a42-d5eb72733699" ] } ], "mendeley" : { "formattedCitation" : "(Cuijpers et al., 2011)", "plainTextFormattedCitation" : "(Cuijpers et al., 2011)", "previouslyFormattedCitation" : "(Cuijpers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(Cuijpers et al., 2011)</w:t>
      </w:r>
      <w:r w:rsidRPr="00BA7968">
        <w:rPr>
          <w:rFonts w:ascii="Times New Roman" w:hAnsi="Times New Roman" w:cs="Times New Roman"/>
        </w:rPr>
        <w:fldChar w:fldCharType="end"/>
      </w:r>
      <w:r w:rsidRPr="00BA7968">
        <w:rPr>
          <w:rFonts w:ascii="Times New Roman" w:hAnsi="Times New Roman" w:cs="Times New Roman"/>
        </w:rPr>
        <w:t>. Cuijpers et al. (2011) recommend that organizations provide sufficient resources (financial and non-financial) for coordination efforts to enable effective innovation sharing. This is another indication that organizations carefully assess the internal environment and context when pursuing innovation sourcing activities. To sum up this section, innovation sourcing will be successful when emphasizing effective internal knowledge integration. This leads to the next research proposition:</w:t>
      </w:r>
    </w:p>
    <w:p w14:paraId="5E91EB1E" w14:textId="77777777" w:rsidR="00C7731B" w:rsidRPr="00BA7968" w:rsidRDefault="00C7731B" w:rsidP="00C7731B">
      <w:pPr>
        <w:spacing w:line="360" w:lineRule="auto"/>
        <w:rPr>
          <w:rFonts w:ascii="Times New Roman" w:hAnsi="Times New Roman" w:cs="Times New Roman"/>
        </w:rPr>
      </w:pPr>
    </w:p>
    <w:p w14:paraId="1EF5C11B" w14:textId="77777777" w:rsidR="00C7731B" w:rsidRPr="00BA7968" w:rsidRDefault="00C7731B" w:rsidP="00C7731B">
      <w:pPr>
        <w:spacing w:line="360" w:lineRule="auto"/>
        <w:rPr>
          <w:rFonts w:ascii="Times New Roman" w:hAnsi="Times New Roman" w:cs="Times New Roman"/>
          <w:b/>
        </w:rPr>
      </w:pPr>
      <w:r>
        <w:rPr>
          <w:rFonts w:ascii="Times New Roman" w:hAnsi="Times New Roman" w:cs="Times New Roman"/>
          <w:b/>
        </w:rPr>
        <w:lastRenderedPageBreak/>
        <w:t xml:space="preserve">Proposition </w:t>
      </w:r>
      <w:r w:rsidRPr="00BA7968">
        <w:rPr>
          <w:rFonts w:ascii="Times New Roman" w:hAnsi="Times New Roman" w:cs="Times New Roman"/>
          <w:b/>
        </w:rPr>
        <w:t>P</w:t>
      </w:r>
      <w:r w:rsidRPr="00BA7968">
        <w:rPr>
          <w:rFonts w:ascii="Times New Roman" w:hAnsi="Times New Roman" w:cs="Times New Roman"/>
          <w:b/>
          <w:vertAlign w:val="subscript"/>
        </w:rPr>
        <w:t>2</w:t>
      </w:r>
      <w:r w:rsidRPr="00BA7968">
        <w:rPr>
          <w:rFonts w:ascii="Times New Roman" w:hAnsi="Times New Roman" w:cs="Times New Roman"/>
          <w:b/>
        </w:rPr>
        <w:t xml:space="preserve">: </w:t>
      </w:r>
      <w:r>
        <w:rPr>
          <w:rFonts w:ascii="Times New Roman" w:hAnsi="Times New Roman" w:cs="Times New Roman"/>
          <w:b/>
        </w:rPr>
        <w:t>I</w:t>
      </w:r>
      <w:r w:rsidRPr="00BA7968">
        <w:rPr>
          <w:rFonts w:ascii="Times New Roman" w:hAnsi="Times New Roman" w:cs="Times New Roman"/>
          <w:b/>
        </w:rPr>
        <w:t xml:space="preserve">nternal knowledge integration is </w:t>
      </w:r>
      <w:r>
        <w:rPr>
          <w:rFonts w:ascii="Times New Roman" w:hAnsi="Times New Roman" w:cs="Times New Roman"/>
          <w:b/>
        </w:rPr>
        <w:t xml:space="preserve">positively </w:t>
      </w:r>
      <w:r w:rsidRPr="00BA7968">
        <w:rPr>
          <w:rFonts w:ascii="Times New Roman" w:hAnsi="Times New Roman" w:cs="Times New Roman"/>
          <w:b/>
        </w:rPr>
        <w:t xml:space="preserve">associated with </w:t>
      </w:r>
      <w:r>
        <w:rPr>
          <w:rFonts w:ascii="Times New Roman" w:hAnsi="Times New Roman" w:cs="Times New Roman"/>
          <w:b/>
        </w:rPr>
        <w:t>the</w:t>
      </w:r>
      <w:r w:rsidRPr="00BA7968">
        <w:rPr>
          <w:rFonts w:ascii="Times New Roman" w:hAnsi="Times New Roman" w:cs="Times New Roman"/>
          <w:b/>
        </w:rPr>
        <w:t xml:space="preserve"> level of innovation sourcing.</w:t>
      </w:r>
    </w:p>
    <w:p w14:paraId="54FDEF2A" w14:textId="77777777" w:rsidR="00C7731B" w:rsidRDefault="00C7731B" w:rsidP="00C7731B">
      <w:pPr>
        <w:spacing w:line="360" w:lineRule="auto"/>
        <w:rPr>
          <w:rFonts w:ascii="Times New Roman" w:hAnsi="Times New Roman" w:cs="Times New Roman"/>
          <w:i/>
        </w:rPr>
      </w:pPr>
    </w:p>
    <w:p w14:paraId="2CCD0D9A" w14:textId="77777777" w:rsidR="00C7731B" w:rsidRPr="00F31AB0" w:rsidRDefault="00C7731B" w:rsidP="00F31AB0">
      <w:pPr>
        <w:pStyle w:val="Heading3new"/>
      </w:pPr>
      <w:r w:rsidRPr="00F31AB0">
        <w:t>3.3 Innovation Orientation</w:t>
      </w:r>
    </w:p>
    <w:p w14:paraId="518FA3A3"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 broad variety of constructs and cognitive aspects in terms of mindset, attitude, or inclination to support the organizational innovation activities have been mentioned in the literature. Two of which are particularly adequate for this context.</w:t>
      </w:r>
      <w:r w:rsidRPr="00BA7968">
        <w:rPr>
          <w:rFonts w:ascii="Times New Roman" w:hAnsi="Times New Roman" w:cs="Times New Roman"/>
          <w:bCs/>
        </w:rPr>
        <w:t xml:space="preserve"> </w:t>
      </w:r>
      <w:r>
        <w:rPr>
          <w:rFonts w:ascii="Times New Roman" w:hAnsi="Times New Roman" w:cs="Times New Roman"/>
          <w:bCs/>
        </w:rPr>
        <w:t>I</w:t>
      </w:r>
      <w:r w:rsidRPr="00BA7968">
        <w:rPr>
          <w:rFonts w:ascii="Times New Roman" w:hAnsi="Times New Roman" w:cs="Times New Roman"/>
          <w:bCs/>
        </w:rPr>
        <w:t xml:space="preserve">nnovation orientation </w:t>
      </w:r>
      <w:r w:rsidRPr="00BA7968">
        <w:rPr>
          <w:rFonts w:ascii="Times New Roman" w:hAnsi="Times New Roman" w:cs="Times New Roman"/>
        </w:rPr>
        <w:t xml:space="preserve">is the inclination to encourage and support internal creative processes and experimentation, intended to lead to new products or services becoming introduced to the market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"Lumpkin", "given" : "G T", "non-dropping-particle" : "", "parse-names" : false, "suffix" : "" }, { "dropping-particle" : "", "family" : "Dess", "given" : "Gregory G", "non-dropping-particle" : "", "parse-names" : false, "suffix" : "" } ], "container-title" : "Academy of Management Review", "id" : "ITEM-1", "issue" : "1", "issued" : { "date-parts" : [ [ "1996" ] ] }, "page" : "135-172", "title" : "Clarifying the Entrepreneurial Orientation Construct and Linking it to Performance", "type" : "article-journal", "volume" : "21" }, "uris" : [ "http://www.mendeley.com/documents/?uuid=3bc845c8-0cd9-4014-88b0-8039bb435ecb" ] }, { "id" : "ITEM-2", "itemData" : { "DOI" : "10.1177/0149206311425612", "ISBN" : "0149206311425", "author" : [ { "dropping-particle" : "", "family" : "Rosenbusch", "given" : "Nina", "non-dropping-particle" : "", "parse-names" : false, "suffix" : "" }, { "dropping-particle" : "", "family" : "Rauch", "given" : "Andreas", "non-dropping-particle" : "", "parse-names" : false, "suffix" : "" }, { "dropping-particle" : "", "family" : "Bausch", "given" : "Andreas", "non-dropping-particle" : "", "parse-names" : false, "suffix" : "" } ], "container-title" : "Journal of Management", "id" : "ITEM-2", "issue" : "3", "issued" : { "date-parts" : [ [ "2013" ] ] }, "page" : "633-659", "title" : "The Mediating Role of Entrepreneurial Orientation in the Task Environment \u2013 Performance Relationship : A Meta-Analysis", "type" : "article-journal", "volume" : "39" }, "uris" : [ "http://www.mendeley.com/documents/?uuid=f41e7f4c-0397-4f76-b97c-2d1076d68fea" ] } ], "mendeley" : { "formattedCitation" : "(Lumpkin &amp; Dess, 1996; Rosenbusch, Rauch, &amp; Bausch, 2013)", "plainTextFormattedCitation" : "(Lumpkin &amp; Dess, 1996; Rosenbusch, Rauch, &amp; Bausch, 2013)", "previouslyFormattedCitation" : "(Lumpkin &amp; Dess, 1996; Rosenbusch, Rauch, &amp; Bausch, 2013)"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(Lumpkin &amp; Dess, 1996; Rosenbusch, Rauch, &amp; Bausch, 2013)</w:t>
      </w:r>
      <w:r w:rsidRPr="00BA7968">
        <w:rPr>
          <w:rFonts w:ascii="Times New Roman" w:hAnsi="Times New Roman" w:cs="Times New Roman"/>
        </w:rPr>
        <w:fldChar w:fldCharType="end"/>
      </w:r>
      <w:r w:rsidRPr="00BA7968">
        <w:rPr>
          <w:rFonts w:ascii="Times New Roman" w:hAnsi="Times New Roman" w:cs="Times New Roman"/>
        </w:rPr>
        <w:t xml:space="preserve">. The construct refers to an organizational “strategy of developing and introducing innovative new products or services into the market before their competitors”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"ITEM-1", "issue" : "1", "issued" : { "date-parts" : [ [ "2011" ] ] }, "page" : "54-64", "title" : "Some immediate but negative effects of openness on product development performance", "type" : "article-journal", "volume" : "31" }, "uris" : [ "http://www.mendeley.com/documents/?uuid=89aed28a-6bb6-488a-8cff-0b99ffa65593" ] } ], "mendeley" : { "formattedCitation" : "(Knudsen &amp; Mortensen, 2011)", "manualFormatting" : "(Knudsen and Mortensen 2011, p. 56)", "plainTextFormattedCitation" : "(Knudsen &amp; Mortensen, 2011)", "previouslyFormattedCitation" : "(Knudsen &amp; Mortensen, 2011)" }, "properties" : { "noteIndex" : 0 }, "schema" : "https://github.com/citation-style-language/schema/raw/master/csl-citation.json" }</w:instrText>
      </w:r>
      <w:r w:rsidRPr="00BA7968">
        <w:rPr>
          <w:rFonts w:ascii="Times New Roman" w:hAnsi="Times New Roman" w:cs="Times New Roman"/>
        </w:rPr>
        <w:fldChar w:fldCharType="separate"/>
      </w:r>
      <w:r w:rsidRPr="00BA7968">
        <w:rPr>
          <w:rFonts w:ascii="Times New Roman" w:hAnsi="Times New Roman" w:cs="Times New Roman"/>
          <w:noProof/>
        </w:rPr>
        <w:t>(Knudsen and Mortensen 2011, p. 56)</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Moreover</w:t>
      </w:r>
      <w:r w:rsidRPr="00BA7968">
        <w:rPr>
          <w:rFonts w:ascii="Times New Roman" w:hAnsi="Times New Roman" w:cs="Times New Roman"/>
        </w:rPr>
        <w:t xml:space="preserve">, innovation </w:t>
      </w:r>
      <w:r>
        <w:rPr>
          <w:rFonts w:ascii="Times New Roman" w:hAnsi="Times New Roman" w:cs="Times New Roman"/>
        </w:rPr>
        <w:t>orientation can be understood as</w:t>
      </w:r>
      <w:r w:rsidRPr="00BA7968">
        <w:rPr>
          <w:rFonts w:ascii="Times New Roman" w:hAnsi="Times New Roman" w:cs="Times New Roman"/>
        </w:rPr>
        <w:t xml:space="preserve"> the inclination to actively seek, acquire, and exploit beneficial new ideas from external constituents to bolster internal innovation processes. </w:t>
      </w:r>
      <w:r>
        <w:rPr>
          <w:rFonts w:ascii="Times New Roman" w:hAnsi="Times New Roman" w:cs="Times New Roman"/>
        </w:rPr>
        <w:t>The</w:t>
      </w:r>
      <w:r w:rsidRPr="00BA7968">
        <w:rPr>
          <w:rFonts w:ascii="Times New Roman" w:hAnsi="Times New Roman" w:cs="Times New Roman"/>
        </w:rPr>
        <w:t xml:space="preserve"> construct </w:t>
      </w:r>
      <w:r>
        <w:rPr>
          <w:rFonts w:ascii="Times New Roman" w:hAnsi="Times New Roman" w:cs="Times New Roman"/>
        </w:rPr>
        <w:t>refers to</w:t>
      </w:r>
      <w:r w:rsidRPr="00BA7968">
        <w:rPr>
          <w:rFonts w:ascii="Times New Roman" w:hAnsi="Times New Roman" w:cs="Times New Roman"/>
        </w:rPr>
        <w:t xml:space="preserve"> an organizational mindset embracing innovation</w:t>
      </w:r>
      <w:r>
        <w:rPr>
          <w:rFonts w:ascii="Times New Roman" w:hAnsi="Times New Roman" w:cs="Times New Roman"/>
        </w:rPr>
        <w:t>.</w:t>
      </w:r>
      <w:r w:rsidRPr="00BA7968">
        <w:rPr>
          <w:rFonts w:ascii="Times New Roman" w:hAnsi="Times New Roman" w:cs="Times New Roman"/>
        </w:rPr>
        <w:t xml:space="preserve"> Innovation orientation has an emphasis on the strategic internal innovation process, while </w:t>
      </w:r>
      <w:r>
        <w:rPr>
          <w:rFonts w:ascii="Times New Roman" w:hAnsi="Times New Roman" w:cs="Times New Roman"/>
        </w:rPr>
        <w:t>also capturing</w:t>
      </w:r>
      <w:r w:rsidRPr="00BA7968">
        <w:rPr>
          <w:rFonts w:ascii="Times New Roman" w:hAnsi="Times New Roman" w:cs="Times New Roman"/>
        </w:rPr>
        <w:t xml:space="preserve"> the consideration of externally available knowledge to support the innovation processes. Two main aspects of innovation</w:t>
      </w:r>
      <w:r w:rsidRPr="00557F79">
        <w:rPr>
          <w:rFonts w:ascii="Times New Roman" w:hAnsi="Times New Roman" w:cs="Times New Roman"/>
        </w:rPr>
        <w:t xml:space="preserve"> </w:t>
      </w:r>
      <w:r>
        <w:rPr>
          <w:rFonts w:ascii="Times New Roman" w:hAnsi="Times New Roman" w:cs="Times New Roman"/>
        </w:rPr>
        <w:t xml:space="preserve">orientation </w:t>
      </w:r>
      <w:r w:rsidRPr="00BA7968">
        <w:rPr>
          <w:rFonts w:ascii="Times New Roman" w:hAnsi="Times New Roman" w:cs="Times New Roman"/>
        </w:rPr>
        <w:t xml:space="preserve">relate to an organizational openness toward innovation sourcing and a shared understanding valuing external knowledge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(Marsh &amp; Stock, 2006)</w:t>
      </w:r>
      <w:r w:rsidRPr="00BA7968">
        <w:rPr>
          <w:rFonts w:ascii="Times New Roman" w:hAnsi="Times New Roman" w:cs="Times New Roman"/>
        </w:rPr>
        <w:fldChar w:fldCharType="end"/>
      </w:r>
      <w:r w:rsidRPr="00BA7968">
        <w:rPr>
          <w:rFonts w:ascii="Times New Roman" w:hAnsi="Times New Roman" w:cs="Times New Roman"/>
        </w:rPr>
        <w:t>.</w:t>
      </w:r>
    </w:p>
    <w:p w14:paraId="0E858420" w14:textId="77777777" w:rsidR="00C7731B" w:rsidRPr="00BA7968" w:rsidRDefault="00C7731B" w:rsidP="00C7731B">
      <w:pPr>
        <w:spacing w:line="360" w:lineRule="auto"/>
        <w:jc w:val="both"/>
        <w:rPr>
          <w:rFonts w:ascii="Times New Roman" w:hAnsi="Times New Roman" w:cs="Times New Roman"/>
        </w:rPr>
      </w:pPr>
    </w:p>
    <w:p w14:paraId="332A8649" w14:textId="45264A1B" w:rsidR="00C7731B" w:rsidRPr="00F15C24" w:rsidRDefault="00F15C24" w:rsidP="00C7731B">
      <w:pPr>
        <w:spacing w:line="360" w:lineRule="auto"/>
        <w:jc w:val="both"/>
        <w:rPr>
          <w:rFonts w:ascii="Times New Roman" w:hAnsi="Times New Roman" w:cs="Times New Roman"/>
          <w:i/>
          <w:u w:val="single"/>
        </w:rPr>
      </w:pPr>
      <w:r>
        <w:rPr>
          <w:rFonts w:ascii="Times New Roman" w:hAnsi="Times New Roman" w:cs="Times New Roman"/>
          <w:i/>
          <w:u w:val="single"/>
        </w:rPr>
        <w:t>Openness Toward Innovation S</w:t>
      </w:r>
      <w:r w:rsidR="00C7731B" w:rsidRPr="00F15C24">
        <w:rPr>
          <w:rFonts w:ascii="Times New Roman" w:hAnsi="Times New Roman" w:cs="Times New Roman"/>
          <w:i/>
          <w:u w:val="single"/>
        </w:rPr>
        <w:t>ourcing</w:t>
      </w:r>
    </w:p>
    <w:p w14:paraId="016E5D04" w14:textId="77777777" w:rsidR="00C7731B" w:rsidRPr="003F7F89" w:rsidRDefault="00C7731B" w:rsidP="00C7731B">
      <w:pPr>
        <w:spacing w:line="360" w:lineRule="auto"/>
        <w:jc w:val="both"/>
        <w:rPr>
          <w:rFonts w:ascii="Times New Roman" w:hAnsi="Times New Roman" w:cs="Times New Roman"/>
          <w:lang w:val="es-ES"/>
        </w:rPr>
      </w:pPr>
      <w:r w:rsidRPr="00BA7968">
        <w:rPr>
          <w:rFonts w:ascii="Times New Roman" w:hAnsi="Times New Roman" w:cs="Times New Roman"/>
        </w:rPr>
        <w:t xml:space="preserve">Research has identified organizational culture as influencing the effectiveness of innovation sourcing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"Brentani", "given" : "Ulrike", "non-dropping-particle" : "De", "parse-names" : false, "suffix" : "" }, { "dropping-particle" : "", "family" : "Kleinschmidt", "given" : "Elko J", "non-dropping-particle" : "", "parse-names" : false, "suffix" : "" } ], "container-title" : "Journal of Product Innovation Management", "id" : "ITEM-1", "issued" : { "date-parts" : [ [ "2004" ] ] }, "page" : "309-333", "title" : "Corporate Culture and Commitment: Impact on Performance of International New Product Development Programs", "type" : "article-journal", "volume" : "21" }, "uris" : [ "http://www.mendeley.com/documents/?uuid=31aee508-d7c7-43f6-8c64-e6ebff7eedcd" ] } ], "mendeley" : { "formattedCitation" : "(De Brentani &amp; Kleinschmidt, 2004)", "plainTextFormattedCitation" : "(De Brentani &amp; Kleinschmidt, 2004)", "previouslyFormattedCitation" : "(De Brentani &amp; Kleinschmidt, 2004)"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(De Brentani &amp; Kleinschmidt, 2004)</w:t>
      </w:r>
      <w:r w:rsidRPr="00BA7968">
        <w:rPr>
          <w:rFonts w:ascii="Times New Roman" w:hAnsi="Times New Roman" w:cs="Times New Roman"/>
        </w:rPr>
        <w:fldChar w:fldCharType="end"/>
      </w:r>
      <w:r w:rsidRPr="00BA7968">
        <w:rPr>
          <w:rFonts w:ascii="Times New Roman" w:hAnsi="Times New Roman" w:cs="Times New Roman"/>
        </w:rPr>
        <w:t xml:space="preserve">. The analysis revealed the need for an organizational mindset emphasizing innovation and open to applying a knowledge based sourcing strategy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"ITEM-1", "issue" : "1", "issued" : { "date-parts" : [ [ "2011" ] ] }, "page" : "54-64", "title" : "Some immediate but negative effects of openness on product development performance", "type" : "article-journal", "volume" : "31" }, "uris" : [ "http://www.mendeley.com/documents/?uuid=89aed28a-6bb6-488a-8cff-0b99ffa65593" ] } ], "mendeley" : { "formattedCitation" : "(Knudsen &amp; Mortensen, 2011)", "plainTextFormattedCitation" : "(Knudsen &amp; Mortensen, 2011)", "previouslyFormattedCitation" : "(Knudsen &amp; Mortensen,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(Knudsen &amp; Mortensen, 2011)</w:t>
      </w:r>
      <w:r w:rsidRPr="00BA7968">
        <w:rPr>
          <w:rFonts w:ascii="Times New Roman" w:hAnsi="Times New Roman" w:cs="Times New Roman"/>
        </w:rPr>
        <w:fldChar w:fldCharType="end"/>
      </w:r>
      <w:r w:rsidRPr="00BA7968">
        <w:rPr>
          <w:rFonts w:ascii="Times New Roman" w:hAnsi="Times New Roman" w:cs="Times New Roman"/>
        </w:rPr>
        <w:t xml:space="preserve">. The latter, openness, poses as a central theme of innovation </w:t>
      </w:r>
      <w:r>
        <w:rPr>
          <w:rFonts w:ascii="Times New Roman" w:hAnsi="Times New Roman" w:cs="Times New Roman"/>
        </w:rPr>
        <w:t>orientation</w:t>
      </w:r>
      <w:r w:rsidRPr="00BA7968">
        <w:rPr>
          <w:rFonts w:ascii="Times New Roman" w:hAnsi="Times New Roman" w:cs="Times New Roman"/>
        </w:rPr>
        <w:t xml:space="preserve">. The organizational tendency to seek, acquire and exploit beneficial externally available knowledge is a main aspect of innovation </w:t>
      </w:r>
      <w:r>
        <w:rPr>
          <w:rFonts w:ascii="Times New Roman" w:hAnsi="Times New Roman" w:cs="Times New Roman"/>
        </w:rPr>
        <w:t>orientation</w:t>
      </w:r>
      <w:r w:rsidRPr="00BA7968">
        <w:rPr>
          <w:rFonts w:ascii="Times New Roman" w:hAnsi="Times New Roman" w:cs="Times New Roman"/>
        </w:rPr>
        <w:t xml:space="preserve">. One example is an organizational attentiveness to new ideas from the supply base and a commitment for continuous collaborative innovation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"Slowinski", "given" : "Gene", "non-dropping-particle" : "", "parse-names" : false, "suffix" : "" }, { "dropping-particle" : "", "family" : "Hummel", "given" : "Edward", "non-dropping-particle" : "", "parse-names" : false, "suffix" : "" }, { "dropping-particle" : "", "family" : "Gupta", "given" : "Amitabh", "non-dropping-particle" : "", "parse-names" : false, "suffix" : "" }, { "dropping-particle" : "", "family" : "Gilmont", "given" : "Ernest R", "non-dropping-particle" : "", "parse-names" : false, "suffix" : "" } ], "container-title" : "Research Technology Management", "id" : "ITEM-1", "issue" : "1", "issued" : { "date-parts" : [ [ "2009" ] ] }, "page" : "27-34", "title" : "Effective Practices For Sourcing Innovation", "type" : "article-journal", "volume" : "52" }, "uris" : [ "http://www.mendeley.com/documents/?uuid=70bbb5ae-a2a1-4817-bf83-484a3049b292" ] } ], "mendeley" : { "formattedCitation" : "(Slowinski et al., 2009)", "plainTextFormattedCitation" : "(Slowinski et al., 2009)", "previouslyFormattedCitation" : "(Slowinski et al.,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(Slowinski et al., 2009)</w:t>
      </w:r>
      <w:r w:rsidRPr="00BA7968">
        <w:rPr>
          <w:rFonts w:ascii="Times New Roman" w:hAnsi="Times New Roman" w:cs="Times New Roman"/>
        </w:rPr>
        <w:fldChar w:fldCharType="end"/>
      </w:r>
      <w:r w:rsidRPr="00BA7968">
        <w:rPr>
          <w:rFonts w:ascii="Times New Roman" w:hAnsi="Times New Roman" w:cs="Times New Roman"/>
        </w:rPr>
        <w:t xml:space="preserve">. Successful organizations are systematically assessing externally available know-how and create a climate that is receptive to external ideas </w:t>
      </w:r>
      <w:r w:rsidRPr="00BA7968">
        <w:rPr>
          <w:rFonts w:ascii="Times New Roman" w:hAnsi="Times New Roman" w:cs="Times New Roman"/>
        </w:rPr>
        <w:lastRenderedPageBreak/>
        <w:fldChar w:fldCharType="begin" w:fldLock="1"/>
      </w:r>
      <w:r>
        <w:rPr>
          <w:rFonts w:ascii="Times New Roman" w:hAnsi="Times New Roman" w:cs="Times New Roman"/>
        </w:rPr>
        <w:instrText>ADDIN CSL_CITATION { "citationItems" : [ { "id" : "ITEM-1", "itemData" : { "author" : [ { "dropping-particle" : "", "family" : "Katz", "given" : "Jerome", "non-dropping-particle" : "", "parse-names" : false, "suffix" : "" }, { "dropping-particle" : "", "family" : "Gartner", "given" : "William B", "non-dropping-particle" : "", "parse-names" : false, "suffix" : "" } ], "container-title" : "Academy of Management Review", "id" : "ITEM-1", "issue" : "3", "issued" : { "date-parts" : [ [ "1988" ] ] }, "page" : "429-441", "title" : "Properties of Emerging Organizations", "type" : "article-journal", "volume" : "13" }, "uris" : [ "http://www.mendeley.com/documents/?uuid=5c8756cf-e34e-4c56-b2ad-d2cffb86ac43" ] }, { "id" : "ITEM-2",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"ITEM-2", "issue" : "1", "issued" : { "date-parts" : [ [ "2006" ] ] }, "page" : "68-82", "title" : "In Search of Complementarity in Innovation Strategy: Internal R&amp;D and External Knowledge Acquisition", "type" : "article-journal", "volume" : "52" }, "uris" : [ "http://www.mendeley.com/documents/?uuid=e3cb49dc-e5f8-42f4-a0f3-7ec7ae458508" ] } ], "mendeley" : { "formattedCitation" : "(Cassiman &amp; Veugelers, 2006; Katz &amp; Gartner, 1988)", "plainTextFormattedCitation" : "(Cassiman &amp; Veugelers, 2006; Katz &amp; Gartner, 1988)", "previouslyFormattedCitation" : "(Cassiman &amp; Veugelers, 2006; Katz &amp; Gartner, 1988)"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(Cassiman &amp; Veugelers, 2006; Katz &amp; Gartner, 1988)</w:t>
      </w:r>
      <w:r w:rsidRPr="00BA7968">
        <w:rPr>
          <w:rFonts w:ascii="Times New Roman" w:hAnsi="Times New Roman" w:cs="Times New Roman"/>
        </w:rPr>
        <w:fldChar w:fldCharType="end"/>
      </w:r>
      <w:r w:rsidRPr="00BA7968">
        <w:rPr>
          <w:rFonts w:ascii="Times New Roman" w:hAnsi="Times New Roman" w:cs="Times New Roman"/>
        </w:rPr>
        <w:t xml:space="preserve">. This requires an innovation-focused decision-making process supporting innovation sourcing and an organizational openness towards externally-available knowledge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"10.1016/j.jom.2010.02.001", "ISSN" : "0272-6963", "author" : [ { "dropping-particle" : "", "family" : "Azadegan", "given" : "Arash", "non-dropping-particle" : "", "parse-names" : false, "suffix" : "" }, { "dropping-particle" : "", "family" : "Dooley", "given" : "Kevin J", "non-dropping-particle" : "", "parse-names" : false, "suffix" : "" } ], "container-title" : "Journal of Operations Management", "id" : "ITEM-1", "issue" : "6", "issued" : { "date-parts" : [ [ "2010" ] ] }, "page" : "488-505", "title" : "Supplier innovativeness, organizational learning styles and manufacturer performance: An empirical assessment", "type" : "article-journal", "volume" : "28" }, "uris" : [ "http://www.mendeley.com/documents/?uuid=76afabba-f3c3-4fb5-8466-bb21870974dc" ] }, { "id" : "ITEM-2",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"ITEM-2",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"id" : "ITEM-3", "itemData" : { "DOI" : "10.1108/00251741111094437", "ISBN" : "0025174111109", "ISSN" : "0025-1747", "PMID" : "846767147", "abstract" : "Purpose \u2013 Innovation is crucial for attaining a competitive advantage for companies. Innovation, versus imitation, motivates companies to launch new products and become pioneers on markets. Many factors have been shown to be determinants for supporting an organizational innovative orientation. One of them is organizational culture. The objective of this paper is to analyze the organizational culture that fosters or inhibits organizational innovation and imitation strategy. Design/methodology/approach \u2013 The paper uses a sample of 471 Spanish companies for examining the hypotheses. Using hierarchical multiple regression analysis, it relates the effect of organizational culture with an innovation strategy. Findings \u2013 The results confirm the hypotheses. The paper finds that organizational culture is a clear determinant of innovation strategy. Moreover, adhocracy cultures foster innovation strategies and hierarchical cultures promote imitation cultures. Research limitations/implications \u2013 The main limitations are that data in the study were collected from one source for the cross-sectional design of this research. Practical implications \u2013 Managers should pay more attention to their organization culture if they pursue innovation/imitation strategies. Moreover, depending on this orientation (to be the first company to introduce in new markets or develop new products for a market versus to follow a pioneer), companies should promote different values and norms in their organizations. Originality/value \u2013 The main value of this paper is its analysis and testing of the relation of organizational culture and innovation orientation. The majority of the literature underlines the paper's seeking after organizational culture for innovation. However, this topic has not been studied in</w:instrText>
      </w:r>
      <w:r w:rsidRPr="003F7F89">
        <w:rPr>
          <w:rFonts w:ascii="Times New Roman" w:hAnsi="Times New Roman" w:cs="Times New Roman"/>
          <w:lang w:val="es-ES"/>
        </w:rPr>
        <w:instrText xml:space="preserve"> depth and requires attention to different organizational cultures and innovation orientations.", "author" : [ { "dropping-particle" : "", "family" : "Naranjo-Valencia", "given" : "Julia C", "non-dropping-particle" : "", "parse-names" : false, "suffix" : "" }, { "dropping-particle" : "", "family" : "Jim\u00e9nez-Jim\u00e9nez", "given" : "Daniel", "non-dropping-particle" : "", "parse-names" : false, "suffix" : "" }, { "dropping-particle" : "", "family" : "Sanz-Valle", "given" : "Raquel", "non-dropping-particle" : "", "parse-names" : false, "suffix" : "" } ], "container-title" : "Management Decision", "id" : "ITEM-3", "issue" : "1", "issued" : { "date-parts" : [ [ "2011" ] ] }, "page" : "55-72", "title" : "Innovation or imitation? The role of organizational culture", "type" : "article-journal", "volume" : "49" }, "uris" : [ "http://www.mendeley.com/documents/?uuid=c1e1bff5-adb4-487f-b48e-8ad2df9dc8e6" ] } ], "mendeley" : { "formattedCitation" : "(Azadegan &amp; Dooley, 2010; J. Chen et al., 2011; Naranjo-Valencia, Jim\u00e9nez-Jim\u00e9nez, &amp; Sanz-Valle, 2011)", "plainTextFormattedCitation" : "(Azadegan &amp; Dooley, 2010; J. Chen et al., 2011; Naranjo-Valencia, Jim\u00e9nez-Jim\u00e9nez, &amp; Sanz-Valle, 2011)", "previouslyFormattedCitation" : "(Azadegan &amp; Dooley, 2010; J. Chen et al., 2011; Naranjo-Valencia, Jim\u00e9nez-Jim\u00e9nez, &amp; Sanz-Valle, 2011)" }, "properties" : { "noteIndex" : 0 }, "schema" : "https://github.com/citation-style-language/schema/raw/master/csl-citation.json" }</w:instrText>
      </w:r>
      <w:r w:rsidRPr="00BA7968">
        <w:rPr>
          <w:rFonts w:ascii="Times New Roman" w:hAnsi="Times New Roman" w:cs="Times New Roman"/>
        </w:rPr>
        <w:fldChar w:fldCharType="separate"/>
      </w:r>
      <w:r w:rsidRPr="003F7F89">
        <w:rPr>
          <w:rFonts w:ascii="Times New Roman" w:hAnsi="Times New Roman" w:cs="Times New Roman"/>
          <w:noProof/>
          <w:lang w:val="es-ES"/>
        </w:rPr>
        <w:t>(Azadegan &amp; Dooley, 2010; J. Chen et al., 2011; Naranjo-Valencia, Jiménez-Jiménez, &amp; Sanz-Valle, 2011)</w:t>
      </w:r>
      <w:r w:rsidRPr="00BA7968">
        <w:rPr>
          <w:rFonts w:ascii="Times New Roman" w:hAnsi="Times New Roman" w:cs="Times New Roman"/>
        </w:rPr>
        <w:fldChar w:fldCharType="end"/>
      </w:r>
      <w:r w:rsidRPr="003F7F89">
        <w:rPr>
          <w:rFonts w:ascii="Times New Roman" w:hAnsi="Times New Roman" w:cs="Times New Roman"/>
          <w:lang w:val="es-ES"/>
        </w:rPr>
        <w:t xml:space="preserve">. </w:t>
      </w:r>
    </w:p>
    <w:p w14:paraId="01F3024D" w14:textId="77777777" w:rsidR="00C7731B" w:rsidRPr="003F7F89" w:rsidRDefault="00C7731B" w:rsidP="00C7731B">
      <w:pPr>
        <w:spacing w:line="360" w:lineRule="auto"/>
        <w:jc w:val="both"/>
        <w:rPr>
          <w:rFonts w:ascii="Times New Roman" w:hAnsi="Times New Roman" w:cs="Times New Roman"/>
          <w:lang w:val="es-ES"/>
        </w:rPr>
      </w:pPr>
    </w:p>
    <w:p w14:paraId="62ABFF04" w14:textId="092C7A2D" w:rsidR="00C7731B" w:rsidRPr="00F15C24" w:rsidRDefault="00C7731B" w:rsidP="00C7731B">
      <w:pPr>
        <w:spacing w:line="360" w:lineRule="auto"/>
        <w:jc w:val="both"/>
        <w:rPr>
          <w:rFonts w:ascii="Times New Roman" w:hAnsi="Times New Roman" w:cs="Times New Roman"/>
          <w:i/>
          <w:u w:val="single"/>
        </w:rPr>
      </w:pPr>
      <w:r w:rsidRPr="00F15C24">
        <w:rPr>
          <w:rFonts w:ascii="Times New Roman" w:hAnsi="Times New Roman" w:cs="Times New Roman"/>
          <w:i/>
          <w:u w:val="single"/>
        </w:rPr>
        <w:t>Share</w:t>
      </w:r>
      <w:r w:rsidR="00F11BF5">
        <w:rPr>
          <w:rFonts w:ascii="Times New Roman" w:hAnsi="Times New Roman" w:cs="Times New Roman"/>
          <w:i/>
          <w:u w:val="single"/>
        </w:rPr>
        <w:t>d Understanding About External Knowledge V</w:t>
      </w:r>
      <w:r w:rsidRPr="00F15C24">
        <w:rPr>
          <w:rFonts w:ascii="Times New Roman" w:hAnsi="Times New Roman" w:cs="Times New Roman"/>
          <w:i/>
          <w:u w:val="single"/>
        </w:rPr>
        <w:t>alue</w:t>
      </w:r>
    </w:p>
    <w:p w14:paraId="7B6326E2" w14:textId="77777777" w:rsidR="00C7731B" w:rsidRPr="00BA7968" w:rsidRDefault="00C7731B" w:rsidP="00C7731B">
      <w:pPr>
        <w:spacing w:line="360" w:lineRule="auto"/>
        <w:jc w:val="both"/>
        <w:rPr>
          <w:rFonts w:ascii="Times New Roman" w:hAnsi="Times New Roman" w:cs="Times New Roman"/>
        </w:rPr>
      </w:pPr>
      <w:r>
        <w:rPr>
          <w:rFonts w:ascii="Times New Roman" w:hAnsi="Times New Roman" w:cs="Times New Roman"/>
        </w:rPr>
        <w:t>The</w:t>
      </w:r>
      <w:r w:rsidRPr="00BA7968">
        <w:rPr>
          <w:rFonts w:ascii="Times New Roman" w:hAnsi="Times New Roman" w:cs="Times New Roman"/>
        </w:rPr>
        <w:t xml:space="preserve"> necessity to achieve a shared understanding of the innovative value of external ideas</w:t>
      </w:r>
      <w:r>
        <w:rPr>
          <w:rFonts w:ascii="Times New Roman" w:hAnsi="Times New Roman" w:cs="Times New Roman"/>
        </w:rPr>
        <w:t xml:space="preserve"> has been identified as a complex yet critical </w:t>
      </w:r>
      <w:r w:rsidRPr="00BA7968">
        <w:rPr>
          <w:rFonts w:ascii="Times New Roman" w:hAnsi="Times New Roman" w:cs="Times New Roman"/>
        </w:rPr>
        <w:t xml:space="preserve">aspect of innovation sourcing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(Marsh &amp; Stock, 2006)</w:t>
      </w:r>
      <w:r w:rsidRPr="00BA7968">
        <w:rPr>
          <w:rFonts w:ascii="Times New Roman" w:hAnsi="Times New Roman" w:cs="Times New Roman"/>
        </w:rPr>
        <w:fldChar w:fldCharType="end"/>
      </w:r>
      <w:r w:rsidRPr="00BA7968">
        <w:rPr>
          <w:rFonts w:ascii="Times New Roman" w:hAnsi="Times New Roman" w:cs="Times New Roman"/>
        </w:rPr>
        <w:t xml:space="preserve">. Essential characteristics are a cognitive mindset and a general culture of embracing the use of external knowledge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"10.1016/j.jom.2010.02.001", "ISSN" : "0272-6963", "author" : [ { "dropping-particle" : "", "family" : "Azadegan", "given" : "Arash", "non-dropping-particle" : "", "parse-names" : false, "suffix" : "" }, { "dropping-particle" : "", "family" : "Dooley", "given" : "Kevin J", "non-dropping-particle" : "", "parse-names" : false, "suffix" : "" } ], "container-title" : "Journal of Operations Management", "id" : "ITEM-1", "issue" : "6", "issued" : { "date-parts" : [ [ "2010" ] ] }, "page" : "488-505", "title" : "Supplier innovativeness, organizational learning styles and manufacturer performance: An empirical assessment", "type" : "article-journal", "volume" : "28" }, "uris" : [ "http://www.mendeley.com/documents/?uuid=76afabba-f3c3-4fb5-8466-bb21870974dc" ] }, { "id" : "ITEM-2",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"ITEM-2",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"id" : "ITEM-3", "itemData" : { "DOI" : "10.1108/00251741111094437", "ISBN" : "0025174111109", "ISSN" : "0025-1747", "PMID" : "846767147", "abstract" : "Purpose \u2013 Innovation is crucial for attaining a competitive advantage for companies. Innovation, versus imitation, motivates companies to launch new products and become pioneers on markets. Many factors have been shown to be determinants for supporting an organizational innovative orientation. One of them is organizational culture. The objective of this paper is to analyze the organizational culture that fosters or inhibits organizational innovation and imitation strategy. Design/methodology/approach \u2013 The paper uses a sample of 471 Spanish companies for examining the hypotheses. Using hierarchical multiple regression analysis, it relates the effect of organizational culture with an innovation strategy. Findings \u2013 The results confirm the hypotheses. The paper finds that organizational culture is a clear determinant of innovation strategy. Moreover, adhocracy cultures foster innovation strategies and hierarchical cultures promote imitation cultures. Research limitations/implications \u2013 The main limitations are that data in the study were collected from one source for the cross-sectional design of this research. Practical implications \u2013 Managers should pay more attention to their organization culture if they pursue innovation/imitation strategies. Moreover, depending on this orientation (to be the first company to introduce in new markets or develop new products for a market versus to follow a pioneer), companies should promote different values and norms in their organizations. Originality/value \u2013 The main value of this paper is its analysis and testing of the relation of organizational culture and innovation orientation. The majority of the literature underlines the pa</w:instrText>
      </w:r>
      <w:r w:rsidRPr="003F7F89">
        <w:rPr>
          <w:rFonts w:ascii="Times New Roman" w:hAnsi="Times New Roman" w:cs="Times New Roman"/>
          <w:lang w:val="es-ES"/>
        </w:rPr>
        <w:instrText>per's seeking after organizational culture for innovation. However, this topic has not been studied in depth and requires attention to different organizational cultures and innovation orientations.", "author" : [ { "dropping-particle" : "", "family" : "Naranjo-Valencia", "given" : "Julia C", "non-dropping-particle" : "", "parse-names" : false, "suffix" : "" }, { "dropping-particle" : "", "family" : "Jim\u00e9nez-Jim\u00e9nez", "given" : "Daniel", "non-dropping-particle" : "", "parse-names" : false, "suffix" : "" }, { "dropping-particle" : "", "family" : "Sanz-Valle", "given" : "Raquel", "non-dropping-particle" : "", "parse-names" : false, "suffix" : "" } ], "container-title" : "Management Decision", "id" : "ITEM-3", "issue" : "1", "issued" : { "date-parts" : [ [ "2011" ] ] }, "page" : "55-72", "title" : "Innovation or imitation? The role of organizational culture", "type" : "article-journal", "volume" : "49" }, "uris" : [ "http://www.mendeley.com/documents/?uuid=c1e1bff5-adb4-487f-b48e-8ad2df9dc8e6" ] } ], "mendeley" : { "formattedCitation" : "(Azadegan &amp; Dooley, 2010; J. Chen et al., 2011; Naranjo-Valencia et al., 2011)", "plainTextFormattedCitation" : "(Azadegan &amp; Dooley, 2010; J. Chen et al., 2011; Naranjo-Valencia et al., 2011)", "previouslyFormattedCitation" : "(Azadegan &amp; Dooley, 2010; J. Chen et al., 2011; Naranjo-Valencia et al., 2011)" }, "properties" : { "noteIndex" : 0 }, "schema" : "https://github.com/citation-style-language/schema/raw/master/csl-citation.json" }</w:instrText>
      </w:r>
      <w:r w:rsidRPr="00BA7968">
        <w:rPr>
          <w:rFonts w:ascii="Times New Roman" w:hAnsi="Times New Roman" w:cs="Times New Roman"/>
        </w:rPr>
        <w:fldChar w:fldCharType="separate"/>
      </w:r>
      <w:r w:rsidRPr="003F7F89">
        <w:rPr>
          <w:rFonts w:ascii="Times New Roman" w:hAnsi="Times New Roman" w:cs="Times New Roman"/>
          <w:noProof/>
          <w:lang w:val="es-ES"/>
        </w:rPr>
        <w:t>(Azadegan &amp; Dooley, 2010; J. Chen et al., 2011; Naranjo-Valencia et al., 2011)</w:t>
      </w:r>
      <w:r w:rsidRPr="00BA7968">
        <w:rPr>
          <w:rFonts w:ascii="Times New Roman" w:hAnsi="Times New Roman" w:cs="Times New Roman"/>
        </w:rPr>
        <w:fldChar w:fldCharType="end"/>
      </w:r>
      <w:r w:rsidRPr="003F7F89">
        <w:rPr>
          <w:rFonts w:ascii="Times New Roman" w:hAnsi="Times New Roman" w:cs="Times New Roman"/>
          <w:lang w:val="es-ES"/>
        </w:rPr>
        <w:t xml:space="preserve">. </w:t>
      </w:r>
      <w:r w:rsidRPr="00BA7968">
        <w:rPr>
          <w:rFonts w:ascii="Times New Roman" w:hAnsi="Times New Roman" w:cs="Times New Roman"/>
        </w:rPr>
        <w:t xml:space="preserve">This serves as a </w:t>
      </w:r>
      <w:r>
        <w:rPr>
          <w:rFonts w:ascii="Times New Roman" w:hAnsi="Times New Roman" w:cs="Times New Roman"/>
        </w:rPr>
        <w:t>necessary basis</w:t>
      </w:r>
      <w:r w:rsidRPr="00BA7968">
        <w:rPr>
          <w:rFonts w:ascii="Times New Roman" w:hAnsi="Times New Roman" w:cs="Times New Roman"/>
        </w:rPr>
        <w:t xml:space="preserve"> for collective actions and decision-making. To achieve this common interpretation of external knowledge, a common thought world about the meaningfulness of innovation is helpful, which illustrates the second main perspective of innovation </w:t>
      </w:r>
      <w:r>
        <w:rPr>
          <w:rFonts w:ascii="Times New Roman" w:hAnsi="Times New Roman" w:cs="Times New Roman"/>
        </w:rPr>
        <w:t>orientation</w:t>
      </w:r>
      <w:r w:rsidRPr="00BA7968">
        <w:rPr>
          <w:rFonts w:ascii="Times New Roman" w:hAnsi="Times New Roman" w:cs="Times New Roman"/>
        </w:rPr>
        <w:t xml:space="preserve">. Organizations with high innovation </w:t>
      </w:r>
      <w:r>
        <w:rPr>
          <w:rFonts w:ascii="Times New Roman" w:hAnsi="Times New Roman" w:cs="Times New Roman"/>
        </w:rPr>
        <w:t>orientation</w:t>
      </w:r>
      <w:r w:rsidRPr="00BA7968">
        <w:rPr>
          <w:rFonts w:ascii="Times New Roman" w:hAnsi="Times New Roman" w:cs="Times New Roman"/>
        </w:rPr>
        <w:t xml:space="preserve"> recognize the criticality of external knowledge inflow to remain competitive in the long run. Based on the literature review, the innovation </w:t>
      </w:r>
      <w:r>
        <w:rPr>
          <w:rFonts w:ascii="Times New Roman" w:hAnsi="Times New Roman" w:cs="Times New Roman"/>
        </w:rPr>
        <w:t>orientation</w:t>
      </w:r>
      <w:r w:rsidRPr="00BA7968">
        <w:rPr>
          <w:rFonts w:ascii="Times New Roman" w:hAnsi="Times New Roman" w:cs="Times New Roman"/>
        </w:rPr>
        <w:t xml:space="preserve"> concept emphasizes organizational attentiveness especially in regards to externally available knowledge. Nonetheless, it does not only involve technical/engineering but organizational and administrative process knowledge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"10.1108/00251741111094437", "ISBN" : "0025174111109", "ISSN" : "0025-1747", "PMID" : "846767147", "abstract" : "Purpose \u2013 Innovation is crucial for attaining a competitive advantage for companies. Innovation, versus imitation, motivates companies to launch new products and become pioneers on markets. Many factors have been shown to be determinants for supporting an organizational innovative orientation. One of them is organizational culture. The objective of this paper is to analyze the organizational culture that fosters or inhibits organizational innovation and imitation strategy. Design/methodology/approach \u2013 The paper uses a sample of 471 Spanish companies for examining the hypotheses. Using hierarchical multiple regression analysis, it relates the effect of organizational culture with an innovation strategy. Findings \u2013 The results confirm the hypotheses. The paper finds that organizational culture is a clear determinant of innovation strategy. Moreover, adhocracy cultures foster innovation strategies and hierarchical cultures promote imitation cultures. Research limitations/implications \u2013 The main limitations are that data in the study were collected from one source for the cross-sectional design of this research. Practical implications \u2013 Managers should pay more attention to their organization culture if they pursue innovation/imitation strategies. Moreover, depending on this orientation (to be the first company to introduce in new markets or develop new products for a market versus to follow a pioneer), companies should promote different values and norms in their organizations. Originality/value \u2013 The main value of this paper is its analysis and testing of the relation of organizational culture and innovation orientation. The majority of the literature underlines the paper's seeking after organizational culture for innovation. However, this topic has not been studied in depth and requires attention to different organizational cultures and innovation orientations.", "author" : [ { "dropping-particle" : "", "family" : "Naranjo-Valencia", "given" : "Julia C", "non-dropping-particle" : "", "parse-names" : false, "suffix" : "" }, { "dropping-particle" : "", "family" : "Jim\u00e9nez-Jim\u00e9nez", "given" : "Daniel", "non-dropping-particle" : "", "parse-names" : false, "suffix" : "" }, { "dropping-particle" : "", "family" : "Sanz-Valle", "given" : "Raquel", "non-dropping-particle" : "", "parse-names" : false, "suffix" : "" } ], "container-title" : "Management Decision", "id" : "ITEM-1", "issue" : "1", "issued" : { "date-parts" : [ [ "2011" ] ] }, "page" : "55-72", "title" : "Innovation or imitation? The role of organizational culture", "type" : "article-journal", "volume" : "49" }, "uris" : [ "http://www.mendeley.com/documents/?uuid=c1e1bff5-adb4-487f-b48e-8ad2df9dc8e6" ] } ], "mendeley" : { "formattedCitation" : "(Naranjo-Valencia et al., 2011)", "plainTextFormattedCitation" : "(Naranjo-Valencia et al., 2011)", "previouslyFormattedCitation" : "(Naranjo-Valencia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(Naranjo-Valencia et al., 2011)</w:t>
      </w:r>
      <w:r w:rsidRPr="00BA7968">
        <w:rPr>
          <w:rFonts w:ascii="Times New Roman" w:hAnsi="Times New Roman" w:cs="Times New Roman"/>
        </w:rPr>
        <w:fldChar w:fldCharType="end"/>
      </w:r>
      <w:r w:rsidRPr="00BA7968">
        <w:rPr>
          <w:rFonts w:ascii="Times New Roman" w:hAnsi="Times New Roman" w:cs="Times New Roman"/>
        </w:rPr>
        <w:t xml:space="preserve">. In summary, innovation sourcing requires a </w:t>
      </w:r>
      <w:r>
        <w:rPr>
          <w:rFonts w:ascii="Times New Roman" w:hAnsi="Times New Roman" w:cs="Times New Roman"/>
        </w:rPr>
        <w:t>organization</w:t>
      </w:r>
      <w:r w:rsidRPr="00BA7968">
        <w:rPr>
          <w:rFonts w:ascii="Times New Roman" w:hAnsi="Times New Roman" w:cs="Times New Roman"/>
        </w:rPr>
        <w:t xml:space="preserve">-wide commitment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"ITEM-1",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"mendeley" : { "formattedCitation" : "(J. Chen et al., 2011)", "plainTextFormattedCitation" : "(J. Chen et al., 2011)", "previouslyFormattedCitation" : "(J. Chen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(J. Chen et al., 2011)</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Therefore</w:t>
      </w:r>
      <w:r w:rsidRPr="00BA7968">
        <w:rPr>
          <w:rFonts w:ascii="Times New Roman" w:hAnsi="Times New Roman" w:cs="Times New Roman"/>
        </w:rPr>
        <w:t xml:space="preserve">, innovation </w:t>
      </w:r>
      <w:r>
        <w:rPr>
          <w:rFonts w:ascii="Times New Roman" w:hAnsi="Times New Roman" w:cs="Times New Roman"/>
        </w:rPr>
        <w:t>orientation</w:t>
      </w:r>
      <w:r w:rsidRPr="00BA7968">
        <w:rPr>
          <w:rFonts w:ascii="Times New Roman" w:hAnsi="Times New Roman" w:cs="Times New Roman"/>
        </w:rPr>
        <w:t xml:space="preserve"> is the third dimension of innovation sourcing, and</w:t>
      </w:r>
      <w:r w:rsidRPr="00BA7968">
        <w:rPr>
          <w:rFonts w:ascii="Times New Roman" w:hAnsi="Times New Roman" w:cs="Times New Roman"/>
          <w:bCs/>
        </w:rPr>
        <w:t xml:space="preserve"> </w:t>
      </w:r>
      <w:r w:rsidRPr="00BA7968">
        <w:rPr>
          <w:rFonts w:ascii="Times New Roman" w:hAnsi="Times New Roman" w:cs="Times New Roman"/>
        </w:rPr>
        <w:t>the following is proposed:</w:t>
      </w:r>
    </w:p>
    <w:p w14:paraId="25D7A94F" w14:textId="77777777" w:rsidR="00C7731B" w:rsidRPr="00BA7968" w:rsidRDefault="00C7731B" w:rsidP="00C7731B">
      <w:pPr>
        <w:spacing w:line="360" w:lineRule="auto"/>
        <w:rPr>
          <w:rFonts w:ascii="Times New Roman" w:hAnsi="Times New Roman" w:cs="Times New Roman"/>
        </w:rPr>
      </w:pPr>
    </w:p>
    <w:p w14:paraId="5D870341" w14:textId="77777777" w:rsidR="00C7731B" w:rsidRPr="00BA7968" w:rsidRDefault="00C7731B" w:rsidP="00C7731B">
      <w:pPr>
        <w:spacing w:line="360" w:lineRule="auto"/>
        <w:rPr>
          <w:rFonts w:ascii="Times New Roman" w:hAnsi="Times New Roman" w:cs="Times New Roman"/>
          <w:b/>
        </w:rPr>
      </w:pPr>
      <w:r>
        <w:rPr>
          <w:rFonts w:ascii="Times New Roman" w:hAnsi="Times New Roman" w:cs="Times New Roman"/>
          <w:b/>
        </w:rPr>
        <w:t xml:space="preserve">Proposition </w:t>
      </w:r>
      <w:r w:rsidRPr="00BA7968">
        <w:rPr>
          <w:rFonts w:ascii="Times New Roman" w:hAnsi="Times New Roman" w:cs="Times New Roman"/>
          <w:b/>
        </w:rPr>
        <w:t>P</w:t>
      </w:r>
      <w:r w:rsidRPr="00BA7968">
        <w:rPr>
          <w:rFonts w:ascii="Times New Roman" w:hAnsi="Times New Roman" w:cs="Times New Roman"/>
          <w:b/>
          <w:vertAlign w:val="subscript"/>
        </w:rPr>
        <w:t>3</w:t>
      </w:r>
      <w:r w:rsidRPr="00BA7968">
        <w:rPr>
          <w:rFonts w:ascii="Times New Roman" w:hAnsi="Times New Roman" w:cs="Times New Roman"/>
          <w:b/>
        </w:rPr>
        <w:t xml:space="preserve">: </w:t>
      </w:r>
      <w:r>
        <w:rPr>
          <w:rFonts w:ascii="Times New Roman" w:hAnsi="Times New Roman" w:cs="Times New Roman"/>
          <w:b/>
        </w:rPr>
        <w:t>I</w:t>
      </w:r>
      <w:r w:rsidRPr="00BA7968">
        <w:rPr>
          <w:rFonts w:ascii="Times New Roman" w:hAnsi="Times New Roman" w:cs="Times New Roman"/>
          <w:b/>
        </w:rPr>
        <w:t xml:space="preserve">nnovation </w:t>
      </w:r>
      <w:r>
        <w:rPr>
          <w:rFonts w:ascii="Times New Roman" w:hAnsi="Times New Roman" w:cs="Times New Roman"/>
          <w:b/>
        </w:rPr>
        <w:t>orientation</w:t>
      </w:r>
      <w:r w:rsidRPr="00BA7968">
        <w:rPr>
          <w:rFonts w:ascii="Times New Roman" w:hAnsi="Times New Roman" w:cs="Times New Roman"/>
          <w:b/>
        </w:rPr>
        <w:t xml:space="preserve"> is </w:t>
      </w:r>
      <w:r>
        <w:rPr>
          <w:rFonts w:ascii="Times New Roman" w:hAnsi="Times New Roman" w:cs="Times New Roman"/>
          <w:b/>
        </w:rPr>
        <w:t xml:space="preserve">positively </w:t>
      </w:r>
      <w:r w:rsidRPr="00BA7968">
        <w:rPr>
          <w:rFonts w:ascii="Times New Roman" w:hAnsi="Times New Roman" w:cs="Times New Roman"/>
          <w:b/>
        </w:rPr>
        <w:t xml:space="preserve">associated with </w:t>
      </w:r>
      <w:r>
        <w:rPr>
          <w:rFonts w:ascii="Times New Roman" w:hAnsi="Times New Roman" w:cs="Times New Roman"/>
          <w:b/>
        </w:rPr>
        <w:t>the</w:t>
      </w:r>
      <w:r w:rsidRPr="00BA7968">
        <w:rPr>
          <w:rFonts w:ascii="Times New Roman" w:hAnsi="Times New Roman" w:cs="Times New Roman"/>
          <w:b/>
        </w:rPr>
        <w:t xml:space="preserve"> level of innovation sourcing.</w:t>
      </w:r>
    </w:p>
    <w:p w14:paraId="1F94C05D" w14:textId="77777777" w:rsidR="00C7731B" w:rsidRPr="00BA7968" w:rsidRDefault="00C7731B" w:rsidP="00C7731B">
      <w:pPr>
        <w:spacing w:line="360" w:lineRule="auto"/>
        <w:rPr>
          <w:rFonts w:ascii="Times New Roman" w:hAnsi="Times New Roman" w:cs="Times New Roman"/>
        </w:rPr>
      </w:pPr>
    </w:p>
    <w:p w14:paraId="28A46AE8" w14:textId="1A3DDA04" w:rsidR="00C7731B" w:rsidRDefault="00C7731B" w:rsidP="00C7731B">
      <w:pPr>
        <w:spacing w:line="360" w:lineRule="auto"/>
        <w:jc w:val="both"/>
        <w:rPr>
          <w:rFonts w:ascii="Times New Roman" w:hAnsi="Times New Roman" w:cs="Times New Roman"/>
        </w:rPr>
      </w:pPr>
      <w:r>
        <w:rPr>
          <w:rFonts w:ascii="Times New Roman" w:hAnsi="Times New Roman" w:cs="Times New Roman"/>
        </w:rPr>
        <w:t>Based on the systematic literature review and article analysis</w:t>
      </w:r>
      <w:r w:rsidRPr="00BA7968">
        <w:rPr>
          <w:rFonts w:ascii="Times New Roman" w:hAnsi="Times New Roman" w:cs="Times New Roman"/>
        </w:rPr>
        <w:t xml:space="preserve">, the main dimensions of innovation sourcing are external knowledge integration, internal knowledge integration, and innovation </w:t>
      </w:r>
      <w:r>
        <w:rPr>
          <w:rFonts w:ascii="Times New Roman" w:hAnsi="Times New Roman" w:cs="Times New Roman"/>
        </w:rPr>
        <w:t>orientation.</w:t>
      </w:r>
      <w:r w:rsidRPr="00BA7968">
        <w:rPr>
          <w:rFonts w:ascii="Times New Roman" w:hAnsi="Times New Roman" w:cs="Times New Roman"/>
        </w:rPr>
        <w:t xml:space="preserve"> </w:t>
      </w:r>
      <w:r>
        <w:rPr>
          <w:rFonts w:ascii="Times New Roman" w:hAnsi="Times New Roman" w:cs="Times New Roman"/>
        </w:rPr>
        <w:t>All three relate to numerous</w:t>
      </w:r>
      <w:r w:rsidRPr="00BA7968">
        <w:rPr>
          <w:rFonts w:ascii="Times New Roman" w:hAnsi="Times New Roman" w:cs="Times New Roman"/>
        </w:rPr>
        <w:t xml:space="preserve"> operational and managerial practices </w:t>
      </w:r>
      <w:r>
        <w:rPr>
          <w:rFonts w:ascii="Times New Roman" w:hAnsi="Times New Roman" w:cs="Times New Roman"/>
        </w:rPr>
        <w:t>in</w:t>
      </w:r>
      <w:r w:rsidRPr="00BA7968">
        <w:rPr>
          <w:rFonts w:ascii="Times New Roman" w:hAnsi="Times New Roman" w:cs="Times New Roman"/>
        </w:rPr>
        <w:t xml:space="preserve"> the </w:t>
      </w:r>
      <w:r>
        <w:rPr>
          <w:rFonts w:ascii="Times New Roman" w:hAnsi="Times New Roman" w:cs="Times New Roman"/>
        </w:rPr>
        <w:t>company. These</w:t>
      </w:r>
      <w:r w:rsidRPr="00BA7968">
        <w:rPr>
          <w:rFonts w:ascii="Times New Roman" w:hAnsi="Times New Roman" w:cs="Times New Roman"/>
        </w:rPr>
        <w:t xml:space="preserve"> </w:t>
      </w:r>
      <w:r>
        <w:rPr>
          <w:rFonts w:ascii="Times New Roman" w:hAnsi="Times New Roman" w:cs="Times New Roman"/>
        </w:rPr>
        <w:t>are depicted</w:t>
      </w:r>
      <w:r w:rsidRPr="00BA7968">
        <w:rPr>
          <w:rFonts w:ascii="Times New Roman" w:hAnsi="Times New Roman" w:cs="Times New Roman"/>
        </w:rPr>
        <w:t xml:space="preserve"> in </w:t>
      </w:r>
      <w:r w:rsidR="00DE39FE">
        <w:rPr>
          <w:rFonts w:ascii="Times New Roman" w:hAnsi="Times New Roman" w:cs="Times New Roman"/>
        </w:rPr>
        <w:fldChar w:fldCharType="begin"/>
      </w:r>
      <w:r w:rsidR="00DE39FE">
        <w:rPr>
          <w:rFonts w:ascii="Times New Roman" w:hAnsi="Times New Roman" w:cs="Times New Roman"/>
        </w:rPr>
        <w:instrText xml:space="preserve"> REF _Ref357387847 \h </w:instrText>
      </w:r>
      <w:r w:rsidR="00DE39FE">
        <w:rPr>
          <w:rFonts w:ascii="Times New Roman" w:hAnsi="Times New Roman" w:cs="Times New Roman"/>
        </w:rPr>
      </w:r>
      <w:r w:rsidR="00DE39FE">
        <w:rPr>
          <w:rFonts w:ascii="Times New Roman" w:hAnsi="Times New Roman" w:cs="Times New Roman"/>
        </w:rPr>
        <w:fldChar w:fldCharType="separate"/>
      </w:r>
      <w:r w:rsidR="00C2793E">
        <w:t xml:space="preserve">Table </w:t>
      </w:r>
      <w:r w:rsidR="00C2793E">
        <w:rPr>
          <w:noProof/>
        </w:rPr>
        <w:t>3</w:t>
      </w:r>
      <w:r w:rsidR="00DE39FE">
        <w:rPr>
          <w:rFonts w:ascii="Times New Roman" w:hAnsi="Times New Roman" w:cs="Times New Roman"/>
        </w:rPr>
        <w:fldChar w:fldCharType="end"/>
      </w:r>
      <w:r w:rsidR="00DE39FE">
        <w:rPr>
          <w:rFonts w:ascii="Times New Roman" w:hAnsi="Times New Roman" w:cs="Times New Roman"/>
        </w:rPr>
        <w:t xml:space="preserve"> </w:t>
      </w:r>
      <w:r w:rsidRPr="00BA7968">
        <w:rPr>
          <w:rFonts w:ascii="Times New Roman" w:hAnsi="Times New Roman" w:cs="Times New Roman"/>
        </w:rPr>
        <w:t xml:space="preserve">along with </w:t>
      </w:r>
      <w:r>
        <w:rPr>
          <w:rFonts w:ascii="Times New Roman" w:hAnsi="Times New Roman" w:cs="Times New Roman"/>
        </w:rPr>
        <w:t>key</w:t>
      </w:r>
      <w:r w:rsidRPr="00BA7968">
        <w:rPr>
          <w:rFonts w:ascii="Times New Roman" w:hAnsi="Times New Roman" w:cs="Times New Roman"/>
        </w:rPr>
        <w:t xml:space="preserve"> contextual factors.</w:t>
      </w:r>
    </w:p>
    <w:p w14:paraId="46A605D2" w14:textId="77777777" w:rsidR="00C7731B" w:rsidRDefault="00C7731B" w:rsidP="00C7731B">
      <w:pPr>
        <w:spacing w:line="360" w:lineRule="auto"/>
        <w:jc w:val="both"/>
        <w:rPr>
          <w:rFonts w:ascii="Times New Roman" w:hAnsi="Times New Roman" w:cs="Times New Roman"/>
        </w:rPr>
      </w:pPr>
    </w:p>
    <w:p w14:paraId="250C6A95" w14:textId="73AFA81B" w:rsidR="00B230A1" w:rsidRDefault="00B230A1" w:rsidP="00B230A1">
      <w:pPr>
        <w:pStyle w:val="Caption"/>
        <w:keepNext/>
      </w:pPr>
      <w:bookmarkStart w:id="37" w:name="_Toc358326839"/>
      <w:bookmarkStart w:id="38" w:name="_Ref357387847"/>
      <w:r>
        <w:lastRenderedPageBreak/>
        <w:t xml:space="preserve">Table </w:t>
      </w:r>
      <w:fldSimple w:instr=" SEQ Table \* ARABIC ">
        <w:r w:rsidR="00C2793E">
          <w:rPr>
            <w:noProof/>
          </w:rPr>
          <w:t>3</w:t>
        </w:r>
        <w:bookmarkEnd w:id="37"/>
      </w:fldSimple>
      <w:bookmarkEnd w:id="38"/>
    </w:p>
    <w:p w14:paraId="6A3A2453" w14:textId="4126D421" w:rsidR="00C7731B" w:rsidRPr="00970289" w:rsidRDefault="00374F69" w:rsidP="00C7731B">
      <w:pPr>
        <w:spacing w:line="360" w:lineRule="auto"/>
        <w:rPr>
          <w:rFonts w:ascii="Times New Roman" w:hAnsi="Times New Roman" w:cs="Times New Roman"/>
          <w:b/>
        </w:rPr>
      </w:pPr>
      <w:r>
        <w:rPr>
          <w:rFonts w:ascii="Times New Roman" w:hAnsi="Times New Roman" w:cs="Times New Roman"/>
          <w:b/>
        </w:rPr>
        <w:t>Main I</w:t>
      </w:r>
      <w:r w:rsidR="00C7731B" w:rsidRPr="00970289">
        <w:rPr>
          <w:rFonts w:ascii="Times New Roman" w:hAnsi="Times New Roman" w:cs="Times New Roman"/>
          <w:b/>
        </w:rPr>
        <w:t xml:space="preserve">nnovation </w:t>
      </w:r>
      <w:r>
        <w:rPr>
          <w:rFonts w:ascii="Times New Roman" w:hAnsi="Times New Roman" w:cs="Times New Roman"/>
          <w:b/>
        </w:rPr>
        <w:t>S</w:t>
      </w:r>
      <w:r w:rsidR="00C7731B" w:rsidRPr="00970289">
        <w:rPr>
          <w:rFonts w:ascii="Times New Roman" w:hAnsi="Times New Roman" w:cs="Times New Roman"/>
          <w:b/>
        </w:rPr>
        <w:t xml:space="preserve">ourcing </w:t>
      </w:r>
      <w:r>
        <w:rPr>
          <w:rFonts w:ascii="Times New Roman" w:hAnsi="Times New Roman" w:cs="Times New Roman"/>
          <w:b/>
        </w:rPr>
        <w:t>P</w:t>
      </w:r>
      <w:r w:rsidR="00C7731B" w:rsidRPr="00970289">
        <w:rPr>
          <w:rFonts w:ascii="Times New Roman" w:hAnsi="Times New Roman" w:cs="Times New Roman"/>
          <w:b/>
        </w:rPr>
        <w:t xml:space="preserve">ractices and </w:t>
      </w:r>
      <w:r>
        <w:rPr>
          <w:rFonts w:ascii="Times New Roman" w:hAnsi="Times New Roman" w:cs="Times New Roman"/>
          <w:b/>
        </w:rPr>
        <w:t>P</w:t>
      </w:r>
      <w:r w:rsidR="00C7731B" w:rsidRPr="00970289">
        <w:rPr>
          <w:rFonts w:ascii="Times New Roman" w:hAnsi="Times New Roman" w:cs="Times New Roman"/>
          <w:b/>
        </w:rPr>
        <w:t>rocesses</w:t>
      </w:r>
    </w:p>
    <w:p w14:paraId="53907897" w14:textId="77777777" w:rsidR="00C7731B" w:rsidRPr="00BA7968" w:rsidRDefault="00C7731B" w:rsidP="00C7731B">
      <w:pPr>
        <w:spacing w:line="360" w:lineRule="auto"/>
        <w:rPr>
          <w:rFonts w:ascii="Times New Roman" w:hAnsi="Times New Roman" w:cs="Times New Roman"/>
        </w:rPr>
      </w:pPr>
      <w:r w:rsidRPr="006B1953">
        <w:rPr>
          <w:rFonts w:ascii="Times New Roman" w:hAnsi="Times New Roman" w:cs="Times New Roman"/>
          <w:noProof/>
        </w:rPr>
        <w:drawing>
          <wp:inline distT="0" distB="0" distL="0" distR="0" wp14:anchorId="4191D802" wp14:editId="13189CB2">
            <wp:extent cx="5943600" cy="3635196"/>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635196"/>
                    </a:xfrm>
                    <a:prstGeom prst="rect">
                      <a:avLst/>
                    </a:prstGeom>
                    <a:noFill/>
                    <a:ln>
                      <a:noFill/>
                    </a:ln>
                  </pic:spPr>
                </pic:pic>
              </a:graphicData>
            </a:graphic>
          </wp:inline>
        </w:drawing>
      </w:r>
    </w:p>
    <w:p w14:paraId="686F1D08" w14:textId="77777777" w:rsidR="00C7731B" w:rsidRDefault="00C7731B" w:rsidP="00C7731B">
      <w:pPr>
        <w:spacing w:line="360" w:lineRule="auto"/>
        <w:jc w:val="both"/>
        <w:rPr>
          <w:rFonts w:ascii="Times New Roman" w:hAnsi="Times New Roman" w:cs="Times New Roman"/>
        </w:rPr>
      </w:pPr>
    </w:p>
    <w:p w14:paraId="09B9B67E" w14:textId="1FDC067F" w:rsidR="00C7731B" w:rsidRPr="00BC0C50" w:rsidRDefault="00C7731B" w:rsidP="00061995">
      <w:pPr>
        <w:pStyle w:val="Heading3new"/>
      </w:pPr>
      <w:r w:rsidRPr="00BC0C50">
        <w:t>Innovation Sourcing and its Performance Implications</w:t>
      </w:r>
    </w:p>
    <w:p w14:paraId="349AB98B"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When organizations develop effective mechanisms for conducting innovation sourcing, they will be more innovative and successful in the marketplace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"ITEM-1",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"mendeley" : { "formattedCitation" : "(J. Chen et al., 2011)", "plainTextFormattedCitation" : "(J. Chen et al., 2011)", "previouslyFormattedCitation" : "(J. Chen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(J. Chen et al., 2011)</w:t>
      </w:r>
      <w:r w:rsidRPr="00BA7968">
        <w:rPr>
          <w:rFonts w:ascii="Times New Roman" w:hAnsi="Times New Roman" w:cs="Times New Roman"/>
        </w:rPr>
        <w:fldChar w:fldCharType="end"/>
      </w:r>
      <w:r w:rsidRPr="00BA7968">
        <w:rPr>
          <w:rFonts w:ascii="Times New Roman" w:hAnsi="Times New Roman" w:cs="Times New Roman"/>
        </w:rPr>
        <w:t xml:space="preserve">. All three dimensions of innovation sourcing are positively associated with innovation performance. External relationships with suppliers matter, which includes developing the appropriate level of breadth (diversity of external relationships) and depth (relational intensity)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"10.1002/smj.507", "author" : [ { "dropping-particle" : "", "family" : "Laursen", "given" : "Keld", "non-dropping-particle" : "", "parse-names" : false, "suffix" : "" }, { "dropping-particle" : "", "family" : "Salter", "given" : "Ammon", "non-dropping-particle" : "", "parse-names" : false, "suffix" : "" } ], "container-title" : "Strategic Management Journal", "id" : "ITEM-1", "issued" : { "date-parts" : [ [ "2006" ] ] }, "page" : "131-150", "title" : "Open for Innovation: The Role of Openness in Explaining Innovation Performance Among U.K. Manufacturing Firms", "type" : "article-journal", "volume" : "27" }, "uris" : [ "http://www.mendeley.com/documents/?uuid=8719c3d5-843e-4454-9eb4-c9d579a99d4b" ] } ], "mendeley" : { "formattedCitation" : "(Laursen &amp; Salter, 2006)", "plainTextFormattedCitation" : "(Laursen &amp; Salter, 2006)", "previouslyFormattedCitation" : "(Laursen &amp; Salter,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(Laursen &amp; Salter, 2006)</w:t>
      </w:r>
      <w:r w:rsidRPr="00BA7968">
        <w:rPr>
          <w:rFonts w:ascii="Times New Roman" w:hAnsi="Times New Roman" w:cs="Times New Roman"/>
        </w:rPr>
        <w:fldChar w:fldCharType="end"/>
      </w:r>
      <w:r w:rsidRPr="00BA7968">
        <w:rPr>
          <w:rFonts w:ascii="Times New Roman" w:hAnsi="Times New Roman" w:cs="Times New Roman"/>
        </w:rPr>
        <w:t xml:space="preserve">. Effective searching and scouting processes as well as knowledge exchange coordination are relevant for high innovativeness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"10.1142/S1363919609002194", "ISBN" : "13639196", "ISSN" : "1363-9196", "PMID" : "37381271", "abstract" : "Inthe era of \u201copen innovation\u201d, external knowledge is a very important source for technology innovation. In this paper, we investigate the relationship between external knowledge and performance of technology innovation.The effect of external knowledge on the performance of technology innovation can vary with different external knowledge sourcing methods. We identify three ways of external knowledge sourcing: information transfer from informal network, R&amp;D collaboration and technology acquisition. We propose three hypotheses to examine relationship between the three methods of external knowledge sourcing and the technology innovation performance. Our results show that information transfer from informal network and technology acquisition have positive relationships with the technology innovation performance. R&amp;D collaboration, however, has an inverted-U-shape relationship with technology innovation performance. This implies that the effect of external knowledge on technology innovation varies depending on the particular external knowledge sourcing method. This research has an important implication for firms in selecting an appropriate strategy for accessing external knowledge.", "author" : [ { "dropping-particle" : "", "family" : "Kang", "given" : "Ki H.", "non-dropping-particle" : "", "parse-names" : false, "suffix" : "" }, { "dropping-particle" : "", "family" : "Kang", "given" : "Jina", "non-dropping-particle" : "", "parse-names" : false, "suffix" : "" } ], "container-title" : "International Journal of Innovation Management", "id" : "ITEM-1", "issue" : "01", "issued" : { "date-parts" : [ [ "2009" ] ] }, "page" : "1-17", "title" : "How Do Firms Source External Knowledge for Innovation? Analysing Effects of Different Knowledge Sourcing Methods", "type" : "article-journal", "volume" : "13" }, "uris" : [ "http://www.mendeley.com/documents/?uuid=bfcabe16-b933-4e56-8e12-abb71a383ca0" ] }, { "id" : "ITEM-2", "itemData" : { "DOI" : "10.1016/j.pursup.2012.01.001", "ISBN" : "1478-4092", "ISSN" : "14784092", "abstract" : "In this study we investigate the influence of subcontracting-in production related jobs, outsourcing and collaborations with non-supply chain partners on small manufacturing firms' operational innovation. Further, we investigate the mechanism through which these sourcing and collaborative strategies influence small firm performance by focusing on the potential mediating role of operational innovation in the relationships. The structural equation modeling analysis of data collected from 476 small manufacturing firms, suggests that outsourcing, subcontracting-in, and collaborations with non-supply chain partners are positively related to operational innovation. Further, the structural equation modeling results indicate that operational innovation fully mediates the influence that subcontracting-in has on financial performance but partially mediates the influence of outsourcing and collaborations with non-supply chain partners on small firm financial performance. Implications for theory and practice are discussed. ?? 2012.", "author" : [ { "dropping-particle" : "", "family" : "Oke", "given" : "Adegoke", "non-dropping-particle" : "", "parse-names" : false, "suffix" : "" }, { "dropping-particle" : "", "family" : "Kach", "given" : "Andrew", "non-dropping-particle" : "", "parse-names" : false, "suffix" : "" } ], "container-title" : "Journal of Purchasing and Supply Management", "id" : "ITEM-2", "issue" : "1", "issued" : { "date-parts" : [ [ "2012" ] ] }, "page" : "46-59", "title" : "Linking sourcing and collaborative strategies to financial performance: The role of operational innovation", "type" : "article-journal", "volume" : "18" }, "uris" : [ "http://www.mendeley.com/documents/?uuid=7eb04bd9-ebb7-4eb5-990a-278bc4389117" ] } ], "mendeley" : { "formattedCitation" : "(Kang &amp; Kang, 2009; Oke &amp; Kach, 2012)", "plainTextFormattedCitation" : "(Kang &amp; Kang, 2009; Oke &amp; Kach, 2012)", "previouslyFormattedCitation" : "(Kang &amp; Kang, 2009; Oke &amp; Kach,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(Kang &amp; Kang, 2009; Oke &amp; Kach, 2012)</w:t>
      </w:r>
      <w:r w:rsidRPr="00BA7968">
        <w:rPr>
          <w:rFonts w:ascii="Times New Roman" w:hAnsi="Times New Roman" w:cs="Times New Roman"/>
        </w:rPr>
        <w:fldChar w:fldCharType="end"/>
      </w:r>
      <w:r w:rsidRPr="00BA7968">
        <w:rPr>
          <w:rFonts w:ascii="Times New Roman" w:hAnsi="Times New Roman" w:cs="Times New Roman"/>
        </w:rPr>
        <w:t xml:space="preserve">. Research has emphasized the importance of knowledge integration practices of externally acquired knowledge to influence innovation success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"ITEM-1", "issue" : "1", "issued" : { "date-parts" : [ [ "2006" ] ] }, "page" : "68-82", "title" : "In Search of Complementarity in Innovation Strategy: Internal R&amp;D and External Knowledge Acquisition", "type" : "article-journal", "volume" : "52" }, "uris" : [ "http://www.mendeley.com/documents/?uuid=e3cb49dc-e5f8-42f4-a0f3-7ec7ae458508" ] } ], "mendeley" : { "formattedCitation" : "(Cassiman &amp; Veugelers, 2006)", "plainTextFormattedCitation" : "(Cassiman &amp; Veugelers, 2006)", "previouslyFormattedCitation" : "(Cassiman &amp; Veugelers,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(Cassiman &amp; Veugelers, 2006)</w:t>
      </w:r>
      <w:r w:rsidRPr="00BA7968">
        <w:rPr>
          <w:rFonts w:ascii="Times New Roman" w:hAnsi="Times New Roman" w:cs="Times New Roman"/>
        </w:rPr>
        <w:fldChar w:fldCharType="end"/>
      </w:r>
      <w:r w:rsidRPr="00BA7968">
        <w:rPr>
          <w:rFonts w:ascii="Times New Roman" w:hAnsi="Times New Roman" w:cs="Times New Roman"/>
        </w:rPr>
        <w:t xml:space="preserve">. Organizations facilitate the external and internal knowledge exchange to initiate joint learning and increase innovation performance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"10.1016/j.indmarman.2008.12.003", "ISSN" : "0019-8501", "author" : [ { "dropping-particle" : "", "family" : "Chen", "given" : "Yu-shan", "non-dropping-particle" : "", "parse-names" : false, "suffix" : "" }, { "dropping-particle" : "", "family" : "Lin", "given" : "Ming-ji James", "non-dropping-particle" : "", "parse-names" : false, "suffix" : "" }, { "dropping-particle" : "", "family" : "Chang", "given" : "Ching-hsun", "non-dropping-particle" : "", "parse-names" : false, "suffix" : "" } ], "container-title" : "Industrial Marketing Management", "id" : "ITEM-1", "issue" : "2", "issued" : { "date-parts" : [ [ "2009" ] ] }, "page" : "152-158", "title" : "The positive effects of relationship learning and absorptive capacity on innovation performance and competitive advantage in industrial markets", "type" : "article-journal", "volume" : "38" }, "uris" : [ "http://www.mendeley.com/documents/?uuid=22ddccf0-47b0-463a-9814-90f998dd7f52" ] } ], "mendeley" : { "formattedCitation" : "(Y. Chen et al., 2009)", "plainTextFormattedCitation" : "(Y. Chen et al., 2009)", "previouslyFormattedCitation" : "(Y. Chen et al.,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(Y. Chen et al., 2009)</w:t>
      </w:r>
      <w:r w:rsidRPr="00BA7968">
        <w:rPr>
          <w:rFonts w:ascii="Times New Roman" w:hAnsi="Times New Roman" w:cs="Times New Roman"/>
        </w:rPr>
        <w:fldChar w:fldCharType="end"/>
      </w:r>
      <w:r w:rsidRPr="00BA7968">
        <w:rPr>
          <w:rFonts w:ascii="Times New Roman" w:hAnsi="Times New Roman" w:cs="Times New Roman"/>
        </w:rPr>
        <w:t xml:space="preserve">. This necessitates effective organizational learning processes to assimilate the new ideas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"ITEM-1", "issue" : "1", "issued" : { "date-parts" : [ [ "2011" ] ] }, "page" : "54-64", "title" : "Some immediate but negative effects of openness on product development performance", "type" : "article-journal", "volume" : "31" }, "uris" : [ "http://www.mendeley.com/documents/?uuid=89aed28a-6bb6-488a-8cff-0b99ffa65593" ] }, { "id" : "ITEM-2", "itemData" : { "DOI" : "10.1016/j.technovation.2013.09.005", "ISBN" : "01664972", "ISSN" : "01664972", "abstract" : "This paper explores the strategic dimensions of R&amp;D decisions toward novelty and openness in explaining the performance of latecomer firms in a developing economy. A structural equation model of R&amp;D decision-making is formulated using survey data from 279 Chinese firms. The dimension of R&amp;D novelty is defined as the degree of technological newness found in firms' R&amp;D projects, while R&amp;D openness describes the degree to which technologies are acquired from external sources. Our results indicate that firms' R&amp;D decisions regarding novelty and openness are associated with demand opportunities, market competition, technological capability, and external networks. Greater R&amp;D novelty contributes positively to innovative output but does not affect sales growth. Greater R&amp;D openness contributes positively to sales growth but negatively to innovative output. ?? 2013 Elsevier Ltd.", "author" : [ { "dropping-particle" : "", "family" : "Wang", "given" : "Fangrui", "non-dropping-particle" : "", "parse-names" : false, "suffix" : "" }, { "dropping-particle" : "", "family" : "Chen", "given" : "Jin", "non-dropping-particle" : "", "parse-names" : false, "suffix" : "" }, { "dropping-particle" : "", "family" : "Wang", "given" : "Yuandi", "non-dropping-particle" : "", "parse-names" : false, "suffix" : "" }, { "dropping-particle" : "", "family" : "Lutao", "given" : "Ning", "non-dropping-particle" : "", "parse-names" : false, "suffix" : "" }, { "dropping-particle" : "", "family" : "Vanhaverbeke", "given" : "Wim", "non-dropping-particle" : "", "parse-names" : false, "suffix" : "" } ], "container-title" : "Technovation", "id" : "ITEM-2", "issue" : "1", "issued" : { "date-parts" : [ [ "2014" ] ] }, "page" : "21-30", "title" : "The effect of R&amp;D novelty and openness decision on firms' catch-up performance: Empirical evidence from China", "type" : "article-journal", "volume" : "34" }, "uris" : [ "http://www.mendeley.com/documents/?uuid=a4b713f1-433d-487c-a5b9-9c0483c64ff6" ] }, { "id" : "ITEM-3", "itemData" : { "DOI" : "10.1111/jpim.12087", "ISBN" : "07376782", "ISSN" : "07376782", "PMID" : "92941948", "abstract" : "To source external knowledge, firms in the service area use various sourcing modes simultaneously suitable for their internal needs or external environments. Each external knowledge sourcing mode has distinctive characteristics, and as such, they can offer different advantages and/or disadvantages to the firms. Thus, the effects of external knowledge sourcing on service innovation may vary depending on the sourcing modes. The current study aims to empirically examine the different effects of various external knowledge sourcing modes on service innovation. The study identifies three external knowledge sourcing modes: joint development, technology purchasing, and external information acquisition. Three hypotheses are established to examine the relationships between the extent of utilizing each mode and service innovation performance in terms of new service introduction. The data for analysis are selected from the ' Korean Innovation Survey 2006: Service Sector' ( KIS 2006). It is regarded as South Korea's version of the Community Innovation Survey ( CIS). The KIS 2006 data set covers joint development, technology purchasing, and external information acquisition activities of corporations in the service sector in South Korea. The study empirically analyzes the data set using a negative binomial regression model. The results first demonstrate that the extent of the joint development has an inverted U-shaped relationship with the service innovation performance. Second, the results indicate that, on the other hand, service innovation performance decreases with the increase to the extent of the technology purchasing when the extent is below the threshold. On the other hand, it increases with the increase to the extent of the technology purchasing; this occurs when the extent exceeds the threshold. Third, the results show that external information acquisition has a positive effect on service innovation performance. These findings support that the extent of utilizing each mode has different relationships with service innovation performance. The findings suggest that service firms need to utilize joint development at a moderate level, active technology purchasing, and as much external information acquisition as possible to maximize service innovation performance. In practice, this finding can help managers of service firms select appropriate external knowledge sourcing modes and determine the optimum level of use for each mode. This study also can help firms buil\u2026", "author" : [ { "dropping-particle" : "", "family" : "Kang", "given" : "Ki H.", "non-dropping-particle" : "", "parse-names" : false, "suffix" : "" }, { "dropping-particle" : "", "family" : "Kang", "given" : "Jina", "non-dropping-particle" : "", "parse-names" : false, "suffix" : "" } ], "container-title" : "Journal of Product Innovation Management", "id" : "ITEM-3", "issue" : "1", "issued" : { "date-parts" : [ [ "2014" ] ] }, "page" : "176-191", "title" : "Do external knowledge sourcing modes matter for service innovation? Empirical evidence from South Korean service firms", "type" : "article-journal", "volume" : "31" }, "uris" : [ "http://www.mendeley.com/documents/?uuid=21d942d8-1ccc-4f31-8450-d85ced2e8d8e" ] } ], "mendeley" : { "formattedCitation" : "(Kang &amp; Kang, 2014; Knudsen &amp; Mortensen, 2011; Wang, Chen, Wang, Lutao, &amp; Vanhaverbeke, 2014)", "plainTextFormattedCitation" : "(Kang &amp; Kang, 2014; Knudsen &amp; Mortensen, 2011; Wang, Chen, Wang, Lutao, &amp; Vanhaverbeke, 2014)", "previouslyFormattedCitation" : "(Kang &amp; Kang, 2014; Knudsen &amp; Mortensen, 2011; Wang, Chen, Wang, Lutao, &amp; Vanhaverbeke, 2014)"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 xml:space="preserve">(Kang &amp; Kang, 2014; Knudsen &amp; Mortensen, 2011; Wang, Chen, </w:t>
      </w:r>
      <w:r w:rsidRPr="006A22BF">
        <w:rPr>
          <w:rFonts w:ascii="Times New Roman" w:hAnsi="Times New Roman" w:cs="Times New Roman"/>
          <w:noProof/>
        </w:rPr>
        <w:lastRenderedPageBreak/>
        <w:t>Wang, Lutao, &amp; Vanhaverbeke, 2014)</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Moreover</w:t>
      </w:r>
      <w:r w:rsidRPr="00BA7968">
        <w:rPr>
          <w:rFonts w:ascii="Times New Roman" w:hAnsi="Times New Roman" w:cs="Times New Roman"/>
        </w:rPr>
        <w:t xml:space="preserve">, researchers underscore the importance of firm-level knowledge resource management within the </w:t>
      </w:r>
      <w:r>
        <w:rPr>
          <w:rFonts w:ascii="Times New Roman" w:hAnsi="Times New Roman" w:cs="Times New Roman"/>
        </w:rPr>
        <w:t>company</w:t>
      </w:r>
      <w:r w:rsidRPr="00BA7968">
        <w:rPr>
          <w:rFonts w:ascii="Times New Roman" w:hAnsi="Times New Roman" w:cs="Times New Roman"/>
        </w:rPr>
        <w:t xml:space="preserv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"10.1016/j.respol.2010.12.004", "ISBN" : "0048-7333", "ISSN" : "00487333", "abstract" : "Inter-departmental innovation collaboration facilitates innovation performance. At the same time, it has been identified as a source of increased coordination costs. Using organizational information processing theory, this paper builds and tests hypotheses on the costs and benefits of innovation-related collaboration within firms. Based on a sample of 433 German manufacturing firms we show inter-departmental innovation collaboration to increase process innovation performance, but also to produce costs in terms of project delay and project termination. These costs, however, do not affect innovation performance at the firm level. This finding suggests firms to be well able to balance the costs and benefits of inter-departmental collaboration across their innovation project portfolio. Theoretical and managerial implications are discussed. ?? 2010 Elsevier B.V. All rights reserved.", "author" : [ { "dropping-particle" : "", "family" : "Cuijpers", "given" : "Maarten", "non-dropping-particle" : "", "parse-names" : false, "suffix" : "" }, { "dropping-particle" : "", "family" : "Guenter", "given" : "Hannes", "non-dropping-particle" : "", "parse-names" : false, "suffix" : "" }, { "dropping-particle" : "", "family" : "Hussinger", "given" : "Katrin", "non-dropping-particle" : "", "parse-names" : false, "suffix" : "" } ], "container-title" : "Research Policy", "id" : "ITEM-1", "issue" : "4", "issued" : { "date-parts" : [ [ "2011" ] ] }, "page" : "565-575", "title" : "Costs and benefits of inter-departmental innovation collaboration", "type" : "article-journal", "volume" : "40" }, "uris" : [ "http://www.mendeley.com/documents/?uuid=3ca16487-6297-4f72-8a42-d5eb72733699" ] } ], "mendeley" : { "formattedCitation" : "(Cuijpers et al., 2011)", "plainTextFormattedCitation" : "(Cuijpers et al., 2011)", "previouslyFormattedCitation" : "(Cuijpers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(Cuijpers et al., 2011)</w:t>
      </w:r>
      <w:r w:rsidRPr="00BA7968">
        <w:rPr>
          <w:rFonts w:ascii="Times New Roman" w:hAnsi="Times New Roman" w:cs="Times New Roman"/>
        </w:rPr>
        <w:fldChar w:fldCharType="end"/>
      </w:r>
      <w:r w:rsidRPr="00BA7968">
        <w:rPr>
          <w:rFonts w:ascii="Times New Roman" w:hAnsi="Times New Roman" w:cs="Times New Roman"/>
        </w:rPr>
        <w:t xml:space="preserve">. Enhancing cross-functional integration will lead to successful innovation outcomes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"10.1111/j.1540-5885.2012.00964.x", "author" : [ { "dropping-particle" : "", "family" : "Evanschitzky", "given" : "Heiner", "non-dropping-particle" : "", "parse-names" : false, "suffix" : "" }, { "dropping-particle" : "", "family" : "Eisend", "given" : "Martin", "non-dropping-particle" : "", "parse-names" : false, "suffix" : "" }, { "dropping-particle" : "", "family" : "Calantone", "given" : "Roger J", "non-dropping-particle" : "", "parse-names" : false, "suffix" : "" }, { "dropping-particle" : "", "family" : "Jiang", "given" : "Yuanyuan", "non-dropping-particle" : "", "parse-names" : false, "suffix" : "" } ], "container-title" : "Journal of Product Innovation Management", "id" : "ITEM-1", "issue" : "S1", "issued" : { "date-parts" : [ [ "2012" ] ] }, "page" : "21-37", "title" : "Success Factors of Product Innovation: An Updated Meta-Analysis", "type" : "article-journal", "volume" : "29" }, "uris" : [ "http://www.mendeley.com/documents/?uuid=52ba4d33-0052-4861-8360-7b658f87fe25" ] } ], "mendeley" : { "formattedCitation" : "(Evanschitzky, Eisend, Calantone, &amp; Jiang, 2012)", "plainTextFormattedCitation" : "(Evanschitzky, Eisend, Calantone, &amp; Jiang, 2012)", "previouslyFormattedCitation" : "(Evanschitzky, Eisend, Calantone, &amp; Jiang,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(Evanschitzky, Eisend, Calantone, &amp; Jiang, 2012)</w:t>
      </w:r>
      <w:r w:rsidRPr="00BA7968">
        <w:rPr>
          <w:rFonts w:ascii="Times New Roman" w:hAnsi="Times New Roman" w:cs="Times New Roman"/>
        </w:rPr>
        <w:fldChar w:fldCharType="end"/>
      </w:r>
      <w:r w:rsidRPr="00BA7968">
        <w:rPr>
          <w:rFonts w:ascii="Times New Roman" w:hAnsi="Times New Roman" w:cs="Times New Roman"/>
        </w:rPr>
        <w:t>.</w:t>
      </w:r>
    </w:p>
    <w:p w14:paraId="2ECCE50F" w14:textId="77777777" w:rsidR="00C7731B" w:rsidRPr="00BA7968" w:rsidRDefault="00C7731B" w:rsidP="00C7731B">
      <w:pPr>
        <w:spacing w:line="360" w:lineRule="auto"/>
        <w:jc w:val="both"/>
        <w:rPr>
          <w:rFonts w:ascii="Times New Roman" w:hAnsi="Times New Roman" w:cs="Times New Roman"/>
          <w:b/>
        </w:rPr>
      </w:pPr>
      <w:r w:rsidRPr="00BA7968">
        <w:rPr>
          <w:rFonts w:ascii="Times New Roman" w:hAnsi="Times New Roman" w:cs="Times New Roman"/>
        </w:rPr>
        <w:tab/>
        <w:t xml:space="preserve">The level of innovation </w:t>
      </w:r>
      <w:r>
        <w:rPr>
          <w:rFonts w:ascii="Times New Roman" w:hAnsi="Times New Roman" w:cs="Times New Roman"/>
        </w:rPr>
        <w:t>orientation</w:t>
      </w:r>
      <w:r w:rsidRPr="00BA7968">
        <w:rPr>
          <w:rFonts w:ascii="Times New Roman" w:hAnsi="Times New Roman" w:cs="Times New Roman"/>
        </w:rPr>
        <w:t xml:space="preserve"> influences organizational performance as well. In particular, an effective organizational climate geared towards innovation strengthens new product development performance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"10.1111/j.1540-5885.2012.00964.x", "author" : [ { "dropping-particle" : "", "family" : "Evanschitzky", "given" : "Heiner", "non-dropping-particle" : "", "parse-names" : false, "suffix" : "" }, { "dropping-particle" : "", "family" : "Eisend", "given" : "Martin", "non-dropping-particle" : "", "parse-names" : false, "suffix" : "" }, { "dropping-particle" : "", "family" : "Calantone", "given" : "Roger J", "non-dropping-particle" : "", "parse-names" : false, "suffix" : "" }, { "dropping-particle" : "", "family" : "Jiang", "given" : "Yuanyuan", "non-dropping-particle" : "", "parse-names" : false, "suffix" : "" } ], "container-title" : "Journal of Product Innovation Management", "id" : "ITEM-1", "issue" : "S1", "issued" : { "date-parts" : [ [ "2012" ] ] }, "page" : "21-37", "title" : "Success Factors of Product Innovation: An Updated Meta-Analysis", "type" : "article-journal", "volume" : "29" }, "uris" : [ "http://www.mendeley.com/documents/?uuid=52ba4d33-0052-4861-8360-7b658f87fe25" ] } ], "mendeley" : { "formattedCitation" : "(Evanschitzky et al., 2012)", "plainTextFormattedCitation" : "(Evanschitzky et al., 2012)", "previouslyFormattedCitation" : "(Evanschitzky et al., 2012)"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(Evanschitzky et al., 2012)</w:t>
      </w:r>
      <w:r w:rsidRPr="00BA7968">
        <w:rPr>
          <w:rFonts w:ascii="Times New Roman" w:hAnsi="Times New Roman" w:cs="Times New Roman"/>
        </w:rPr>
        <w:fldChar w:fldCharType="end"/>
      </w:r>
      <w:r w:rsidRPr="00BA7968">
        <w:rPr>
          <w:rFonts w:ascii="Times New Roman" w:hAnsi="Times New Roman" w:cs="Times New Roman"/>
        </w:rPr>
        <w:t xml:space="preserve">. This can be related to innovation </w:t>
      </w:r>
      <w:r>
        <w:rPr>
          <w:rFonts w:ascii="Times New Roman" w:hAnsi="Times New Roman" w:cs="Times New Roman"/>
        </w:rPr>
        <w:t>orientation</w:t>
      </w:r>
      <w:r w:rsidRPr="00BA7968">
        <w:rPr>
          <w:rFonts w:ascii="Times New Roman" w:hAnsi="Times New Roman" w:cs="Times New Roman"/>
        </w:rPr>
        <w:t xml:space="preserve"> as an attitudinal aspect of the </w:t>
      </w:r>
      <w:r>
        <w:rPr>
          <w:rFonts w:ascii="Times New Roman" w:hAnsi="Times New Roman" w:cs="Times New Roman"/>
        </w:rPr>
        <w:t>company</w:t>
      </w:r>
      <w:r w:rsidRPr="00BA7968">
        <w:rPr>
          <w:rFonts w:ascii="Times New Roman" w:hAnsi="Times New Roman" w:cs="Times New Roman"/>
        </w:rPr>
        <w:t xml:space="preserve"> that emphasizes the appreciation for external knowledge inflow. To improve innovation, an innovation-focused mindset of the </w:t>
      </w:r>
      <w:r>
        <w:rPr>
          <w:rFonts w:ascii="Times New Roman" w:hAnsi="Times New Roman" w:cs="Times New Roman"/>
        </w:rPr>
        <w:t>company</w:t>
      </w:r>
      <w:r w:rsidRPr="00BA7968">
        <w:rPr>
          <w:rFonts w:ascii="Times New Roman" w:hAnsi="Times New Roman" w:cs="Times New Roman"/>
        </w:rPr>
        <w:t xml:space="preserve"> has been described as a critical success factor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"ITEM-1",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"id" : "ITEM-2",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"ITEM-2", "issue" : "1", "issued" : { "date-parts" : [ [ "2011" ] ] }, "page" : "54-64", "title" : "Some immediate but negative effects of openness on product development performance", "type" : "article-journal", "volume" : "31" }, "uris" : [ "http://www.mendeley.com/documents/?uuid=89aed28a-6bb6-488a-8cff-0b99ffa65593" ] } ], "mendeley" : { "formattedCitation" : "(J. Chen et al., 2011; Knudsen &amp; Mortensen, 2011)", "plainTextFormattedCitation" : "(J. Chen et al., 2011; Knudsen &amp; Mortensen, 2011)", "previouslyFormattedCitation" : "(J. Chen et al., 2011; Knudsen &amp; Mortensen,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(J. Chen et al., 2011; Knudsen &amp; Mortensen, 2011)</w:t>
      </w:r>
      <w:r w:rsidRPr="00BA7968">
        <w:rPr>
          <w:rFonts w:ascii="Times New Roman" w:hAnsi="Times New Roman" w:cs="Times New Roman"/>
        </w:rPr>
        <w:fldChar w:fldCharType="end"/>
      </w:r>
      <w:r w:rsidRPr="00BA7968">
        <w:rPr>
          <w:rFonts w:ascii="Times New Roman" w:hAnsi="Times New Roman" w:cs="Times New Roman"/>
        </w:rPr>
        <w:t xml:space="preserve">. Innovation </w:t>
      </w:r>
      <w:r>
        <w:rPr>
          <w:rFonts w:ascii="Times New Roman" w:hAnsi="Times New Roman" w:cs="Times New Roman"/>
        </w:rPr>
        <w:t>orientation</w:t>
      </w:r>
      <w:r w:rsidRPr="00BA7968">
        <w:rPr>
          <w:rFonts w:ascii="Times New Roman" w:hAnsi="Times New Roman" w:cs="Times New Roman"/>
        </w:rPr>
        <w:t xml:space="preserve"> appears to be a positive contributor to organizational innovation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"ITEM-1",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"mendeley" : { "formattedCitation" : "(J. Chen et al., 2011)", "plainTextFormattedCitation" : "(J. Chen et al., 2011)", "previouslyFormattedCitation" : "(J. Chen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(J. Chen et al., 2011)</w:t>
      </w:r>
      <w:r w:rsidRPr="00BA7968">
        <w:rPr>
          <w:rFonts w:ascii="Times New Roman" w:hAnsi="Times New Roman" w:cs="Times New Roman"/>
        </w:rPr>
        <w:fldChar w:fldCharType="end"/>
      </w:r>
      <w:r w:rsidRPr="00BA7968">
        <w:rPr>
          <w:rFonts w:ascii="Times New Roman" w:hAnsi="Times New Roman" w:cs="Times New Roman"/>
        </w:rPr>
        <w:t xml:space="preserve">. To sum up this section, multiple scholars have noted the positive impact of innovation sourcing on innovation performance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"ITEM-1", "issue" : "1", "issued" : { "date-parts" : [ [ "2006" ] ] }, "page" : "68-82", "title" : "In Search of Complementarity in Innovation Strategy: Internal R&amp;D and External Knowledge Acquisition", "type" : "article-journal", "volume" : "52" }, "uris" : [ "http://www.mendeley.com/documents/?uuid=e3cb49dc-e5f8-42f4-a0f3-7ec7ae458508" ] }, { "id" : "ITEM-2", "itemData" : { "author" : [ { "dropping-particle" : "", "family" : "Perez-Luno", "given" : "Ana", "non-dropping-particle" : "", "parse-names" : false, "suffix" : "" }, { "dropping-particle" : "", "family" : "Gopalakrishnan", "given" : "Shanthi", "non-dropping-particle" : "", "parse-names" : false, "suffix" : "" }, { "dropping-particle" : "", "family" : "Cabrera", "given" : "Ramon Valle", "non-dropping-particle" : "", "parse-names" : false, "suffix" : "" } ], "container-title" : "IEEE Transactions on Engineering Management", "id" : "ITEM-2", "issue" : "3", "issued" : { "date-parts" : [ [ "2014" ] ] }, "page" : "499-510", "title" : "Innovation and Performance: The Role of Environmental Dynamism on the Success of Innovation Choices", "type" : "article-journal", "volume" : "61" }, "uris" : [ "http://www.mendeley.com/documents/?uuid=44bf07b3-227a-4c0a-bbe3-bf1325a92842" ] } ], "mendeley" : { "formattedCitation" : "(Cassiman &amp; Veugelers, 2006; Perez-Luno, Gopalakrishnan, &amp; Cabrera, 2014)", "plainTextFormattedCitation" : "(Cassiman &amp; Veugelers, 2006; Perez-Luno, Gopalakrishnan, &amp; Cabrera, 2014)", "previouslyFormattedCitation" : "(Cassiman &amp; Veugelers, 2006; Perez-Luno, Gopalakrishnan, &amp; Cabrera, 2014)"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(Cassiman &amp; Veugelers, 2006; Perez-Luno, Gopalakrishnan, &amp; Cabrera, 2014)</w:t>
      </w:r>
      <w:r w:rsidRPr="00BA7968">
        <w:rPr>
          <w:rFonts w:ascii="Times New Roman" w:hAnsi="Times New Roman" w:cs="Times New Roman"/>
        </w:rPr>
        <w:fldChar w:fldCharType="end"/>
      </w:r>
      <w:r w:rsidRPr="00BA7968">
        <w:rPr>
          <w:rFonts w:ascii="Times New Roman" w:hAnsi="Times New Roman" w:cs="Times New Roman"/>
        </w:rPr>
        <w:t>.</w:t>
      </w:r>
      <w:r w:rsidRPr="00BA7968" w:rsidDel="004534D0">
        <w:rPr>
          <w:rFonts w:ascii="Times New Roman" w:hAnsi="Times New Roman" w:cs="Times New Roman"/>
        </w:rPr>
        <w:t xml:space="preserve"> </w:t>
      </w:r>
      <w:r w:rsidRPr="00BA7968">
        <w:rPr>
          <w:rFonts w:ascii="Times New Roman" w:hAnsi="Times New Roman" w:cs="Times New Roman"/>
        </w:rPr>
        <w:t>Thereby, innovation sourcing supports the organizational innovation process and can ultimately enhance organizational performance. As researchers have identified a positive correlation between innovation sourcing and innovation performance, the following is proposed:</w:t>
      </w:r>
    </w:p>
    <w:p w14:paraId="057C48F2" w14:textId="77777777" w:rsidR="00C7731B" w:rsidRPr="00BA7968" w:rsidRDefault="00C7731B" w:rsidP="00C7731B">
      <w:pPr>
        <w:spacing w:line="360" w:lineRule="auto"/>
        <w:rPr>
          <w:rFonts w:ascii="Times New Roman" w:hAnsi="Times New Roman" w:cs="Times New Roman"/>
        </w:rPr>
      </w:pPr>
    </w:p>
    <w:p w14:paraId="0C070CE3" w14:textId="77777777" w:rsidR="00C7731B" w:rsidRPr="00BA7968" w:rsidRDefault="00C7731B" w:rsidP="00C7731B">
      <w:pPr>
        <w:spacing w:line="360" w:lineRule="auto"/>
        <w:rPr>
          <w:rFonts w:ascii="Times New Roman" w:hAnsi="Times New Roman" w:cs="Times New Roman"/>
          <w:b/>
        </w:rPr>
      </w:pPr>
      <w:r>
        <w:rPr>
          <w:rFonts w:ascii="Times New Roman" w:hAnsi="Times New Roman" w:cs="Times New Roman"/>
          <w:b/>
        </w:rPr>
        <w:t xml:space="preserve">Proposition </w:t>
      </w:r>
      <w:r w:rsidRPr="00BA7968">
        <w:rPr>
          <w:rFonts w:ascii="Times New Roman" w:hAnsi="Times New Roman" w:cs="Times New Roman"/>
          <w:b/>
        </w:rPr>
        <w:t>P</w:t>
      </w:r>
      <w:r w:rsidRPr="00BA7968">
        <w:rPr>
          <w:rFonts w:ascii="Times New Roman" w:hAnsi="Times New Roman" w:cs="Times New Roman"/>
          <w:b/>
          <w:vertAlign w:val="subscript"/>
        </w:rPr>
        <w:t>4</w:t>
      </w:r>
      <w:r w:rsidRPr="00BA7968">
        <w:rPr>
          <w:rFonts w:ascii="Times New Roman" w:hAnsi="Times New Roman" w:cs="Times New Roman"/>
          <w:b/>
        </w:rPr>
        <w:t xml:space="preserve">: </w:t>
      </w:r>
      <w:r>
        <w:rPr>
          <w:rFonts w:ascii="Times New Roman" w:hAnsi="Times New Roman" w:cs="Times New Roman"/>
          <w:b/>
        </w:rPr>
        <w:t>I</w:t>
      </w:r>
      <w:r w:rsidRPr="00BA7968">
        <w:rPr>
          <w:rFonts w:ascii="Times New Roman" w:hAnsi="Times New Roman" w:cs="Times New Roman"/>
          <w:b/>
        </w:rPr>
        <w:t xml:space="preserve">nnovation sourcing is </w:t>
      </w:r>
      <w:r>
        <w:rPr>
          <w:rFonts w:ascii="Times New Roman" w:hAnsi="Times New Roman" w:cs="Times New Roman"/>
          <w:b/>
        </w:rPr>
        <w:t xml:space="preserve">positively </w:t>
      </w:r>
      <w:r w:rsidRPr="00BA7968">
        <w:rPr>
          <w:rFonts w:ascii="Times New Roman" w:hAnsi="Times New Roman" w:cs="Times New Roman"/>
          <w:b/>
        </w:rPr>
        <w:t>associated with innovation performance.</w:t>
      </w:r>
    </w:p>
    <w:p w14:paraId="058610F3" w14:textId="77777777" w:rsidR="00C7731B" w:rsidRPr="00BA7968" w:rsidRDefault="00C7731B" w:rsidP="00C7731B">
      <w:pPr>
        <w:spacing w:line="360" w:lineRule="auto"/>
        <w:jc w:val="both"/>
        <w:rPr>
          <w:rFonts w:ascii="Times New Roman" w:hAnsi="Times New Roman" w:cs="Times New Roman"/>
        </w:rPr>
      </w:pPr>
    </w:p>
    <w:p w14:paraId="0344DB66" w14:textId="77777777" w:rsidR="00C7731B" w:rsidRDefault="00C7731B" w:rsidP="00C7731B">
      <w:pPr>
        <w:spacing w:line="360" w:lineRule="auto"/>
        <w:jc w:val="both"/>
        <w:rPr>
          <w:rFonts w:ascii="Times New Roman" w:hAnsi="Times New Roman" w:cs="Times New Roman"/>
        </w:rPr>
      </w:pPr>
    </w:p>
    <w:p w14:paraId="03A19679" w14:textId="43DA30E6" w:rsidR="00C7731B" w:rsidRPr="00BA7968" w:rsidRDefault="00F62473" w:rsidP="00DF4ABC">
      <w:pPr>
        <w:pStyle w:val="Heading2"/>
      </w:pPr>
      <w:bookmarkStart w:id="39" w:name="_Toc357382413"/>
      <w:bookmarkStart w:id="40" w:name="_Toc357383259"/>
      <w:bookmarkStart w:id="41" w:name="_Toc358326730"/>
      <w:r>
        <w:t>Stage Five</w:t>
      </w:r>
      <w:r w:rsidR="00C7731B">
        <w:t xml:space="preserve"> </w:t>
      </w:r>
      <w:r w:rsidR="00C7731B">
        <w:rPr>
          <w:i/>
        </w:rPr>
        <w:t>–</w:t>
      </w:r>
      <w:r>
        <w:t xml:space="preserve"> An Agenda for Future Research</w:t>
      </w:r>
      <w:bookmarkEnd w:id="39"/>
      <w:bookmarkEnd w:id="40"/>
      <w:bookmarkEnd w:id="41"/>
    </w:p>
    <w:p w14:paraId="69165F32" w14:textId="77777777" w:rsidR="00C7731B"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The extant innovation sourcing literature was synthesized to develop a conceptualization of this phenomenon. The analysis established the main conceptual dimensions and the relationship with innovation performance, addressing the first two research questions. This section will concentrate on the third question on how to move this research forward. The currently fragmented research stream has resulted in noticeable gaps, and a focused research agenda will assist in bridging some of those gaps. </w:t>
      </w:r>
    </w:p>
    <w:p w14:paraId="1A4EFDB0" w14:textId="77777777" w:rsidR="00C7731B" w:rsidRPr="00AC3160" w:rsidRDefault="00C7731B" w:rsidP="00C7731B">
      <w:pPr>
        <w:spacing w:line="360" w:lineRule="auto"/>
        <w:ind w:firstLine="720"/>
        <w:jc w:val="both"/>
        <w:rPr>
          <w:rFonts w:ascii="Times New Roman" w:hAnsi="Times New Roman" w:cs="Times New Roman"/>
        </w:rPr>
      </w:pPr>
      <w:r>
        <w:rPr>
          <w:rFonts w:ascii="Times New Roman" w:hAnsi="Times New Roman" w:cs="Times New Roman"/>
        </w:rPr>
        <w:lastRenderedPageBreak/>
        <w:t>An apparent immediate next research step would be to empirically validate the conceptual model derived</w:t>
      </w:r>
      <w:r w:rsidRPr="00AC3160">
        <w:rPr>
          <w:rFonts w:ascii="Times New Roman" w:hAnsi="Times New Roman" w:cs="Times New Roman"/>
        </w:rPr>
        <w:t xml:space="preserve"> from the literature review. The testing in multiple environments could confirm </w:t>
      </w:r>
      <w:r>
        <w:rPr>
          <w:rFonts w:ascii="Times New Roman" w:hAnsi="Times New Roman" w:cs="Times New Roman"/>
        </w:rPr>
        <w:t xml:space="preserve">the </w:t>
      </w:r>
      <w:r w:rsidRPr="00AC3160">
        <w:rPr>
          <w:rFonts w:ascii="Times New Roman" w:hAnsi="Times New Roman" w:cs="Times New Roman"/>
        </w:rPr>
        <w:t>proposed performance implications of innovation sourcing. Further studies could assess and validate the moderating influence of environmental factors mentioned in the literature. Other attention could be placed on the identification of relevant mediating factors. A cross-sectional survey appears as an appropriate methodology to enhance the body of knowledge in this regard. If feasible, longitudinal studies could provide a robustness check and thereby strengthen the conceptual understanding, when the relationships hold over time. To conduct rigorous testing would require further scale refinement and development of the innovation sourcing measurement scale.</w:t>
      </w:r>
      <w:r>
        <w:rPr>
          <w:rFonts w:ascii="Times New Roman" w:hAnsi="Times New Roman" w:cs="Times New Roman"/>
        </w:rPr>
        <w:t xml:space="preserve"> </w:t>
      </w:r>
      <w:r w:rsidRPr="00AC3160">
        <w:rPr>
          <w:rFonts w:ascii="Times New Roman" w:hAnsi="Times New Roman" w:cs="Times New Roman"/>
        </w:rPr>
        <w:t>As described in the prior section, the current scale proliferation concerning innovation performance would also need to be addressed. Apart from a cross-sectional survey, depending on data availability, a secondary data study would also appear as a suitable methodology to address those research questions.</w:t>
      </w:r>
      <w:r>
        <w:rPr>
          <w:rFonts w:ascii="Times New Roman" w:hAnsi="Times New Roman" w:cs="Times New Roman"/>
        </w:rPr>
        <w:t xml:space="preserve"> However, such empirical validation is highly relevant but appears to cover only the near-term research horizon. </w:t>
      </w:r>
    </w:p>
    <w:p w14:paraId="63670F25" w14:textId="77777777" w:rsidR="00C7731B" w:rsidRPr="00BA7968" w:rsidRDefault="00C7731B" w:rsidP="00C7731B">
      <w:pPr>
        <w:spacing w:line="360" w:lineRule="auto"/>
        <w:ind w:firstLine="720"/>
        <w:jc w:val="both"/>
        <w:rPr>
          <w:rFonts w:ascii="Times New Roman" w:hAnsi="Times New Roman" w:cs="Times New Roman"/>
        </w:rPr>
      </w:pPr>
      <w:r>
        <w:rPr>
          <w:rFonts w:ascii="Times New Roman" w:hAnsi="Times New Roman" w:cs="Times New Roman"/>
        </w:rPr>
        <w:t>Within a more long-term oriented agenda, exploring the breadth and depth of the phenomenon offers multiple additional research opportunities. Future research should distinguish between m</w:t>
      </w:r>
      <w:r w:rsidRPr="00BA7968">
        <w:rPr>
          <w:rFonts w:ascii="Times New Roman" w:hAnsi="Times New Roman" w:cs="Times New Roman"/>
        </w:rPr>
        <w:t xml:space="preserve">acro- (strategic) and micro- (operational) level </w:t>
      </w:r>
      <w:r>
        <w:rPr>
          <w:rFonts w:ascii="Times New Roman" w:hAnsi="Times New Roman" w:cs="Times New Roman"/>
        </w:rPr>
        <w:t>facets</w:t>
      </w:r>
      <w:r w:rsidRPr="00BA7968">
        <w:rPr>
          <w:rFonts w:ascii="Times New Roman" w:hAnsi="Times New Roman" w:cs="Times New Roman"/>
        </w:rPr>
        <w:t xml:space="preserve"> when attending</w:t>
      </w:r>
      <w:r>
        <w:rPr>
          <w:rFonts w:ascii="Times New Roman" w:hAnsi="Times New Roman" w:cs="Times New Roman"/>
        </w:rPr>
        <w:t xml:space="preserve"> to</w:t>
      </w:r>
      <w:r w:rsidRPr="00BA7968">
        <w:rPr>
          <w:rFonts w:ascii="Times New Roman" w:hAnsi="Times New Roman" w:cs="Times New Roman"/>
        </w:rPr>
        <w:t xml:space="preserve"> </w:t>
      </w:r>
      <w:r>
        <w:rPr>
          <w:rFonts w:ascii="Times New Roman" w:hAnsi="Times New Roman" w:cs="Times New Roman"/>
        </w:rPr>
        <w:t>current</w:t>
      </w:r>
      <w:r w:rsidRPr="00BA7968">
        <w:rPr>
          <w:rFonts w:ascii="Times New Roman" w:hAnsi="Times New Roman" w:cs="Times New Roman"/>
        </w:rPr>
        <w:t xml:space="preserve"> research gaps </w:t>
      </w:r>
      <w:r>
        <w:rPr>
          <w:rFonts w:ascii="Times New Roman" w:hAnsi="Times New Roman" w:cs="Times New Roman"/>
        </w:rPr>
        <w:t>concerning</w:t>
      </w:r>
      <w:r w:rsidRPr="00BA7968">
        <w:rPr>
          <w:rFonts w:ascii="Times New Roman" w:hAnsi="Times New Roman" w:cs="Times New Roman"/>
        </w:rPr>
        <w:t xml:space="preserve"> innovation sourcing. Based on the systematic literature review and the highlighted knowledge gaps, </w:t>
      </w:r>
      <w:r>
        <w:rPr>
          <w:rFonts w:ascii="Times New Roman" w:hAnsi="Times New Roman" w:cs="Times New Roman"/>
        </w:rPr>
        <w:t>four</w:t>
      </w:r>
      <w:r w:rsidRPr="00BA7968">
        <w:rPr>
          <w:rFonts w:ascii="Times New Roman" w:hAnsi="Times New Roman" w:cs="Times New Roman"/>
        </w:rPr>
        <w:t xml:space="preserve"> </w:t>
      </w:r>
      <w:r>
        <w:rPr>
          <w:rFonts w:ascii="Times New Roman" w:hAnsi="Times New Roman" w:cs="Times New Roman"/>
        </w:rPr>
        <w:t>facets</w:t>
      </w:r>
      <w:r w:rsidRPr="00BA7968">
        <w:rPr>
          <w:rFonts w:ascii="Times New Roman" w:hAnsi="Times New Roman" w:cs="Times New Roman"/>
        </w:rPr>
        <w:t xml:space="preserve"> of </w:t>
      </w:r>
      <w:r>
        <w:rPr>
          <w:rFonts w:ascii="Times New Roman" w:hAnsi="Times New Roman" w:cs="Times New Roman"/>
        </w:rPr>
        <w:t xml:space="preserve">the </w:t>
      </w:r>
      <w:r w:rsidRPr="00BA7968">
        <w:rPr>
          <w:rFonts w:ascii="Times New Roman" w:hAnsi="Times New Roman" w:cs="Times New Roman"/>
        </w:rPr>
        <w:t>innovation sourcing</w:t>
      </w:r>
      <w:r>
        <w:rPr>
          <w:rFonts w:ascii="Times New Roman" w:hAnsi="Times New Roman" w:cs="Times New Roman"/>
        </w:rPr>
        <w:t xml:space="preserve"> phenomenon</w:t>
      </w:r>
      <w:r w:rsidRPr="00BA7968">
        <w:rPr>
          <w:rFonts w:ascii="Times New Roman" w:hAnsi="Times New Roman" w:cs="Times New Roman"/>
        </w:rPr>
        <w:t xml:space="preserve"> are </w:t>
      </w:r>
      <w:r>
        <w:rPr>
          <w:rFonts w:ascii="Times New Roman" w:hAnsi="Times New Roman" w:cs="Times New Roman"/>
        </w:rPr>
        <w:t xml:space="preserve">particularly </w:t>
      </w:r>
      <w:r w:rsidRPr="00BA7968">
        <w:rPr>
          <w:rFonts w:ascii="Times New Roman" w:hAnsi="Times New Roman" w:cs="Times New Roman"/>
        </w:rPr>
        <w:t xml:space="preserve">recommended for </w:t>
      </w:r>
      <w:r>
        <w:rPr>
          <w:rFonts w:ascii="Times New Roman" w:hAnsi="Times New Roman" w:cs="Times New Roman"/>
        </w:rPr>
        <w:t>future</w:t>
      </w:r>
      <w:r w:rsidRPr="00BA7968">
        <w:rPr>
          <w:rFonts w:ascii="Times New Roman" w:hAnsi="Times New Roman" w:cs="Times New Roman"/>
        </w:rPr>
        <w:t xml:space="preserve"> investigation within a proposed research agenda:</w:t>
      </w:r>
    </w:p>
    <w:p w14:paraId="03BCDFDA" w14:textId="77777777" w:rsidR="00C7731B" w:rsidRPr="00BA7968" w:rsidRDefault="00C7731B" w:rsidP="00C7731B">
      <w:pPr>
        <w:spacing w:line="360" w:lineRule="auto"/>
        <w:jc w:val="both"/>
        <w:rPr>
          <w:rFonts w:ascii="Times New Roman" w:hAnsi="Times New Roman" w:cs="Times New Roman"/>
        </w:rPr>
      </w:pPr>
    </w:p>
    <w:p w14:paraId="7FE466C3" w14:textId="77777777" w:rsidR="00C7731B" w:rsidRPr="00BA7968" w:rsidRDefault="00C7731B" w:rsidP="00C7731B">
      <w:pPr>
        <w:pStyle w:val="ListParagraph"/>
        <w:numPr>
          <w:ilvl w:val="0"/>
          <w:numId w:val="11"/>
        </w:numPr>
        <w:spacing w:line="360" w:lineRule="auto"/>
        <w:jc w:val="both"/>
        <w:rPr>
          <w:rFonts w:ascii="Times New Roman" w:hAnsi="Times New Roman" w:cs="Times New Roman"/>
        </w:rPr>
      </w:pPr>
      <w:r w:rsidRPr="00BA7968">
        <w:rPr>
          <w:rFonts w:ascii="Times New Roman" w:hAnsi="Times New Roman" w:cs="Times New Roman"/>
        </w:rPr>
        <w:t xml:space="preserve">What are the strategic implications of the emergent innovation sourcing phenomenon?   </w:t>
      </w:r>
    </w:p>
    <w:p w14:paraId="78474C5C" w14:textId="77777777" w:rsidR="00C7731B" w:rsidRPr="00BA7968" w:rsidRDefault="00C7731B" w:rsidP="00C7731B">
      <w:pPr>
        <w:pStyle w:val="ListParagraph"/>
        <w:numPr>
          <w:ilvl w:val="0"/>
          <w:numId w:val="11"/>
        </w:numPr>
        <w:spacing w:line="360" w:lineRule="auto"/>
        <w:jc w:val="both"/>
        <w:rPr>
          <w:rFonts w:ascii="Times New Roman" w:hAnsi="Times New Roman" w:cs="Times New Roman"/>
        </w:rPr>
      </w:pPr>
      <w:r w:rsidRPr="00BA7968">
        <w:rPr>
          <w:rFonts w:ascii="Times New Roman" w:hAnsi="Times New Roman" w:cs="Times New Roman"/>
        </w:rPr>
        <w:t>What are operational implications of innovation sourcing?</w:t>
      </w:r>
    </w:p>
    <w:p w14:paraId="624959A2" w14:textId="77777777" w:rsidR="00C7731B" w:rsidRDefault="00C7731B" w:rsidP="00C7731B">
      <w:pPr>
        <w:pStyle w:val="ListParagraph"/>
        <w:numPr>
          <w:ilvl w:val="0"/>
          <w:numId w:val="11"/>
        </w:numPr>
        <w:spacing w:line="360" w:lineRule="auto"/>
        <w:jc w:val="both"/>
        <w:rPr>
          <w:rFonts w:ascii="Times New Roman" w:hAnsi="Times New Roman" w:cs="Times New Roman"/>
        </w:rPr>
      </w:pPr>
      <w:r w:rsidRPr="00BA7968">
        <w:rPr>
          <w:rFonts w:ascii="Times New Roman" w:hAnsi="Times New Roman" w:cs="Times New Roman"/>
        </w:rPr>
        <w:t xml:space="preserve">How </w:t>
      </w:r>
      <w:r>
        <w:rPr>
          <w:rFonts w:ascii="Times New Roman" w:hAnsi="Times New Roman" w:cs="Times New Roman"/>
        </w:rPr>
        <w:t>could</w:t>
      </w:r>
      <w:r w:rsidRPr="00BA7968">
        <w:rPr>
          <w:rFonts w:ascii="Times New Roman" w:hAnsi="Times New Roman" w:cs="Times New Roman"/>
        </w:rPr>
        <w:t xml:space="preserve"> organizations establish a culture of innovation-focus to support innovation sourcing?</w:t>
      </w:r>
    </w:p>
    <w:p w14:paraId="33009191" w14:textId="77777777" w:rsidR="00C7731B" w:rsidRPr="00BA7968" w:rsidRDefault="00C7731B" w:rsidP="00C7731B">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How could innovation sourcing enhance the absorptive capacity of an organization?</w:t>
      </w:r>
    </w:p>
    <w:p w14:paraId="37DD28DD" w14:textId="77777777" w:rsidR="00C7731B" w:rsidRPr="00BA7968" w:rsidRDefault="00C7731B" w:rsidP="00C7731B">
      <w:pPr>
        <w:spacing w:line="360" w:lineRule="auto"/>
        <w:rPr>
          <w:rFonts w:ascii="Times New Roman" w:hAnsi="Times New Roman" w:cs="Times New Roman"/>
        </w:rPr>
      </w:pPr>
    </w:p>
    <w:p w14:paraId="3A75812D" w14:textId="70A23239" w:rsidR="00C7731B" w:rsidRPr="005A463A" w:rsidRDefault="00C7731B" w:rsidP="00BC2FBD">
      <w:pPr>
        <w:pStyle w:val="Heading3new"/>
      </w:pPr>
      <w:r w:rsidRPr="005A463A">
        <w:t>What are the strategic implications of the emergent innovation sourcing phenomenon?</w:t>
      </w:r>
    </w:p>
    <w:p w14:paraId="48E95B7C"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On a strategic level, the emergence of innovation sourcing requires a fine-tuning of the well-known ‘Make or Buy’ decision-making process. Organizations have shifted more and more </w:t>
      </w:r>
      <w:r w:rsidRPr="00BA7968">
        <w:rPr>
          <w:rFonts w:ascii="Times New Roman" w:hAnsi="Times New Roman" w:cs="Times New Roman"/>
        </w:rPr>
        <w:lastRenderedPageBreak/>
        <w:t xml:space="preserve">knowledge generation activities from make to buy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"Quinn", "given" : "James Brian", "non-dropping-particle" : "", "parse-names" : false, "suffix" : "" } ], "container-title" : "Sloan Management Review", "id" : "ITEM-1", "issue" : "4", "issued" : { "date-parts" : [ [ "2000" ] ] }, "page" : "13-28", "title" : "Outsourcing Innovation : The New Engine of Growth", "type" : "article-journal", "volume" : "41" }, "uris" : [ "http://www.mendeley.com/documents/?uuid=a45106ed-8659-4155-be2e-0bb26c9ab14b" ] }, { "id" : "ITEM-2", "itemData" : { "author" : [ { "dropping-particle" : "", "family" : "Slowinski", "given" : "Gene", "non-dropping-particle" : "", "parse-names" : false, "suffix" : "" }, { "dropping-particle" : "", "family" : "Hummel", "given" : "Edward", "non-dropping-particle" : "", "parse-names" : false, "suffix" : "" }, { "dropping-particle" : "", "family" : "Gupta", "given" : "Amitabh", "non-dropping-particle" : "", "parse-names" : false, "suffix" : "" }, { "dropping-particle" : "", "family" : "Gilmont", "given" : "Ernest R", "non-dropping-particle" : "", "parse-names" : false, "suffix" : "" } ], "container-title" : "Research Technology Management", "id" : "ITEM-2", "issue" : "1", "issued" : { "date-parts" : [ [ "2009" ] ] }, "page" : "27-34", "title" : "Effective Practices For Sourcing Innovation", "type" : "article-journal", "volume" : "52" }, "uris" : [ "http://www.mendeley.com/documents/?uuid=70bbb5ae-a2a1-4817-bf83-484a3049b292" ] } ], "mendeley" : { "formattedCitation" : "(Quinn, 2000; Slowinski et al., 2009)", "plainTextFormattedCitation" : "(Quinn, 2000; Slowinski et al., 2009)", "previouslyFormattedCitation" : "(Quinn, 2000; Slowinski et al.,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(Quinn, 2000; Slowinski et al., 2009)</w:t>
      </w:r>
      <w:r w:rsidRPr="00BA7968">
        <w:rPr>
          <w:rFonts w:ascii="Times New Roman" w:hAnsi="Times New Roman" w:cs="Times New Roman"/>
        </w:rPr>
        <w:fldChar w:fldCharType="end"/>
      </w:r>
      <w:r w:rsidRPr="00BA7968">
        <w:rPr>
          <w:rFonts w:ascii="Times New Roman" w:hAnsi="Times New Roman" w:cs="Times New Roman"/>
        </w:rPr>
        <w:t xml:space="preserve">. As the buy decision becomes more important in regards to innovation, the innovation sourcing process might become more strategically relevant for the </w:t>
      </w:r>
      <w:r>
        <w:rPr>
          <w:rFonts w:ascii="Times New Roman" w:hAnsi="Times New Roman" w:cs="Times New Roman"/>
        </w:rPr>
        <w:t>company</w:t>
      </w:r>
      <w:r w:rsidRPr="00BA7968">
        <w:rPr>
          <w:rFonts w:ascii="Times New Roman" w:hAnsi="Times New Roman" w:cs="Times New Roman"/>
        </w:rPr>
        <w:t xml:space="preserve">. However, research has not kept pace with practice so that essential questions have remains unanswered. Critical questions for future research include: How does innovation sourcing relate to corporate and/or functional strategies? What is the appropriate level of innovation sourcing for a </w:t>
      </w:r>
      <w:r>
        <w:rPr>
          <w:rFonts w:ascii="Times New Roman" w:hAnsi="Times New Roman" w:cs="Times New Roman"/>
        </w:rPr>
        <w:t>company</w:t>
      </w:r>
      <w:r w:rsidRPr="00BA7968">
        <w:rPr>
          <w:rFonts w:ascii="Times New Roman" w:hAnsi="Times New Roman" w:cs="Times New Roman"/>
        </w:rPr>
        <w:t xml:space="preserve"> in a given environment? How does innovation sourcing influence innovation and financial performance? Is there a curvilinear effect that exists between innovation sourcing and organizational performance, and what does it entail? What are the implications of “too much” innovation sourcing for the </w:t>
      </w:r>
      <w:r>
        <w:rPr>
          <w:rFonts w:ascii="Times New Roman" w:hAnsi="Times New Roman" w:cs="Times New Roman"/>
        </w:rPr>
        <w:t>company</w:t>
      </w:r>
      <w:r w:rsidRPr="00BA7968">
        <w:rPr>
          <w:rFonts w:ascii="Times New Roman" w:hAnsi="Times New Roman" w:cs="Times New Roman"/>
        </w:rPr>
        <w:t>?</w:t>
      </w:r>
    </w:p>
    <w:p w14:paraId="3B679078"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To address those questions, three main avenues for further research to this topic area are proposed. First, research could assess whether and how innovation sourcing could result in a competitive advantage for the </w:t>
      </w:r>
      <w:r>
        <w:rPr>
          <w:rFonts w:ascii="Times New Roman" w:hAnsi="Times New Roman" w:cs="Times New Roman"/>
        </w:rPr>
        <w:t>company</w:t>
      </w:r>
      <w:r w:rsidRPr="00BA7968">
        <w:rPr>
          <w:rFonts w:ascii="Times New Roman" w:hAnsi="Times New Roman" w:cs="Times New Roman"/>
        </w:rPr>
        <w:t>. For instance, research would analyze what innovation sourcing sub-processes are particularly relevant or impactful, and under what contingencies. Second, research could study the implication of organizational alignment or misalignment in regards to innovation sourcing practices. This would involve both vertical alignment (e.g., purchasing to corporate strategy) and horizontal alignment (e.g., R&amp;D strategy to purchasing strategy). Third, future research could investigate whether the strategic role of the purchasing function is affected by the innovation sourcing phenomenon, and explore such implications.</w:t>
      </w:r>
    </w:p>
    <w:p w14:paraId="0F1E1F11" w14:textId="77777777" w:rsidR="00C7731B" w:rsidRPr="00BA7968" w:rsidRDefault="00C7731B" w:rsidP="00C7731B">
      <w:pPr>
        <w:spacing w:line="360" w:lineRule="auto"/>
        <w:rPr>
          <w:rFonts w:ascii="Times New Roman" w:hAnsi="Times New Roman" w:cs="Times New Roman"/>
        </w:rPr>
      </w:pPr>
    </w:p>
    <w:p w14:paraId="119A8FFE" w14:textId="4B59322C" w:rsidR="00C7731B" w:rsidRPr="00163D08" w:rsidRDefault="00C7731B" w:rsidP="00C7731B">
      <w:pPr>
        <w:spacing w:line="360" w:lineRule="auto"/>
        <w:rPr>
          <w:rFonts w:ascii="Times New Roman" w:hAnsi="Times New Roman" w:cs="Times New Roman"/>
          <w:i/>
          <w:u w:val="single"/>
        </w:rPr>
      </w:pPr>
      <w:r w:rsidRPr="00163D08">
        <w:rPr>
          <w:rFonts w:ascii="Times New Roman" w:hAnsi="Times New Roman" w:cs="Times New Roman"/>
          <w:i/>
          <w:u w:val="single"/>
        </w:rPr>
        <w:t>Innovation Sourcing as a Competitive Advantage</w:t>
      </w:r>
    </w:p>
    <w:p w14:paraId="7192BB51"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Organizations need to determine a long-term strategy for growth (both corporate and business unit level) in accordance to specific market and technological environments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"10.1142/S1363919609002194", "ISBN" : "13639196", "ISSN" : "1363-9196", "PMID" : "37381271", "abstract" : "Inthe era of \u201copen innovation\u201d, external knowledge is a very important source for technology innovation. In this paper, we investigate the relationship between external knowledge and performance of technology innovation.The effect of external knowledge on the performance of technology innovation can vary with different external knowledge sourcing methods. We identify three ways of external knowledge sourcing: information transfer from informal network, R&amp;D collaboration and technology acquisition. We propose three hypotheses to examine relationship between the three methods of external knowledge sourcing and the technology innovation performance. Our results show that information transfer from informal network and technology acquisition have positive relationships with the technology innovation performance. R&amp;D collaboration, however, has an inverted-U-shape relationship with technology innovation performance. This implies that the effect of external knowledge on technology innovation varies depending on the particular external knowledge sourcing method. This research has an important implication for firms in selecting an appropriate strategy for accessing external knowledge.", "author" : [ { "dropping-particle" : "", "family" : "Kang", "given" : "Ki H.", "non-dropping-particle" : "", "parse-names" : false, "suffix" : "" }, { "dropping-particle" : "", "family" : "Kang", "given" : "Jina", "non-dropping-particle" : "", "parse-names" : false, "suffix" : "" } ], "container-title" : "International Journal of Innovation Management", "id" : "ITEM-1", "issue" : "01", "issued" : { "date-parts" : [ [ "2009" ] ] }, "page" : "1-17", "title" : "How Do Firms Source External Knowledge for Innovation? Analysing Effects of Different Knowledge Sourcing Methods", "type" : "article-journal", "volume" : "13" }, "uris" : [ "http://www.mendeley.com/documents/?uuid=bfcabe16-b933-4e56-8e12-abb71a383ca0" ] } ], "mendeley" : { "formattedCitation" : "(Kang &amp; Kang, 2009)", "plainTextFormattedCitation" : "(Kang &amp; Kang, 2009)", "previouslyFormattedCitation" : "(Kang &amp; Kang,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(Kang &amp; Kang, 2009)</w:t>
      </w:r>
      <w:r w:rsidRPr="00BA7968">
        <w:rPr>
          <w:rFonts w:ascii="Times New Roman" w:hAnsi="Times New Roman" w:cs="Times New Roman"/>
        </w:rPr>
        <w:fldChar w:fldCharType="end"/>
      </w:r>
      <w:r w:rsidRPr="00BA7968">
        <w:rPr>
          <w:rFonts w:ascii="Times New Roman" w:hAnsi="Times New Roman" w:cs="Times New Roman"/>
        </w:rPr>
        <w:t>. Next, the necessary assets (capabilities) to support this strategy can be defined, and potential gaps to existing competencies identified. At this point, developing an integrated procurement strategy (congruent to corporate strategy) might assist in recognizing which capabilities should be developed internally and which should be externally sourced (make or buy).</w:t>
      </w:r>
    </w:p>
    <w:p w14:paraId="25290D89"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Future research could explore the foundation for innovation sourcing decisions. How are the </w:t>
      </w:r>
      <w:r>
        <w:rPr>
          <w:rFonts w:ascii="Times New Roman" w:hAnsi="Times New Roman" w:cs="Times New Roman"/>
        </w:rPr>
        <w:t>company</w:t>
      </w:r>
      <w:r w:rsidRPr="00BA7968">
        <w:rPr>
          <w:rFonts w:ascii="Times New Roman" w:hAnsi="Times New Roman" w:cs="Times New Roman"/>
        </w:rPr>
        <w:t xml:space="preserve">’s core capabilities and strategic resource needs defined? In regard to </w:t>
      </w:r>
      <w:r w:rsidRPr="00BA7968">
        <w:rPr>
          <w:rFonts w:ascii="Times New Roman" w:hAnsi="Times New Roman" w:cs="Times New Roman"/>
        </w:rPr>
        <w:lastRenderedPageBreak/>
        <w:t xml:space="preserve">competitiveness, how are the critical capabilities protected (sustaining a competitive advantage) when engaging in collaboration with external partners? To close potential knowledge gaps, individual innovation sourcing sub-processes might be analyzed in detail. Future research could investigate whether and how innovation sourcing can support the </w:t>
      </w:r>
      <w:r>
        <w:rPr>
          <w:rFonts w:ascii="Times New Roman" w:hAnsi="Times New Roman" w:cs="Times New Roman"/>
        </w:rPr>
        <w:t>company</w:t>
      </w:r>
      <w:r w:rsidRPr="00BA7968">
        <w:rPr>
          <w:rFonts w:ascii="Times New Roman" w:hAnsi="Times New Roman" w:cs="Times New Roman"/>
        </w:rPr>
        <w:t>’s strategic adaptation to environmental changes. Finally, a key question concerns the innovation and financial effect of innovation sourcing. Researchers could investigate in more depth whether innovation sourcing results in better organizational performance and whether this would lead to a competitive advantage in the market place. Different methodologies appear applicable to address this. Qualitative interviews and non-participant observations of managerial meetings could reveal the extent of existing innovation sourcing competence and its perceived strategic relevance in different market environments. Archival data could be used as a separate source to gain financial performance data and relate it to innovation sourcing sub-processes.</w:t>
      </w:r>
    </w:p>
    <w:p w14:paraId="32F90508" w14:textId="77777777" w:rsidR="00C7731B" w:rsidRPr="00BA7968" w:rsidRDefault="00C7731B" w:rsidP="00C7731B">
      <w:pPr>
        <w:spacing w:line="360" w:lineRule="auto"/>
        <w:rPr>
          <w:rFonts w:ascii="Times New Roman" w:hAnsi="Times New Roman" w:cs="Times New Roman"/>
        </w:rPr>
      </w:pPr>
    </w:p>
    <w:p w14:paraId="1642C998" w14:textId="7193BA26" w:rsidR="00C7731B" w:rsidRPr="00163D08" w:rsidRDefault="00C7731B" w:rsidP="00C7731B">
      <w:pPr>
        <w:spacing w:line="360" w:lineRule="auto"/>
        <w:rPr>
          <w:rFonts w:ascii="Times New Roman" w:hAnsi="Times New Roman" w:cs="Times New Roman"/>
          <w:i/>
          <w:u w:val="single"/>
        </w:rPr>
      </w:pPr>
      <w:r w:rsidRPr="00163D08">
        <w:rPr>
          <w:rFonts w:ascii="Times New Roman" w:hAnsi="Times New Roman" w:cs="Times New Roman"/>
          <w:i/>
          <w:u w:val="single"/>
        </w:rPr>
        <w:t>Organizational Alignment</w:t>
      </w:r>
    </w:p>
    <w:p w14:paraId="1B3C7CDA" w14:textId="77777777" w:rsidR="00C7731B" w:rsidRPr="00BA7968" w:rsidRDefault="00C7731B" w:rsidP="00C7731B">
      <w:pPr>
        <w:spacing w:line="360" w:lineRule="auto"/>
        <w:jc w:val="both"/>
        <w:rPr>
          <w:rFonts w:ascii="Times New Roman" w:hAnsi="Times New Roman" w:cs="Times New Roman"/>
        </w:rPr>
      </w:pPr>
      <w:r w:rsidRPr="009B3CC1">
        <w:rPr>
          <w:rFonts w:ascii="Times New Roman" w:hAnsi="Times New Roman" w:cs="Times New Roman"/>
        </w:rPr>
        <w:t>The innovation sourcing strategy needs to be adapted to the specific organizational constraints.</w:t>
      </w:r>
      <w:r w:rsidRPr="00BA7968">
        <w:rPr>
          <w:rFonts w:ascii="Times New Roman" w:hAnsi="Times New Roman" w:cs="Times New Roman"/>
        </w:rPr>
        <w:t xml:space="preserve"> </w:t>
      </w:r>
      <w:r>
        <w:rPr>
          <w:rFonts w:ascii="Times New Roman" w:hAnsi="Times New Roman" w:cs="Times New Roman"/>
        </w:rPr>
        <w:t>Achieving</w:t>
      </w:r>
      <w:r w:rsidRPr="00BA7968">
        <w:rPr>
          <w:rFonts w:ascii="Times New Roman" w:hAnsi="Times New Roman" w:cs="Times New Roman"/>
        </w:rPr>
        <w:t xml:space="preserve"> </w:t>
      </w:r>
      <w:r>
        <w:rPr>
          <w:rFonts w:ascii="Times New Roman" w:hAnsi="Times New Roman" w:cs="Times New Roman"/>
        </w:rPr>
        <w:t>fit relates to</w:t>
      </w:r>
      <w:r w:rsidRPr="00BA7968">
        <w:rPr>
          <w:rFonts w:ascii="Times New Roman" w:hAnsi="Times New Roman" w:cs="Times New Roman"/>
        </w:rPr>
        <w:t xml:space="preserve"> both vertical and horizontal alignment. First, alignment of the innovation sourcing to the overarching purchasing and, ultimately, corporate strategy is critical. Practitioners need guidance in this regard. The purchasing strategy should direct innovation sourcing decisions. The former will be based on the given tradeoffs between various innovation and purchasing performance dimensions and the corporate objectives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"Fisher", "given" : "Marshall L.", "non-dropping-particle" : "", "parse-names" : false, "suffix" : "" } ], "container-title" : "Harvard Business Review", "id" : "ITEM-1", "issue" : "March-April", "issued" : { "date-parts" : [ [ "1997" ] ] }, "page" : "105-116", "title" : "What Is the Right Supply Chain for Your Product?", "type" : "article-journal" }, "uris" : [ "http://www.mendeley.com/documents/?uuid=d44067b5-ad95-471c-8ca1-39390ca604d7" ] } ], "mendeley" : { "formattedCitation" : "(Fisher, 1997)", "plainTextFormattedCitation" : "(Fisher, 1997)", "previouslyFormattedCitation" : "(Fisher, 1997)"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(Fisher, 1997)</w:t>
      </w:r>
      <w:r w:rsidRPr="00BA7968">
        <w:rPr>
          <w:rFonts w:ascii="Times New Roman" w:hAnsi="Times New Roman" w:cs="Times New Roman"/>
        </w:rPr>
        <w:fldChar w:fldCharType="end"/>
      </w:r>
      <w:r w:rsidRPr="00BA7968">
        <w:rPr>
          <w:rFonts w:ascii="Times New Roman" w:hAnsi="Times New Roman" w:cs="Times New Roman"/>
        </w:rPr>
        <w:t xml:space="preserve">. Researchers could compare the consequences of coordinated versus uncoordinated, contradictory activities in regards to innovation sourcing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"ISBN" : "978-1-4221-0427-9", "author" : [ { "dropping-particle" : "", "family" : "Chesbrough", "given" : "Henry", "non-dropping-particle" : "", "parse-names" : false, "suffix" : "" } ], "id" : "ITEM-1", "issued" : { "date-parts" : [ [ "2006" ] ] }, "publisher" : "Harvard Business School Press", "publisher-place" : "Boston, MA", "title" : "Open business models: How to thrive in the new innovation landscape", "type" : "book" }, "uris" : [ "http://www.mendeley.com/documents/?uuid=ae1a9449-a1f6-428e-a760-4d1fd41a734d" ] } ], "mendeley" : { "formattedCitation" : "(Chesbrough, 2006)", "plainTextFormattedCitation" : "(Chesbrough, 2006)", "previouslyFormattedCitation" : "(Chesbrough,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(Chesbrough, 2006)</w:t>
      </w:r>
      <w:r w:rsidRPr="00BA7968">
        <w:rPr>
          <w:rFonts w:ascii="Times New Roman" w:hAnsi="Times New Roman" w:cs="Times New Roman"/>
        </w:rPr>
        <w:fldChar w:fldCharType="end"/>
      </w:r>
      <w:r w:rsidRPr="00BA7968">
        <w:rPr>
          <w:rFonts w:ascii="Times New Roman" w:hAnsi="Times New Roman" w:cs="Times New Roman"/>
        </w:rPr>
        <w:t>. Naturally, an innovation sourcing strategy emphasizing high end, high technology component sourcing might contradict an overarching cost leadership corporate strategy.</w:t>
      </w:r>
    </w:p>
    <w:p w14:paraId="7A8E663F"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Second, scholars could investigate the horizontal alignment of functional strategies. Organizations need to manage the innovation sourcing process carefully, avoiding the ‘over-search’ phenomenon and spreading the scarce internal resources too thin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"10.1002/smj.507", "author" : [ { "dropping-particle" : "", "family" : "Laursen", "given" : "Keld", "non-dropping-particle" : "", "parse-names" : false, "suffix" : "" }, { "dropping-particle" : "", "family" : "Salter", "given" : "Ammon", "non-dropping-particle" : "", "parse-names" : false, "suffix" : "" } ], "container-title" : "Strategic Management Journal", "id" : "ITEM-1", "issued" : { "date-parts" : [ [ "2006" ] ] }, "page" : "131-150", "title" : "Open for Innovation: The Role of Openness in Explaining Innovation Performance Among U.K. Manufacturing Firms", "type" : "article-journal", "volume" : "27" }, "uris" : [ "http://www.mendeley.com/documents/?uuid=8719c3d5-843e-4454-9eb4-c9d579a99d4b" ] } ], "mendeley" : { "formattedCitation" : "(Laursen &amp; Salter, 2006)", "plainTextFormattedCitation" : "(Laursen &amp; Salter, 2006)", "previouslyFormattedCitation" : "(Laursen &amp; Salter,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(Laursen &amp; Salter, 2006)</w:t>
      </w:r>
      <w:r w:rsidRPr="00BA7968">
        <w:rPr>
          <w:rFonts w:ascii="Times New Roman" w:hAnsi="Times New Roman" w:cs="Times New Roman"/>
        </w:rPr>
        <w:fldChar w:fldCharType="end"/>
      </w:r>
      <w:r w:rsidRPr="00BA7968">
        <w:rPr>
          <w:rFonts w:ascii="Times New Roman" w:hAnsi="Times New Roman" w:cs="Times New Roman"/>
        </w:rPr>
        <w:t xml:space="preserve">. To reach the sweet spot, innovation sourcing needs to be executed in a balanced way, considering intra-organizational capabilities and constraints as well as learning opportunities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(Marsh &amp; Stock, 2006)</w:t>
      </w:r>
      <w:r w:rsidRPr="00BA7968">
        <w:rPr>
          <w:rFonts w:ascii="Times New Roman" w:hAnsi="Times New Roman" w:cs="Times New Roman"/>
        </w:rPr>
        <w:fldChar w:fldCharType="end"/>
      </w:r>
      <w:r w:rsidRPr="00BA7968">
        <w:rPr>
          <w:rFonts w:ascii="Times New Roman" w:hAnsi="Times New Roman" w:cs="Times New Roman"/>
        </w:rPr>
        <w:t xml:space="preserve">. This might significantly differ from function to function. In this way, </w:t>
      </w:r>
      <w:r w:rsidRPr="00BA7968">
        <w:rPr>
          <w:rFonts w:ascii="Times New Roman" w:hAnsi="Times New Roman" w:cs="Times New Roman"/>
        </w:rPr>
        <w:lastRenderedPageBreak/>
        <w:t xml:space="preserve">research could contrast the impact of different functions, particularly the purchasing and internal R&amp;D departments. The purchasing function is typically the contract holder and manages the commercial relationships with external partners. To avoid commercial pitfalls, purchasing and engineering should work together closely and enhance their internal cooperation in practice. Calls for researchers to investigate processes at the intersection between engineering and purchasing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"10.1111/jpim.12115", "ISSN" : "07376782", "author" : [ { "dropping-particle" : "", "family" : "Brattstr\u00f6m", "given" : "Anna", "non-dropping-particle" : "", "parse-names" : false, "suffix" : "" }, { "dropping-particle" : "", "family" : "Richtn\u00e9r", "given" : "Anders", "non-dropping-particle" : "", "parse-names" : false, "suffix" : "" } ], "container-title" : "Journal of Product Innovation Management", "id" : "ITEM-1", "issue" : "3", "issued" : { "date-parts" : [ [ "2014" ] ] }, "page" : "584-598", "title" : "Good Cop-Bad Cop: Trust, Control, and the Lure of Integration", "type" : "article-journal", "volume" : "31" }, "uris" : [ "http://www.mendeley.com/documents/?uuid=fa1ef440-75b7-42a6-8c54-f1ac4542c0c2" ] } ], "mendeley" : { "formattedCitation" : "(Brattstr\u00f6m &amp; Richtn\u00e9r, 2014)", "plainTextFormattedCitation" : "(Brattstr\u00f6m &amp; Richtn\u00e9r, 2014)", "previouslyFormattedCitation" : "(Brattstr\u00f6m &amp; Richtn\u00e9r, 2014)"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(Brattström &amp; Richtnér, 2014)</w:t>
      </w:r>
      <w:r w:rsidRPr="00BA7968">
        <w:rPr>
          <w:rFonts w:ascii="Times New Roman" w:hAnsi="Times New Roman" w:cs="Times New Roman"/>
        </w:rPr>
        <w:fldChar w:fldCharType="end"/>
      </w:r>
      <w:r w:rsidRPr="00BA7968">
        <w:rPr>
          <w:rFonts w:ascii="Times New Roman" w:hAnsi="Times New Roman" w:cs="Times New Roman"/>
        </w:rPr>
        <w:t xml:space="preserve"> could be addressed.</w:t>
      </w:r>
    </w:p>
    <w:p w14:paraId="43F581C9"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Researchers have investigated some aspects of cross-functional collaboration between purchasing and other functions such as engineering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"10.1016/j.respol.2010.12.004", "ISBN" : "0048-7333", "ISSN" : "00487333", "abstract" : "Inter-departmental innovation collaboration facilitates innovation performance. At the same time, it has been identified as a source of increased coordination costs. Using organizational information processing theory, this paper builds and tests hypotheses on the costs and benefits of innovation-related collaboration within firms. Based on a sample of 433 German manufacturing firms we show inter-departmental innovation collaboration to increase process innovation performance, but also to produce costs in terms of project delay and project termination. These costs, however, do not affect innovation performance at the firm level. This finding suggests firms to be well able to balance the costs and benefits of inter-departmental collaboration across their innovation project portfolio. Theoretical and managerial implications are discussed. ?? 2010 Elsevier B.V. All rights reserved.", "author" : [ { "dropping-particle" : "", "family" : "Cuijpers", "given" : "Maarten", "non-dropping-particle" : "", "parse-names" : false, "suffix" : "" }, { "dropping-particle" : "", "family" : "Guenter", "given" : "Hannes", "non-dropping-particle" : "", "parse-names" : false, "suffix" : "" }, { "dropping-particle" : "", "family" : "Hussinger", "given" : "Katrin", "non-dropping-particle" : "", "parse-names" : false, "suffix" : "" } ], "container-title" : "Research Policy", "id" : "ITEM-1", "issue" : "4", "issued" : { "date-parts" : [ [ "2011" ] ] }, "page" : "565-575", "title" : "Costs and benefits of inter-departmental innovation collaboration", "type" : "article-journal", "volume" : "40" }, "uris" : [ "http://www.mendeley.com/documents/?uuid=3ca16487-6297-4f72-8a42-d5eb72733699" ] } ], "mendeley" : { "formattedCitation" : "(Cuijpers et al., 2011)", "plainTextFormattedCitation" : "(Cuijpers et al., 2011)", "previouslyFormattedCitation" : "(Cuijpers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(Cuijpers et al., 2011)</w:t>
      </w:r>
      <w:r w:rsidRPr="00BA7968">
        <w:rPr>
          <w:rFonts w:ascii="Times New Roman" w:hAnsi="Times New Roman" w:cs="Times New Roman"/>
        </w:rPr>
        <w:fldChar w:fldCharType="end"/>
      </w:r>
      <w:r w:rsidRPr="00BA7968">
        <w:rPr>
          <w:rFonts w:ascii="Times New Roman" w:hAnsi="Times New Roman" w:cs="Times New Roman"/>
        </w:rPr>
        <w:t xml:space="preserve">. But in light of the emergence of innovation sourcing, further research appears warranted to explore further the consequences and trade-offs of cross-functional integration and horizontal alignment. To empirically assess the level of alignment, perceptional measures would need to be used. </w:t>
      </w:r>
      <w:r>
        <w:rPr>
          <w:rFonts w:ascii="Times New Roman" w:hAnsi="Times New Roman" w:cs="Times New Roman"/>
        </w:rPr>
        <w:t>Hence</w:t>
      </w:r>
      <w:r w:rsidRPr="00BA7968">
        <w:rPr>
          <w:rFonts w:ascii="Times New Roman" w:hAnsi="Times New Roman" w:cs="Times New Roman"/>
        </w:rPr>
        <w:t xml:space="preserve">, a cross-sectional survey could be applied to verify the influence of strategic alignment of innovation sourcing on innovation and financial performance of the </w:t>
      </w:r>
      <w:r>
        <w:rPr>
          <w:rFonts w:ascii="Times New Roman" w:hAnsi="Times New Roman" w:cs="Times New Roman"/>
        </w:rPr>
        <w:t>company</w:t>
      </w:r>
      <w:r w:rsidRPr="00BA7968">
        <w:rPr>
          <w:rFonts w:ascii="Times New Roman" w:hAnsi="Times New Roman" w:cs="Times New Roman"/>
        </w:rPr>
        <w:t>. Alternatively, the analysis of secondary data (e.g., publicly available reports about procurement and corporate strategies, along with innovation activities) could be a suitable methodology to approach relevant research questions in this area.</w:t>
      </w:r>
    </w:p>
    <w:p w14:paraId="3C80E272" w14:textId="77777777" w:rsidR="00C7731B" w:rsidRPr="00BA7968" w:rsidRDefault="00C7731B" w:rsidP="00C7731B">
      <w:pPr>
        <w:spacing w:line="360" w:lineRule="auto"/>
        <w:rPr>
          <w:rFonts w:ascii="Times New Roman" w:hAnsi="Times New Roman" w:cs="Times New Roman"/>
        </w:rPr>
      </w:pPr>
    </w:p>
    <w:p w14:paraId="377C14DE" w14:textId="1CE75424" w:rsidR="00C7731B" w:rsidRPr="00163D08" w:rsidRDefault="00C7731B" w:rsidP="00C7731B">
      <w:pPr>
        <w:spacing w:line="360" w:lineRule="auto"/>
        <w:rPr>
          <w:rFonts w:ascii="Times New Roman" w:hAnsi="Times New Roman" w:cs="Times New Roman"/>
          <w:i/>
          <w:u w:val="single"/>
        </w:rPr>
      </w:pPr>
      <w:r w:rsidRPr="00163D08">
        <w:rPr>
          <w:rFonts w:ascii="Times New Roman" w:hAnsi="Times New Roman" w:cs="Times New Roman"/>
          <w:i/>
          <w:u w:val="single"/>
        </w:rPr>
        <w:t>The Strategic Role of Purchasing</w:t>
      </w:r>
    </w:p>
    <w:p w14:paraId="2E39603E"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The trend towards innovation sourcing might affect purchasing’s strategic role within the </w:t>
      </w:r>
      <w:r>
        <w:rPr>
          <w:rFonts w:ascii="Times New Roman" w:hAnsi="Times New Roman" w:cs="Times New Roman"/>
        </w:rPr>
        <w:t>company</w:t>
      </w:r>
      <w:r w:rsidRPr="00BA7968">
        <w:rPr>
          <w:rFonts w:ascii="Times New Roman" w:hAnsi="Times New Roman" w:cs="Times New Roman"/>
        </w:rPr>
        <w:t xml:space="preserve">. </w:t>
      </w:r>
      <w:r>
        <w:rPr>
          <w:rFonts w:ascii="Times New Roman" w:hAnsi="Times New Roman" w:cs="Times New Roman"/>
        </w:rPr>
        <w:t>Hence</w:t>
      </w:r>
      <w:r w:rsidRPr="00BA7968">
        <w:rPr>
          <w:rFonts w:ascii="Times New Roman" w:hAnsi="Times New Roman" w:cs="Times New Roman"/>
        </w:rPr>
        <w:t xml:space="preserve">, an important avenue for research concerns purchasing’s objectives in this regard. Potential research questions for future studies include: What is the strategic impact of purchasing on the </w:t>
      </w:r>
      <w:r>
        <w:rPr>
          <w:rFonts w:ascii="Times New Roman" w:hAnsi="Times New Roman" w:cs="Times New Roman"/>
        </w:rPr>
        <w:t>organization</w:t>
      </w:r>
      <w:r w:rsidRPr="00BA7968">
        <w:rPr>
          <w:rFonts w:ascii="Times New Roman" w:hAnsi="Times New Roman" w:cs="Times New Roman"/>
        </w:rPr>
        <w:t xml:space="preserve">’s innovation performance? What is purchasing’s role in facilitating innovation sourcing? Within the emerging trend toward innovation sourcing, does purchasing enhance its strategic relevance and clout within the </w:t>
      </w:r>
      <w:r>
        <w:rPr>
          <w:rFonts w:ascii="Times New Roman" w:hAnsi="Times New Roman" w:cs="Times New Roman"/>
        </w:rPr>
        <w:t>company</w:t>
      </w:r>
      <w:r w:rsidRPr="00BA7968">
        <w:rPr>
          <w:rFonts w:ascii="Times New Roman" w:hAnsi="Times New Roman" w:cs="Times New Roman"/>
        </w:rPr>
        <w:t xml:space="preserve">? A specific aspect would concern the facilitator role concerning innovation sourcing. As such, who is critically supporting or nurturing innovation sourcing within the </w:t>
      </w:r>
      <w:r>
        <w:rPr>
          <w:rFonts w:ascii="Times New Roman" w:hAnsi="Times New Roman" w:cs="Times New Roman"/>
        </w:rPr>
        <w:t>company</w:t>
      </w:r>
      <w:r w:rsidRPr="00BA7968">
        <w:rPr>
          <w:rFonts w:ascii="Times New Roman" w:hAnsi="Times New Roman" w:cs="Times New Roman"/>
        </w:rPr>
        <w:t xml:space="preserve">? Who is the most appropriate driver of innovation sourcing within the </w:t>
      </w:r>
      <w:r>
        <w:rPr>
          <w:rFonts w:ascii="Times New Roman" w:hAnsi="Times New Roman" w:cs="Times New Roman"/>
        </w:rPr>
        <w:t>company</w:t>
      </w:r>
      <w:r w:rsidRPr="00BA7968">
        <w:rPr>
          <w:rFonts w:ascii="Times New Roman" w:hAnsi="Times New Roman" w:cs="Times New Roman"/>
        </w:rPr>
        <w:t xml:space="preserve">? What are performance differences when innovation is driven top-down from (upper-echelon) management in contrast to being driven from the purchasing function? Should purchasing simply support the innovation sourcing processes under the guidance of engineering? Or should it take a more active role (driver’s seat </w:t>
      </w:r>
      <w:r w:rsidRPr="00BA7968">
        <w:rPr>
          <w:rFonts w:ascii="Times New Roman" w:hAnsi="Times New Roman" w:cs="Times New Roman"/>
        </w:rPr>
        <w:lastRenderedPageBreak/>
        <w:t xml:space="preserve">position)? What is the performance impact when purchasing is driving innovation sourcing? How does this influence the other purchasing processes? </w:t>
      </w:r>
    </w:p>
    <w:p w14:paraId="6A2DEAF6" w14:textId="77777777" w:rsidR="00C7731B" w:rsidRPr="00BA7968" w:rsidRDefault="00C7731B" w:rsidP="00C7731B">
      <w:pPr>
        <w:spacing w:line="360" w:lineRule="auto"/>
        <w:ind w:firstLine="720"/>
        <w:jc w:val="both"/>
        <w:rPr>
          <w:rFonts w:ascii="Times New Roman" w:hAnsi="Times New Roman" w:cs="Times New Roman"/>
        </w:rPr>
      </w:pPr>
      <w:r w:rsidRPr="00BA7968">
        <w:rPr>
          <w:rFonts w:ascii="Times New Roman" w:hAnsi="Times New Roman" w:cs="Times New Roman"/>
        </w:rPr>
        <w:t xml:space="preserve">This literature review confirms that more research interest in the role of purchasing is justified. One strategic opportunity for the purchasing function could emerge in terms of managing and shaping this process by taking an active role within the </w:t>
      </w:r>
      <w:r>
        <w:rPr>
          <w:rFonts w:ascii="Times New Roman" w:hAnsi="Times New Roman" w:cs="Times New Roman"/>
        </w:rPr>
        <w:t>company</w:t>
      </w:r>
      <w:r w:rsidRPr="00BA7968">
        <w:rPr>
          <w:rFonts w:ascii="Times New Roman" w:hAnsi="Times New Roman" w:cs="Times New Roman"/>
        </w:rPr>
        <w:t xml:space="preserve"> as the innovation sourcing driver. Research could analyze purchasing’s position in different contexts with varying levels of innovation sourcing. Questions include whether and how the integration of external knowledge is establishing a new core competency in the </w:t>
      </w:r>
      <w:r>
        <w:rPr>
          <w:rFonts w:ascii="Times New Roman" w:hAnsi="Times New Roman" w:cs="Times New Roman"/>
        </w:rPr>
        <w:t>company</w:t>
      </w:r>
      <w:r w:rsidRPr="00BA7968">
        <w:rPr>
          <w:rFonts w:ascii="Times New Roman" w:hAnsi="Times New Roman" w:cs="Times New Roman"/>
        </w:rPr>
        <w:t xml:space="preserve">, and how this relates to purchasing. This type of research might provide a new perspective on a number of theoretical frameworks such as knowledge based view, resource based theory, resource-dependency theory, transaction cost economics, or organizational learning, for instance. </w:t>
      </w:r>
      <w:r>
        <w:rPr>
          <w:rFonts w:ascii="Times New Roman" w:hAnsi="Times New Roman" w:cs="Times New Roman"/>
        </w:rPr>
        <w:t>Moreover</w:t>
      </w:r>
      <w:r w:rsidRPr="00BA7968">
        <w:rPr>
          <w:rFonts w:ascii="Times New Roman" w:hAnsi="Times New Roman" w:cs="Times New Roman"/>
        </w:rPr>
        <w:t>, practical implications would arise from such research as well. As innovation sourcing practices are emerging as a growing trend, a new role of purchasing in strategically managing this process might appear fruitful for some organizations. Researchers could investigate such circumstances and provide relevant advice on contingencies to practitioners. Qualitative research methodologies such as ethnography or phenomenology could be suitable to enhance the detailed understanding of purchasing’s role in innovation sourcing, and to develop the theoretical foundation. Case studies could lead to additional insights through cross-case analysis in different contexts.</w:t>
      </w:r>
    </w:p>
    <w:p w14:paraId="7E9BC14C" w14:textId="77777777" w:rsidR="00C7731B" w:rsidRPr="00BA7968" w:rsidRDefault="00C7731B" w:rsidP="00C7731B">
      <w:pPr>
        <w:spacing w:line="360" w:lineRule="auto"/>
        <w:jc w:val="both"/>
        <w:rPr>
          <w:rFonts w:ascii="Times New Roman" w:hAnsi="Times New Roman" w:cs="Times New Roman"/>
        </w:rPr>
      </w:pPr>
    </w:p>
    <w:p w14:paraId="385369F6" w14:textId="6150B7A5" w:rsidR="00C7731B" w:rsidRPr="00BC2FBD" w:rsidRDefault="00C7731B" w:rsidP="00BC2FBD">
      <w:pPr>
        <w:pStyle w:val="Heading3new"/>
      </w:pPr>
      <w:r w:rsidRPr="00BC2FBD">
        <w:t>What are operational implications of innovation sourcing?</w:t>
      </w:r>
    </w:p>
    <w:p w14:paraId="7314C4D3"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Innovation sourcing is affecting the </w:t>
      </w:r>
      <w:r>
        <w:rPr>
          <w:rFonts w:ascii="Times New Roman" w:hAnsi="Times New Roman" w:cs="Times New Roman"/>
        </w:rPr>
        <w:t>company</w:t>
      </w:r>
      <w:r w:rsidRPr="00BA7968">
        <w:rPr>
          <w:rFonts w:ascii="Times New Roman" w:hAnsi="Times New Roman" w:cs="Times New Roman"/>
        </w:rPr>
        <w:t xml:space="preserve"> at an operational level. Ultimately, innovation implies a constantly evolving product, service, and process portfolio. For innovation sourcing to emerge as a core competency, organizations need to develop innovation sourcing practices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(Marsh &amp; Stock, 2006)</w:t>
      </w:r>
      <w:r w:rsidRPr="00BA7968">
        <w:rPr>
          <w:rFonts w:ascii="Times New Roman" w:hAnsi="Times New Roman" w:cs="Times New Roman"/>
        </w:rPr>
        <w:fldChar w:fldCharType="end"/>
      </w:r>
      <w:r w:rsidRPr="00BA7968">
        <w:rPr>
          <w:rFonts w:ascii="Times New Roman" w:hAnsi="Times New Roman" w:cs="Times New Roman"/>
        </w:rPr>
        <w:t xml:space="preserve">. </w:t>
      </w:r>
      <w:r>
        <w:rPr>
          <w:rFonts w:ascii="Times New Roman" w:hAnsi="Times New Roman" w:cs="Times New Roman"/>
        </w:rPr>
        <w:t>Hence</w:t>
      </w:r>
      <w:r w:rsidRPr="00BA7968">
        <w:rPr>
          <w:rFonts w:ascii="Times New Roman" w:hAnsi="Times New Roman" w:cs="Times New Roman"/>
        </w:rPr>
        <w:t xml:space="preserve">, researchers are encouraged to deep dive into the operational details of the innovation sourcing process to provide guidance about the necessary innovation sourcing routines that lead to better innovation performance. The detailed innovation sourcing mechanism on an operational level has not received sufficient scholarly attention. Researchers have already identified a lack of procedures as an inhibitor of the effective knowledge inflow, and eventually of innovation performance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"10.1002/smj.388", "ISBN" : "01432095", "ISSN" : "01432095", "PMID" : "225017803", "abstract" : "This paper studies the infl uence of external knowledge on innovation in subsidiaries of multi-nationalfi rms. The focus on subsidiaries is especially interesting since they are simultaneously embedded in two knowledge contexts: (a) the internal multinational corporation (MNC) com-prised of the headquarters and other subsidiaries; and (b) an external environment of regional or host countryfirms. We develop hypotheses to suggest that the extent of infl uences of these contexts on subsidiary technological innovation depends on the characteristics of the knowledge network (technological richness and diversity) and the knowledge linkages of the subsidiary with other entities. The study uses patent citation data pertaining to innovations by foreign subsidiaries of U.S. semiconductorfirms to test these hypotheses. The paperfi nds that (a) the technological richness of the MNC, (b) the subsidiary\u2019s knowledge linkages to host countryfi rms, and (c) the technological diversity within the host country have a positive impact on innovation.", "author" : [ { "dropping-particle" : "", "family" : "Almeida", "given" : "Paul", "non-dropping-particle" : "", "parse-names" : false, "suffix" : "" }, { "dropping-particle" : "", "family" : "Phene", "given" : "Anupama", "non-dropping-particle" : "", "parse-names" : false, "suffix" : "" } ], "container-title" : "Strategic Management Journal", "id" : "ITEM-1", "issue" : "89", "issued" : { "date-parts" : [ [ "2004" ] ] }, "page" : "847-864", "title" : "Subsidiaries and knowledge creation: the influence of the MNC and host country on innovation", "type" : "article-journal", "volume" : "25" }, "uris" : [ "http://www.mendeley.com/documents/?uuid=8764d4a1-60ee-481e-a17a-a7558be3c43b" ] } ], "mendeley" : { "formattedCitation" : "(Almeida &amp; Phene, 2004)", "plainTextFormattedCitation" : "(Almeida &amp; Phene, 2004)", "previouslyFormattedCitation" : "(Almeida &amp; Phene, 2004)"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(Almeida &amp; Phene, 2004)</w:t>
      </w:r>
      <w:r w:rsidRPr="00BA7968">
        <w:rPr>
          <w:rFonts w:ascii="Times New Roman" w:hAnsi="Times New Roman" w:cs="Times New Roman"/>
        </w:rPr>
        <w:fldChar w:fldCharType="end"/>
      </w:r>
      <w:r w:rsidRPr="00BA7968">
        <w:rPr>
          <w:rFonts w:ascii="Times New Roman" w:hAnsi="Times New Roman" w:cs="Times New Roman"/>
        </w:rPr>
        <w:t xml:space="preserve">. For example, effective and </w:t>
      </w:r>
      <w:r w:rsidRPr="00BA7968">
        <w:rPr>
          <w:rFonts w:ascii="Times New Roman" w:hAnsi="Times New Roman" w:cs="Times New Roman"/>
        </w:rPr>
        <w:lastRenderedPageBreak/>
        <w:t>efficient innovation sourcing practices might impact organizational performance differently, depending on each organizational function. Potential future research questions include: What specific operational sub-processes from different functions enhance innovation performance, and how? What routines or practices facilitate innovation sourcing performance, and what aspects inhibit it? How should those functional routines be developed and implemented? What are the operational implications in detail?</w:t>
      </w:r>
      <w:r w:rsidRPr="00BA7968">
        <w:rPr>
          <w:rFonts w:ascii="Times New Roman" w:hAnsi="Times New Roman" w:cs="Times New Roman"/>
          <w:b/>
        </w:rPr>
        <w:t xml:space="preserve"> </w:t>
      </w:r>
      <w:r w:rsidRPr="00BA7968">
        <w:rPr>
          <w:rFonts w:ascii="Times New Roman" w:hAnsi="Times New Roman" w:cs="Times New Roman"/>
        </w:rPr>
        <w:t xml:space="preserve"> How are operational purchasing processes affected? </w:t>
      </w:r>
    </w:p>
    <w:p w14:paraId="7ECFD746"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To address those questions, three main avenues for further research are proposed. First, research could assess whether and how innovation sourcing shows a functional operational impact, and how this relates to organizational performance. For instance, research could investigate the influence of operational routines of different functions on innovation performance, and vice versa. Second, scholars could focus on knowledge integration practices and its performance consequences. Third</w:t>
      </w:r>
      <w:r w:rsidRPr="00BA7968" w:rsidDel="00AB0534">
        <w:rPr>
          <w:rFonts w:ascii="Times New Roman" w:hAnsi="Times New Roman" w:cs="Times New Roman"/>
        </w:rPr>
        <w:t xml:space="preserve">, the potentially moderating influence of environmental and demographic factors on the relationship between innovation sourcing and innovation performance could be analyzed.  </w:t>
      </w:r>
    </w:p>
    <w:p w14:paraId="068285C1" w14:textId="77777777" w:rsidR="00C7731B" w:rsidRPr="00BA7968" w:rsidRDefault="00C7731B" w:rsidP="00C7731B">
      <w:pPr>
        <w:spacing w:line="360" w:lineRule="auto"/>
        <w:jc w:val="both"/>
        <w:rPr>
          <w:rFonts w:ascii="Times New Roman" w:hAnsi="Times New Roman" w:cs="Times New Roman"/>
        </w:rPr>
      </w:pPr>
    </w:p>
    <w:p w14:paraId="5851F130" w14:textId="04993096" w:rsidR="00C7731B" w:rsidRPr="00E73513" w:rsidRDefault="00C7731B" w:rsidP="00C7731B">
      <w:pPr>
        <w:spacing w:line="360" w:lineRule="auto"/>
        <w:jc w:val="both"/>
        <w:rPr>
          <w:rFonts w:ascii="Times New Roman" w:hAnsi="Times New Roman" w:cs="Times New Roman"/>
          <w:i/>
          <w:u w:val="single"/>
        </w:rPr>
      </w:pPr>
      <w:r w:rsidRPr="00E73513">
        <w:rPr>
          <w:rFonts w:ascii="Times New Roman" w:hAnsi="Times New Roman" w:cs="Times New Roman"/>
          <w:i/>
          <w:u w:val="single"/>
        </w:rPr>
        <w:t>Functional Impact of and on Innovation Sourcing</w:t>
      </w:r>
    </w:p>
    <w:p w14:paraId="5A9EA17E"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A promising roadmap for future research could include a multi-functional approach when studying operational implications related to innovation sourcing. What are the implications for different functions within the </w:t>
      </w:r>
      <w:r>
        <w:rPr>
          <w:rFonts w:ascii="Times New Roman" w:hAnsi="Times New Roman" w:cs="Times New Roman"/>
        </w:rPr>
        <w:t>company</w:t>
      </w:r>
      <w:r w:rsidRPr="00BA7968">
        <w:rPr>
          <w:rFonts w:ascii="Times New Roman" w:hAnsi="Times New Roman" w:cs="Times New Roman"/>
        </w:rPr>
        <w:t>? For instance, the phenomenon intersects a number of fields such as supply management or innovation management. How could the body of knowledge of both the supply chain management and the innovation literature be enhanced when studying the innovation sourcing phenomena at an operational level, comparing different functional perspectives? Many empirical studies of this literature review have noted that without enhancing innovation sourcing practices, the organizational innovation performance will remain limited.</w:t>
      </w:r>
    </w:p>
    <w:p w14:paraId="12A63D90"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Researchers need to better understand the relevant workflows, procedures, and work routines on the micro level, and how the end-to-end business processes are affected. Innovation sourcing practices step outside of the traditional functional boundaries, impacting marketing, logistics, manufacturing, or engineering workflows. Interesting and relevant research studies could focus on the interplay between knowledge flow and organizational learning when comparing different organizational functions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(Marsh &amp; Stock, 2006)</w:t>
      </w:r>
      <w:r w:rsidRPr="00BA7968">
        <w:rPr>
          <w:rFonts w:ascii="Times New Roman" w:hAnsi="Times New Roman" w:cs="Times New Roman"/>
        </w:rPr>
        <w:fldChar w:fldCharType="end"/>
      </w:r>
      <w:r w:rsidRPr="00BA7968">
        <w:rPr>
          <w:rFonts w:ascii="Times New Roman" w:hAnsi="Times New Roman" w:cs="Times New Roman"/>
        </w:rPr>
        <w:t xml:space="preserve">. The performance impact of </w:t>
      </w:r>
      <w:r w:rsidRPr="00BA7968">
        <w:rPr>
          <w:rFonts w:ascii="Times New Roman" w:hAnsi="Times New Roman" w:cs="Times New Roman"/>
        </w:rPr>
        <w:lastRenderedPageBreak/>
        <w:t xml:space="preserve">different knowledge flow collaboration practices might also vary within the </w:t>
      </w:r>
      <w:r>
        <w:rPr>
          <w:rFonts w:ascii="Times New Roman" w:hAnsi="Times New Roman" w:cs="Times New Roman"/>
        </w:rPr>
        <w:t>company</w:t>
      </w:r>
      <w:r w:rsidRPr="00BA7968">
        <w:rPr>
          <w:rFonts w:ascii="Times New Roman" w:hAnsi="Times New Roman" w:cs="Times New Roman"/>
        </w:rPr>
        <w:t xml:space="preserve">. </w:t>
      </w:r>
      <w:r>
        <w:rPr>
          <w:rFonts w:ascii="Times New Roman" w:hAnsi="Times New Roman" w:cs="Times New Roman"/>
        </w:rPr>
        <w:t>Hence</w:t>
      </w:r>
      <w:r w:rsidRPr="00BA7968">
        <w:rPr>
          <w:rFonts w:ascii="Times New Roman" w:hAnsi="Times New Roman" w:cs="Times New Roman"/>
        </w:rPr>
        <w:t>, to enhance the understanding of the functional impact, scholars should strive to build cross-disciplinary bridges and illuminate the phenomenon from varying functional viewpoints.</w:t>
      </w:r>
    </w:p>
    <w:p w14:paraId="0E94682D" w14:textId="77777777" w:rsidR="00C7731B" w:rsidRPr="00BA7968" w:rsidRDefault="00C7731B" w:rsidP="00C7731B">
      <w:pPr>
        <w:spacing w:line="360" w:lineRule="auto"/>
        <w:rPr>
          <w:rFonts w:ascii="Times New Roman" w:hAnsi="Times New Roman" w:cs="Times New Roman"/>
        </w:rPr>
      </w:pPr>
    </w:p>
    <w:p w14:paraId="6E6D35ED" w14:textId="03E990C9" w:rsidR="00C7731B" w:rsidRPr="00E73513" w:rsidRDefault="00C7731B" w:rsidP="00C7731B">
      <w:pPr>
        <w:spacing w:line="360" w:lineRule="auto"/>
        <w:rPr>
          <w:rFonts w:ascii="Times New Roman" w:hAnsi="Times New Roman" w:cs="Times New Roman"/>
          <w:i/>
          <w:u w:val="single"/>
        </w:rPr>
      </w:pPr>
      <w:r w:rsidRPr="00E73513">
        <w:rPr>
          <w:rFonts w:ascii="Times New Roman" w:hAnsi="Times New Roman" w:cs="Times New Roman"/>
          <w:i/>
          <w:u w:val="single"/>
        </w:rPr>
        <w:t>Knowledge Integration Practices</w:t>
      </w:r>
    </w:p>
    <w:p w14:paraId="6EBAAC0C"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Remaining theoretical gaps inspire future research. For example, micro-level theories about external and internal knowledge integration need to be developed and tested. Researchers could contrast different organizational routines in terms of innovation performance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"10.1002/smj", "ISSN" : "01432095", "abstract" : "Given the inherent risk of innovative activity, firms can improve the odds of success by pursuing multiple parallel objectives. Because innovation draws on many sources of ideas, firms also may improve their odds of successful innovation by accessing a large number of knowledge sources. In this study, we conduct one of the first firm-level statistical analyses of the impact on innovation of breadth in both innovation objectives and knowledge sources. The empirical results suggest that broader horizons with respect to innovation objectives and knowledge sources are associated with successful innovation.We do not find diminishing returns to breadth in innovation objectives, which suggests that firms may tend to search too narrowly. We interpret these results in light of well-known cognitive biases toward searching in relatively familiar domains. Copyright 2009 John Wiley &amp; Sons, Ltd.", "author" : [ { "dropping-particle" : "", "family" : "Leiponen", "given" : "Alja", "non-dropping-particle" : "", "parse-names" : false, "suffix" : "" }, { "dropping-particle" : "", "family" : "Helfat", "given" : "Constance E", "non-dropping-particle" : "", "parse-names" : false, "suffix" : "" } ], "container-title" : "Stratgic Management Journal", "id" : "ITEM-1", "issued" : { "date-parts" : [ [ "2010" ] ] }, "page" : "224-236", "title" : "Innovation Objectives, Knowledge Sources, and the Benefits of Breadth", "type" : "article-journal", "volume" : "31" }, "uris" : [ "http://www.mendeley.com/documents/?uuid=8b1572f7-d2b7-4be7-870b-c8078b263b94" ] } ], "mendeley" : { "formattedCitation" : "(Leiponen &amp; Helfat, 2010)", "plainTextFormattedCitation" : "(Leiponen &amp; Helfat, 2010)", "previouslyFormattedCitation" : "(Leiponen &amp; Helfat, 2010)"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(Leiponen &amp; Helfat, 2010)</w:t>
      </w:r>
      <w:r w:rsidRPr="00BA7968">
        <w:rPr>
          <w:rFonts w:ascii="Times New Roman" w:hAnsi="Times New Roman" w:cs="Times New Roman"/>
        </w:rPr>
        <w:fldChar w:fldCharType="end"/>
      </w:r>
      <w:r w:rsidRPr="00BA7968">
        <w:rPr>
          <w:rFonts w:ascii="Times New Roman" w:hAnsi="Times New Roman" w:cs="Times New Roman"/>
        </w:rPr>
        <w:t>. Scholars might scrutinize knowledge integration and absorption practices and verify their effectiveness and efficiency. What are the best knowledge management routines to enhance innovativeness? How does management determine and measure a desired degree of knowledge integration efforts? Researchers could provide new insights when exploring the role of senior and middle management in this regard.</w:t>
      </w:r>
    </w:p>
    <w:p w14:paraId="0A673861"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Interesting would be to analyze the causal effects between innovation sourcing and innovation performance. Primarily, it is proposed that the former drives the latter. However, scholars could investigate whether in practice, organizations determine a desired level of innovativeness first before developing the corresponding operational innovation sourcing practices. Overall, researchers would need to shift attention toward a systematic, holistic approach on innovation sourcing. Insights from related scholarly fields (marketing, engineering, or strategic management, for example) could enhance the purchasing and supply management literature. Inductive research methodologies could be applied to reveal the necessary depth and richness of the innovation sourcing sub-processes, including workflows and routines. When developing a conceptual framework in detail, scholars could establish a foundation for theory development in this field.</w:t>
      </w:r>
    </w:p>
    <w:p w14:paraId="34EAA9FF" w14:textId="77777777" w:rsidR="00C7731B" w:rsidRDefault="00C7731B" w:rsidP="00C7731B">
      <w:pPr>
        <w:spacing w:line="360" w:lineRule="auto"/>
        <w:jc w:val="both"/>
        <w:rPr>
          <w:rFonts w:ascii="Times New Roman" w:hAnsi="Times New Roman" w:cs="Times New Roman"/>
        </w:rPr>
      </w:pPr>
    </w:p>
    <w:p w14:paraId="29885D6D" w14:textId="77777777" w:rsidR="00C7731B" w:rsidRPr="00BA7968" w:rsidRDefault="00C7731B" w:rsidP="00C7731B">
      <w:pPr>
        <w:spacing w:line="360" w:lineRule="auto"/>
        <w:jc w:val="both"/>
        <w:rPr>
          <w:rFonts w:ascii="Times New Roman" w:hAnsi="Times New Roman" w:cs="Times New Roman"/>
        </w:rPr>
      </w:pPr>
    </w:p>
    <w:p w14:paraId="6F74E481" w14:textId="4D34FB4A" w:rsidR="00C7731B" w:rsidRPr="00E73513" w:rsidRDefault="00C7731B" w:rsidP="00C7731B">
      <w:pPr>
        <w:spacing w:line="360" w:lineRule="auto"/>
        <w:jc w:val="both"/>
        <w:rPr>
          <w:rFonts w:ascii="Times New Roman" w:hAnsi="Times New Roman" w:cs="Times New Roman"/>
          <w:i/>
          <w:u w:val="single"/>
        </w:rPr>
      </w:pPr>
      <w:r w:rsidRPr="00E73513">
        <w:rPr>
          <w:rFonts w:ascii="Times New Roman" w:hAnsi="Times New Roman" w:cs="Times New Roman"/>
          <w:i/>
          <w:u w:val="single"/>
        </w:rPr>
        <w:t>Environmental Influence on Innovation Sourcing and Innovation Performance</w:t>
      </w:r>
    </w:p>
    <w:p w14:paraId="726F14C2"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Innovation decisions are highly context-dependent, so that generalizations require adequate caution. Future research should increase the understanding of those environmental and demographic factors that potentially alter the innovation sourcing decision-making, and </w:t>
      </w:r>
      <w:r w:rsidRPr="00BA7968">
        <w:rPr>
          <w:rFonts w:ascii="Times New Roman" w:hAnsi="Times New Roman" w:cs="Times New Roman"/>
        </w:rPr>
        <w:lastRenderedPageBreak/>
        <w:t xml:space="preserve">influence the performance outcomes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"ITEM-1", "issue" : "1", "issued" : { "date-parts" : [ [ "2006" ] ] }, "page" : "68-82", "title" : "In Search of Complementarity in Innovation Strategy: Internal R&amp;D and External Knowledge Acquisition", "type" : "article-journal", "volume" : "52" }, "uris" : [ "http://www.mendeley.com/documents/?uuid=e3cb49dc-e5f8-42f4-a0f3-7ec7ae458508" ] } ], "mendeley" : { "formattedCitation" : "(Cassiman &amp; Veugelers, 2006)", "plainTextFormattedCitation" : "(Cassiman &amp; Veugelers, 2006)", "previouslyFormattedCitation" : "(Cassiman &amp; Veugelers,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(Cassiman &amp; Veugelers, 2006)</w:t>
      </w:r>
      <w:r w:rsidRPr="00BA7968">
        <w:rPr>
          <w:rFonts w:ascii="Times New Roman" w:hAnsi="Times New Roman" w:cs="Times New Roman"/>
        </w:rPr>
        <w:fldChar w:fldCharType="end"/>
      </w:r>
      <w:r w:rsidRPr="00BA7968">
        <w:rPr>
          <w:rFonts w:ascii="Times New Roman" w:hAnsi="Times New Roman" w:cs="Times New Roman"/>
        </w:rPr>
        <w:t>. A number of important research questions arise: How robust is the innovation sourcing to performance relationship under varying environmental conditions? What are critical contingencies in regards to the innovation sourcing mechanism? What are the most essential environmental factors that moderate the performance impact, and what factors determine boundary conditions? What contextual factors (e.g., market and technological environment; developmental life cycle; innovation type) are influencing (and how) the most appropriate governance structure? A cross-sectional survey methodology could be applied to test the environmental impact on innovation performance. Alternatively, researchers could prepare an experimental design study to investigate the performance implications when manipulating various environmental and demographic factors.</w:t>
      </w:r>
    </w:p>
    <w:p w14:paraId="2A7C45E6" w14:textId="77777777" w:rsidR="00C7731B" w:rsidRPr="00BA7968" w:rsidRDefault="00C7731B" w:rsidP="00C7731B">
      <w:pPr>
        <w:spacing w:line="360" w:lineRule="auto"/>
        <w:rPr>
          <w:rFonts w:ascii="Times New Roman" w:hAnsi="Times New Roman" w:cs="Times New Roman"/>
        </w:rPr>
      </w:pPr>
    </w:p>
    <w:p w14:paraId="7C923FEC" w14:textId="3456D929" w:rsidR="00C7731B" w:rsidRPr="00BC2FBD" w:rsidRDefault="00C7731B" w:rsidP="00BC2FBD">
      <w:pPr>
        <w:pStyle w:val="Heading3new"/>
      </w:pPr>
      <w:r w:rsidRPr="00BC2FBD">
        <w:t>How could organizations establish a culture of innovation-focus to support innovation sourcing?</w:t>
      </w:r>
    </w:p>
    <w:p w14:paraId="11AB49DB"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Researchers have particularly emphasized the need for external collaboration to achieve an effective innovation sourcing process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"10.1016/j.jom.2010.02.001", "ISSN" : "0272-6963", "author" : [ { "dropping-particle" : "", "family" : "Azadegan", "given" : "Arash", "non-dropping-particle" : "", "parse-names" : false, "suffix" : "" }, { "dropping-particle" : "", "family" : "Dooley", "given" : "Kevin J", "non-dropping-particle" : "", "parse-names" : false, "suffix" : "" } ], "container-title" : "Journal of Operations Management", "id" : "ITEM-1", "issue" : "6", "issued" : { "date-parts" : [ [ "2010" ] ] }, "page" : "488-505", "title" : "Supplier innovativeness, organizational learning styles and manufacturer performance: An empirical assessment", "type" : "article-journal", "volume" : "28" }, "uris" : [ "http://www.mendeley.com/documents/?uuid=76afabba-f3c3-4fb5-8466-bb21870974dc" ] }, { "id" : "ITEM-2", "itemData" : { "DOI" : "10.1002/smj.388", "ISBN" : "01432095", "ISSN" : "01432095", "PMID" : "225017803", "abstract" : "This paper studies the infl uence of external knowledge on innovation in subsidiaries of multi-nationalfi rms. The focus on subsidiaries is especially interesting since they are simultaneously embedded in two knowledge contexts: (a) the internal multinational corporation (MNC) com-prised of the headquarters and other subsidiaries; and (b) an external environment of regional or host countryfirms. We develop hypotheses to suggest that the extent of infl uences of these contexts on subsidiary technological innovation depends on the characteristics of the knowledge network (technological richness and diversity) and the knowledge linkages of the subsidiary with other entities. The study uses patent citation data pertaining to innovations by foreign subsidiaries of U.S. semiconductorfirms to test these hypotheses. The paperfi nds that (a) the technological richness of the MNC, (b) the subsidiary\u2019s knowledge linkages to host countryfi rms, and (c) the technological diversity within the host country have a positive impact on innovation.", "author" : [ { "dropping-particle" : "", "family" : "Almeida", "given" : "Paul", "non-dropping-particle" : "", "parse-names" : false, "suffix" : "" }, { "dropping-particle" : "", "family" : "Phene", "given" : "Anupama", "non-dropping-particle" : "", "parse-names" : false, "suffix" : "" } ], "container-title" : "Strategic Management Journal", "id" : "ITEM-2", "issue" : "89", "issued" : { "date-parts" : [ [ "2004" ] ] }, "page" : "847-864", "title" : "Subsidiaries and knowledge creation: the influence of the MNC and host country on innovation", "type" : "article-journal", "volume" : "25" }, "uris" : [ "http://www.mendeley.com/documents/?uuid=8764d4a1-60ee-481e-a17a-a7558be3c43b" ] } ], "mendeley" : { "formattedCitation" : "(Almeida &amp; Phene, 2004; Azadegan &amp; Dooley, 2010)", "plainTextFormattedCitation" : "(Almeida &amp; Phene, 2004; Azadegan &amp; Dooley, 2010)", "previouslyFormattedCitation" : "(Almeida &amp; Phene, 2004; Azadegan &amp; Dooley, 2010)"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(Almeida &amp; Phene, 2004; Azadegan &amp; Dooley, 2010)</w:t>
      </w:r>
      <w:r w:rsidRPr="00BA7968">
        <w:rPr>
          <w:rFonts w:ascii="Times New Roman" w:hAnsi="Times New Roman" w:cs="Times New Roman"/>
        </w:rPr>
        <w:fldChar w:fldCharType="end"/>
      </w:r>
      <w:r w:rsidRPr="00BA7968">
        <w:rPr>
          <w:rFonts w:ascii="Times New Roman" w:hAnsi="Times New Roman" w:cs="Times New Roman"/>
        </w:rPr>
        <w:t xml:space="preserve">. Nonetheless, the degree of shared values and beliefs in terms of joint innovation also influences new product performance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"10.1016/j.indmarman.2009.12.001", "ISSN" : "0019-8501", "author" : [ { "dropping-particle" : "", "family" : "Wagner", "given" : "Stephan M.", "non-dropping-particle" : "", "parse-names" : false, "suffix" : "" } ], "container-title" : "Industrial Marketing Management", "id" : "ITEM-1", "issue" : "7", "issued" : { "date-parts" : [ [ "2010" ] ] }, "page" : "1139-1149", "title" : "Supplier traits for better customer firm innovation performance", "type" : "article-journal", "volume" : "39" }, "uris" : [ "http://www.mendeley.com/documents/?uuid=256a21ab-bbbd-4ee2-a68d-8a028c9a0a19" ] } ], "mendeley" : { "formattedCitation" : "(Wagner, 2010)", "plainTextFormattedCitation" : "(Wagner, 2010)", "previouslyFormattedCitation" : "(Wagner, 2010)"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(Wagner, 2010)</w:t>
      </w:r>
      <w:r w:rsidRPr="00BA7968">
        <w:rPr>
          <w:rFonts w:ascii="Times New Roman" w:hAnsi="Times New Roman" w:cs="Times New Roman"/>
        </w:rPr>
        <w:fldChar w:fldCharType="end"/>
      </w:r>
      <w:r w:rsidRPr="00BA7968">
        <w:rPr>
          <w:rFonts w:ascii="Times New Roman" w:hAnsi="Times New Roman" w:cs="Times New Roman"/>
        </w:rPr>
        <w:t xml:space="preserve">. For example, internal collaboration is critical to enhance the </w:t>
      </w:r>
      <w:r>
        <w:rPr>
          <w:rFonts w:ascii="Times New Roman" w:hAnsi="Times New Roman" w:cs="Times New Roman"/>
        </w:rPr>
        <w:t>organization</w:t>
      </w:r>
      <w:r w:rsidRPr="00BA7968">
        <w:rPr>
          <w:rFonts w:ascii="Times New Roman" w:hAnsi="Times New Roman" w:cs="Times New Roman"/>
        </w:rPr>
        <w:t xml:space="preserve">-specific innovation processes and routines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"10.1016/j.respol.2010.12.004", "ISBN" : "0048-7333", "ISSN" : "00487333", "abstract" : "Inter-departmental innovation collaboration facilitates innovation performance. At the same time, it has been identified as a source of increased coordination costs. Using organizational information processing theory, this paper builds and tests hypotheses on the costs and benefits of innovation-related collaboration within firms. Based on a sample of 433 German manufacturing firms we show inter-departmental innovation collaboration to increase process innovation performance, but also to produce costs in terms of project delay and project termination. These costs, however, do not affect innovation performance at the firm level. This finding suggests firms to be well able to balance the costs and benefits of inter-departmental collaboration across their innovation project portfolio. Theoretical and managerial implications are discussed. ?? 2010 Elsevier B.V. All rights reserved.", "author" : [ { "dropping-particle" : "", "family" : "Cuijpers", "given" : "Maarten", "non-dropping-particle" : "", "parse-names" : false, "suffix" : "" }, { "dropping-particle" : "", "family" : "Guenter", "given" : "Hannes", "non-dropping-particle" : "", "parse-names" : false, "suffix" : "" }, { "dropping-particle" : "", "family" : "Hussinger", "given" : "Katrin", "non-dropping-particle" : "", "parse-names" : false, "suffix" : "" } ], "container-title" : "Research Policy", "id" : "ITEM-1", "issue" : "4", "issued" : { "date-parts" : [ [ "2011" ] ] }, "page" : "565-575", "title" : "Costs and benefits of inter-departmental innovation collaboration", "type" : "article-journal", "volume" : "40" }, "uris" : [ "http://www.mendeley.com/documents/?uuid=3ca16487-6297-4f72-8a42-d5eb72733699" ] } ], "mendeley" : { "formattedCitation" : "(Cuijpers et al., 2011)", "plainTextFormattedCitation" : "(Cuijpers et al., 2011)", "previouslyFormattedCitation" : "(Cuijpers et al.,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(Cuijpers et al., 2011)</w:t>
      </w:r>
      <w:r w:rsidRPr="00BA7968">
        <w:rPr>
          <w:rFonts w:ascii="Times New Roman" w:hAnsi="Times New Roman" w:cs="Times New Roman"/>
        </w:rPr>
        <w:fldChar w:fldCharType="end"/>
      </w:r>
      <w:r w:rsidRPr="00BA7968">
        <w:rPr>
          <w:rFonts w:ascii="Times New Roman" w:hAnsi="Times New Roman" w:cs="Times New Roman"/>
        </w:rPr>
        <w:t xml:space="preserve">, which might require a shared innovation-focused mindset across the </w:t>
      </w:r>
      <w:r>
        <w:rPr>
          <w:rFonts w:ascii="Times New Roman" w:hAnsi="Times New Roman" w:cs="Times New Roman"/>
        </w:rPr>
        <w:t>company</w:t>
      </w:r>
      <w:r w:rsidRPr="00BA7968">
        <w:rPr>
          <w:rFonts w:ascii="Times New Roman" w:hAnsi="Times New Roman" w:cs="Times New Roman"/>
        </w:rPr>
        <w:t xml:space="preserve">. Attitudinal aspects might influence innovation performance and innovation sourcing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"Brentani", "given" : "Ulrike", "non-dropping-particle" : "De", "parse-names" : false, "suffix" : "" }, { "dropping-particle" : "", "family" : "Kleinschmidt", "given" : "Elko J", "non-dropping-particle" : "", "parse-names" : false, "suffix" : "" } ], "container-title" : "Journal of Product Innovation Management", "id" : "ITEM-1", "issued" : { "date-parts" : [ [ "2004" ] ] }, "page" : "309-333", "title" : "Corporate Culture and Commitment: Impact on Performance of International New Product Development Programs", "type" : "article-journal", "volume" : "21" }, "uris" : [ "http://www.mendeley.com/documents/?uuid=31aee508-d7c7-43f6-8c64-e6ebff7eedcd" ] } ], "mendeley" : { "formattedCitation" : "(De Brentani &amp; Kleinschmidt, 2004)", "plainTextFormattedCitation" : "(De Brentani &amp; Kleinschmidt, 2004)", "previouslyFormattedCitation" : "(De Brentani &amp; Kleinschmidt, 2004)"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(De Brentani &amp; Kleinschmidt, 2004)</w:t>
      </w:r>
      <w:r w:rsidRPr="00BA7968">
        <w:rPr>
          <w:rFonts w:ascii="Times New Roman" w:hAnsi="Times New Roman" w:cs="Times New Roman"/>
        </w:rPr>
        <w:fldChar w:fldCharType="end"/>
      </w:r>
      <w:r w:rsidRPr="00BA7968">
        <w:rPr>
          <w:rFonts w:ascii="Times New Roman" w:hAnsi="Times New Roman" w:cs="Times New Roman"/>
        </w:rPr>
        <w:t xml:space="preserve">. Research could study how those cultural aspects influence innovation, and ultimately, financial performance. How could management initiate and nurture a cultural change towards innovation? How important is culture to the innovation sourcing process? Researchers have highlighted that innovation sourcing will only be successful with a sufficient level of top management commitment, and might even necessitate the adaptation of organizational culture towards innovativeness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"Slowinski", "given" : "Gene", "non-dropping-particle" : "", "parse-names" : false, "suffix" : "" }, { "dropping-particle" : "", "family" : "Hummel", "given" : "Edward", "non-dropping-particle" : "", "parse-names" : false, "suffix" : "" }, { "dropping-particle" : "", "family" : "Gupta", "given" : "Amitabh", "non-dropping-particle" : "", "parse-names" : false, "suffix" : "" }, { "dropping-particle" : "", "family" : "Gilmont", "given" : "Ernest R", "non-dropping-particle" : "", "parse-names" : false, "suffix" : "" } ], "container-title" : "Research Technology Management", "id" : "ITEM-1", "issue" : "1", "issued" : { "date-parts" : [ [ "2009" ] ] }, "page" : "27-34", "title" : "Effective Practices For Sourcing Innovation", "type" : "article-journal", "volume" : "52" }, "uris" : [ "http://www.mendeley.com/documents/?uuid=70bbb5ae-a2a1-4817-bf83-484a3049b292" ] } ], "mendeley" : { "formattedCitation" : "(Slowinski et al., 2009)", "plainTextFormattedCitation" : "(Slowinski et al., 2009)", "previouslyFormattedCitation" : "(Slowinski et al., 2009)"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(Slowinski et al., 2009)</w:t>
      </w:r>
      <w:r w:rsidRPr="00BA7968">
        <w:rPr>
          <w:rFonts w:ascii="Times New Roman" w:hAnsi="Times New Roman" w:cs="Times New Roman"/>
        </w:rPr>
        <w:fldChar w:fldCharType="end"/>
      </w:r>
      <w:r w:rsidRPr="00BA7968">
        <w:rPr>
          <w:rFonts w:ascii="Times New Roman" w:hAnsi="Times New Roman" w:cs="Times New Roman"/>
        </w:rPr>
        <w:t xml:space="preserve">. But what cultural changes influence the level of innovation sourcing? Those aspects could benefit from further scholarly investigation. Analyzing the role of operational, middle, and senior management in enhancing the innovation sourcing process could be the focus of a future research stream. </w:t>
      </w:r>
    </w:p>
    <w:p w14:paraId="733D199E" w14:textId="77777777" w:rsidR="00C7731B" w:rsidRDefault="00C7731B" w:rsidP="00C7731B">
      <w:pPr>
        <w:spacing w:line="360" w:lineRule="auto"/>
        <w:jc w:val="both"/>
        <w:rPr>
          <w:rFonts w:ascii="Times New Roman" w:hAnsi="Times New Roman" w:cs="Times New Roman"/>
        </w:rPr>
      </w:pPr>
      <w:r w:rsidRPr="00BA7968">
        <w:rPr>
          <w:rFonts w:ascii="Times New Roman" w:hAnsi="Times New Roman" w:cs="Times New Roman"/>
        </w:rPr>
        <w:lastRenderedPageBreak/>
        <w:tab/>
        <w:t xml:space="preserve">Another interesting aspect would be to compare and contrast attitudes on an individual versus organizational level. In particular, the impact of those aspects on the fuzzy-front end phase of innovation projects, or the ideation, idea generating stages, could be a fruitful research opportunity, as this phase is particularly dependent on creativity and fresh ideas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"McNally", "given" : "Regina C", "non-dropping-particle" : "", "parse-names" : false, "suffix" : "" }, { "dropping-particle" : "", "family" : "Akdeniz", "given" : "M Billur", "non-dropping-particle" : "", "parse-names" : false, "suffix" : "" }, { "dropping-particle" : "", "family" : "Calantone", "given" : "Roger J", "non-dropping-particle" : "", "parse-names" : false, "suffix" : "" } ], "container-title" : "Journal of Product Innovation Management", "id" : "ITEM-1", "issue" : "S1", "issued" : { "date-parts" : [ [ "2011" ] ] }, "page" : "63-77", "title" : "New Product Development Processes and New Product Profitability: Exploring the Mediating Role of Speed to Market and Product Quality", "type" : "article-journal", "volume" : "28" }, "uris" : [ "http://www.mendeley.com/documents/?uuid=3a247cca-07a1-4356-b6eb-66d7e9fe7a52" ] } ], "mendeley" : { "formattedCitation" : "(McNally, Akdeniz, &amp; Calantone, 2011)", "plainTextFormattedCitation" : "(McNally, Akdeniz, &amp; Calantone, 2011)", "previouslyFormattedCitation" : "(McNally, Akdeniz, &amp; Calantone, 2011)"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(McNally, Akdeniz, &amp; Calantone, 2011)</w:t>
      </w:r>
      <w:r w:rsidRPr="00BA7968">
        <w:rPr>
          <w:rFonts w:ascii="Times New Roman" w:hAnsi="Times New Roman" w:cs="Times New Roman"/>
        </w:rPr>
        <w:fldChar w:fldCharType="end"/>
      </w:r>
      <w:r w:rsidRPr="00BA7968">
        <w:rPr>
          <w:rFonts w:ascii="Times New Roman" w:hAnsi="Times New Roman" w:cs="Times New Roman"/>
        </w:rPr>
        <w:t>. One potential approach would be to develop a conceptual model based on a literature review, and then subsequently test the model with a cross-sectional survey methodology. Alternatively, future research could be based on an experimental design methodology to investigate the interplay between cultural (attitudinal) and structural (governance) factors, and its corresponding performance implications.</w:t>
      </w:r>
    </w:p>
    <w:p w14:paraId="0A0CB20C" w14:textId="77777777" w:rsidR="00C7731B" w:rsidRDefault="00C7731B" w:rsidP="00C7731B">
      <w:pPr>
        <w:spacing w:line="360" w:lineRule="auto"/>
        <w:jc w:val="both"/>
        <w:rPr>
          <w:rFonts w:ascii="Times New Roman" w:hAnsi="Times New Roman" w:cs="Times New Roman"/>
        </w:rPr>
      </w:pPr>
    </w:p>
    <w:p w14:paraId="24171C5A" w14:textId="02D5DB75" w:rsidR="00C7731B" w:rsidRPr="00BC2FBD" w:rsidRDefault="00C7731B" w:rsidP="00BC2FBD">
      <w:pPr>
        <w:pStyle w:val="Heading3new"/>
      </w:pPr>
      <w:r w:rsidRPr="00BC2FBD">
        <w:t>How could innovation sourcing enhance the absorptive capacity of an organization?</w:t>
      </w:r>
    </w:p>
    <w:p w14:paraId="25A75FB2" w14:textId="77777777" w:rsidR="00C7731B" w:rsidRPr="00336551" w:rsidRDefault="00C7731B" w:rsidP="00C7731B">
      <w:pPr>
        <w:spacing w:line="360" w:lineRule="auto"/>
        <w:jc w:val="both"/>
        <w:rPr>
          <w:rFonts w:ascii="Times New Roman" w:hAnsi="Times New Roman" w:cs="Times New Roman"/>
        </w:rPr>
      </w:pPr>
      <w:r w:rsidRPr="00336551">
        <w:rPr>
          <w:rFonts w:ascii="Times New Roman" w:hAnsi="Times New Roman" w:cs="Times New Roman"/>
        </w:rPr>
        <w:t xml:space="preserve">This study of the innovation sourcing </w:t>
      </w:r>
      <w:r>
        <w:rPr>
          <w:rFonts w:ascii="Times New Roman" w:hAnsi="Times New Roman" w:cs="Times New Roman"/>
        </w:rPr>
        <w:t>phenomenon</w:t>
      </w:r>
      <w:r w:rsidRPr="00336551">
        <w:rPr>
          <w:rFonts w:ascii="Times New Roman" w:hAnsi="Times New Roman" w:cs="Times New Roman"/>
        </w:rPr>
        <w:t xml:space="preserve"> revealed the necessity for more scholarly attention to the firm-level concept of absorptive capacity </w:t>
      </w:r>
      <w:r w:rsidRPr="00336551">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"10.1111/j.1540-5885.2008.00315.x", "ISBN" : "07376782", "ISSN" : "07376782", "PMID" : "33334669", "abstract" : "Numerous publications are dedicated to absorptive capacity and new product development (NPD). Most are centered on the recipient team, and very few consider the effects of the source team knowledge characteristics on the knowledge absorption and the NPD performance. This paper analyzes the type of the external knowledge sourced from outside the organization and the process through which it is used by the recipient firm and the effect on NPD performance. This is done through a specific type of source team knowledge, the design, and through the NPD process in industries (clothing and construction) where it plays a key role. NPD cases were analyzed and clustered in three categories of design absorption processes. From these categories, a conceptual framework of the source-recipient knowledge complementarity and its impact on the NPD performance is proposed. The main result is that the complementarity between the recipient and the source knowledge is a critical aspect of the absorption process and therefore of the NPD performance. From a managerial perspective, this research highlights the role of design in the NPD process and how the combination of design knowledge with prior knowledge (marketing or technological) is related to NPD performance. [PUBLICATION ABSTRACT]", "author" : [ { "dropping-particle" : "", "family" : "Abecassis-Moedas", "given" : "Celine", "non-dropping-particle" : "", "parse-names" : false, "suffix" : "" }, { "dropping-particle" : "Ben", "family" : "Mahmoud-Jouini", "given" : "Sihem", "non-dropping-particle" : "", "parse-names" : false, "suffix" : "" } ], "container-title" : "Journal of Product Innovation Management", "id" : "ITEM-1", "issue" : "5", "issued" : { "date-parts" : [ [ "2008" ] ] }, "page" : "473-490", "title" : "Absorptive capacity and source-recipient complementarity in designing new products: An empirically derived framework", "type" : "article-journal", "volume" : "25" }, "uris" : [ "http://www.mendeley.com/documents/?uuid=7d3399e2-7c34-45ce-9953-5b214c610b36" ] } ], "mendeley" : { "formattedCitation" : "(Abecassis-Moedas &amp; Mahmoud-Jouini, 2008)", "plainTextFormattedCitation" : "(Abecassis-Moedas &amp; Mahmoud-Jouini, 2008)", "previouslyFormattedCitation" : "(Abecassis-Moedas &amp; Mahmoud-Jouini, 2008)" }, "properties" : { "noteIndex" : 0 }, "schema" : "https://github.com/citation-style-language/schema/raw/master/csl-citation.json" }</w:instrText>
      </w:r>
      <w:r w:rsidRPr="00336551">
        <w:rPr>
          <w:rFonts w:ascii="Times New Roman" w:hAnsi="Times New Roman" w:cs="Times New Roman"/>
        </w:rPr>
        <w:fldChar w:fldCharType="separate"/>
      </w:r>
      <w:r w:rsidRPr="006A22BF">
        <w:rPr>
          <w:rFonts w:ascii="Times New Roman" w:hAnsi="Times New Roman" w:cs="Times New Roman"/>
          <w:noProof/>
        </w:rPr>
        <w:t>(Abecassis-Moedas &amp; Mahmoud-Jouini, 2008)</w:t>
      </w:r>
      <w:r w:rsidRPr="00336551">
        <w:rPr>
          <w:rFonts w:ascii="Times New Roman" w:hAnsi="Times New Roman" w:cs="Times New Roman"/>
        </w:rPr>
        <w:fldChar w:fldCharType="end"/>
      </w:r>
      <w:r w:rsidRPr="00336551">
        <w:rPr>
          <w:rFonts w:ascii="Times New Roman" w:hAnsi="Times New Roman" w:cs="Times New Roman"/>
        </w:rPr>
        <w:t xml:space="preserve">. Scholars have confirmed that absorptive capacity influences the organization’s innovation performance </w:t>
      </w:r>
      <w:r w:rsidRPr="00336551">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"Cohen", "given" : "Wesley M", "non-dropping-particle" : "", "parse-names" : false, "suffix" : "" }, { "dropping-particle" : "", "family" : "Levinthal", "given" : "Daniel A", "non-dropping-particle" : "", "parse-names" : false, "suffix" : "" } ], "container-title" : "Administrative Science Quarterly", "id" : "ITEM-1", "issue" : "1", "issued" : { "date-parts" : [ [ "1990" ] ] }, "page" : "128-152", "title" : "Absorptive Capacity: A New Perspective on Learning and Innovation", "type" : "article-journal", "volume" : "35" }, "uris" : [ "http://www.mendeley.com/documents/?uuid=bf1f5f2d-ebf2-4a94-9a4a-7eb7d729abc2" ] } ], "mendeley" : { "formattedCitation" : "(Cohen &amp; Levinthal, 1990)", "manualFormatting" : "(Cohen and Levinthal 1990)", "plainTextFormattedCitation" : "(Cohen &amp; Levinthal, 1990)", "previouslyFormattedCitation" : "(Cohen &amp; Levinthal, 1990)" }, "properties" : { "noteIndex" : 0 }, "schema" : "https://github.com/citation-style-language/schema/raw/master/csl-citation.json" }</w:instrText>
      </w:r>
      <w:r w:rsidRPr="00336551">
        <w:rPr>
          <w:rFonts w:ascii="Times New Roman" w:hAnsi="Times New Roman" w:cs="Times New Roman"/>
        </w:rPr>
        <w:fldChar w:fldCharType="separate"/>
      </w:r>
      <w:r w:rsidRPr="00336551">
        <w:rPr>
          <w:rFonts w:ascii="Times New Roman" w:hAnsi="Times New Roman" w:cs="Times New Roman"/>
          <w:noProof/>
        </w:rPr>
        <w:t>(Cohen and Levinthal 1990)</w:t>
      </w:r>
      <w:r w:rsidRPr="00336551">
        <w:rPr>
          <w:rFonts w:ascii="Times New Roman" w:hAnsi="Times New Roman" w:cs="Times New Roman"/>
        </w:rPr>
        <w:fldChar w:fldCharType="end"/>
      </w:r>
      <w:r w:rsidRPr="00336551">
        <w:rPr>
          <w:rFonts w:ascii="Times New Roman" w:hAnsi="Times New Roman" w:cs="Times New Roman"/>
        </w:rPr>
        <w:t>. Existing research has focused primarily on R&amp;D and engineering processes to assess the dimensions and impact of this concep</w:t>
      </w:r>
      <w:r>
        <w:rPr>
          <w:rFonts w:ascii="Times New Roman" w:hAnsi="Times New Roman" w:cs="Times New Roman"/>
        </w:rPr>
        <w:t>t</w:t>
      </w:r>
      <w:r w:rsidRPr="00336551">
        <w:rPr>
          <w:rFonts w:ascii="Times New Roman" w:hAnsi="Times New Roman" w:cs="Times New Roman"/>
        </w:rPr>
        <w:t xml:space="preserve"> </w:t>
      </w:r>
      <w:r w:rsidRPr="00336551">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"ITEM-1", "issue" : "1", "issued" : { "date-parts" : [ [ "2006" ] ] }, "page" : "68-82", "title" : "In Search of Complementarity in Innovation Strategy: Internal R&amp;D and External Knowledge Acquisition", "type" : "article-journal", "volume" : "52" }, "uris" : [ "http://www.mendeley.com/documents/?uuid=e3cb49dc-e5f8-42f4-a0f3-7ec7ae458508" ] } ], "mendeley" : { "formattedCitation" : "(Cassiman &amp; Veugelers, 2006)", "plainTextFormattedCitation" : "(Cassiman &amp; Veugelers, 2006)", "previouslyFormattedCitation" : "(Cassiman &amp; Veugelers, 2006)" }, "properties" : { "noteIndex" : 0 }, "schema" : "https://github.com/citation-style-language/schema/raw/master/csl-citation.json" }</w:instrText>
      </w:r>
      <w:r w:rsidRPr="00336551">
        <w:rPr>
          <w:rFonts w:ascii="Times New Roman" w:hAnsi="Times New Roman" w:cs="Times New Roman"/>
        </w:rPr>
        <w:fldChar w:fldCharType="separate"/>
      </w:r>
      <w:r w:rsidRPr="006A22BF">
        <w:rPr>
          <w:rFonts w:ascii="Times New Roman" w:hAnsi="Times New Roman" w:cs="Times New Roman"/>
          <w:noProof/>
        </w:rPr>
        <w:t>(Cassiman &amp; Veugelers, 2006)</w:t>
      </w:r>
      <w:r w:rsidRPr="00336551">
        <w:rPr>
          <w:rFonts w:ascii="Times New Roman" w:hAnsi="Times New Roman" w:cs="Times New Roman"/>
        </w:rPr>
        <w:fldChar w:fldCharType="end"/>
      </w:r>
      <w:r w:rsidRPr="00336551">
        <w:rPr>
          <w:rFonts w:ascii="Times New Roman" w:hAnsi="Times New Roman" w:cs="Times New Roman"/>
        </w:rPr>
        <w:t>. However, other scholars have highlighted that further indicators apart from R&amp;D</w:t>
      </w:r>
      <w:r>
        <w:rPr>
          <w:rFonts w:ascii="Times New Roman" w:hAnsi="Times New Roman" w:cs="Times New Roman"/>
        </w:rPr>
        <w:t xml:space="preserve"> activities</w:t>
      </w:r>
      <w:r w:rsidRPr="00336551">
        <w:rPr>
          <w:rFonts w:ascii="Times New Roman" w:hAnsi="Times New Roman" w:cs="Times New Roman"/>
        </w:rPr>
        <w:t xml:space="preserve"> could be relevant to understand </w:t>
      </w:r>
      <w:r>
        <w:rPr>
          <w:rFonts w:ascii="Times New Roman" w:hAnsi="Times New Roman" w:cs="Times New Roman"/>
        </w:rPr>
        <w:t xml:space="preserve">additional perspectives of </w:t>
      </w:r>
      <w:r w:rsidRPr="00336551">
        <w:rPr>
          <w:rFonts w:ascii="Times New Roman" w:hAnsi="Times New Roman" w:cs="Times New Roman"/>
        </w:rPr>
        <w:t xml:space="preserve">the absorptive capacity concept </w:t>
      </w:r>
      <w:r w:rsidRPr="00336551">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"10.1080/09537325.2012.751009", "ISBN" : "09537325", "ISSN" : "0953-7325", "abstract" : "Open innovation (OI) is an innovation paradigm which argues that firms\\nshould use external knowledge in order to succeed in the innovation\\nprocess. It is currently unclear however how firms are able to source\\nexternal knowledge from external actors when attempting to innovate. In\\nthis paper we examine the relationship between absorptive capacity and\\nfirms' ability to enter into innovation cooperation with external\\nactors. Our econometric results show that internal R&amp;D, training and an\\neducated workforce, as core aspects of firms' absorptive capacity, are\\npositively associated with (the intensity of) innovation cooperation. An\\nimplication is that external knowledge does not enter the firm freely.\\nThe costs firms must invoke in order to be able to source external\\nknowledge in the OI context is considerable. Without investing in\\ninternal R&amp;D, training and recruiting workers with good educational\\nqualifications, firms may not be able to follow the open approach to\\ninnovation.", "author" : [ { "dropping-particle" : "", "family" : "Clausen", "given" : "Tommy H\u00f8yvarde", "non-dropping-particle" : "", "parse-names" : false, "suffix" : "" } ], "container-title" : "Technology Analysis &amp; Strategic Management", "id" : "ITEM-1", "issue" : "1", "issued" : { "date-parts" : [ [ "2013" ] ] }, "page" : "57-70", "title" : "External knowledge sourcing from innovation cooperation and the role of absorptive capacity: empirical evidence from Norway and Sweden", "type" : "article-journal", "volume" : "25" }, "uris" : [ "http://www.mendeley.com/documents/?uuid=314d0311-58e1-468c-83b3-b9f13e791b5c" ] } ], "mendeley" : { "formattedCitation" : "(Clausen, 2013)", "plainTextFormattedCitation" : "(Clausen, 2013)", "previouslyFormattedCitation" : "(Clausen, 2013)" }, "properties" : { "noteIndex" : 0 }, "schema" : "https://github.com/citation-style-language/schema/raw/master/csl-citation.json" }</w:instrText>
      </w:r>
      <w:r w:rsidRPr="00336551">
        <w:rPr>
          <w:rFonts w:ascii="Times New Roman" w:hAnsi="Times New Roman" w:cs="Times New Roman"/>
        </w:rPr>
        <w:fldChar w:fldCharType="separate"/>
      </w:r>
      <w:r w:rsidRPr="006A22BF">
        <w:rPr>
          <w:rFonts w:ascii="Times New Roman" w:hAnsi="Times New Roman" w:cs="Times New Roman"/>
          <w:noProof/>
        </w:rPr>
        <w:t>(Clausen, 2013)</w:t>
      </w:r>
      <w:r w:rsidRPr="00336551">
        <w:rPr>
          <w:rFonts w:ascii="Times New Roman" w:hAnsi="Times New Roman" w:cs="Times New Roman"/>
        </w:rPr>
        <w:fldChar w:fldCharType="end"/>
      </w:r>
      <w:r w:rsidRPr="00336551">
        <w:rPr>
          <w:rFonts w:ascii="Times New Roman" w:hAnsi="Times New Roman" w:cs="Times New Roman"/>
        </w:rPr>
        <w:t xml:space="preserve"> and called for more research in this regard </w:t>
      </w:r>
      <w:r w:rsidRPr="00336551">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"10.1142/S1363919609002194", "ISBN" : "13639196", "ISSN" : "1363-9196", "PMID" : "37381271", "abstract" : "Inthe era of \u201copen innovation\u201d, external knowledge is a very important source for technology innovation. In this paper, we investigate the relationship between external knowledge and performance of technology innovation.The effect of external knowledge on the performance of technology innovation can vary with different external knowledge sourcing methods. We identify three ways of external knowledge sourcing: information transfer from informal network, R&amp;D collaboration and technology acquisition. We propose three hypotheses to examine relationship between the three methods of external knowledge sourcing and the technology innovation performance. Our results show that information transfer from informal network and technology acquisition have positive relationships with the technology innovation performance. R&amp;D collaboration, however, has an inverted-U-shape relationship with technology innovation performance. This implies that the effect of external knowledge on technology innovation varies depending on the particular external knowledge sourcing method. This research has an important implication for firms in selecting an appropriate strategy for accessing external knowledge.", "author" : [ { "dropping-particle" : "", "family" : "Kang", "given" : "Ki H.", "non-dropping-particle" : "", "parse-names" : false, "suffix" : "" }, { "dropping-particle" : "", "family" : "Kang", "given" : "Jina", "non-dropping-particle" : "", "parse-names" : false, "suffix" : "" } ], "container-title" : "International Journal of Innovation Management", "id" : "ITEM-1", "issue" : "01", "issued" : { "date-parts" : [ [ "2009" ] ] }, "page" : "1-17", "title" : "How Do Firms Source External Knowledge for Innovation? Analysing Effects of Different Knowledge Sourcing Methods", "type" : "article-journal", "volume" : "13" }, "uris" : [ "http://www.mendeley.com/documents/?uuid=bfcabe16-b933-4e56-8e12-abb71a383ca0" ] } ], "mendeley" : { "formattedCitation" : "(Kang &amp; Kang, 2009)", "plainTextFormattedCitation" : "(Kang &amp; Kang, 2009)", "previouslyFormattedCitation" : "(Kang &amp; Kang, 2009)" }, "properties" : { "noteIndex" : 0 }, "schema" : "https://github.com/citation-style-language/schema/raw/master/csl-citation.json" }</w:instrText>
      </w:r>
      <w:r w:rsidRPr="00336551">
        <w:rPr>
          <w:rFonts w:ascii="Times New Roman" w:hAnsi="Times New Roman" w:cs="Times New Roman"/>
        </w:rPr>
        <w:fldChar w:fldCharType="separate"/>
      </w:r>
      <w:r w:rsidRPr="006A22BF">
        <w:rPr>
          <w:rFonts w:ascii="Times New Roman" w:hAnsi="Times New Roman" w:cs="Times New Roman"/>
          <w:noProof/>
        </w:rPr>
        <w:t>(Kang &amp; Kang, 2009)</w:t>
      </w:r>
      <w:r w:rsidRPr="00336551">
        <w:rPr>
          <w:rFonts w:ascii="Times New Roman" w:hAnsi="Times New Roman" w:cs="Times New Roman"/>
        </w:rPr>
        <w:fldChar w:fldCharType="end"/>
      </w:r>
      <w:r w:rsidRPr="00336551">
        <w:rPr>
          <w:rFonts w:ascii="Times New Roman" w:hAnsi="Times New Roman" w:cs="Times New Roman"/>
        </w:rPr>
        <w:t xml:space="preserve">. </w:t>
      </w:r>
      <w:r>
        <w:rPr>
          <w:rFonts w:ascii="Times New Roman" w:hAnsi="Times New Roman" w:cs="Times New Roman"/>
        </w:rPr>
        <w:t xml:space="preserve">How would innovation sourcing relate to absorptive capacity? </w:t>
      </w:r>
      <w:r w:rsidRPr="00336551">
        <w:rPr>
          <w:rFonts w:ascii="Times New Roman" w:hAnsi="Times New Roman" w:cs="Times New Roman"/>
        </w:rPr>
        <w:t>Conceivably, in addition to R&amp;D, the aspects of education, training, learning, and recruiting processes are all influencing the level of absorptive capacity? Furthermore, it could be fruitful to investigate the key innovation sourcing routines supporting knowledge acquisition and knowledge integration processes. To refine the absorptive capacity concept, a better understanding of the role of innovation sourcing processes appears necessary, especially in regards to potential interaction effects with R&amp;D practices. Possibly, the integration drivers and attitudinal aspects revealed in this systematic literature review are components to enhance the organization’s absorptive capacity and</w:t>
      </w:r>
      <w:r>
        <w:rPr>
          <w:rFonts w:ascii="Times New Roman" w:hAnsi="Times New Roman" w:cs="Times New Roman"/>
        </w:rPr>
        <w:t>, ultimately,</w:t>
      </w:r>
      <w:r w:rsidRPr="00336551">
        <w:rPr>
          <w:rFonts w:ascii="Times New Roman" w:hAnsi="Times New Roman" w:cs="Times New Roman"/>
        </w:rPr>
        <w:t xml:space="preserve"> innovation and financial performance.</w:t>
      </w:r>
    </w:p>
    <w:p w14:paraId="5509D848" w14:textId="27C74522" w:rsidR="00C7731B" w:rsidRPr="00BA7968" w:rsidRDefault="00C7731B" w:rsidP="00BC2FBD">
      <w:pPr>
        <w:spacing w:line="360" w:lineRule="auto"/>
        <w:ind w:firstLine="720"/>
        <w:jc w:val="both"/>
        <w:rPr>
          <w:rFonts w:ascii="Times New Roman" w:hAnsi="Times New Roman" w:cs="Times New Roman"/>
        </w:rPr>
      </w:pPr>
      <w:r w:rsidRPr="00336551">
        <w:rPr>
          <w:rFonts w:ascii="Times New Roman" w:hAnsi="Times New Roman" w:cs="Times New Roman"/>
        </w:rPr>
        <w:t xml:space="preserve">To guide further research, one proposed research avenue would be the exploration of potential additional dimensions of absorptive capacity. A number of research questions could be </w:t>
      </w:r>
      <w:r w:rsidRPr="00336551">
        <w:rPr>
          <w:rFonts w:ascii="Times New Roman" w:hAnsi="Times New Roman" w:cs="Times New Roman"/>
        </w:rPr>
        <w:lastRenderedPageBreak/>
        <w:t>explored: Does absorptive capacity entail non-engineering or non-R&amp;D aspects (if yes, what are they)? How relevant are purchasing or sourcing processes in general, or</w:t>
      </w:r>
      <w:r>
        <w:rPr>
          <w:rFonts w:ascii="Times New Roman" w:hAnsi="Times New Roman" w:cs="Times New Roman"/>
        </w:rPr>
        <w:t xml:space="preserve"> particularly</w:t>
      </w:r>
      <w:r w:rsidRPr="00336551">
        <w:rPr>
          <w:rFonts w:ascii="Times New Roman" w:hAnsi="Times New Roman" w:cs="Times New Roman"/>
        </w:rPr>
        <w:t xml:space="preserve"> innovation sourcing processes for the level of absorptive capacity? Could innovation sourcing be considered a dimension of absorptive capacity? If yes, what would be the interplay between innovation sourcing and R&amp;D processes and the corresponding effects on organizational performance? What are the performance consequences of varying degrees of R&amp;D and innovation sourcing capability in this regard? To study the phenomenon of absorptive capacity, an exploratory case study could reveal the richness and breadth of possible non-engineering-related practices or processes that impact the absorptive capability of the organization. A fruitful follow-up study could then empirically test the new conceptualization derived from the prior exploratory research. The theoretical contribution would include a refined understanding of the multidimensionality of absorptive capacity, the role or influence of innovation sourcing, and the impact on innovation and financial performance.</w:t>
      </w:r>
    </w:p>
    <w:p w14:paraId="75BB21FD" w14:textId="77777777" w:rsidR="00C7731B" w:rsidRPr="00BA7968" w:rsidRDefault="00C7731B" w:rsidP="00C7731B">
      <w:pPr>
        <w:spacing w:line="360" w:lineRule="auto"/>
        <w:rPr>
          <w:rFonts w:ascii="Times New Roman" w:hAnsi="Times New Roman" w:cs="Times New Roman"/>
        </w:rPr>
      </w:pPr>
    </w:p>
    <w:p w14:paraId="2713CCF7" w14:textId="09DC8D5A" w:rsidR="00C7731B" w:rsidRPr="00BA7968" w:rsidRDefault="00D91861" w:rsidP="00DF4ABC">
      <w:pPr>
        <w:pStyle w:val="Heading2"/>
      </w:pPr>
      <w:bookmarkStart w:id="42" w:name="_Toc357382414"/>
      <w:bookmarkStart w:id="43" w:name="_Toc357383260"/>
      <w:bookmarkStart w:id="44" w:name="_Toc358326731"/>
      <w:r>
        <w:t>Implications and Conclusion</w:t>
      </w:r>
      <w:bookmarkEnd w:id="42"/>
      <w:bookmarkEnd w:id="43"/>
      <w:bookmarkEnd w:id="44"/>
      <w:r w:rsidR="00C7731B">
        <w:t xml:space="preserve"> </w:t>
      </w:r>
    </w:p>
    <w:p w14:paraId="3DAAE27E"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This systematic literature review enables a better understanding of the phenomenon of innovation sourcing. Nonetheless, fruitful research opportunities remain. The research has provided an agenda to initiate a subsequent research stream, which should make this exciting and relevant area of research more mainstream. There are still some implications for theory to discuss.</w:t>
      </w:r>
    </w:p>
    <w:p w14:paraId="5FBFCF8B" w14:textId="77777777" w:rsidR="00C7731B" w:rsidRPr="00BA7968" w:rsidRDefault="00C7731B" w:rsidP="00C7731B">
      <w:pPr>
        <w:spacing w:line="360" w:lineRule="auto"/>
        <w:rPr>
          <w:rFonts w:ascii="Times New Roman" w:hAnsi="Times New Roman" w:cs="Times New Roman"/>
          <w:b/>
        </w:rPr>
      </w:pPr>
    </w:p>
    <w:p w14:paraId="5C89E42E" w14:textId="2B5A543A" w:rsidR="00C7731B" w:rsidRPr="00D91861" w:rsidRDefault="00C7731B" w:rsidP="00D91861">
      <w:pPr>
        <w:pStyle w:val="Heading3new"/>
      </w:pPr>
      <w:r w:rsidRPr="00D91861">
        <w:t>Theoretical Contributions</w:t>
      </w:r>
    </w:p>
    <w:p w14:paraId="3103AD00"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This research study provides several theoretical contributions. First, the innovation literature is extended to include the concept of innovation sourcing with a particular focus on the upstream supply chain perspective. The systematic review of an important supply chain concept along with a conceptual development of the main dimensions of innovation sourcing is a theoretical contribution. The conceptualization enhances the theoretical breadth and depth of the open innovation theoretical framework by detailing the complementary innovation sourcing perspective from the upstream supply chain.</w:t>
      </w:r>
    </w:p>
    <w:p w14:paraId="7510AF3D"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lastRenderedPageBreak/>
        <w:t xml:space="preserve">  </w:t>
      </w:r>
      <w:r w:rsidRPr="00BA7968">
        <w:rPr>
          <w:rFonts w:ascii="Times New Roman" w:hAnsi="Times New Roman" w:cs="Times New Roman"/>
        </w:rPr>
        <w:tab/>
        <w:t>Second, the innovation sourcing mechanism is more thoroughly explained. The key concepts of this phenomenon have been clarified and definitions of essential terms have been provided. The three main dimensions of innovation sourcing have been developed based on a broad set of empirical literature. The study provides a foundation for further analysis on the interaction of sub-processes and the corresponding influence on organizational performance. Specifically, the new framework can assist with identifying challenges in the innovation sourcing process and thereby support the innovation failure analysis. Consequently, enhancing the conceptual understanding of the innovation sourcing phenomenon is not solely theoretically interesting and important but also highly relevant for practitioners.</w:t>
      </w:r>
    </w:p>
    <w:p w14:paraId="1C1FB9FD"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Third, the fragmented literature stream on innovation sourcing is synthesized and research gaps are noted. By providing an agenda for future research, those gaps can be addressed in subsequent investigations. As innovation sourcing relates particularly to procurement processes, for instance, a need for further research regarding the role of purchasing has been explained. </w:t>
      </w:r>
    </w:p>
    <w:p w14:paraId="082ED816" w14:textId="77777777" w:rsidR="00C7731B" w:rsidRPr="00BA7968" w:rsidRDefault="00C7731B" w:rsidP="00C7731B">
      <w:pPr>
        <w:spacing w:line="360" w:lineRule="auto"/>
        <w:ind w:firstLine="720"/>
        <w:jc w:val="both"/>
        <w:rPr>
          <w:rFonts w:ascii="Times New Roman" w:hAnsi="Times New Roman" w:cs="Times New Roman"/>
        </w:rPr>
      </w:pPr>
      <w:r w:rsidRPr="00BA7968">
        <w:rPr>
          <w:rFonts w:ascii="Times New Roman" w:hAnsi="Times New Roman" w:cs="Times New Roman"/>
        </w:rPr>
        <w:t xml:space="preserve">Fourth, this research has linked the research of supply chain management with innovation management research. A main contribution of this </w:t>
      </w:r>
      <w:r>
        <w:rPr>
          <w:rFonts w:ascii="Times New Roman" w:hAnsi="Times New Roman" w:cs="Times New Roman"/>
        </w:rPr>
        <w:t>dissertation research</w:t>
      </w:r>
      <w:r w:rsidRPr="00BA7968">
        <w:rPr>
          <w:rFonts w:ascii="Times New Roman" w:hAnsi="Times New Roman" w:cs="Times New Roman"/>
        </w:rPr>
        <w:t xml:space="preserve"> is connecting the disparate literature streams (e.g., supply management, marketing, and strategic management body of knowledge) to create an overview of relevant definitions and operationalizations of innovation performance in the context of product/service innovation. </w:t>
      </w:r>
      <w:r>
        <w:rPr>
          <w:rFonts w:ascii="Times New Roman" w:hAnsi="Times New Roman" w:cs="Times New Roman"/>
        </w:rPr>
        <w:t>Therefore</w:t>
      </w:r>
      <w:r w:rsidRPr="00BA7968">
        <w:rPr>
          <w:rFonts w:ascii="Times New Roman" w:hAnsi="Times New Roman" w:cs="Times New Roman"/>
        </w:rPr>
        <w:t>, a multi-disciplinary body of knowledge has been assessed and synthesized to address the research questions.</w:t>
      </w:r>
    </w:p>
    <w:p w14:paraId="082467D0" w14:textId="77777777" w:rsidR="00C7731B" w:rsidRDefault="00C7731B" w:rsidP="00C7731B">
      <w:pPr>
        <w:spacing w:line="360" w:lineRule="auto"/>
        <w:jc w:val="both"/>
        <w:rPr>
          <w:rFonts w:ascii="Times New Roman" w:hAnsi="Times New Roman" w:cs="Times New Roman"/>
        </w:rPr>
      </w:pPr>
      <w:r w:rsidRPr="00BA7968">
        <w:rPr>
          <w:rFonts w:ascii="Times New Roman" w:hAnsi="Times New Roman" w:cs="Times New Roman"/>
        </w:rPr>
        <w:tab/>
        <w:t xml:space="preserve">Fifth, the systematic literature review has revealed a strong emphasis on external integration and exploitation in current scholarly work on innovation sourcing. Some researchers have already progressed toward linking external with internal knowledge integration, which have been identified as complementary aspects </w:t>
      </w:r>
      <w:r w:rsidRPr="00BA7968">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"10.1287/mnsc.1050.0470", "ISBN" : "00251909", "ISSN" : "0025-1909", "PMID" : "20339106", "abstract" : "Empirical research on complementarity between organizational design decisions has traditionally focused on the question of existence of complementarity. In this paper, we take a broader approach to the issue, combining a \"productivity\" and an \"adoption\" approach, while a search for contextual variables in the , including firm's that affects of contextual variables is not se, but strategy complementarity. Analysis only interesting per also improves the productivity test for the existence of complementarity. We use our empirical methodology to analyze complementarity between innovation activities: internal research and development (R&amp;D) and external Our results that internal R&amp;D and external knowledge acquisition. suggest knowledge acquisition are comple innovation but that the degree of complementarity is sensitive to other elements of the firm's activities, mentary environment. strategic We identify reliance on basic R&amp;D?the of universities and research centers importance as an information source for the innovation an important contextual variable process?as affecting complemen tarity", "author" : [ { "dropping-particle" : "", "family" : "Cassiman", "given" : "Bruno", "non-dropping-particle" : "", "parse-names" : false, "suffix" : "" }, { "dropping-particle" : "", "family" : "Veugelers", "given" : "Reinhilde", "non-dropping-particle" : "", "parse-names" : false, "suffix" : "" } ], "container-title" : "Management Science", "id" : "ITEM-1", "issue" : "1", "issued" : { "date-parts" : [ [ "2006" ] ] }, "page" : "68-82", "title" : "In Search of Complementarity in Innovation Strategy: Internal R&amp;D and External Knowledge Acquisition", "type" : "article-journal", "volume" : "52" }, "uris" : [ "http://www.mendeley.com/documents/?uuid=e3cb49dc-e5f8-42f4-a0f3-7ec7ae458508" ] } ], "mendeley" : { "formattedCitation" : "(Cassiman &amp; Veugelers, 2006)", "plainTextFormattedCitation" : "(Cassiman &amp; Veugelers, 2006)", "previouslyFormattedCitation" : "(Cassiman &amp; Veugelers, 2006)" }, "properties" : { "noteIndex" : 0 }, "schema" : "https://github.com/citation-style-language/schema/raw/master/csl-citation.json" }</w:instrText>
      </w:r>
      <w:r w:rsidRPr="00BA7968">
        <w:rPr>
          <w:rFonts w:ascii="Times New Roman" w:hAnsi="Times New Roman" w:cs="Times New Roman"/>
        </w:rPr>
        <w:fldChar w:fldCharType="separate"/>
      </w:r>
      <w:r w:rsidRPr="006A22BF">
        <w:rPr>
          <w:rFonts w:ascii="Times New Roman" w:hAnsi="Times New Roman" w:cs="Times New Roman"/>
          <w:noProof/>
        </w:rPr>
        <w:t>(Cassiman &amp; Veugelers, 2006)</w:t>
      </w:r>
      <w:r w:rsidRPr="00BA7968">
        <w:rPr>
          <w:rFonts w:ascii="Times New Roman" w:hAnsi="Times New Roman" w:cs="Times New Roman"/>
        </w:rPr>
        <w:fldChar w:fldCharType="end"/>
      </w:r>
      <w:r w:rsidRPr="00BA7968">
        <w:rPr>
          <w:rFonts w:ascii="Times New Roman" w:hAnsi="Times New Roman" w:cs="Times New Roman"/>
        </w:rPr>
        <w:t xml:space="preserve">. To obtain a more comprehensive understanding of this complex phenomenon, all three dimensions will need to be addressed holistically and (possibly) concurrently in future research. </w:t>
      </w:r>
    </w:p>
    <w:p w14:paraId="77AF434B" w14:textId="77777777" w:rsidR="00C7731B" w:rsidRPr="00BA7968" w:rsidRDefault="00C7731B" w:rsidP="00C7731B">
      <w:pPr>
        <w:spacing w:line="360" w:lineRule="auto"/>
        <w:ind w:firstLine="720"/>
        <w:jc w:val="both"/>
        <w:rPr>
          <w:rFonts w:ascii="Times New Roman" w:hAnsi="Times New Roman" w:cs="Times New Roman"/>
        </w:rPr>
      </w:pPr>
      <w:r>
        <w:rPr>
          <w:rFonts w:ascii="Times New Roman" w:hAnsi="Times New Roman" w:cs="Times New Roman"/>
        </w:rPr>
        <w:t>Finally</w:t>
      </w:r>
      <w:r w:rsidRPr="000719F2">
        <w:rPr>
          <w:rFonts w:ascii="Times New Roman" w:hAnsi="Times New Roman" w:cs="Times New Roman"/>
        </w:rPr>
        <w:t xml:space="preserve">, this study </w:t>
      </w:r>
      <w:r>
        <w:rPr>
          <w:rFonts w:ascii="Times New Roman" w:hAnsi="Times New Roman" w:cs="Times New Roman"/>
        </w:rPr>
        <w:t>highlighted</w:t>
      </w:r>
      <w:r w:rsidRPr="000719F2">
        <w:rPr>
          <w:rFonts w:ascii="Times New Roman" w:hAnsi="Times New Roman" w:cs="Times New Roman"/>
        </w:rPr>
        <w:t xml:space="preserve"> the </w:t>
      </w:r>
      <w:r>
        <w:rPr>
          <w:rFonts w:ascii="Times New Roman" w:hAnsi="Times New Roman" w:cs="Times New Roman"/>
        </w:rPr>
        <w:t>opportunity</w:t>
      </w:r>
      <w:r w:rsidRPr="000719F2">
        <w:rPr>
          <w:rFonts w:ascii="Times New Roman" w:hAnsi="Times New Roman" w:cs="Times New Roman"/>
        </w:rPr>
        <w:t xml:space="preserve"> for further theoretical development </w:t>
      </w:r>
      <w:r>
        <w:rPr>
          <w:rFonts w:ascii="Times New Roman" w:hAnsi="Times New Roman" w:cs="Times New Roman"/>
        </w:rPr>
        <w:t xml:space="preserve">and extension </w:t>
      </w:r>
      <w:r w:rsidRPr="000719F2">
        <w:rPr>
          <w:rFonts w:ascii="Times New Roman" w:hAnsi="Times New Roman" w:cs="Times New Roman"/>
        </w:rPr>
        <w:t>of the absorptive capacity</w:t>
      </w:r>
      <w:r w:rsidRPr="00A26662">
        <w:rPr>
          <w:rFonts w:ascii="Times New Roman" w:hAnsi="Times New Roman" w:cs="Times New Roman"/>
        </w:rPr>
        <w:t xml:space="preserve"> </w:t>
      </w:r>
      <w:r w:rsidRPr="000719F2">
        <w:rPr>
          <w:rFonts w:ascii="Times New Roman" w:hAnsi="Times New Roman" w:cs="Times New Roman"/>
        </w:rPr>
        <w:t>concept. In addition to R&amp;D</w:t>
      </w:r>
      <w:r>
        <w:rPr>
          <w:rFonts w:ascii="Times New Roman" w:hAnsi="Times New Roman" w:cs="Times New Roman"/>
        </w:rPr>
        <w:t>-related</w:t>
      </w:r>
      <w:r w:rsidRPr="000719F2">
        <w:rPr>
          <w:rFonts w:ascii="Times New Roman" w:hAnsi="Times New Roman" w:cs="Times New Roman"/>
        </w:rPr>
        <w:t xml:space="preserve"> </w:t>
      </w:r>
      <w:r>
        <w:rPr>
          <w:rFonts w:ascii="Times New Roman" w:hAnsi="Times New Roman" w:cs="Times New Roman"/>
        </w:rPr>
        <w:t>activities</w:t>
      </w:r>
      <w:r w:rsidRPr="000719F2">
        <w:rPr>
          <w:rFonts w:ascii="Times New Roman" w:hAnsi="Times New Roman" w:cs="Times New Roman"/>
        </w:rPr>
        <w:t xml:space="preserve">, other aspects such as education, training, learning, and recruiting processes </w:t>
      </w:r>
      <w:r>
        <w:rPr>
          <w:rFonts w:ascii="Times New Roman" w:hAnsi="Times New Roman" w:cs="Times New Roman"/>
        </w:rPr>
        <w:t>could</w:t>
      </w:r>
      <w:r w:rsidRPr="000719F2">
        <w:rPr>
          <w:rFonts w:ascii="Times New Roman" w:hAnsi="Times New Roman" w:cs="Times New Roman"/>
        </w:rPr>
        <w:t xml:space="preserve"> be investigated. They all </w:t>
      </w:r>
      <w:r w:rsidRPr="000719F2">
        <w:rPr>
          <w:rFonts w:ascii="Times New Roman" w:hAnsi="Times New Roman" w:cs="Times New Roman"/>
        </w:rPr>
        <w:lastRenderedPageBreak/>
        <w:t xml:space="preserve">might influence the level of absorptive capacity on an organizational level. </w:t>
      </w:r>
      <w:r>
        <w:rPr>
          <w:rFonts w:ascii="Times New Roman" w:hAnsi="Times New Roman" w:cs="Times New Roman"/>
        </w:rPr>
        <w:t>Beneficial would be an</w:t>
      </w:r>
      <w:r w:rsidRPr="000719F2">
        <w:rPr>
          <w:rFonts w:ascii="Times New Roman" w:hAnsi="Times New Roman" w:cs="Times New Roman"/>
        </w:rPr>
        <w:t xml:space="preserve"> understanding in regards to the role of purchasing processes and how they might complement engineering and </w:t>
      </w:r>
      <w:r>
        <w:rPr>
          <w:rFonts w:ascii="Times New Roman" w:hAnsi="Times New Roman" w:cs="Times New Roman"/>
        </w:rPr>
        <w:t>R&amp;D</w:t>
      </w:r>
      <w:r w:rsidRPr="000719F2">
        <w:rPr>
          <w:rFonts w:ascii="Times New Roman" w:hAnsi="Times New Roman" w:cs="Times New Roman"/>
        </w:rPr>
        <w:t xml:space="preserve"> practices to enhance </w:t>
      </w:r>
      <w:r>
        <w:rPr>
          <w:rFonts w:ascii="Times New Roman" w:hAnsi="Times New Roman" w:cs="Times New Roman"/>
        </w:rPr>
        <w:t>a company’s</w:t>
      </w:r>
      <w:r w:rsidRPr="000719F2">
        <w:rPr>
          <w:rFonts w:ascii="Times New Roman" w:hAnsi="Times New Roman" w:cs="Times New Roman"/>
        </w:rPr>
        <w:t xml:space="preserve"> absorptive capacity. </w:t>
      </w:r>
      <w:r>
        <w:rPr>
          <w:rFonts w:ascii="Times New Roman" w:hAnsi="Times New Roman" w:cs="Times New Roman"/>
        </w:rPr>
        <w:t>Thereby</w:t>
      </w:r>
      <w:r w:rsidRPr="000719F2">
        <w:rPr>
          <w:rFonts w:ascii="Times New Roman" w:hAnsi="Times New Roman" w:cs="Times New Roman"/>
        </w:rPr>
        <w:t xml:space="preserve">, </w:t>
      </w:r>
      <w:r>
        <w:rPr>
          <w:rFonts w:ascii="Times New Roman" w:hAnsi="Times New Roman" w:cs="Times New Roman"/>
        </w:rPr>
        <w:t>future research could</w:t>
      </w:r>
      <w:r w:rsidRPr="000719F2">
        <w:rPr>
          <w:rFonts w:ascii="Times New Roman" w:hAnsi="Times New Roman" w:cs="Times New Roman"/>
        </w:rPr>
        <w:t xml:space="preserve"> </w:t>
      </w:r>
      <w:r>
        <w:rPr>
          <w:rFonts w:ascii="Times New Roman" w:hAnsi="Times New Roman" w:cs="Times New Roman"/>
        </w:rPr>
        <w:t>respond</w:t>
      </w:r>
      <w:r w:rsidRPr="000719F2">
        <w:rPr>
          <w:rFonts w:ascii="Times New Roman" w:hAnsi="Times New Roman" w:cs="Times New Roman"/>
        </w:rPr>
        <w:t xml:space="preserve"> to calls </w:t>
      </w:r>
      <w:r>
        <w:rPr>
          <w:rFonts w:ascii="Times New Roman" w:hAnsi="Times New Roman" w:cs="Times New Roman"/>
        </w:rPr>
        <w:t>to analyze</w:t>
      </w:r>
      <w:r w:rsidRPr="000719F2">
        <w:rPr>
          <w:rFonts w:ascii="Times New Roman" w:hAnsi="Times New Roman" w:cs="Times New Roman"/>
        </w:rPr>
        <w:t xml:space="preserve"> the purchasing perspective on open innovation processes </w:t>
      </w:r>
      <w:r w:rsidRPr="000719F2">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"dropping-particle" : "", "family" : "Chesbrough", "given" : "Henry", "non-dropping-particle" : "", "parse-names" : false, "suffix" : "" } ], "container-title" : "R&amp;D Management", "id" : "ITEM-1", "issued" : { "date-parts" : [ [ "2010" ] ] }, "page" : "1-9", "title" : "The future of open innovation", "type" : "article-journal" }, "uris" : [ "http://www.mendeley.com/documents/?uuid=b72ab66a-e5df-4c16-9ca8-c68543a53ab4" ] } ], "mendeley" : { "formattedCitation" : "(Gassmann et al., 2010)", "plainTextFormattedCitation" : "(Gassmann et al., 2010)", "previouslyFormattedCitation" : "(Gassmann et al., 2010)" }, "properties" : { "noteIndex" : 0 }, "schema" : "https://github.com/citation-style-language/schema/raw/master/csl-citation.json" }</w:instrText>
      </w:r>
      <w:r w:rsidRPr="000719F2">
        <w:rPr>
          <w:rFonts w:ascii="Times New Roman" w:hAnsi="Times New Roman" w:cs="Times New Roman"/>
        </w:rPr>
        <w:fldChar w:fldCharType="separate"/>
      </w:r>
      <w:r w:rsidRPr="006A22BF">
        <w:rPr>
          <w:rFonts w:ascii="Times New Roman" w:hAnsi="Times New Roman" w:cs="Times New Roman"/>
          <w:noProof/>
        </w:rPr>
        <w:t>(Gassmann et al., 2010)</w:t>
      </w:r>
      <w:r w:rsidRPr="000719F2">
        <w:rPr>
          <w:rFonts w:ascii="Times New Roman" w:hAnsi="Times New Roman" w:cs="Times New Roman"/>
        </w:rPr>
        <w:fldChar w:fldCharType="end"/>
      </w:r>
      <w:r w:rsidRPr="000719F2">
        <w:rPr>
          <w:rFonts w:ascii="Times New Roman" w:hAnsi="Times New Roman" w:cs="Times New Roman"/>
        </w:rPr>
        <w:t xml:space="preserve">. </w:t>
      </w:r>
    </w:p>
    <w:p w14:paraId="19B57EF2" w14:textId="77777777" w:rsidR="00C7731B" w:rsidRPr="00BA7968" w:rsidRDefault="00C7731B" w:rsidP="00C7731B">
      <w:pPr>
        <w:spacing w:line="360" w:lineRule="auto"/>
        <w:ind w:firstLine="720"/>
        <w:jc w:val="both"/>
        <w:rPr>
          <w:rFonts w:ascii="Times New Roman" w:hAnsi="Times New Roman" w:cs="Times New Roman"/>
        </w:rPr>
      </w:pPr>
      <w:r w:rsidRPr="00BA7968">
        <w:rPr>
          <w:rFonts w:ascii="Times New Roman" w:hAnsi="Times New Roman" w:cs="Times New Roman"/>
        </w:rPr>
        <w:t xml:space="preserve">In </w:t>
      </w:r>
      <w:r>
        <w:rPr>
          <w:rFonts w:ascii="Times New Roman" w:hAnsi="Times New Roman" w:cs="Times New Roman"/>
        </w:rPr>
        <w:t>conclusion</w:t>
      </w:r>
      <w:r w:rsidRPr="00BA7968">
        <w:rPr>
          <w:rFonts w:ascii="Times New Roman" w:hAnsi="Times New Roman" w:cs="Times New Roman"/>
        </w:rPr>
        <w:t xml:space="preserve">, </w:t>
      </w:r>
      <w:r>
        <w:rPr>
          <w:rFonts w:ascii="Times New Roman" w:hAnsi="Times New Roman" w:cs="Times New Roman"/>
        </w:rPr>
        <w:t>several</w:t>
      </w:r>
      <w:r w:rsidRPr="00BA7968">
        <w:rPr>
          <w:rFonts w:ascii="Times New Roman" w:hAnsi="Times New Roman" w:cs="Times New Roman"/>
        </w:rPr>
        <w:t xml:space="preserve"> important theoretical contributions of this study</w:t>
      </w:r>
      <w:r>
        <w:rPr>
          <w:rFonts w:ascii="Times New Roman" w:hAnsi="Times New Roman" w:cs="Times New Roman"/>
        </w:rPr>
        <w:t xml:space="preserve"> have been provided</w:t>
      </w:r>
      <w:r w:rsidRPr="00BA7968">
        <w:rPr>
          <w:rFonts w:ascii="Times New Roman" w:hAnsi="Times New Roman" w:cs="Times New Roman"/>
        </w:rPr>
        <w:t xml:space="preserve">. The systematic literature review has identified a lack of coherence in the body of knowledge on innovation sourcing. Following the proposed agenda, future research could narrow </w:t>
      </w:r>
      <w:r>
        <w:rPr>
          <w:rFonts w:ascii="Times New Roman" w:hAnsi="Times New Roman" w:cs="Times New Roman"/>
        </w:rPr>
        <w:t>the current</w:t>
      </w:r>
      <w:r w:rsidRPr="00BA7968">
        <w:rPr>
          <w:rFonts w:ascii="Times New Roman" w:hAnsi="Times New Roman" w:cs="Times New Roman"/>
        </w:rPr>
        <w:t xml:space="preserve"> gap. </w:t>
      </w:r>
      <w:r>
        <w:rPr>
          <w:rFonts w:ascii="Times New Roman" w:hAnsi="Times New Roman" w:cs="Times New Roman"/>
        </w:rPr>
        <w:t>Y</w:t>
      </w:r>
      <w:r w:rsidRPr="00BA7968">
        <w:rPr>
          <w:rFonts w:ascii="Times New Roman" w:hAnsi="Times New Roman" w:cs="Times New Roman"/>
        </w:rPr>
        <w:t>ield</w:t>
      </w:r>
      <w:r>
        <w:rPr>
          <w:rFonts w:ascii="Times New Roman" w:hAnsi="Times New Roman" w:cs="Times New Roman"/>
        </w:rPr>
        <w:t>ing</w:t>
      </w:r>
      <w:r w:rsidRPr="00BA7968">
        <w:rPr>
          <w:rFonts w:ascii="Times New Roman" w:hAnsi="Times New Roman" w:cs="Times New Roman"/>
        </w:rPr>
        <w:t xml:space="preserve"> interesting and insightful new perspectives on the innovation sourcing phenomenon</w:t>
      </w:r>
      <w:r>
        <w:rPr>
          <w:rFonts w:ascii="Times New Roman" w:hAnsi="Times New Roman" w:cs="Times New Roman"/>
        </w:rPr>
        <w:t xml:space="preserve"> is expected</w:t>
      </w:r>
      <w:r w:rsidRPr="00BA7968">
        <w:rPr>
          <w:rFonts w:ascii="Times New Roman" w:hAnsi="Times New Roman" w:cs="Times New Roman"/>
        </w:rPr>
        <w:t>.</w:t>
      </w:r>
    </w:p>
    <w:p w14:paraId="62D3D690" w14:textId="77777777" w:rsidR="00C7731B" w:rsidRPr="00BA7968" w:rsidRDefault="00C7731B" w:rsidP="00C7731B">
      <w:pPr>
        <w:spacing w:line="360" w:lineRule="auto"/>
        <w:rPr>
          <w:rFonts w:ascii="Times New Roman" w:hAnsi="Times New Roman" w:cs="Times New Roman"/>
          <w:b/>
        </w:rPr>
      </w:pPr>
    </w:p>
    <w:p w14:paraId="73DB4B8B" w14:textId="7A7CA64E" w:rsidR="00C7731B" w:rsidRPr="005807B3" w:rsidRDefault="00C7731B" w:rsidP="00AB0640">
      <w:pPr>
        <w:pStyle w:val="Heading3new"/>
      </w:pPr>
      <w:r w:rsidRPr="005807B3">
        <w:t>Implications for Practice</w:t>
      </w:r>
    </w:p>
    <w:p w14:paraId="3EEE0FA7" w14:textId="77777777" w:rsidR="00C7731B" w:rsidRPr="00BA7968" w:rsidRDefault="00C7731B" w:rsidP="00C7731B">
      <w:pPr>
        <w:spacing w:line="360" w:lineRule="auto"/>
        <w:jc w:val="both"/>
        <w:rPr>
          <w:rFonts w:ascii="Times New Roman" w:hAnsi="Times New Roman" w:cs="Times New Roman"/>
        </w:rPr>
      </w:pPr>
      <w:r w:rsidRPr="00BA7968">
        <w:rPr>
          <w:rFonts w:ascii="Times New Roman" w:hAnsi="Times New Roman" w:cs="Times New Roman"/>
        </w:rPr>
        <w:t xml:space="preserve">The practical implications are as follows. This research illustrates potential improvement areas that managers can focus on to enhance the innovation performance of their </w:t>
      </w:r>
      <w:r>
        <w:rPr>
          <w:rFonts w:ascii="Times New Roman" w:hAnsi="Times New Roman" w:cs="Times New Roman"/>
        </w:rPr>
        <w:t>company</w:t>
      </w:r>
      <w:r w:rsidRPr="00BA7968">
        <w:rPr>
          <w:rFonts w:ascii="Times New Roman" w:hAnsi="Times New Roman" w:cs="Times New Roman"/>
        </w:rPr>
        <w:t xml:space="preserve">. Innovation sourcing requires not only the effective integration of knowledge input from external partners, but also an effective internal cross-functional integration structure facilitating the joint development activities. The research is providing guidance about the critical dimensions of innovation sourcing. Managers need to consider the interplay between external and internal knowledge integration along with innovation </w:t>
      </w:r>
      <w:r>
        <w:rPr>
          <w:rFonts w:ascii="Times New Roman" w:hAnsi="Times New Roman" w:cs="Times New Roman"/>
        </w:rPr>
        <w:t>orientation</w:t>
      </w:r>
      <w:r w:rsidRPr="00BA7968">
        <w:rPr>
          <w:rFonts w:ascii="Times New Roman" w:hAnsi="Times New Roman" w:cs="Times New Roman"/>
        </w:rPr>
        <w:t xml:space="preserve"> as a cultural element. Thereby, they could enhance the innovation success rate and avoid costly innovation failures.  </w:t>
      </w:r>
    </w:p>
    <w:p w14:paraId="4DDB52C2" w14:textId="77777777" w:rsidR="00C7731B" w:rsidRDefault="00C7731B" w:rsidP="00C7731B">
      <w:pPr>
        <w:spacing w:line="360" w:lineRule="auto"/>
        <w:jc w:val="both"/>
        <w:rPr>
          <w:rFonts w:ascii="Times New Roman" w:hAnsi="Times New Roman" w:cs="Times New Roman"/>
          <w:color w:val="000000" w:themeColor="text1"/>
        </w:rPr>
      </w:pPr>
      <w:r w:rsidRPr="00BA7968">
        <w:rPr>
          <w:rFonts w:ascii="Times New Roman" w:hAnsi="Times New Roman" w:cs="Times New Roman"/>
        </w:rPr>
        <w:tab/>
        <w:t xml:space="preserve">This </w:t>
      </w:r>
      <w:r>
        <w:rPr>
          <w:rFonts w:ascii="Times New Roman" w:hAnsi="Times New Roman" w:cs="Times New Roman"/>
        </w:rPr>
        <w:t>dissertation research</w:t>
      </w:r>
      <w:r w:rsidRPr="00BA7968">
        <w:rPr>
          <w:rFonts w:ascii="Times New Roman" w:hAnsi="Times New Roman" w:cs="Times New Roman"/>
        </w:rPr>
        <w:t xml:space="preserve"> explains the need for cross-functional alignment along with coordinated internal and external knowledge integration practices. In addition, the fundamental need to encourage and foster an innovation</w:t>
      </w:r>
      <w:r>
        <w:rPr>
          <w:rFonts w:ascii="Times New Roman" w:hAnsi="Times New Roman" w:cs="Times New Roman"/>
        </w:rPr>
        <w:t>-focused</w:t>
      </w:r>
      <w:r w:rsidRPr="00BA7968">
        <w:rPr>
          <w:rFonts w:ascii="Times New Roman" w:hAnsi="Times New Roman" w:cs="Times New Roman"/>
        </w:rPr>
        <w:t xml:space="preserve"> mindset within the </w:t>
      </w:r>
      <w:r>
        <w:rPr>
          <w:rFonts w:ascii="Times New Roman" w:hAnsi="Times New Roman" w:cs="Times New Roman"/>
        </w:rPr>
        <w:t>company</w:t>
      </w:r>
      <w:r w:rsidRPr="00BA7968">
        <w:rPr>
          <w:rFonts w:ascii="Times New Roman" w:hAnsi="Times New Roman" w:cs="Times New Roman"/>
        </w:rPr>
        <w:t xml:space="preserve"> is highlighted.  Overall, the research has illustrated the necessity for managers to combine all three dimensions to achieve higher innovation performance. The combined efforts of developing external relationships, encouraging cross-functional integration, and fostering innovation </w:t>
      </w:r>
      <w:r>
        <w:rPr>
          <w:rFonts w:ascii="Times New Roman" w:hAnsi="Times New Roman" w:cs="Times New Roman"/>
        </w:rPr>
        <w:t>orientation</w:t>
      </w:r>
      <w:r w:rsidRPr="00BA7968">
        <w:rPr>
          <w:rFonts w:ascii="Times New Roman" w:hAnsi="Times New Roman" w:cs="Times New Roman"/>
        </w:rPr>
        <w:t xml:space="preserve"> will become increasingly a decisive success factor. Managers need to develop an integrative (holistic) approach towards innovation sourcing that is aligned with corporate strategy as well as with the suppliers’ innovation strategies. Thereby, the </w:t>
      </w:r>
      <w:r>
        <w:rPr>
          <w:rFonts w:ascii="Times New Roman" w:hAnsi="Times New Roman" w:cs="Times New Roman"/>
        </w:rPr>
        <w:t>company</w:t>
      </w:r>
      <w:r w:rsidRPr="00BA7968">
        <w:rPr>
          <w:rFonts w:ascii="Times New Roman" w:hAnsi="Times New Roman" w:cs="Times New Roman"/>
        </w:rPr>
        <w:t xml:space="preserve"> will be able to orchestrate an innovative (sourcing) network and achieve a sustainable competitive advantage.  </w:t>
      </w:r>
      <w:r w:rsidRPr="000B7866">
        <w:rPr>
          <w:rFonts w:ascii="Times New Roman" w:hAnsi="Times New Roman" w:cs="Times New Roman"/>
          <w:color w:val="000000" w:themeColor="text1"/>
        </w:rPr>
        <w:t xml:space="preserve"> </w:t>
      </w:r>
    </w:p>
    <w:p w14:paraId="7202B530" w14:textId="77777777" w:rsidR="00C7731B" w:rsidRDefault="00C7731B" w:rsidP="00C7731B">
      <w:pPr>
        <w:spacing w:line="360" w:lineRule="auto"/>
        <w:jc w:val="both"/>
        <w:rPr>
          <w:rFonts w:ascii="Times New Roman" w:hAnsi="Times New Roman" w:cs="Times New Roman"/>
        </w:rPr>
      </w:pPr>
      <w:r w:rsidRPr="000B7866">
        <w:rPr>
          <w:rFonts w:ascii="Times New Roman" w:hAnsi="Times New Roman" w:cs="Times New Roman"/>
        </w:rPr>
        <w:lastRenderedPageBreak/>
        <w:t xml:space="preserve">As </w:t>
      </w:r>
      <w:r>
        <w:rPr>
          <w:rFonts w:ascii="Times New Roman" w:hAnsi="Times New Roman" w:cs="Times New Roman"/>
        </w:rPr>
        <w:t>outlined in the research agenda</w:t>
      </w:r>
      <w:r w:rsidRPr="000B7866">
        <w:rPr>
          <w:rFonts w:ascii="Times New Roman" w:hAnsi="Times New Roman" w:cs="Times New Roman"/>
        </w:rPr>
        <w:t xml:space="preserve">, the </w:t>
      </w:r>
      <w:r>
        <w:rPr>
          <w:rFonts w:ascii="Times New Roman" w:hAnsi="Times New Roman" w:cs="Times New Roman"/>
        </w:rPr>
        <w:t>phenomenon</w:t>
      </w:r>
      <w:r w:rsidRPr="000B7866">
        <w:rPr>
          <w:rFonts w:ascii="Times New Roman" w:hAnsi="Times New Roman" w:cs="Times New Roman"/>
        </w:rPr>
        <w:t xml:space="preserve"> stretches beyond the traditional purchasing domain and extends to both the strategic management and the operational level involving cross-functional practices and work routines. </w:t>
      </w:r>
      <w:r>
        <w:rPr>
          <w:rFonts w:ascii="Times New Roman" w:hAnsi="Times New Roman" w:cs="Times New Roman"/>
        </w:rPr>
        <w:t>Hence, in the following chapter</w:t>
      </w:r>
      <w:r w:rsidRPr="000B7866">
        <w:rPr>
          <w:rFonts w:ascii="Times New Roman" w:hAnsi="Times New Roman" w:cs="Times New Roman"/>
        </w:rPr>
        <w:t xml:space="preserve">, the research focus is broadened. The </w:t>
      </w:r>
      <w:r>
        <w:rPr>
          <w:rFonts w:ascii="Times New Roman" w:hAnsi="Times New Roman" w:cs="Times New Roman"/>
        </w:rPr>
        <w:t>next</w:t>
      </w:r>
      <w:r w:rsidRPr="000B7866">
        <w:rPr>
          <w:rFonts w:ascii="Times New Roman" w:hAnsi="Times New Roman" w:cs="Times New Roman"/>
        </w:rPr>
        <w:t xml:space="preserve"> study </w:t>
      </w:r>
      <w:r>
        <w:rPr>
          <w:rFonts w:ascii="Times New Roman" w:hAnsi="Times New Roman" w:cs="Times New Roman"/>
        </w:rPr>
        <w:t>concentrates</w:t>
      </w:r>
      <w:r w:rsidRPr="000B7866">
        <w:rPr>
          <w:rFonts w:ascii="Times New Roman" w:hAnsi="Times New Roman" w:cs="Times New Roman"/>
        </w:rPr>
        <w:t xml:space="preserve"> on the more encompassing supply chain resource management</w:t>
      </w:r>
      <w:r>
        <w:rPr>
          <w:rFonts w:ascii="Times New Roman" w:hAnsi="Times New Roman" w:cs="Times New Roman"/>
        </w:rPr>
        <w:t xml:space="preserve"> practices</w:t>
      </w:r>
      <w:r w:rsidRPr="000B7866">
        <w:rPr>
          <w:rFonts w:ascii="Times New Roman" w:hAnsi="Times New Roman" w:cs="Times New Roman"/>
        </w:rPr>
        <w:t>, involving specifically the acquisition and integration of external resources.</w:t>
      </w:r>
      <w:r>
        <w:rPr>
          <w:rFonts w:ascii="Times New Roman" w:hAnsi="Times New Roman" w:cs="Times New Roman"/>
        </w:rPr>
        <w:t xml:space="preserve"> A </w:t>
      </w:r>
      <w:r w:rsidRPr="000B7866">
        <w:rPr>
          <w:rFonts w:ascii="Times New Roman" w:hAnsi="Times New Roman" w:cs="Times New Roman"/>
        </w:rPr>
        <w:t>theoretical framework of supply chain resource orchestration</w:t>
      </w:r>
      <w:r>
        <w:rPr>
          <w:rFonts w:ascii="Times New Roman" w:hAnsi="Times New Roman" w:cs="Times New Roman"/>
        </w:rPr>
        <w:t xml:space="preserve"> is introduced.</w:t>
      </w:r>
    </w:p>
    <w:p w14:paraId="6CEDF509" w14:textId="77777777" w:rsidR="00C7731B" w:rsidRPr="00BA7968" w:rsidRDefault="00C7731B" w:rsidP="00C7731B">
      <w:pPr>
        <w:spacing w:line="360" w:lineRule="auto"/>
        <w:jc w:val="both"/>
        <w:rPr>
          <w:rFonts w:ascii="Times New Roman" w:hAnsi="Times New Roman" w:cs="Times New Roman"/>
        </w:rPr>
      </w:pPr>
    </w:p>
    <w:p w14:paraId="7FDE4B2F" w14:textId="77777777" w:rsidR="00C7731B" w:rsidRDefault="00C7731B" w:rsidP="00C7731B">
      <w:pPr>
        <w:rPr>
          <w:rFonts w:ascii="Times New Roman" w:hAnsi="Times New Roman" w:cs="Times New Roman"/>
          <w:b/>
        </w:rPr>
      </w:pPr>
      <w:r>
        <w:rPr>
          <w:rFonts w:ascii="Times New Roman" w:hAnsi="Times New Roman" w:cs="Times New Roman"/>
          <w:b/>
        </w:rPr>
        <w:br w:type="page"/>
      </w:r>
    </w:p>
    <w:p w14:paraId="2D03D8D7" w14:textId="1E9ED48F" w:rsidR="002B3E78" w:rsidRPr="00DD61C8" w:rsidRDefault="002B3E78" w:rsidP="00DD61C8">
      <w:pPr>
        <w:widowControl w:val="0"/>
        <w:autoSpaceDE w:val="0"/>
        <w:autoSpaceDN w:val="0"/>
        <w:adjustRightInd w:val="0"/>
        <w:rPr>
          <w:rFonts w:ascii="Times New Roman" w:hAnsi="Times New Roman" w:cs="Times New Roman"/>
        </w:rPr>
        <w:sectPr w:rsidR="002B3E78" w:rsidRPr="00DD61C8" w:rsidSect="00B27280">
          <w:pgSz w:w="12240" w:h="15840"/>
          <w:pgMar w:top="1440" w:right="1440" w:bottom="1800" w:left="1440" w:header="576" w:footer="720" w:gutter="0"/>
          <w:cols w:space="720"/>
          <w:titlePg/>
          <w:docGrid w:linePitch="360"/>
        </w:sectPr>
      </w:pPr>
    </w:p>
    <w:p w14:paraId="2D2C7156" w14:textId="5CE45C18" w:rsidR="0056568A" w:rsidRPr="00741FAB" w:rsidRDefault="0056568A" w:rsidP="00A162CA">
      <w:pPr>
        <w:pStyle w:val="Heading1"/>
        <w:rPr>
          <w:rFonts w:cs="Times New Roman"/>
        </w:rPr>
      </w:pPr>
      <w:bookmarkStart w:id="45" w:name="_Toc357382415"/>
      <w:bookmarkStart w:id="46" w:name="_Toc357383261"/>
      <w:bookmarkStart w:id="47" w:name="_Toc358326732"/>
      <w:r w:rsidRPr="00741FAB">
        <w:rPr>
          <w:rFonts w:cs="Times New Roman"/>
        </w:rPr>
        <w:lastRenderedPageBreak/>
        <w:t xml:space="preserve">CHAPTER THREE – </w:t>
      </w:r>
      <w:r w:rsidR="003D2680">
        <w:rPr>
          <w:rFonts w:cs="Times New Roman"/>
        </w:rPr>
        <w:t xml:space="preserve">ARTICLE </w:t>
      </w:r>
      <w:r w:rsidR="008D6065">
        <w:rPr>
          <w:rFonts w:cs="Times New Roman"/>
        </w:rPr>
        <w:t>2</w:t>
      </w:r>
      <w:r w:rsidR="003D2680">
        <w:rPr>
          <w:rFonts w:cs="Times New Roman"/>
        </w:rPr>
        <w:t xml:space="preserve">: </w:t>
      </w:r>
      <w:r w:rsidRPr="00741FAB">
        <w:rPr>
          <w:rFonts w:cs="Times New Roman"/>
        </w:rPr>
        <w:t>THEORY ELABORATION</w:t>
      </w:r>
      <w:bookmarkEnd w:id="45"/>
      <w:bookmarkEnd w:id="46"/>
      <w:bookmarkEnd w:id="47"/>
    </w:p>
    <w:p w14:paraId="0638CC66" w14:textId="77777777" w:rsidR="0050297F" w:rsidRPr="00741FAB" w:rsidRDefault="0050297F" w:rsidP="0035460B">
      <w:pPr>
        <w:spacing w:line="480" w:lineRule="auto"/>
        <w:rPr>
          <w:rFonts w:ascii="Times New Roman" w:hAnsi="Times New Roman" w:cs="Times New Roman"/>
          <w:b/>
        </w:rPr>
      </w:pPr>
    </w:p>
    <w:p w14:paraId="37931FAB" w14:textId="1D5CF3A1" w:rsidR="00F51598" w:rsidRPr="00741FAB" w:rsidRDefault="003811A6" w:rsidP="0035460B">
      <w:pPr>
        <w:spacing w:line="480" w:lineRule="auto"/>
        <w:rPr>
          <w:rFonts w:ascii="Times New Roman" w:hAnsi="Times New Roman" w:cs="Times New Roman"/>
          <w:b/>
        </w:rPr>
      </w:pPr>
      <w:r w:rsidRPr="00741FAB">
        <w:rPr>
          <w:rFonts w:ascii="Times New Roman" w:hAnsi="Times New Roman" w:cs="Times New Roman"/>
          <w:b/>
        </w:rPr>
        <w:t xml:space="preserve">Introducing </w:t>
      </w:r>
      <w:r w:rsidR="00566A4B" w:rsidRPr="00741FAB">
        <w:rPr>
          <w:rFonts w:ascii="Times New Roman" w:hAnsi="Times New Roman" w:cs="Times New Roman"/>
          <w:b/>
        </w:rPr>
        <w:t xml:space="preserve">A </w:t>
      </w:r>
      <w:r w:rsidR="00F51598" w:rsidRPr="00741FAB">
        <w:rPr>
          <w:rFonts w:ascii="Times New Roman" w:hAnsi="Times New Roman" w:cs="Times New Roman"/>
          <w:b/>
        </w:rPr>
        <w:t>Supply Chain Resource Orchestration Framework</w:t>
      </w:r>
    </w:p>
    <w:p w14:paraId="2232B7A4" w14:textId="77777777" w:rsidR="00F51598" w:rsidRPr="00741FAB" w:rsidRDefault="00F51598" w:rsidP="0035460B">
      <w:pPr>
        <w:spacing w:line="480" w:lineRule="auto"/>
        <w:rPr>
          <w:rFonts w:ascii="Times New Roman" w:hAnsi="Times New Roman" w:cs="Times New Roman"/>
          <w:b/>
        </w:rPr>
      </w:pPr>
    </w:p>
    <w:p w14:paraId="24D47928" w14:textId="77777777" w:rsidR="0050297F" w:rsidRPr="00741FAB" w:rsidRDefault="0050297F" w:rsidP="0035460B">
      <w:pPr>
        <w:spacing w:line="480" w:lineRule="auto"/>
        <w:rPr>
          <w:rFonts w:ascii="Times New Roman" w:hAnsi="Times New Roman" w:cs="Times New Roman"/>
          <w:b/>
        </w:rPr>
      </w:pPr>
    </w:p>
    <w:p w14:paraId="549580EC" w14:textId="2CBF6C4A" w:rsidR="00367C64" w:rsidRPr="00741FAB" w:rsidRDefault="0056568A" w:rsidP="00741FAB">
      <w:pPr>
        <w:spacing w:line="480" w:lineRule="auto"/>
        <w:rPr>
          <w:rFonts w:ascii="Times New Roman" w:hAnsi="Times New Roman" w:cs="Times New Roman"/>
          <w:b/>
        </w:rPr>
      </w:pPr>
      <w:r w:rsidRPr="00741FAB">
        <w:rPr>
          <w:rFonts w:ascii="Times New Roman" w:hAnsi="Times New Roman" w:cs="Times New Roman"/>
          <w:b/>
        </w:rPr>
        <w:t>A</w:t>
      </w:r>
      <w:r w:rsidR="00A162CA" w:rsidRPr="00741FAB">
        <w:rPr>
          <w:rFonts w:ascii="Times New Roman" w:hAnsi="Times New Roman" w:cs="Times New Roman"/>
          <w:b/>
        </w:rPr>
        <w:t>bstract</w:t>
      </w:r>
    </w:p>
    <w:p w14:paraId="6686C42F" w14:textId="26FBB96B" w:rsidR="009707FC" w:rsidRPr="0068584C" w:rsidRDefault="003568C9" w:rsidP="0035460B">
      <w:pPr>
        <w:spacing w:line="480" w:lineRule="auto"/>
        <w:jc w:val="both"/>
        <w:rPr>
          <w:rFonts w:ascii="Times New Roman" w:hAnsi="Times New Roman" w:cs="Times New Roman"/>
        </w:rPr>
      </w:pPr>
      <w:r w:rsidRPr="00741FAB">
        <w:rPr>
          <w:rFonts w:ascii="Times New Roman" w:hAnsi="Times New Roman" w:cs="Times New Roman"/>
        </w:rPr>
        <w:t xml:space="preserve">Innovation is a strategic necessity in many markets, and external </w:t>
      </w:r>
      <w:r w:rsidR="00CA0A50" w:rsidRPr="00741FAB">
        <w:rPr>
          <w:rFonts w:ascii="Times New Roman" w:hAnsi="Times New Roman" w:cs="Times New Roman"/>
        </w:rPr>
        <w:t xml:space="preserve">resource providers </w:t>
      </w:r>
      <w:r w:rsidRPr="00741FAB">
        <w:rPr>
          <w:rFonts w:ascii="Times New Roman" w:hAnsi="Times New Roman" w:cs="Times New Roman"/>
        </w:rPr>
        <w:t xml:space="preserve">have become </w:t>
      </w:r>
      <w:r w:rsidR="002561C6" w:rsidRPr="00741FAB">
        <w:rPr>
          <w:rFonts w:ascii="Times New Roman" w:hAnsi="Times New Roman" w:cs="Times New Roman"/>
        </w:rPr>
        <w:t>critical</w:t>
      </w:r>
      <w:r w:rsidRPr="00741FAB">
        <w:rPr>
          <w:rFonts w:ascii="Times New Roman" w:hAnsi="Times New Roman" w:cs="Times New Roman"/>
        </w:rPr>
        <w:t xml:space="preserve"> contributors to enhance</w:t>
      </w:r>
      <w:r w:rsidR="00566A4B" w:rsidRPr="00741FAB">
        <w:rPr>
          <w:rFonts w:ascii="Times New Roman" w:hAnsi="Times New Roman" w:cs="Times New Roman"/>
        </w:rPr>
        <w:t xml:space="preserve">d </w:t>
      </w:r>
      <w:r w:rsidRPr="00741FAB">
        <w:rPr>
          <w:rFonts w:ascii="Times New Roman" w:hAnsi="Times New Roman" w:cs="Times New Roman"/>
        </w:rPr>
        <w:t>innovation process</w:t>
      </w:r>
      <w:r w:rsidR="00566A4B" w:rsidRPr="00741FAB">
        <w:rPr>
          <w:rFonts w:ascii="Times New Roman" w:hAnsi="Times New Roman" w:cs="Times New Roman"/>
        </w:rPr>
        <w:t>es</w:t>
      </w:r>
      <w:r w:rsidRPr="00741FAB">
        <w:rPr>
          <w:rFonts w:ascii="Times New Roman" w:hAnsi="Times New Roman" w:cs="Times New Roman"/>
        </w:rPr>
        <w:t>. However, relatively few studies have</w:t>
      </w:r>
      <w:r w:rsidRPr="0068584C">
        <w:rPr>
          <w:rFonts w:ascii="Times New Roman" w:hAnsi="Times New Roman" w:cs="Times New Roman"/>
        </w:rPr>
        <w:t xml:space="preserve"> </w:t>
      </w:r>
      <w:r w:rsidR="0037445F" w:rsidRPr="0068584C">
        <w:rPr>
          <w:rFonts w:ascii="Times New Roman" w:hAnsi="Times New Roman" w:cs="Times New Roman"/>
        </w:rPr>
        <w:t xml:space="preserve">assessed </w:t>
      </w:r>
      <w:r w:rsidRPr="0068584C">
        <w:rPr>
          <w:rFonts w:ascii="Times New Roman" w:hAnsi="Times New Roman" w:cs="Times New Roman"/>
        </w:rPr>
        <w:t>the new emerging concept of supply chain resource orchestration</w:t>
      </w:r>
      <w:r w:rsidR="00D75A6D" w:rsidRPr="0068584C">
        <w:rPr>
          <w:rFonts w:ascii="Times New Roman" w:hAnsi="Times New Roman" w:cs="Times New Roman"/>
        </w:rPr>
        <w:t xml:space="preserve"> (SCRO)</w:t>
      </w:r>
      <w:r w:rsidRPr="0068584C">
        <w:rPr>
          <w:rFonts w:ascii="Times New Roman" w:hAnsi="Times New Roman" w:cs="Times New Roman"/>
        </w:rPr>
        <w:t xml:space="preserve"> that describes the relevant processes of </w:t>
      </w:r>
      <w:r w:rsidR="0039236A" w:rsidRPr="0068584C">
        <w:rPr>
          <w:rFonts w:ascii="Times New Roman" w:hAnsi="Times New Roman" w:cs="Times New Roman"/>
        </w:rPr>
        <w:t>managing the acquisition,</w:t>
      </w:r>
      <w:r w:rsidRPr="0068584C">
        <w:rPr>
          <w:rFonts w:ascii="Times New Roman" w:hAnsi="Times New Roman" w:cs="Times New Roman"/>
        </w:rPr>
        <w:t xml:space="preserve"> integration</w:t>
      </w:r>
      <w:r w:rsidR="0039236A" w:rsidRPr="0068584C">
        <w:rPr>
          <w:rFonts w:ascii="Times New Roman" w:hAnsi="Times New Roman" w:cs="Times New Roman"/>
        </w:rPr>
        <w:t>, and exploitation of</w:t>
      </w:r>
      <w:r w:rsidRPr="0068584C">
        <w:rPr>
          <w:rFonts w:ascii="Times New Roman" w:hAnsi="Times New Roman" w:cs="Times New Roman"/>
        </w:rPr>
        <w:t xml:space="preserve"> </w:t>
      </w:r>
      <w:r w:rsidR="00F95E54" w:rsidRPr="0068584C">
        <w:rPr>
          <w:rFonts w:ascii="Times New Roman" w:hAnsi="Times New Roman" w:cs="Times New Roman"/>
        </w:rPr>
        <w:t xml:space="preserve">critical </w:t>
      </w:r>
      <w:r w:rsidRPr="0068584C">
        <w:rPr>
          <w:rFonts w:ascii="Times New Roman" w:hAnsi="Times New Roman" w:cs="Times New Roman"/>
        </w:rPr>
        <w:t>external resources.</w:t>
      </w:r>
      <w:r w:rsidR="0037445F" w:rsidRPr="0068584C">
        <w:rPr>
          <w:rFonts w:ascii="Times New Roman" w:hAnsi="Times New Roman" w:cs="Times New Roman"/>
        </w:rPr>
        <w:t xml:space="preserve">  A</w:t>
      </w:r>
      <w:r w:rsidR="005F3895">
        <w:rPr>
          <w:rFonts w:ascii="Times New Roman" w:hAnsi="Times New Roman" w:cs="Times New Roman"/>
        </w:rPr>
        <w:t>fter the literature review in Chapter 2, now a</w:t>
      </w:r>
      <w:r w:rsidR="00D75A6D" w:rsidRPr="0068584C">
        <w:rPr>
          <w:rFonts w:ascii="Times New Roman" w:hAnsi="Times New Roman" w:cs="Times New Roman"/>
        </w:rPr>
        <w:t xml:space="preserve"> theory elaboration approach is utilized to </w:t>
      </w:r>
      <w:r w:rsidR="0014461E" w:rsidRPr="0068584C">
        <w:rPr>
          <w:rFonts w:ascii="Times New Roman" w:hAnsi="Times New Roman" w:cs="Times New Roman"/>
        </w:rPr>
        <w:t xml:space="preserve">broaden the scope of resource orchestration theory (ROT) by addressing </w:t>
      </w:r>
      <w:r w:rsidR="00D75A6D" w:rsidRPr="0068584C">
        <w:rPr>
          <w:rFonts w:ascii="Times New Roman" w:hAnsi="Times New Roman" w:cs="Times New Roman"/>
        </w:rPr>
        <w:t>supply chain resource</w:t>
      </w:r>
      <w:r w:rsidR="00566A4B" w:rsidRPr="0068584C">
        <w:rPr>
          <w:rFonts w:ascii="Times New Roman" w:hAnsi="Times New Roman" w:cs="Times New Roman"/>
        </w:rPr>
        <w:t xml:space="preserve">s as a critical component of </w:t>
      </w:r>
      <w:r w:rsidR="0037445F" w:rsidRPr="0068584C">
        <w:rPr>
          <w:rFonts w:ascii="Times New Roman" w:hAnsi="Times New Roman" w:cs="Times New Roman"/>
        </w:rPr>
        <w:t xml:space="preserve">organizational </w:t>
      </w:r>
      <w:r w:rsidR="00566A4B" w:rsidRPr="0068584C">
        <w:rPr>
          <w:rFonts w:ascii="Times New Roman" w:hAnsi="Times New Roman" w:cs="Times New Roman"/>
        </w:rPr>
        <w:t>success.</w:t>
      </w:r>
      <w:r w:rsidR="0037445F" w:rsidRPr="0068584C">
        <w:rPr>
          <w:rFonts w:ascii="Times New Roman" w:hAnsi="Times New Roman" w:cs="Times New Roman"/>
        </w:rPr>
        <w:t xml:space="preserve"> </w:t>
      </w:r>
      <w:r w:rsidR="00D75A6D" w:rsidRPr="0068584C">
        <w:rPr>
          <w:rFonts w:ascii="Times New Roman" w:hAnsi="Times New Roman" w:cs="Times New Roman"/>
        </w:rPr>
        <w:t xml:space="preserve">The </w:t>
      </w:r>
      <w:r w:rsidR="00566A4B" w:rsidRPr="0068584C">
        <w:rPr>
          <w:rFonts w:ascii="Times New Roman" w:hAnsi="Times New Roman" w:cs="Times New Roman"/>
        </w:rPr>
        <w:t xml:space="preserve">overarching </w:t>
      </w:r>
      <w:r w:rsidR="00D75A6D" w:rsidRPr="0068584C">
        <w:rPr>
          <w:rFonts w:ascii="Times New Roman" w:hAnsi="Times New Roman" w:cs="Times New Roman"/>
        </w:rPr>
        <w:t>purpose is to better understand</w:t>
      </w:r>
      <w:r w:rsidR="0014461E" w:rsidRPr="0068584C">
        <w:rPr>
          <w:rFonts w:ascii="Times New Roman" w:hAnsi="Times New Roman" w:cs="Times New Roman"/>
        </w:rPr>
        <w:t xml:space="preserve"> the meaning and</w:t>
      </w:r>
      <w:r w:rsidR="00D75A6D" w:rsidRPr="0068584C">
        <w:rPr>
          <w:rFonts w:ascii="Times New Roman" w:hAnsi="Times New Roman" w:cs="Times New Roman"/>
        </w:rPr>
        <w:t xml:space="preserve"> performance implications of SCRO, and how </w:t>
      </w:r>
      <w:r w:rsidR="0014461E" w:rsidRPr="0068584C">
        <w:rPr>
          <w:rFonts w:ascii="Times New Roman" w:hAnsi="Times New Roman" w:cs="Times New Roman"/>
        </w:rPr>
        <w:t>organizational culture</w:t>
      </w:r>
      <w:r w:rsidR="00D75A6D" w:rsidRPr="0068584C">
        <w:rPr>
          <w:rFonts w:ascii="Times New Roman" w:hAnsi="Times New Roman" w:cs="Times New Roman"/>
        </w:rPr>
        <w:t xml:space="preserve"> influences the SCRO-Performance relationship. </w:t>
      </w:r>
      <w:r w:rsidR="00F72F75" w:rsidRPr="0068584C">
        <w:rPr>
          <w:rFonts w:ascii="Times New Roman" w:hAnsi="Times New Roman" w:cs="Times New Roman"/>
        </w:rPr>
        <w:t xml:space="preserve">Qualitative interviews with supply chain managers complement and </w:t>
      </w:r>
      <w:r w:rsidR="008C700F">
        <w:rPr>
          <w:rFonts w:ascii="Times New Roman" w:hAnsi="Times New Roman" w:cs="Times New Roman"/>
        </w:rPr>
        <w:t>enrich</w:t>
      </w:r>
      <w:r w:rsidR="008C700F" w:rsidRPr="0068584C">
        <w:rPr>
          <w:rFonts w:ascii="Times New Roman" w:hAnsi="Times New Roman" w:cs="Times New Roman"/>
        </w:rPr>
        <w:t xml:space="preserve"> </w:t>
      </w:r>
      <w:r w:rsidR="00F72F75" w:rsidRPr="0068584C">
        <w:rPr>
          <w:rFonts w:ascii="Times New Roman" w:hAnsi="Times New Roman" w:cs="Times New Roman"/>
        </w:rPr>
        <w:t>this theory elaboration approach.</w:t>
      </w:r>
      <w:r w:rsidR="0037445F" w:rsidRPr="0068584C">
        <w:rPr>
          <w:rFonts w:ascii="Times New Roman" w:hAnsi="Times New Roman" w:cs="Times New Roman"/>
          <w:color w:val="000000" w:themeColor="text1"/>
        </w:rPr>
        <w:t xml:space="preserve"> This research </w:t>
      </w:r>
      <w:r w:rsidR="00A14304" w:rsidRPr="0068584C">
        <w:rPr>
          <w:rFonts w:ascii="Times New Roman" w:hAnsi="Times New Roman" w:cs="Times New Roman"/>
          <w:color w:val="000000" w:themeColor="text1"/>
        </w:rPr>
        <w:t>extend</w:t>
      </w:r>
      <w:r w:rsidR="0037445F" w:rsidRPr="0068584C">
        <w:rPr>
          <w:rFonts w:ascii="Times New Roman" w:hAnsi="Times New Roman" w:cs="Times New Roman"/>
          <w:color w:val="000000" w:themeColor="text1"/>
        </w:rPr>
        <w:t>s</w:t>
      </w:r>
      <w:r w:rsidR="00A14304" w:rsidRPr="0068584C">
        <w:rPr>
          <w:rFonts w:ascii="Times New Roman" w:hAnsi="Times New Roman" w:cs="Times New Roman"/>
          <w:color w:val="000000" w:themeColor="text1"/>
        </w:rPr>
        <w:t xml:space="preserve"> the resource orchestration framework to supply chain phenomena and the open innovation context. The construct of supply chain resource orchestration is introduced as an essential capability for the firm’s competitive position. </w:t>
      </w:r>
      <w:r w:rsidR="00566A4B" w:rsidRPr="0068584C">
        <w:rPr>
          <w:rFonts w:ascii="Times New Roman" w:hAnsi="Times New Roman" w:cs="Times New Roman"/>
          <w:color w:val="000000" w:themeColor="text1"/>
        </w:rPr>
        <w:t xml:space="preserve">Directions </w:t>
      </w:r>
      <w:r w:rsidR="009707FC" w:rsidRPr="0068584C">
        <w:rPr>
          <w:rFonts w:ascii="Times New Roman" w:hAnsi="Times New Roman" w:cs="Times New Roman"/>
        </w:rPr>
        <w:t xml:space="preserve">for future research are proposed </w:t>
      </w:r>
      <w:r w:rsidR="00A14304" w:rsidRPr="0068584C">
        <w:rPr>
          <w:rFonts w:ascii="Times New Roman" w:hAnsi="Times New Roman" w:cs="Times New Roman"/>
        </w:rPr>
        <w:t xml:space="preserve">and </w:t>
      </w:r>
      <w:r w:rsidR="00566A4B" w:rsidRPr="0068584C">
        <w:rPr>
          <w:rFonts w:ascii="Times New Roman" w:hAnsi="Times New Roman" w:cs="Times New Roman"/>
        </w:rPr>
        <w:t>several</w:t>
      </w:r>
      <w:r w:rsidR="009707FC" w:rsidRPr="0068584C">
        <w:rPr>
          <w:rFonts w:ascii="Times New Roman" w:hAnsi="Times New Roman" w:cs="Times New Roman"/>
        </w:rPr>
        <w:t xml:space="preserve"> theoretical and managerial implications are offered as contributions to both practice and </w:t>
      </w:r>
      <w:r w:rsidR="0037445F" w:rsidRPr="0068584C">
        <w:rPr>
          <w:rFonts w:ascii="Times New Roman" w:hAnsi="Times New Roman" w:cs="Times New Roman"/>
        </w:rPr>
        <w:t xml:space="preserve">the </w:t>
      </w:r>
      <w:r w:rsidR="009707FC" w:rsidRPr="0068584C">
        <w:rPr>
          <w:rFonts w:ascii="Times New Roman" w:hAnsi="Times New Roman" w:cs="Times New Roman"/>
        </w:rPr>
        <w:t xml:space="preserve">academic research community. </w:t>
      </w:r>
    </w:p>
    <w:p w14:paraId="067FC597" w14:textId="77777777" w:rsidR="00367C64" w:rsidRPr="0068584C" w:rsidRDefault="00367C64" w:rsidP="0035460B">
      <w:pPr>
        <w:spacing w:line="480" w:lineRule="auto"/>
        <w:rPr>
          <w:rFonts w:ascii="Times New Roman" w:hAnsi="Times New Roman" w:cs="Times New Roman"/>
          <w:b/>
        </w:rPr>
      </w:pPr>
    </w:p>
    <w:p w14:paraId="77BB843C" w14:textId="47B40933" w:rsidR="002F081C" w:rsidRPr="00C431F2" w:rsidRDefault="000250FF" w:rsidP="00C431F2">
      <w:pPr>
        <w:pStyle w:val="Heading2"/>
        <w:rPr>
          <w:rFonts w:cs="Times New Roman"/>
        </w:rPr>
      </w:pPr>
      <w:bookmarkStart w:id="48" w:name="_Toc357382416"/>
      <w:bookmarkStart w:id="49" w:name="_Toc357383262"/>
      <w:bookmarkStart w:id="50" w:name="_Toc358326733"/>
      <w:r w:rsidRPr="00A162CA">
        <w:lastRenderedPageBreak/>
        <w:t>Introduction</w:t>
      </w:r>
      <w:bookmarkEnd w:id="48"/>
      <w:bookmarkEnd w:id="49"/>
      <w:bookmarkEnd w:id="50"/>
    </w:p>
    <w:p w14:paraId="078462BA" w14:textId="3838938D" w:rsidR="001D36FF" w:rsidRPr="0068584C" w:rsidRDefault="00D063BF" w:rsidP="0035460B">
      <w:pPr>
        <w:spacing w:line="480" w:lineRule="auto"/>
        <w:jc w:val="both"/>
        <w:rPr>
          <w:rFonts w:ascii="Times New Roman" w:hAnsi="Times New Roman" w:cs="Times New Roman"/>
        </w:rPr>
      </w:pPr>
      <w:r w:rsidRPr="0068584C">
        <w:rPr>
          <w:rFonts w:ascii="Times New Roman" w:hAnsi="Times New Roman" w:cs="Times New Roman"/>
        </w:rPr>
        <w:t>In the global business environment characterized as increasingly hyper-competitive</w:t>
      </w:r>
      <w:r w:rsidR="00FD0310" w:rsidRPr="0068584C">
        <w:rPr>
          <w:rFonts w:ascii="Times New Roman" w:hAnsi="Times New Roman" w:cs="Times New Roman"/>
        </w:rPr>
        <w:t xml:space="preserve"> </w:t>
      </w:r>
      <w:r w:rsidR="0084430F"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"10.1016/j.bushor.2009.05.002", "author" : [ { "dropping-particle" : "", "family" : "Ireland", "given" : "R Duane", "non-dropping-particle" : "", "parse-names" : false, "suffix" : "" }, { "dropping-particle" : "", "family" : "Webb", "given" : "Justin W", "non-dropping-particle" : "", "parse-names" : false, "suffix" : "" } ], "container-title" : "Business Horizons", "id" : "ITEM-1", "issued" : { "date-parts" : [ [ "2009" ] ] }, "page" : "469-479", "title" : "Crossing the great divide of strategic entrepreneurship: Transitioning between exploration and exploitation", "type" : "article-journal", "volume" : "52" }, "uris" : [ "http://www.mendeley.com/documents/?uuid=efb49960-b1db-4603-afb2-f75062bd8acb" ] }, { "id" : "ITEM-2", "itemData" : { "DOI" : "10.1111/jpim.12075", "author" : [ { "dropping-particle" : "", "family" : "Townsend", "given" : "Janell D", "non-dropping-particle" : "", "parse-names" : false, "suffix" : "" }, { "dropping-particle" : "", "family" : "Calantone", "given" : "Roger J", "non-dropping-particle" : "", "parse-names" : false, "suffix" : "" } ], "container-title" : "Journal of Product Innovation Management", "id" : "ITEM-2", "issue" : "1", "issued" : { "date-parts" : [ [ "2014" ] ] }, "page" : "4-7", "title" : "Evolution and Transformation of Innovation in the Global Automotive Industry", "type" : "article-journal", "volume" : "31" }, "uris" : [ "http://www.mendeley.com/documents/?uuid=acf27263-e688-4d08-9ce8-c156e90873e6" ] }, { "id" : "ITEM-3", "itemData" : { "DOI" : "10.1002/smj", "author" : [ { "dropping-particle" : "", "family" : "Rodr\u00edguez", "given" : "Alicia", "non-dropping-particle" : "", "parse-names" : false, "suffix" : "" }, { "dropping-particle" : "", "family" : "Nieto", "given" : "Mar\u00eda Jes\u00fas", "non-dropping-particle" : "", "parse-names" : false, "suffix" : "" } ], "container-title" : "Strategic Management Journal", "id" : "ITEM-3", "issued" : { "date-parts" : [ [ "2016" ] ] }, "page" : "1734-1753", "title" : "DOES R &amp; D OFFSHORING LEAD TO SME GROWTH? DIFFERENT GOVERNANCE MODES AND THE MEDIATING ROLE OF INNOVATION", "type" : "article-journal", "volume" : "37" }, "uris" : [ "http://www.mendeley.com/documents/?uuid=624a431d-accb-48bb-8505-fdf32d92514e" ] } ], "mendeley" : { "formattedCitation" : "(Ireland &amp; Webb, 2009; Rodr\u00edguez &amp; Nieto, 2016; Townsend &amp; Calantone, 2014)", "plainTextFormattedCitation" : "(Ireland &amp; Webb, 2009; Rodr\u00edguez &amp; Nieto, 2016; Townsend &amp; Calantone, 2014)", "previouslyFormattedCitation" : "(Ireland &amp; Webb, 2009; Rodr\u00edguez &amp; Nieto, 2016; Townsend &amp; Calantone, 2014)" }, "properties" : { "noteIndex" : 0 }, "schema" : "https://github.com/citation-style-language/schema/raw/master/csl-citation.json" }</w:instrText>
      </w:r>
      <w:r w:rsidR="0084430F" w:rsidRPr="0068584C">
        <w:rPr>
          <w:rFonts w:ascii="Times New Roman" w:hAnsi="Times New Roman" w:cs="Times New Roman"/>
        </w:rPr>
        <w:fldChar w:fldCharType="separate"/>
      </w:r>
      <w:r w:rsidR="000E6ECE" w:rsidRPr="000E6ECE">
        <w:rPr>
          <w:rFonts w:ascii="Times New Roman" w:hAnsi="Times New Roman" w:cs="Times New Roman"/>
          <w:noProof/>
        </w:rPr>
        <w:t>(Ireland &amp; Webb, 2009; Rodríguez &amp; Nieto, 2016; Townsend &amp; Calantone, 2014)</w:t>
      </w:r>
      <w:r w:rsidR="0084430F" w:rsidRPr="0068584C">
        <w:rPr>
          <w:rFonts w:ascii="Times New Roman" w:hAnsi="Times New Roman" w:cs="Times New Roman"/>
        </w:rPr>
        <w:fldChar w:fldCharType="end"/>
      </w:r>
      <w:r w:rsidR="0032342F" w:rsidRPr="0068584C">
        <w:rPr>
          <w:rFonts w:ascii="Times New Roman" w:hAnsi="Times New Roman" w:cs="Times New Roman"/>
        </w:rPr>
        <w:t xml:space="preserve"> </w:t>
      </w:r>
      <w:r w:rsidRPr="0068584C">
        <w:rPr>
          <w:rFonts w:ascii="Times New Roman" w:hAnsi="Times New Roman" w:cs="Times New Roman"/>
        </w:rPr>
        <w:t xml:space="preserve">effective innovation processes are essential to </w:t>
      </w:r>
      <w:r w:rsidR="000B6F4B" w:rsidRPr="0068584C">
        <w:rPr>
          <w:rFonts w:ascii="Times New Roman" w:hAnsi="Times New Roman" w:cs="Times New Roman"/>
        </w:rPr>
        <w:t>maintain competitiveness</w:t>
      </w:r>
      <w:r w:rsidRPr="0068584C">
        <w:rPr>
          <w:rFonts w:ascii="Times New Roman" w:hAnsi="Times New Roman" w:cs="Times New Roman"/>
        </w:rPr>
        <w:t xml:space="preserve">. However, companies cannot continuously innovate </w:t>
      </w:r>
      <w:r w:rsidR="004144EC" w:rsidRPr="0068584C">
        <w:rPr>
          <w:rFonts w:ascii="Times New Roman" w:hAnsi="Times New Roman" w:cs="Times New Roman"/>
        </w:rPr>
        <w:t xml:space="preserve">solely </w:t>
      </w:r>
      <w:r w:rsidRPr="0068584C">
        <w:rPr>
          <w:rFonts w:ascii="Times New Roman" w:hAnsi="Times New Roman" w:cs="Times New Roman"/>
        </w:rPr>
        <w:t xml:space="preserve">on their own but require the </w:t>
      </w:r>
      <w:r w:rsidR="000B6F4B" w:rsidRPr="0068584C">
        <w:rPr>
          <w:rFonts w:ascii="Times New Roman" w:hAnsi="Times New Roman" w:cs="Times New Roman"/>
        </w:rPr>
        <w:t>appropriate</w:t>
      </w:r>
      <w:r w:rsidRPr="0068584C">
        <w:rPr>
          <w:rFonts w:ascii="Times New Roman" w:hAnsi="Times New Roman" w:cs="Times New Roman"/>
        </w:rPr>
        <w:t xml:space="preserve"> inflow and integration of critical external resources to support in-house innovation activities</w:t>
      </w:r>
      <w:r w:rsidR="005A3575" w:rsidRPr="0068584C">
        <w:rPr>
          <w:rFonts w:ascii="Times New Roman" w:hAnsi="Times New Roman" w:cs="Times New Roman"/>
        </w:rPr>
        <w:t xml:space="preserve"> </w:t>
      </w:r>
      <w:r w:rsidR="005A3575"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"Chesbrough", "given" : "Henry", "non-dropping-particle" : "", "parse-names" : false, "suffix" : "" } ], "id" : "ITEM-1",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"plainTextFormattedCitation" : "(Chesbrough, 2003)", "previouslyFormattedCitation" : "(Chesbrough, 2003)" }, "properties" : { "noteIndex" : 0 }, "schema" : "https://github.com/citation-style-language/schema/raw/master/csl-citation.json" }</w:instrText>
      </w:r>
      <w:r w:rsidR="005A3575" w:rsidRPr="0068584C">
        <w:rPr>
          <w:rFonts w:ascii="Times New Roman" w:hAnsi="Times New Roman" w:cs="Times New Roman"/>
        </w:rPr>
        <w:fldChar w:fldCharType="separate"/>
      </w:r>
      <w:r w:rsidR="000E6ECE" w:rsidRPr="000E6ECE">
        <w:rPr>
          <w:rFonts w:ascii="Times New Roman" w:hAnsi="Times New Roman" w:cs="Times New Roman"/>
          <w:noProof/>
        </w:rPr>
        <w:t>(Chesbrough, 2003)</w:t>
      </w:r>
      <w:r w:rsidR="005A3575" w:rsidRPr="0068584C">
        <w:rPr>
          <w:rFonts w:ascii="Times New Roman" w:hAnsi="Times New Roman" w:cs="Times New Roman"/>
        </w:rPr>
        <w:fldChar w:fldCharType="end"/>
      </w:r>
      <w:r w:rsidR="00FD1EB1" w:rsidRPr="0068584C">
        <w:rPr>
          <w:rFonts w:ascii="Times New Roman" w:hAnsi="Times New Roman" w:cs="Times New Roman"/>
        </w:rPr>
        <w:t>.</w:t>
      </w:r>
      <w:r w:rsidR="0029307D" w:rsidRPr="0068584C">
        <w:rPr>
          <w:rFonts w:ascii="Times New Roman" w:hAnsi="Times New Roman" w:cs="Times New Roman"/>
        </w:rPr>
        <w:t xml:space="preserve"> </w:t>
      </w:r>
      <w:r w:rsidR="00FD1EB1" w:rsidRPr="0068584C">
        <w:rPr>
          <w:rFonts w:ascii="Times New Roman" w:hAnsi="Times New Roman" w:cs="Times New Roman"/>
        </w:rPr>
        <w:t xml:space="preserve">The </w:t>
      </w:r>
      <w:r w:rsidR="00FC49C7" w:rsidRPr="0068584C">
        <w:rPr>
          <w:rFonts w:ascii="Times New Roman" w:hAnsi="Times New Roman" w:cs="Times New Roman"/>
        </w:rPr>
        <w:t>nature of innovation processes</w:t>
      </w:r>
      <w:r w:rsidR="00FD1EB1" w:rsidRPr="0068584C">
        <w:rPr>
          <w:rFonts w:ascii="Times New Roman" w:hAnsi="Times New Roman" w:cs="Times New Roman"/>
        </w:rPr>
        <w:t xml:space="preserve"> is changing</w:t>
      </w:r>
      <w:r w:rsidR="00FC49C7" w:rsidRPr="0068584C">
        <w:rPr>
          <w:rFonts w:ascii="Times New Roman" w:hAnsi="Times New Roman" w:cs="Times New Roman"/>
        </w:rPr>
        <w:t xml:space="preserve">, </w:t>
      </w:r>
      <w:r w:rsidR="00FD1EB1" w:rsidRPr="0068584C">
        <w:rPr>
          <w:rFonts w:ascii="Times New Roman" w:hAnsi="Times New Roman" w:cs="Times New Roman"/>
        </w:rPr>
        <w:t xml:space="preserve">with </w:t>
      </w:r>
      <w:r w:rsidR="00FC49C7" w:rsidRPr="0068584C">
        <w:rPr>
          <w:rFonts w:ascii="Times New Roman" w:hAnsi="Times New Roman" w:cs="Times New Roman"/>
        </w:rPr>
        <w:t>organizations becoming less reliant on internal processes</w:t>
      </w:r>
      <w:r w:rsidR="002C1E79" w:rsidRPr="0068584C">
        <w:rPr>
          <w:rFonts w:ascii="Times New Roman" w:hAnsi="Times New Roman" w:cs="Times New Roman"/>
        </w:rPr>
        <w:t xml:space="preserve"> alone</w:t>
      </w:r>
      <w:r w:rsidR="00A219A5" w:rsidRPr="00A219A5">
        <w:rPr>
          <w:rFonts w:ascii="Times New Roman" w:hAnsi="Times New Roman" w:cs="Times New Roman"/>
        </w:rPr>
        <w:t xml:space="preserve"> </w:t>
      </w:r>
      <w:r w:rsidR="00A219A5" w:rsidRPr="00A219A5">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"dropping-particle" : "", "family" : "Chesbrough", "given" : "Henry", "non-dropping-particle" : "", "parse-names" : false, "suffix" : "" } ], "container-title" : "R&amp;D Management", "id" : "ITEM-1", "issued" : { "date-parts" : [ [ "2010" ] ] }, "page" : "1-9", "title" : "The future of open innovation", "type" : "article-journal" }, "uris" : [ "http://www.mendeley.com/documents/?uuid=b72ab66a-e5df-4c16-9ca8-c68543a53ab4" ] }, { "id" : "ITEM-2", "itemData" : { "author" : [ { "dropping-particle" : "", "family" : "Oke", "given" : "Adegoke", "non-dropping-particle" : "", "parse-names" : false, "suffix" : "" }, { "dropping-particle" : "", "family" : "Prajogo", "given" : "Daniel I", "non-dropping-particle" : "", "parse-names" : false, "suffix" : "" }, { "dropping-particle" : "", "family" : "Yayaram", "given" : "Jayanth", "non-dropping-particle" : "", "parse-names" : false, "suffix" : "" } ], "container-title" : "Journal of Supply Chain Management", "id" : "ITEM-2", "issue" : "4", "issued" : { "date-parts" : [ [ "2013" ] ] }, "page" : "43-58", "title" : "STRENGTHENING THE INNOVATION CHAIN: THE ROLE OF INTERNAL INNOVATION CLIMATE AND STRATEGIC RELATIONSHIPS WITH SUPPLY CHAIN PARTNERS", "type" : "article-journal", "volume" : "49" }, "uris" : [ "http://www.mendeley.com/documents/?uuid=a24392ea-9943-4c6d-abc7-90a89f2725fa" ] } ], "mendeley" : { "formattedCitation" : "(Gassmann, Enkel, &amp; Chesbrough, 2010; Oke, Prajogo, &amp; Yayaram, 2013)", "plainTextFormattedCitation" : "(Gassmann, Enkel, &amp; Chesbrough, 2010; Oke, Prajogo, &amp; Yayaram, 2013)", "previouslyFormattedCitation" : "(Gassmann, Enkel, &amp; Chesbrough, 2010; Oke, Prajogo, &amp; Yayaram, 2013)" }, "properties" : { "noteIndex" : 0 }, "schema" : "https://github.com/citation-style-language/schema/raw/master/csl-citation.json" }</w:instrText>
      </w:r>
      <w:r w:rsidR="00A219A5" w:rsidRPr="00A219A5">
        <w:rPr>
          <w:rFonts w:ascii="Times New Roman" w:hAnsi="Times New Roman" w:cs="Times New Roman"/>
        </w:rPr>
        <w:fldChar w:fldCharType="separate"/>
      </w:r>
      <w:r w:rsidR="000E6ECE" w:rsidRPr="000E6ECE">
        <w:rPr>
          <w:rFonts w:ascii="Times New Roman" w:hAnsi="Times New Roman" w:cs="Times New Roman"/>
          <w:noProof/>
        </w:rPr>
        <w:t>(Gassmann, Enkel, &amp; Chesbrough, 2010; Oke, Prajogo, &amp; Yayaram, 2013)</w:t>
      </w:r>
      <w:r w:rsidR="00A219A5" w:rsidRPr="00A219A5">
        <w:rPr>
          <w:rFonts w:ascii="Times New Roman" w:hAnsi="Times New Roman" w:cs="Times New Roman"/>
        </w:rPr>
        <w:fldChar w:fldCharType="end"/>
      </w:r>
      <w:r w:rsidR="00FC49C7" w:rsidRPr="0068584C">
        <w:rPr>
          <w:rFonts w:ascii="Times New Roman" w:hAnsi="Times New Roman" w:cs="Times New Roman"/>
        </w:rPr>
        <w:t xml:space="preserve">. Consequently, </w:t>
      </w:r>
      <w:r w:rsidR="00FD1EB1" w:rsidRPr="0068584C">
        <w:rPr>
          <w:rFonts w:ascii="Times New Roman" w:hAnsi="Times New Roman" w:cs="Times New Roman"/>
        </w:rPr>
        <w:t>firms need</w:t>
      </w:r>
      <w:r w:rsidR="00FC49C7" w:rsidRPr="0068584C">
        <w:rPr>
          <w:rFonts w:ascii="Times New Roman" w:hAnsi="Times New Roman" w:cs="Times New Roman"/>
        </w:rPr>
        <w:t xml:space="preserve"> to </w:t>
      </w:r>
      <w:r w:rsidR="002C1E79" w:rsidRPr="0068584C">
        <w:rPr>
          <w:rFonts w:ascii="Times New Roman" w:hAnsi="Times New Roman" w:cs="Times New Roman"/>
        </w:rPr>
        <w:t xml:space="preserve">look upstream in their supply chain to </w:t>
      </w:r>
      <w:r w:rsidR="00FC49C7" w:rsidRPr="0068584C">
        <w:rPr>
          <w:rFonts w:ascii="Times New Roman" w:hAnsi="Times New Roman" w:cs="Times New Roman"/>
        </w:rPr>
        <w:t xml:space="preserve">attract and maintain suppliers that can offer critical </w:t>
      </w:r>
      <w:r w:rsidR="00FD1EB1" w:rsidRPr="0068584C">
        <w:rPr>
          <w:rFonts w:ascii="Times New Roman" w:hAnsi="Times New Roman" w:cs="Times New Roman"/>
        </w:rPr>
        <w:t xml:space="preserve">external </w:t>
      </w:r>
      <w:r w:rsidR="00FC49C7" w:rsidRPr="0068584C">
        <w:rPr>
          <w:rFonts w:ascii="Times New Roman" w:hAnsi="Times New Roman" w:cs="Times New Roman"/>
        </w:rPr>
        <w:t>support to the innovation activities</w:t>
      </w:r>
      <w:r w:rsidR="00513A2A">
        <w:rPr>
          <w:rFonts w:ascii="Times New Roman" w:hAnsi="Times New Roman" w:cs="Times New Roman"/>
        </w:rPr>
        <w:t xml:space="preserve"> </w:t>
      </w:r>
      <w:r w:rsidR="00513A2A">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"10.1017/CBO9781107415324.004", "ISBN" : "9788578110796", "ISSN" : "1098-6596", "PMID" : "25246403", "author" : [ { "dropping-particle" : "", "family" : "Allred", "given" : "Brent B", "non-dropping-particle" : "", "parse-names" : false, "suffix" : "" }, { "dropping-particle" : "", "family" : "Swan", "given" : "K. Scott", "non-dropping-particle" : "", "parse-names" : false, "suffix" : "" } ], "container-title" : "Journal of Product Innovation Management", "id" : "ITEM-1", "issue" : "6", "issued" : { "date-parts" : [ [ "2014" ] ] }, "page" : "1146-1166", "title" : "Process Technology Sourcing and the Innovation Context", "type" : "article-journal", "volume" : "31" }, "uris" : [ "http://www.mendeley.com/documents/?uuid=fd0bb0b5-08d1-4753-b997-8bd4e1082a0f" ] } ], "mendeley" : { "formattedCitation" : "(Allred &amp; Swan, 2014)", "plainTextFormattedCitation" : "(Allred &amp; Swan, 2014)", "previouslyFormattedCitation" : "(Allred &amp; Swan, 2014)" }, "properties" : { "noteIndex" : 0 }, "schema" : "https://github.com/citation-style-language/schema/raw/master/csl-citation.json" }</w:instrText>
      </w:r>
      <w:r w:rsidR="00513A2A">
        <w:rPr>
          <w:rFonts w:ascii="Times New Roman" w:hAnsi="Times New Roman" w:cs="Times New Roman"/>
        </w:rPr>
        <w:fldChar w:fldCharType="separate"/>
      </w:r>
      <w:r w:rsidR="000E6ECE" w:rsidRPr="000E6ECE">
        <w:rPr>
          <w:rFonts w:ascii="Times New Roman" w:hAnsi="Times New Roman" w:cs="Times New Roman"/>
          <w:noProof/>
        </w:rPr>
        <w:t>(Allred &amp; Swan, 2014)</w:t>
      </w:r>
      <w:r w:rsidR="00513A2A">
        <w:rPr>
          <w:rFonts w:ascii="Times New Roman" w:hAnsi="Times New Roman" w:cs="Times New Roman"/>
        </w:rPr>
        <w:fldChar w:fldCharType="end"/>
      </w:r>
      <w:r w:rsidR="00FD1EB1" w:rsidRPr="0068584C">
        <w:rPr>
          <w:rFonts w:ascii="Times New Roman" w:hAnsi="Times New Roman" w:cs="Times New Roman"/>
        </w:rPr>
        <w:t xml:space="preserve">. </w:t>
      </w:r>
      <w:r w:rsidR="0055414C" w:rsidRPr="0068584C">
        <w:rPr>
          <w:rFonts w:ascii="Times New Roman" w:hAnsi="Times New Roman" w:cs="Times New Roman"/>
        </w:rPr>
        <w:t xml:space="preserve"> </w:t>
      </w:r>
    </w:p>
    <w:p w14:paraId="0803259D" w14:textId="229A1539" w:rsidR="00973E5C" w:rsidRPr="0068584C" w:rsidRDefault="008D7601" w:rsidP="0035460B">
      <w:pPr>
        <w:spacing w:line="480" w:lineRule="auto"/>
        <w:jc w:val="both"/>
        <w:rPr>
          <w:rFonts w:ascii="Times New Roman" w:hAnsi="Times New Roman" w:cs="Times New Roman"/>
        </w:rPr>
      </w:pPr>
      <w:r>
        <w:rPr>
          <w:rFonts w:ascii="Times New Roman" w:hAnsi="Times New Roman" w:cs="Times New Roman"/>
        </w:rPr>
        <w:tab/>
      </w:r>
      <w:r w:rsidR="00767970" w:rsidRPr="0068584C">
        <w:rPr>
          <w:rFonts w:ascii="Times New Roman" w:hAnsi="Times New Roman" w:cs="Times New Roman"/>
        </w:rPr>
        <w:t>O</w:t>
      </w:r>
      <w:r w:rsidR="00C54F40" w:rsidRPr="0068584C">
        <w:rPr>
          <w:rFonts w:ascii="Times New Roman" w:hAnsi="Times New Roman" w:cs="Times New Roman"/>
        </w:rPr>
        <w:t>rganizations</w:t>
      </w:r>
      <w:r w:rsidR="005619F8" w:rsidRPr="0068584C">
        <w:rPr>
          <w:rFonts w:ascii="Times New Roman" w:hAnsi="Times New Roman" w:cs="Times New Roman"/>
        </w:rPr>
        <w:t xml:space="preserve"> are</w:t>
      </w:r>
      <w:r w:rsidR="007D3EA8" w:rsidRPr="0068584C">
        <w:rPr>
          <w:rFonts w:ascii="Times New Roman" w:hAnsi="Times New Roman" w:cs="Times New Roman"/>
        </w:rPr>
        <w:t xml:space="preserve"> </w:t>
      </w:r>
      <w:r w:rsidR="005619F8" w:rsidRPr="0068584C">
        <w:rPr>
          <w:rFonts w:ascii="Times New Roman" w:hAnsi="Times New Roman" w:cs="Times New Roman"/>
        </w:rPr>
        <w:t>reaching out</w:t>
      </w:r>
      <w:r w:rsidR="0048789D" w:rsidRPr="0068584C">
        <w:rPr>
          <w:rFonts w:ascii="Times New Roman" w:hAnsi="Times New Roman" w:cs="Times New Roman"/>
        </w:rPr>
        <w:t xml:space="preserve"> for support from </w:t>
      </w:r>
      <w:r w:rsidR="005619F8" w:rsidRPr="0068584C">
        <w:rPr>
          <w:rFonts w:ascii="Times New Roman" w:hAnsi="Times New Roman" w:cs="Times New Roman"/>
        </w:rPr>
        <w:t>external entities</w:t>
      </w:r>
      <w:r w:rsidR="00B35E3F" w:rsidRPr="0068584C">
        <w:rPr>
          <w:rFonts w:ascii="Times New Roman" w:hAnsi="Times New Roman" w:cs="Times New Roman"/>
        </w:rPr>
        <w:t xml:space="preserve"> to enhance innovation</w:t>
      </w:r>
      <w:r w:rsidR="002E3F41">
        <w:rPr>
          <w:rFonts w:ascii="Times New Roman" w:hAnsi="Times New Roman" w:cs="Times New Roman"/>
        </w:rPr>
        <w:t xml:space="preserve"> </w:t>
      </w:r>
      <w:r w:rsidR="002E3F41">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"10.1002/smj", "ISSN" : "01432095", "abstract" : "Given the inherent risk of innovative activity, firms can improve the odds of success by pursuing multiple parallel objectives. Because innovation draws on many sources of ideas, firms also may improve their odds of successful innovation by accessing a large number of knowledge sources. In this study, we conduct one of the first firm-level statistical analyses of the impact on innovation of breadth in both innovation objectives and knowledge sources. The empirical results suggest that broader horizons with respect to innovation objectives and knowledge sources are associated with successful innovation.We do not find diminishing returns to breadth in innovation objectives, which suggests that firms may tend to search too narrowly. We interpret these results in light of well-known cognitive biases toward searching in relatively familiar domains. Copyright 2009 John Wiley &amp; Sons, Ltd.", "author" : [ { "dropping-particle" : "", "family" : "Leiponen", "given" : "Alja", "non-dropping-particle" : "", "parse-names" : false, "suffix" : "" }, { "dropping-particle" : "", "family" : "Helfat", "given" : "Constance E", "non-dropping-particle" : "", "parse-names" : false, "suffix" : "" } ], "container-title" : "Stratgic Management Journal", "id" : "ITEM-1", "issued" : { "date-parts" : [ [ "2010" ] ] }, "page" : "224-236", "title" : "Innovation Objectives, Knowledge Sources, and the Benefits of Breadth", "type" : "article-journal", "volume" : "31" }, "uris" : [ "http://www.mendeley.com/documents/?uuid=8b1572f7-d2b7-4be7-870b-c8078b263b94" ] } ], "mendeley" : { "formattedCitation" : "(Leiponen &amp; Helfat, 2010)", "plainTextFormattedCitation" : "(Leiponen &amp; Helfat, 2010)", "previouslyFormattedCitation" : "(Leiponen &amp; Helfat, 2010)" }, "properties" : { "noteIndex" : 0 }, "schema" : "https://github.com/citation-style-language/schema/raw/master/csl-citation.json" }</w:instrText>
      </w:r>
      <w:r w:rsidR="002E3F41">
        <w:rPr>
          <w:rFonts w:ascii="Times New Roman" w:hAnsi="Times New Roman" w:cs="Times New Roman"/>
        </w:rPr>
        <w:fldChar w:fldCharType="separate"/>
      </w:r>
      <w:r w:rsidR="000E6ECE" w:rsidRPr="000E6ECE">
        <w:rPr>
          <w:rFonts w:ascii="Times New Roman" w:hAnsi="Times New Roman" w:cs="Times New Roman"/>
          <w:noProof/>
        </w:rPr>
        <w:t>(Leiponen &amp; Helfat, 2010)</w:t>
      </w:r>
      <w:r w:rsidR="002E3F41">
        <w:rPr>
          <w:rFonts w:ascii="Times New Roman" w:hAnsi="Times New Roman" w:cs="Times New Roman"/>
        </w:rPr>
        <w:fldChar w:fldCharType="end"/>
      </w:r>
      <w:r w:rsidR="005619F8" w:rsidRPr="0068584C">
        <w:rPr>
          <w:rFonts w:ascii="Times New Roman" w:hAnsi="Times New Roman" w:cs="Times New Roman"/>
        </w:rPr>
        <w:t xml:space="preserve">. </w:t>
      </w:r>
      <w:r w:rsidR="00B35E3F" w:rsidRPr="0068584C">
        <w:rPr>
          <w:rFonts w:ascii="Times New Roman" w:hAnsi="Times New Roman" w:cs="Times New Roman"/>
        </w:rPr>
        <w:t>They</w:t>
      </w:r>
      <w:r w:rsidR="005619F8" w:rsidRPr="0068584C">
        <w:rPr>
          <w:rFonts w:ascii="Times New Roman" w:hAnsi="Times New Roman" w:cs="Times New Roman"/>
        </w:rPr>
        <w:t xml:space="preserve"> involv</w:t>
      </w:r>
      <w:r w:rsidR="00B35E3F" w:rsidRPr="0068584C">
        <w:rPr>
          <w:rFonts w:ascii="Times New Roman" w:hAnsi="Times New Roman" w:cs="Times New Roman"/>
        </w:rPr>
        <w:t>e</w:t>
      </w:r>
      <w:r w:rsidR="005619F8" w:rsidRPr="0068584C">
        <w:rPr>
          <w:rFonts w:ascii="Times New Roman" w:hAnsi="Times New Roman" w:cs="Times New Roman"/>
        </w:rPr>
        <w:t xml:space="preserve"> their supply base</w:t>
      </w:r>
      <w:r w:rsidR="007D3EA8" w:rsidRPr="0068584C">
        <w:rPr>
          <w:rFonts w:ascii="Times New Roman" w:hAnsi="Times New Roman" w:cs="Times New Roman"/>
        </w:rPr>
        <w:t xml:space="preserve">, </w:t>
      </w:r>
      <w:r w:rsidR="005619F8" w:rsidRPr="0068584C">
        <w:rPr>
          <w:rFonts w:ascii="Times New Roman" w:hAnsi="Times New Roman" w:cs="Times New Roman"/>
        </w:rPr>
        <w:t>their customers</w:t>
      </w:r>
      <w:r w:rsidR="00736483" w:rsidRPr="0068584C">
        <w:rPr>
          <w:rFonts w:ascii="Times New Roman" w:hAnsi="Times New Roman" w:cs="Times New Roman"/>
        </w:rPr>
        <w:t>,</w:t>
      </w:r>
      <w:r w:rsidR="005619F8" w:rsidRPr="0068584C">
        <w:rPr>
          <w:rFonts w:ascii="Times New Roman" w:hAnsi="Times New Roman" w:cs="Times New Roman"/>
        </w:rPr>
        <w:t xml:space="preserve"> and additional third-party entities (e.g., research institutions)</w:t>
      </w:r>
      <w:r w:rsidR="0048789D" w:rsidRPr="0068584C">
        <w:rPr>
          <w:rFonts w:ascii="Times New Roman" w:hAnsi="Times New Roman" w:cs="Times New Roman"/>
        </w:rPr>
        <w:t xml:space="preserve"> </w:t>
      </w:r>
      <w:r w:rsidR="00C54F40"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"Chesbrough", "given" : "Henry", "non-dropping-particle" : "", "parse-names" : false, "suffix" : "" } ], "id" : "ITEM-1",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"plainTextFormattedCitation" : "(Chesbrough, 2003)", "previouslyFormattedCitation" : "(Chesbrough, 2003)" }, "properties" : { "noteIndex" : 0 }, "schema" : "https://github.com/citation-style-language/schema/raw/master/csl-citation.json" }</w:instrText>
      </w:r>
      <w:r w:rsidR="00C54F40" w:rsidRPr="0068584C">
        <w:rPr>
          <w:rFonts w:ascii="Times New Roman" w:hAnsi="Times New Roman" w:cs="Times New Roman"/>
        </w:rPr>
        <w:fldChar w:fldCharType="separate"/>
      </w:r>
      <w:r w:rsidR="000E6ECE" w:rsidRPr="000E6ECE">
        <w:rPr>
          <w:rFonts w:ascii="Times New Roman" w:hAnsi="Times New Roman" w:cs="Times New Roman"/>
          <w:noProof/>
        </w:rPr>
        <w:t>(Chesbrough, 2003)</w:t>
      </w:r>
      <w:r w:rsidR="00C54F40" w:rsidRPr="0068584C">
        <w:rPr>
          <w:rFonts w:ascii="Times New Roman" w:hAnsi="Times New Roman" w:cs="Times New Roman"/>
        </w:rPr>
        <w:fldChar w:fldCharType="end"/>
      </w:r>
      <w:r w:rsidR="0048789D" w:rsidRPr="0068584C">
        <w:rPr>
          <w:rFonts w:ascii="Times New Roman" w:hAnsi="Times New Roman" w:cs="Times New Roman"/>
        </w:rPr>
        <w:t xml:space="preserve">.  </w:t>
      </w:r>
      <w:r w:rsidR="00C54F40" w:rsidRPr="0068584C">
        <w:rPr>
          <w:rFonts w:ascii="Times New Roman" w:hAnsi="Times New Roman" w:cs="Times New Roman"/>
        </w:rPr>
        <w:t>By innovating jointly with external partners,</w:t>
      </w:r>
      <w:r w:rsidR="00D063BF" w:rsidRPr="0068584C">
        <w:rPr>
          <w:rFonts w:ascii="Times New Roman" w:hAnsi="Times New Roman" w:cs="Times New Roman"/>
        </w:rPr>
        <w:t xml:space="preserve"> </w:t>
      </w:r>
      <w:r w:rsidR="00C54F40" w:rsidRPr="0068584C">
        <w:rPr>
          <w:rFonts w:ascii="Times New Roman" w:hAnsi="Times New Roman" w:cs="Times New Roman"/>
        </w:rPr>
        <w:t>risks and costs of complex innovation projects are</w:t>
      </w:r>
      <w:r w:rsidR="00D063BF" w:rsidRPr="0068584C">
        <w:rPr>
          <w:rFonts w:ascii="Times New Roman" w:hAnsi="Times New Roman" w:cs="Times New Roman"/>
        </w:rPr>
        <w:t xml:space="preserve"> shared</w:t>
      </w:r>
      <w:r w:rsidR="00C54F40" w:rsidRPr="0068584C">
        <w:rPr>
          <w:rFonts w:ascii="Times New Roman" w:hAnsi="Times New Roman" w:cs="Times New Roman"/>
        </w:rPr>
        <w:t>, which ultimately result</w:t>
      </w:r>
      <w:r w:rsidR="0089709A" w:rsidRPr="0068584C">
        <w:rPr>
          <w:rFonts w:ascii="Times New Roman" w:hAnsi="Times New Roman" w:cs="Times New Roman"/>
        </w:rPr>
        <w:t>s</w:t>
      </w:r>
      <w:r w:rsidR="00C54F40" w:rsidRPr="0068584C">
        <w:rPr>
          <w:rFonts w:ascii="Times New Roman" w:hAnsi="Times New Roman" w:cs="Times New Roman"/>
        </w:rPr>
        <w:t xml:space="preserve"> in</w:t>
      </w:r>
      <w:r w:rsidR="00D063BF" w:rsidRPr="0068584C">
        <w:rPr>
          <w:rFonts w:ascii="Times New Roman" w:hAnsi="Times New Roman" w:cs="Times New Roman"/>
        </w:rPr>
        <w:t xml:space="preserve"> cost savings</w:t>
      </w:r>
      <w:r w:rsidR="0089709A" w:rsidRPr="0068584C">
        <w:rPr>
          <w:rFonts w:ascii="Times New Roman" w:hAnsi="Times New Roman" w:cs="Times New Roman"/>
        </w:rPr>
        <w:t>,</w:t>
      </w:r>
      <w:r w:rsidR="00C54F40" w:rsidRPr="0068584C">
        <w:rPr>
          <w:rFonts w:ascii="Times New Roman" w:hAnsi="Times New Roman" w:cs="Times New Roman"/>
        </w:rPr>
        <w:t xml:space="preserve"> and higher innovation speed </w:t>
      </w:r>
      <w:r w:rsidR="000D350A" w:rsidRPr="0068584C">
        <w:rPr>
          <w:rFonts w:ascii="Times New Roman" w:hAnsi="Times New Roman" w:cs="Times New Roman"/>
        </w:rPr>
        <w:t>or</w:t>
      </w:r>
      <w:r w:rsidR="0089709A" w:rsidRPr="0068584C">
        <w:rPr>
          <w:rFonts w:ascii="Times New Roman" w:hAnsi="Times New Roman" w:cs="Times New Roman"/>
        </w:rPr>
        <w:t xml:space="preserve"> </w:t>
      </w:r>
      <w:r w:rsidR="00C54F40" w:rsidRPr="0068584C">
        <w:rPr>
          <w:rFonts w:ascii="Times New Roman" w:hAnsi="Times New Roman" w:cs="Times New Roman"/>
        </w:rPr>
        <w:t>quality</w:t>
      </w:r>
      <w:r w:rsidR="00C772B2" w:rsidRPr="0068584C">
        <w:rPr>
          <w:rFonts w:ascii="Times New Roman" w:hAnsi="Times New Roman" w:cs="Times New Roman"/>
        </w:rPr>
        <w:t xml:space="preserve"> </w:t>
      </w:r>
      <w:r w:rsidR="00D737D9"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"10.1002/smj.183", "author" : [ { "dropping-particle" : "", "family" : "Yli-Renko", "given" : "Helena", "non-dropping-particle" : "", "parse-names" : false, "suffix" : "" }, { "dropping-particle" : "", "family" : "Autio", "given" : "Erkko", "non-dropping-particle" : "", "parse-names" : false, "suffix" : "" }, { "dropping-particle" : "", "family" : "Sapienza", "given" : "Harry J", "non-dropping-particle" : "", "parse-names" : false, "suffix" : "" } ], "container-title" : "Strategic Management Journal", "id" : "ITEM-1", "issued" : { "date-parts" : [ [ "2001" ] ] }, "page" : "587-613", "title" : "Social Capital, Knowledge Acquisition, and Knowledge Exploitation in Young Technoloy-Based Firms", "type" : "article-journal", "volume" : "22" }, "uris" : [ "http://www.mendeley.com/documents/?uuid=ba706702-8dac-4b4c-8174-90774cac7c6c" ] }, { "id" : "ITEM-2", "itemData" : { "DOI" : "10.1111/jpim.12125", "ISBN" : "1540-5885", "ISSN" : "07376782", "PMID" : "96425016", "abstract" : "This paper reviews research on open innovation that considers how and why firms commercialize external sources of innovations. It examines both the \"outside-in\" and \"coupled\" modes of open innovation. From an analysis of prior research on how firms leverage external sources of innovation, it suggests a four-phase model in which a linear process - (1) obtaining, (2) integrating, and (3) commercializing external innovations - is combined with (4) interaction between the firm and its collaborators. This model is used to classify papers taken from the top 25 innovation journals, complemented by highly cited work beyond those journals. A review of 291 open innovation-related publications from these sources shows that the majority of these articles indeed address elements of this inbound open innovation process model. Specifically, it finds that researchers have front-loaded their examination of the leveraging process, with an emphasis on obtaining innovations from external sources. However, there is a relative dearth of research related to integrating and commercializing these innovations. Research on obtaining innovations includes searching, enabling, filtering, and acquiring - each category with its own specific set of mechanisms and conditions. Integrating innovations has been mostly studied from an absorptive capacity perspective, with less attention given to the impact of competencies and culture (including \"not invented here\"). Commercializing innovations puts the most emphasis on how external innovations create value rather than how firms capture value from those innovations. Finally, the interaction phase considers both feedback for the linear process and reciprocal innovation processes such as cocreation, network collaboration, and community innovation. This review and synthesis suggests several gaps in prior research. One is a tendency to ignore the importance of business models, despite their central role in distinguishing open innovation from earlier research on interorganizational collaboration in innovation. Another gap is a tendency in open innovation to use \"innovation\" in a way inconsistent with earlier definitions in innovation management. The paper concludes with recommendations for future research that include examining the end-to-end innovation commercialization process, and studying the moderators and limits of leveraging external sources of innovation. \u00a9 2013 Product Development &amp; Management Association.", "author" : [ { "dropping-particle" : "", "family" : "West", "given" : "Joel", "non-dropping-particle" : "", "parse-names" : false, "suffix" : "" }, { "dropping-particle" : "", "family" : "Bogers", "given" : "Marcel", "non-dropping-particle" : "", "parse-names" : false, "suffix" : "" } ], "container-title" : "Journal of Product Innovation Management", "id" : "ITEM-2", "issue" : "4", "issued" : { "date-parts" : [ [ "2014" ] ] }, "page" : "814-831", "title" : "Leveraging External Sources of Innovation: A Review of Research on Open Innovation", "type" : "article-journal", "volume" : "31" }, "uris" : [ "http://www.mendeley.com/documents/?uuid=681826f7-c487-4065-9f0a-99f927a8cd7b" ] } ], "mendeley" : { "formattedCitation" : "(West &amp; Bogers, 2014; Yli-Renko, Autio, &amp; Sapienza, 2001)", "plainTextFormattedCitation" : "(West &amp; Bogers, 2014; Yli-Renko, Autio, &amp; Sapienza, 2001)", "previouslyFormattedCitation" : "(West &amp; Bogers, 2014; Yli-Renko, Autio, &amp; Sapienza, 2001)" }, "properties" : { "noteIndex" : 0 }, "schema" : "https://github.com/citation-style-language/schema/raw/master/csl-citation.json" }</w:instrText>
      </w:r>
      <w:r w:rsidR="00D737D9" w:rsidRPr="0068584C">
        <w:rPr>
          <w:rFonts w:ascii="Times New Roman" w:hAnsi="Times New Roman" w:cs="Times New Roman"/>
        </w:rPr>
        <w:fldChar w:fldCharType="separate"/>
      </w:r>
      <w:r w:rsidR="000E6ECE" w:rsidRPr="000E6ECE">
        <w:rPr>
          <w:rFonts w:ascii="Times New Roman" w:hAnsi="Times New Roman" w:cs="Times New Roman"/>
          <w:noProof/>
        </w:rPr>
        <w:t>(West &amp; Bogers, 2014; Yli-Renko, Autio, &amp; Sapienza, 2001)</w:t>
      </w:r>
      <w:r w:rsidR="00D737D9" w:rsidRPr="0068584C">
        <w:rPr>
          <w:rFonts w:ascii="Times New Roman" w:hAnsi="Times New Roman" w:cs="Times New Roman"/>
        </w:rPr>
        <w:fldChar w:fldCharType="end"/>
      </w:r>
      <w:r w:rsidR="005619F8" w:rsidRPr="0068584C">
        <w:rPr>
          <w:rFonts w:ascii="Times New Roman" w:hAnsi="Times New Roman" w:cs="Times New Roman"/>
        </w:rPr>
        <w:t>.</w:t>
      </w:r>
      <w:r w:rsidR="00424556" w:rsidRPr="0068584C">
        <w:rPr>
          <w:rFonts w:ascii="Times New Roman" w:hAnsi="Times New Roman" w:cs="Times New Roman"/>
        </w:rPr>
        <w:t xml:space="preserve"> </w:t>
      </w:r>
      <w:r w:rsidR="00143799" w:rsidRPr="0068584C">
        <w:rPr>
          <w:rFonts w:ascii="Times New Roman" w:hAnsi="Times New Roman" w:cs="Times New Roman"/>
        </w:rPr>
        <w:t>I</w:t>
      </w:r>
      <w:r w:rsidR="00973E5C" w:rsidRPr="0068584C">
        <w:rPr>
          <w:rFonts w:ascii="Times New Roman" w:hAnsi="Times New Roman" w:cs="Times New Roman"/>
        </w:rPr>
        <w:t>nnovating cooperatively with external entities is inherently complex</w:t>
      </w:r>
      <w:r w:rsidR="00FD6A2E" w:rsidRPr="0068584C">
        <w:rPr>
          <w:rFonts w:ascii="Times New Roman" w:hAnsi="Times New Roman" w:cs="Times New Roman"/>
        </w:rPr>
        <w:t xml:space="preserve"> </w:t>
      </w:r>
      <w:r w:rsidR="007746EC"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"10.1111/jpim.12322", "author" : [ { "dropping-particle" : "", "family" : "Hu", "given" : "Yansong", "non-dropping-particle" : "", "parse-names" : false, "suffix" : "" }, { "dropping-particle" : "", "family" : "McNamara", "given" : "Peter", "non-dropping-particle" : "", "parse-names" : false, "suffix" : "" }, { "dropping-particle" : "", "family" : "Piaskowska", "given" : "Dorota", "non-dropping-particle" : "", "parse-names" : false, "suffix" : "" } ], "container-title" : "Journal of Product Innovation Management", "id" : "ITEM-1", "issue" : "1", "issued" : { "date-parts" : [ [ "2017" ] ] }, "page" : "35-59", "title" : "Project Suspensions and Failures in New Product Development: Returns for Entrepreneurial Firms in Co-Development Alliances", "type" : "article-journal", "volume" : "34" }, "uris" : [ "http://www.mendeley.com/documents/?uuid=7de23b26-18c6-401c-bc97-8041f3b2fb7e" ] } ], "mendeley" : { "formattedCitation" : "(Hu, McNamara, &amp; Piaskowska, 2017)", "plainTextFormattedCitation" : "(Hu, McNamara, &amp; Piaskowska, 2017)", "previouslyFormattedCitation" : "(Hu, McNamara, &amp; Piaskowska, 2017)" }, "properties" : { "noteIndex" : 0 }, "schema" : "https://github.com/citation-style-language/schema/raw/master/csl-citation.json" }</w:instrText>
      </w:r>
      <w:r w:rsidR="007746EC" w:rsidRPr="0068584C">
        <w:rPr>
          <w:rFonts w:ascii="Times New Roman" w:hAnsi="Times New Roman" w:cs="Times New Roman"/>
        </w:rPr>
        <w:fldChar w:fldCharType="separate"/>
      </w:r>
      <w:r w:rsidR="000E6ECE" w:rsidRPr="000E6ECE">
        <w:rPr>
          <w:rFonts w:ascii="Times New Roman" w:hAnsi="Times New Roman" w:cs="Times New Roman"/>
          <w:noProof/>
        </w:rPr>
        <w:t>(Hu, McNamara, &amp; Piaskowska, 2017)</w:t>
      </w:r>
      <w:r w:rsidR="007746EC" w:rsidRPr="0068584C">
        <w:rPr>
          <w:rFonts w:ascii="Times New Roman" w:hAnsi="Times New Roman" w:cs="Times New Roman"/>
        </w:rPr>
        <w:fldChar w:fldCharType="end"/>
      </w:r>
      <w:r w:rsidR="00973E5C" w:rsidRPr="0068584C">
        <w:rPr>
          <w:rFonts w:ascii="Times New Roman" w:hAnsi="Times New Roman" w:cs="Times New Roman"/>
        </w:rPr>
        <w:t>. Decision-making processes can become slow</w:t>
      </w:r>
      <w:r w:rsidR="007D3EA8" w:rsidRPr="0068584C">
        <w:rPr>
          <w:rFonts w:ascii="Times New Roman" w:hAnsi="Times New Roman" w:cs="Times New Roman"/>
        </w:rPr>
        <w:t xml:space="preserve"> and burdensome</w:t>
      </w:r>
      <w:r w:rsidR="00973E5C" w:rsidRPr="0068584C">
        <w:rPr>
          <w:rFonts w:ascii="Times New Roman" w:hAnsi="Times New Roman" w:cs="Times New Roman"/>
        </w:rPr>
        <w:t>.</w:t>
      </w:r>
      <w:r w:rsidR="00EA3FD3" w:rsidRPr="0068584C">
        <w:rPr>
          <w:rFonts w:ascii="Times New Roman" w:hAnsi="Times New Roman" w:cs="Times New Roman"/>
        </w:rPr>
        <w:t xml:space="preserve"> </w:t>
      </w:r>
      <w:r w:rsidR="00973E5C" w:rsidRPr="0068584C">
        <w:rPr>
          <w:rFonts w:ascii="Times New Roman" w:hAnsi="Times New Roman" w:cs="Times New Roman"/>
        </w:rPr>
        <w:t xml:space="preserve">Acquiring and integrating relevant </w:t>
      </w:r>
      <w:r w:rsidR="009D463D" w:rsidRPr="0068584C">
        <w:rPr>
          <w:rFonts w:ascii="Times New Roman" w:hAnsi="Times New Roman" w:cs="Times New Roman"/>
        </w:rPr>
        <w:t xml:space="preserve">tangible and intangible </w:t>
      </w:r>
      <w:r w:rsidR="00973E5C" w:rsidRPr="0068584C">
        <w:rPr>
          <w:rFonts w:ascii="Times New Roman" w:hAnsi="Times New Roman" w:cs="Times New Roman"/>
        </w:rPr>
        <w:t xml:space="preserve">resources (e.g., </w:t>
      </w:r>
      <w:r w:rsidR="009D463D" w:rsidRPr="0068584C">
        <w:rPr>
          <w:rFonts w:ascii="Times New Roman" w:hAnsi="Times New Roman" w:cs="Times New Roman"/>
        </w:rPr>
        <w:t xml:space="preserve">specific </w:t>
      </w:r>
      <w:r w:rsidR="00973E5C" w:rsidRPr="0068584C">
        <w:rPr>
          <w:rFonts w:ascii="Times New Roman" w:hAnsi="Times New Roman" w:cs="Times New Roman"/>
        </w:rPr>
        <w:t>knowledge, solutions, technology, etc.) from the supply chain is a failure-prone process</w:t>
      </w:r>
      <w:r w:rsidR="00B74DA9" w:rsidRPr="0068584C">
        <w:rPr>
          <w:rFonts w:ascii="Times New Roman" w:hAnsi="Times New Roman" w:cs="Times New Roman"/>
        </w:rPr>
        <w:t xml:space="preserve"> </w:t>
      </w:r>
      <w:r w:rsidR="00B74DA9"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"Bruce", "given" : "Margaret", "non-dropping-particle" : "", "parse-names" : false, "suffix" : "" }, { "dropping-particle" : "", "family" : "Daly", "given" : "Lucy", "non-dropping-particle" : "", "parse-names" : false, "suffix" : "" }, { "dropping-particle" : "", "family" : "Kahn", "given" : "Kenneth B", "non-dropping-particle" : "", "parse-names" : false, "suffix" : "" } ], "container-title" : "Journal of Product Innovation Management", "id" : "ITEM-1", "issued" : { "date-parts" : [ [ "2007" ] ] }, "page" : "456-470", "title" : "Delineating Design Factors that Influence the Global Product Launch Process", "type" : "article-journal", "volume" : "24" }, "uris" : [ "http://www.mendeley.com/documents/?uuid=aae28275-93dd-42c2-9684-105fe3276d8e" ] } ], "mendeley" : { "formattedCitation" : "(Bruce, Daly, &amp; Kahn, 2007)", "plainTextFormattedCitation" : "(Bruce, Daly, &amp; Kahn, 2007)", "previouslyFormattedCitation" : "(Bruce, Daly, &amp; Kahn, 2007)" }, "properties" : { "noteIndex" : 0 }, "schema" : "https://github.com/citation-style-language/schema/raw/master/csl-citation.json" }</w:instrText>
      </w:r>
      <w:r w:rsidR="00B74DA9" w:rsidRPr="0068584C">
        <w:rPr>
          <w:rFonts w:ascii="Times New Roman" w:hAnsi="Times New Roman" w:cs="Times New Roman"/>
        </w:rPr>
        <w:fldChar w:fldCharType="separate"/>
      </w:r>
      <w:r w:rsidR="000E6ECE" w:rsidRPr="000E6ECE">
        <w:rPr>
          <w:rFonts w:ascii="Times New Roman" w:hAnsi="Times New Roman" w:cs="Times New Roman"/>
          <w:noProof/>
        </w:rPr>
        <w:t>(Bruce, Daly, &amp; Kahn, 2007)</w:t>
      </w:r>
      <w:r w:rsidR="00B74DA9" w:rsidRPr="0068584C">
        <w:rPr>
          <w:rFonts w:ascii="Times New Roman" w:hAnsi="Times New Roman" w:cs="Times New Roman"/>
        </w:rPr>
        <w:fldChar w:fldCharType="end"/>
      </w:r>
      <w:r w:rsidR="00973E5C" w:rsidRPr="0068584C">
        <w:rPr>
          <w:rFonts w:ascii="Times New Roman" w:hAnsi="Times New Roman" w:cs="Times New Roman"/>
        </w:rPr>
        <w:t xml:space="preserve">. </w:t>
      </w:r>
      <w:r w:rsidR="001D2406" w:rsidRPr="0068584C">
        <w:rPr>
          <w:rFonts w:ascii="Times New Roman" w:hAnsi="Times New Roman" w:cs="Times New Roman"/>
        </w:rPr>
        <w:t>However, the</w:t>
      </w:r>
      <w:r w:rsidR="00F04F18" w:rsidRPr="0068584C">
        <w:rPr>
          <w:rFonts w:ascii="Times New Roman" w:hAnsi="Times New Roman" w:cs="Times New Roman"/>
        </w:rPr>
        <w:t xml:space="preserve"> reasons for </w:t>
      </w:r>
      <w:r w:rsidR="00086E79" w:rsidRPr="0068584C">
        <w:rPr>
          <w:rFonts w:ascii="Times New Roman" w:hAnsi="Times New Roman" w:cs="Times New Roman"/>
        </w:rPr>
        <w:t xml:space="preserve">innovation process </w:t>
      </w:r>
      <w:r w:rsidR="00F04F18" w:rsidRPr="0068584C">
        <w:rPr>
          <w:rFonts w:ascii="Times New Roman" w:hAnsi="Times New Roman" w:cs="Times New Roman"/>
        </w:rPr>
        <w:t>failure are not well understood yet</w:t>
      </w:r>
      <w:r w:rsidR="004515A3" w:rsidRPr="0068584C">
        <w:rPr>
          <w:rFonts w:ascii="Times New Roman" w:hAnsi="Times New Roman" w:cs="Times New Roman"/>
        </w:rPr>
        <w:t xml:space="preserve"> as resource management practices </w:t>
      </w:r>
      <w:r w:rsidR="00EA3FD3" w:rsidRPr="0068584C">
        <w:rPr>
          <w:rFonts w:ascii="Times New Roman" w:hAnsi="Times New Roman" w:cs="Times New Roman"/>
        </w:rPr>
        <w:t xml:space="preserve">have had relatively little attention in the literature </w:t>
      </w:r>
      <w:r w:rsidR="00D01D14"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"10.1177/0149206310391805", "ISBN" : "0149-2063", "ISSN" : "0149-2063", "PMID" : "803973233", "abstract" : "Since the 1991 publication of the first Journal of Management special issue devoted to resourcebased inquiry, resource-based theory (RBT) has evolved from a nascent, upstart perspective to one of the most prominent and powerful theories for understanding organizations. Indeed, 20 years after that landmark issue, RBT appears to have reached maturity as a theory. One implication of this maturity is that RBT lies at a critical juncture, one that will be followed either by revitalization of the theory or by its decline. In this introductory article, the authors provide a brief overview of the contributions provided by the commentaries and articles contained in this third Journal of Management special issue on RBT. These contributions center on five themes: interlinkages with other perspectives, processes of resource acquisition and development, the micro-foundations of RBT, RBT and sustainability, and method and measurement issues. Their view is that the commentaries and articles collectively offer a foundation for extending RBT in meaningful new directions and steering clear of decline. They also offer their thoughts about some key opportunities within each of the themes for further revitalizing research involving the RBT.", "author" : [ { "dropping-particle" : "", "family" : "Barney", "given" : "Jay B", "non-dropping-particle" : "", "parse-names" : false, "suffix" : "" }, { "dropping-particle" : "", "family" : "Ketchen", "given" : "David J", "non-dropping-particle" : "", "parse-names" : false, "suffix" : "" }, { "dropping-particle" : "", "family" : "Wright", "given" : "Mike", "non-dropping-particle" : "", "parse-names" : false, "suffix" : "" } ], "container-title" : "Journal of Management", "id" : "ITEM-1", "issue" : "5", "issued" : { "date-parts" : [ [ "2011" ] ] }, "page" : "1299-1315", "title" : "The Future of Resource-Based Theory: Revitalization or Decline?", "type" : "article-journal", "volume" : "37" }, "uris" : [ "http://www.mendeley.com/documents/?uuid=23089156-5e7e-44da-8b56-842aa51589c5" ] } ], "mendeley" : { "formattedCitation" : "(Barney, Ketchen, &amp; Wright, 2011)", "plainTextFormattedCitation" : "(Barney, Ketchen, &amp; Wright, 2011)", "previouslyFormattedCitation" : "(Barney, Ketchen, &amp; Wright, 2011)" }, "properties" : { "noteIndex" : 0 }, "schema" : "https://github.com/citation-style-language/schema/raw/master/csl-citation.json" }</w:instrText>
      </w:r>
      <w:r w:rsidR="00D01D14" w:rsidRPr="0068584C">
        <w:rPr>
          <w:rFonts w:ascii="Times New Roman" w:hAnsi="Times New Roman" w:cs="Times New Roman"/>
        </w:rPr>
        <w:fldChar w:fldCharType="separate"/>
      </w:r>
      <w:r w:rsidR="000E6ECE" w:rsidRPr="000E6ECE">
        <w:rPr>
          <w:rFonts w:ascii="Times New Roman" w:hAnsi="Times New Roman" w:cs="Times New Roman"/>
          <w:noProof/>
        </w:rPr>
        <w:t>(Barney, Ketchen, &amp; Wright, 2011)</w:t>
      </w:r>
      <w:r w:rsidR="00D01D14" w:rsidRPr="0068584C">
        <w:rPr>
          <w:rFonts w:ascii="Times New Roman" w:hAnsi="Times New Roman" w:cs="Times New Roman"/>
        </w:rPr>
        <w:fldChar w:fldCharType="end"/>
      </w:r>
      <w:r w:rsidR="004515A3" w:rsidRPr="0068584C">
        <w:rPr>
          <w:rFonts w:ascii="Times New Roman" w:hAnsi="Times New Roman" w:cs="Times New Roman"/>
        </w:rPr>
        <w:t>.</w:t>
      </w:r>
    </w:p>
    <w:p w14:paraId="02846D3E" w14:textId="0C2CDE23" w:rsidR="00D939A1" w:rsidRPr="0068584C" w:rsidRDefault="008D7601"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ab/>
      </w:r>
      <w:r w:rsidR="009938DA" w:rsidRPr="0068584C">
        <w:rPr>
          <w:rFonts w:ascii="Times New Roman" w:hAnsi="Times New Roman" w:cs="Times New Roman"/>
          <w:color w:val="000000" w:themeColor="text1"/>
        </w:rPr>
        <w:t>Important theoretical gaps remain in regard to the phenomenon of managing external resources.  Such gaps relate to the</w:t>
      </w:r>
      <w:r w:rsidR="001460CA" w:rsidRPr="0068584C">
        <w:rPr>
          <w:rFonts w:ascii="Times New Roman" w:hAnsi="Times New Roman" w:cs="Times New Roman"/>
          <w:color w:val="000000" w:themeColor="text1"/>
        </w:rPr>
        <w:t xml:space="preserve"> four </w:t>
      </w:r>
      <w:r w:rsidR="00184449" w:rsidRPr="0068584C">
        <w:rPr>
          <w:rFonts w:ascii="Times New Roman" w:hAnsi="Times New Roman" w:cs="Times New Roman"/>
          <w:color w:val="000000" w:themeColor="text1"/>
        </w:rPr>
        <w:t>elements of good theory, namely</w:t>
      </w:r>
      <w:r w:rsidR="001460CA" w:rsidRPr="0068584C">
        <w:rPr>
          <w:rFonts w:ascii="Times New Roman" w:hAnsi="Times New Roman" w:cs="Times New Roman"/>
          <w:color w:val="000000" w:themeColor="text1"/>
        </w:rPr>
        <w:t xml:space="preserve"> (</w:t>
      </w:r>
      <w:r w:rsidR="00E16B47">
        <w:rPr>
          <w:rFonts w:ascii="Times New Roman" w:hAnsi="Times New Roman" w:cs="Times New Roman"/>
          <w:color w:val="000000" w:themeColor="text1"/>
        </w:rPr>
        <w:t>1</w:t>
      </w:r>
      <w:r w:rsidR="001460CA" w:rsidRPr="0068584C">
        <w:rPr>
          <w:rFonts w:ascii="Times New Roman" w:hAnsi="Times New Roman" w:cs="Times New Roman"/>
          <w:color w:val="000000" w:themeColor="text1"/>
        </w:rPr>
        <w:t>)</w:t>
      </w:r>
      <w:r w:rsidR="009938DA" w:rsidRPr="0068584C">
        <w:rPr>
          <w:rFonts w:ascii="Times New Roman" w:hAnsi="Times New Roman" w:cs="Times New Roman"/>
          <w:color w:val="000000" w:themeColor="text1"/>
        </w:rPr>
        <w:t xml:space="preserve"> theoretical domain</w:t>
      </w:r>
      <w:r w:rsidR="00184449" w:rsidRPr="0068584C">
        <w:rPr>
          <w:rFonts w:ascii="Times New Roman" w:hAnsi="Times New Roman" w:cs="Times New Roman"/>
          <w:color w:val="000000" w:themeColor="text1"/>
        </w:rPr>
        <w:t xml:space="preserve"> clarification</w:t>
      </w:r>
      <w:r w:rsidR="009938DA" w:rsidRPr="0068584C">
        <w:rPr>
          <w:rFonts w:ascii="Times New Roman" w:hAnsi="Times New Roman" w:cs="Times New Roman"/>
          <w:color w:val="000000" w:themeColor="text1"/>
        </w:rPr>
        <w:t xml:space="preserve">, </w:t>
      </w:r>
      <w:r w:rsidR="001460CA" w:rsidRPr="0068584C">
        <w:rPr>
          <w:rFonts w:ascii="Times New Roman" w:hAnsi="Times New Roman" w:cs="Times New Roman"/>
          <w:color w:val="000000" w:themeColor="text1"/>
        </w:rPr>
        <w:t>(</w:t>
      </w:r>
      <w:r w:rsidR="00E16B47">
        <w:rPr>
          <w:rFonts w:ascii="Times New Roman" w:hAnsi="Times New Roman" w:cs="Times New Roman"/>
          <w:color w:val="000000" w:themeColor="text1"/>
        </w:rPr>
        <w:t>2</w:t>
      </w:r>
      <w:r w:rsidR="001460CA" w:rsidRPr="0068584C">
        <w:rPr>
          <w:rFonts w:ascii="Times New Roman" w:hAnsi="Times New Roman" w:cs="Times New Roman"/>
          <w:color w:val="000000" w:themeColor="text1"/>
        </w:rPr>
        <w:t xml:space="preserve">) </w:t>
      </w:r>
      <w:r w:rsidR="009938DA" w:rsidRPr="0068584C">
        <w:rPr>
          <w:rFonts w:ascii="Times New Roman" w:hAnsi="Times New Roman" w:cs="Times New Roman"/>
          <w:color w:val="000000" w:themeColor="text1"/>
        </w:rPr>
        <w:t xml:space="preserve">key </w:t>
      </w:r>
      <w:r w:rsidR="00DF35F5" w:rsidRPr="0068584C">
        <w:rPr>
          <w:rFonts w:ascii="Times New Roman" w:hAnsi="Times New Roman" w:cs="Times New Roman"/>
          <w:color w:val="000000" w:themeColor="text1"/>
        </w:rPr>
        <w:t>construct</w:t>
      </w:r>
      <w:r w:rsidR="00184449" w:rsidRPr="0068584C">
        <w:rPr>
          <w:rFonts w:ascii="Times New Roman" w:hAnsi="Times New Roman" w:cs="Times New Roman"/>
          <w:color w:val="000000" w:themeColor="text1"/>
        </w:rPr>
        <w:t xml:space="preserve"> definitions</w:t>
      </w:r>
      <w:r w:rsidR="009938DA" w:rsidRPr="0068584C">
        <w:rPr>
          <w:rFonts w:ascii="Times New Roman" w:hAnsi="Times New Roman" w:cs="Times New Roman"/>
          <w:color w:val="000000" w:themeColor="text1"/>
        </w:rPr>
        <w:t xml:space="preserve">, </w:t>
      </w:r>
      <w:r w:rsidR="001460CA" w:rsidRPr="0068584C">
        <w:rPr>
          <w:rFonts w:ascii="Times New Roman" w:hAnsi="Times New Roman" w:cs="Times New Roman"/>
          <w:color w:val="000000" w:themeColor="text1"/>
        </w:rPr>
        <w:t>(</w:t>
      </w:r>
      <w:r w:rsidR="00E16B47">
        <w:rPr>
          <w:rFonts w:ascii="Times New Roman" w:hAnsi="Times New Roman" w:cs="Times New Roman"/>
          <w:color w:val="000000" w:themeColor="text1"/>
        </w:rPr>
        <w:t>3</w:t>
      </w:r>
      <w:r w:rsidR="001460CA" w:rsidRPr="0068584C">
        <w:rPr>
          <w:rFonts w:ascii="Times New Roman" w:hAnsi="Times New Roman" w:cs="Times New Roman"/>
          <w:color w:val="000000" w:themeColor="text1"/>
        </w:rPr>
        <w:t xml:space="preserve">) </w:t>
      </w:r>
      <w:r w:rsidR="009938DA" w:rsidRPr="0068584C">
        <w:rPr>
          <w:rFonts w:ascii="Times New Roman" w:hAnsi="Times New Roman" w:cs="Times New Roman"/>
          <w:color w:val="000000" w:themeColor="text1"/>
        </w:rPr>
        <w:t xml:space="preserve">relationships among </w:t>
      </w:r>
      <w:r w:rsidR="00184449" w:rsidRPr="0068584C">
        <w:rPr>
          <w:rFonts w:ascii="Times New Roman" w:hAnsi="Times New Roman" w:cs="Times New Roman"/>
          <w:color w:val="000000" w:themeColor="text1"/>
        </w:rPr>
        <w:t>constructs</w:t>
      </w:r>
      <w:r w:rsidR="001460CA" w:rsidRPr="0068584C">
        <w:rPr>
          <w:rFonts w:ascii="Times New Roman" w:hAnsi="Times New Roman" w:cs="Times New Roman"/>
          <w:color w:val="000000" w:themeColor="text1"/>
        </w:rPr>
        <w:t>,</w:t>
      </w:r>
      <w:r w:rsidR="009938DA" w:rsidRPr="0068584C">
        <w:rPr>
          <w:rFonts w:ascii="Times New Roman" w:hAnsi="Times New Roman" w:cs="Times New Roman"/>
          <w:color w:val="000000" w:themeColor="text1"/>
        </w:rPr>
        <w:t xml:space="preserve"> and </w:t>
      </w:r>
      <w:r w:rsidR="001460CA" w:rsidRPr="0068584C">
        <w:rPr>
          <w:rFonts w:ascii="Times New Roman" w:hAnsi="Times New Roman" w:cs="Times New Roman"/>
          <w:color w:val="000000" w:themeColor="text1"/>
        </w:rPr>
        <w:t>(</w:t>
      </w:r>
      <w:r w:rsidR="00E16B47">
        <w:rPr>
          <w:rFonts w:ascii="Times New Roman" w:hAnsi="Times New Roman" w:cs="Times New Roman"/>
          <w:color w:val="000000" w:themeColor="text1"/>
        </w:rPr>
        <w:t>4</w:t>
      </w:r>
      <w:r w:rsidR="001460CA" w:rsidRPr="0068584C">
        <w:rPr>
          <w:rFonts w:ascii="Times New Roman" w:hAnsi="Times New Roman" w:cs="Times New Roman"/>
          <w:color w:val="000000" w:themeColor="text1"/>
        </w:rPr>
        <w:t xml:space="preserve">) </w:t>
      </w:r>
      <w:r w:rsidR="009938DA" w:rsidRPr="0068584C">
        <w:rPr>
          <w:rFonts w:ascii="Times New Roman" w:hAnsi="Times New Roman" w:cs="Times New Roman"/>
          <w:color w:val="000000" w:themeColor="text1"/>
        </w:rPr>
        <w:t>the corresponding theoretical predictions</w:t>
      </w:r>
      <w:r w:rsidR="00032FA7" w:rsidRPr="0068584C">
        <w:rPr>
          <w:rFonts w:ascii="Times New Roman" w:hAnsi="Times New Roman" w:cs="Times New Roman"/>
          <w:color w:val="000000" w:themeColor="text1"/>
        </w:rPr>
        <w:t xml:space="preserve"> </w:t>
      </w:r>
      <w:r w:rsidR="00032FA7"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"ISBN" : "1515294811", "author" : [ { "dropping-particle" : "", "family" : "Wacker", "given" : "John G", "non-dropping-particle" : "", "parse-names" : false, "suffix" : "" } ], "container-title" : "Journal of Operations Management", "id" : "ITEM-1", "issue" : "4", "issued" : { "date-parts" : [ [ "1998" ] ] }, "page" : "361-385", "title" : "A definition of theory: research guidelines for different theory-building research methods in operations management", "type" : "article-journal", "volume" : "16" }, "uris" : [ "http://www.mendeley.com/documents/?uuid=00f61d23-9b83-4b25-9418-585af3e47d5a" ] } ], "mendeley" : { "formattedCitation" : "(Wacker, 1998)", "plainTextFormattedCitation" : "(Wacker, 1998)", "previouslyFormattedCitation" : "(Wacker, 1998)" }, "properties" : { "noteIndex" : 0 }, "schema" : "https://github.com/citation-style-language/schema/raw/master/csl-citation.json" }</w:instrText>
      </w:r>
      <w:r w:rsidR="00032FA7" w:rsidRPr="0068584C">
        <w:rPr>
          <w:rFonts w:ascii="Times New Roman" w:hAnsi="Times New Roman" w:cs="Times New Roman"/>
        </w:rPr>
        <w:fldChar w:fldCharType="separate"/>
      </w:r>
      <w:r w:rsidR="000E6ECE" w:rsidRPr="000E6ECE">
        <w:rPr>
          <w:rFonts w:ascii="Times New Roman" w:hAnsi="Times New Roman" w:cs="Times New Roman"/>
          <w:noProof/>
        </w:rPr>
        <w:t>(Wacker, 1998)</w:t>
      </w:r>
      <w:r w:rsidR="00032FA7" w:rsidRPr="0068584C">
        <w:rPr>
          <w:rFonts w:ascii="Times New Roman" w:hAnsi="Times New Roman" w:cs="Times New Roman"/>
        </w:rPr>
        <w:fldChar w:fldCharType="end"/>
      </w:r>
      <w:r w:rsidR="009938DA" w:rsidRPr="0068584C">
        <w:rPr>
          <w:rFonts w:ascii="Times New Roman" w:hAnsi="Times New Roman" w:cs="Times New Roman"/>
          <w:color w:val="000000" w:themeColor="text1"/>
        </w:rPr>
        <w:t xml:space="preserve">. </w:t>
      </w:r>
      <w:r w:rsidR="00EA3FD3" w:rsidRPr="0068584C">
        <w:rPr>
          <w:rFonts w:ascii="Times New Roman" w:hAnsi="Times New Roman" w:cs="Times New Roman"/>
          <w:color w:val="000000" w:themeColor="text1"/>
        </w:rPr>
        <w:t xml:space="preserve">For example, there are gaps related to </w:t>
      </w:r>
      <w:r w:rsidR="00D939A1" w:rsidRPr="0068584C">
        <w:rPr>
          <w:rFonts w:ascii="Times New Roman" w:hAnsi="Times New Roman" w:cs="Times New Roman"/>
        </w:rPr>
        <w:t xml:space="preserve">how </w:t>
      </w:r>
      <w:r w:rsidR="009938DA" w:rsidRPr="0068584C">
        <w:rPr>
          <w:rFonts w:ascii="Times New Roman" w:hAnsi="Times New Roman" w:cs="Times New Roman"/>
        </w:rPr>
        <w:t xml:space="preserve">external </w:t>
      </w:r>
      <w:r w:rsidR="00D939A1" w:rsidRPr="0068584C">
        <w:rPr>
          <w:rFonts w:ascii="Times New Roman" w:hAnsi="Times New Roman" w:cs="Times New Roman"/>
        </w:rPr>
        <w:t>resources lead to a competitive advantage</w:t>
      </w:r>
      <w:r w:rsidR="00792019" w:rsidRPr="0068584C">
        <w:rPr>
          <w:rFonts w:ascii="Times New Roman" w:hAnsi="Times New Roman" w:cs="Times New Roman"/>
        </w:rPr>
        <w:t>.</w:t>
      </w:r>
      <w:r w:rsidR="00D939A1" w:rsidRPr="0068584C">
        <w:rPr>
          <w:rFonts w:ascii="Times New Roman" w:hAnsi="Times New Roman" w:cs="Times New Roman"/>
        </w:rPr>
        <w:t xml:space="preserve"> </w:t>
      </w:r>
      <w:r w:rsidR="00EA3FD3" w:rsidRPr="0068584C">
        <w:rPr>
          <w:rFonts w:ascii="Times New Roman" w:hAnsi="Times New Roman" w:cs="Times New Roman"/>
        </w:rPr>
        <w:t>There is also l</w:t>
      </w:r>
      <w:r w:rsidR="00114946" w:rsidRPr="0068584C">
        <w:rPr>
          <w:rFonts w:ascii="Times New Roman" w:hAnsi="Times New Roman" w:cs="Times New Roman"/>
        </w:rPr>
        <w:t xml:space="preserve">ittle known about the details of resource management capabilities </w:t>
      </w:r>
      <w:r w:rsidR="001D2406" w:rsidRPr="0068584C">
        <w:rPr>
          <w:rFonts w:ascii="Times New Roman" w:hAnsi="Times New Roman" w:cs="Times New Roman"/>
        </w:rPr>
        <w:t xml:space="preserve">including the </w:t>
      </w:r>
      <w:r w:rsidR="00114946" w:rsidRPr="0068584C">
        <w:rPr>
          <w:rFonts w:ascii="Times New Roman" w:hAnsi="Times New Roman" w:cs="Times New Roman"/>
        </w:rPr>
        <w:t>concrete practices</w:t>
      </w:r>
      <w:r w:rsidR="001D2406" w:rsidRPr="0068584C">
        <w:rPr>
          <w:rFonts w:ascii="Times New Roman" w:hAnsi="Times New Roman" w:cs="Times New Roman"/>
        </w:rPr>
        <w:t xml:space="preserve"> necessary for success</w:t>
      </w:r>
      <w:r w:rsidR="00114946" w:rsidRPr="0068584C">
        <w:rPr>
          <w:rFonts w:ascii="Times New Roman" w:hAnsi="Times New Roman" w:cs="Times New Roman"/>
        </w:rPr>
        <w:t xml:space="preserve">. Deeper insights about the relationship between such capabilities and </w:t>
      </w:r>
      <w:r w:rsidR="00547116" w:rsidRPr="0068584C">
        <w:rPr>
          <w:rFonts w:ascii="Times New Roman" w:hAnsi="Times New Roman" w:cs="Times New Roman"/>
        </w:rPr>
        <w:t>competitive position</w:t>
      </w:r>
      <w:r w:rsidR="001D2406" w:rsidRPr="0068584C">
        <w:rPr>
          <w:rFonts w:ascii="Times New Roman" w:hAnsi="Times New Roman" w:cs="Times New Roman"/>
        </w:rPr>
        <w:t>ing</w:t>
      </w:r>
      <w:r w:rsidR="00547116" w:rsidRPr="0068584C">
        <w:rPr>
          <w:rFonts w:ascii="Times New Roman" w:hAnsi="Times New Roman" w:cs="Times New Roman"/>
        </w:rPr>
        <w:t xml:space="preserve"> or </w:t>
      </w:r>
      <w:r w:rsidR="00114946" w:rsidRPr="0068584C">
        <w:rPr>
          <w:rFonts w:ascii="Times New Roman" w:hAnsi="Times New Roman" w:cs="Times New Roman"/>
        </w:rPr>
        <w:t xml:space="preserve">organizational performance are needed. </w:t>
      </w:r>
      <w:r w:rsidR="00547116" w:rsidRPr="0068584C">
        <w:rPr>
          <w:rFonts w:ascii="Times New Roman" w:hAnsi="Times New Roman" w:cs="Times New Roman"/>
        </w:rPr>
        <w:t>F</w:t>
      </w:r>
      <w:r w:rsidR="00114946" w:rsidRPr="0068584C">
        <w:rPr>
          <w:rFonts w:ascii="Times New Roman" w:hAnsi="Times New Roman" w:cs="Times New Roman"/>
        </w:rPr>
        <w:t>urther research should provide a better understanding about the origin of resources</w:t>
      </w:r>
      <w:r w:rsidR="00006E4B" w:rsidRPr="0068584C">
        <w:rPr>
          <w:rFonts w:ascii="Times New Roman" w:hAnsi="Times New Roman" w:cs="Times New Roman"/>
        </w:rPr>
        <w:t xml:space="preserve"> (internal vs. external)</w:t>
      </w:r>
      <w:r w:rsidR="00114946" w:rsidRPr="0068584C">
        <w:rPr>
          <w:rFonts w:ascii="Times New Roman" w:hAnsi="Times New Roman" w:cs="Times New Roman"/>
        </w:rPr>
        <w:t xml:space="preserve"> because this </w:t>
      </w:r>
      <w:r w:rsidR="00AF32C1" w:rsidRPr="0068584C">
        <w:rPr>
          <w:rFonts w:ascii="Times New Roman" w:hAnsi="Times New Roman" w:cs="Times New Roman"/>
        </w:rPr>
        <w:t xml:space="preserve">aspect </w:t>
      </w:r>
      <w:r w:rsidR="00114946" w:rsidRPr="0068584C">
        <w:rPr>
          <w:rFonts w:ascii="Times New Roman" w:hAnsi="Times New Roman" w:cs="Times New Roman"/>
        </w:rPr>
        <w:t xml:space="preserve">might influence the </w:t>
      </w:r>
      <w:r w:rsidR="008B3BC3" w:rsidRPr="0068584C">
        <w:rPr>
          <w:rFonts w:ascii="Times New Roman" w:hAnsi="Times New Roman" w:cs="Times New Roman"/>
        </w:rPr>
        <w:t xml:space="preserve">competitiveness of the firm. Finally, the </w:t>
      </w:r>
      <w:r w:rsidR="00572240" w:rsidRPr="0068584C">
        <w:rPr>
          <w:rFonts w:ascii="Times New Roman" w:hAnsi="Times New Roman" w:cs="Times New Roman"/>
        </w:rPr>
        <w:t xml:space="preserve">effect </w:t>
      </w:r>
      <w:r w:rsidR="008B3BC3" w:rsidRPr="0068584C">
        <w:rPr>
          <w:rFonts w:ascii="Times New Roman" w:hAnsi="Times New Roman" w:cs="Times New Roman"/>
        </w:rPr>
        <w:t xml:space="preserve">of organizational culture on the </w:t>
      </w:r>
      <w:r w:rsidR="00572240" w:rsidRPr="0068584C">
        <w:rPr>
          <w:rFonts w:ascii="Times New Roman" w:hAnsi="Times New Roman" w:cs="Times New Roman"/>
        </w:rPr>
        <w:t xml:space="preserve">consequences </w:t>
      </w:r>
      <w:r w:rsidR="008B3BC3" w:rsidRPr="0068584C">
        <w:rPr>
          <w:rFonts w:ascii="Times New Roman" w:hAnsi="Times New Roman" w:cs="Times New Roman"/>
        </w:rPr>
        <w:t>of resource management decision-making appears under</w:t>
      </w:r>
      <w:r w:rsidR="00A5122C" w:rsidRPr="0068584C">
        <w:rPr>
          <w:rFonts w:ascii="Times New Roman" w:hAnsi="Times New Roman" w:cs="Times New Roman"/>
        </w:rPr>
        <w:t>-</w:t>
      </w:r>
      <w:r w:rsidR="008B3BC3" w:rsidRPr="0068584C">
        <w:rPr>
          <w:rFonts w:ascii="Times New Roman" w:hAnsi="Times New Roman" w:cs="Times New Roman"/>
        </w:rPr>
        <w:t>researched as well.</w:t>
      </w:r>
    </w:p>
    <w:p w14:paraId="2D5F9893" w14:textId="77777777" w:rsidR="00D939A1" w:rsidRPr="0068584C" w:rsidRDefault="00D939A1" w:rsidP="0035460B">
      <w:pPr>
        <w:spacing w:line="480" w:lineRule="auto"/>
        <w:rPr>
          <w:rFonts w:ascii="Times New Roman" w:hAnsi="Times New Roman" w:cs="Times New Roman"/>
        </w:rPr>
      </w:pPr>
    </w:p>
    <w:p w14:paraId="1D5DD6B9" w14:textId="6C8EE45E" w:rsidR="001D2406" w:rsidRPr="0068584C" w:rsidRDefault="004F64C5" w:rsidP="0035460B">
      <w:pPr>
        <w:spacing w:line="480" w:lineRule="auto"/>
        <w:jc w:val="both"/>
        <w:rPr>
          <w:rFonts w:ascii="Times New Roman" w:hAnsi="Times New Roman" w:cs="Times New Roman"/>
        </w:rPr>
      </w:pPr>
      <w:r w:rsidRPr="0068584C">
        <w:rPr>
          <w:rFonts w:ascii="Times New Roman" w:hAnsi="Times New Roman" w:cs="Times New Roman"/>
        </w:rPr>
        <w:t xml:space="preserve">The gaps indicated above lead to </w:t>
      </w:r>
      <w:r w:rsidR="001D2406" w:rsidRPr="0068584C">
        <w:rPr>
          <w:rFonts w:ascii="Times New Roman" w:hAnsi="Times New Roman" w:cs="Times New Roman"/>
        </w:rPr>
        <w:t>several</w:t>
      </w:r>
      <w:r w:rsidR="00F857C4" w:rsidRPr="0068584C">
        <w:rPr>
          <w:rFonts w:ascii="Times New Roman" w:hAnsi="Times New Roman" w:cs="Times New Roman"/>
        </w:rPr>
        <w:t xml:space="preserve"> interesting </w:t>
      </w:r>
      <w:r w:rsidR="00940AE1" w:rsidRPr="0068584C">
        <w:rPr>
          <w:rFonts w:ascii="Times New Roman" w:hAnsi="Times New Roman" w:cs="Times New Roman"/>
        </w:rPr>
        <w:t xml:space="preserve">research </w:t>
      </w:r>
      <w:r w:rsidR="00F857C4" w:rsidRPr="0068584C">
        <w:rPr>
          <w:rFonts w:ascii="Times New Roman" w:hAnsi="Times New Roman" w:cs="Times New Roman"/>
        </w:rPr>
        <w:t>questions:</w:t>
      </w:r>
    </w:p>
    <w:p w14:paraId="0A7CBED4" w14:textId="77777777" w:rsidR="00297E74" w:rsidRPr="0068584C" w:rsidRDefault="00297E74" w:rsidP="0035460B">
      <w:pPr>
        <w:spacing w:line="480" w:lineRule="auto"/>
        <w:jc w:val="both"/>
        <w:rPr>
          <w:rFonts w:ascii="Times New Roman" w:hAnsi="Times New Roman" w:cs="Times New Roman"/>
        </w:rPr>
      </w:pPr>
    </w:p>
    <w:p w14:paraId="163B0B48" w14:textId="027A9B0B" w:rsidR="00D75559" w:rsidRPr="00DB2D2F" w:rsidRDefault="00BF001D" w:rsidP="00DB2D2F">
      <w:pPr>
        <w:spacing w:line="480" w:lineRule="auto"/>
        <w:ind w:left="360"/>
        <w:jc w:val="both"/>
        <w:rPr>
          <w:rFonts w:ascii="Times New Roman" w:hAnsi="Times New Roman" w:cs="Times New Roman"/>
        </w:rPr>
      </w:pPr>
      <w:r w:rsidRPr="00DB2D2F">
        <w:rPr>
          <w:rFonts w:ascii="Times New Roman" w:hAnsi="Times New Roman" w:cs="Times New Roman"/>
        </w:rPr>
        <w:t xml:space="preserve">RQ1: </w:t>
      </w:r>
      <w:r w:rsidR="00D75559" w:rsidRPr="00DB2D2F">
        <w:rPr>
          <w:rFonts w:ascii="Times New Roman" w:hAnsi="Times New Roman" w:cs="Times New Roman"/>
        </w:rPr>
        <w:t>How can supply chain resource orchestration be conceptualized?</w:t>
      </w:r>
    </w:p>
    <w:p w14:paraId="709DE4DE" w14:textId="349AB2D0" w:rsidR="00F857C4" w:rsidRPr="00DB2D2F" w:rsidRDefault="00BF001D" w:rsidP="0071556D">
      <w:pPr>
        <w:spacing w:line="480" w:lineRule="auto"/>
        <w:ind w:left="1008" w:hanging="648"/>
        <w:jc w:val="both"/>
        <w:rPr>
          <w:rFonts w:ascii="Times New Roman" w:hAnsi="Times New Roman" w:cs="Times New Roman"/>
        </w:rPr>
      </w:pPr>
      <w:r w:rsidRPr="00DB2D2F">
        <w:rPr>
          <w:rFonts w:ascii="Times New Roman" w:hAnsi="Times New Roman" w:cs="Times New Roman"/>
        </w:rPr>
        <w:t xml:space="preserve">RQ2: </w:t>
      </w:r>
      <w:r w:rsidR="00F857C4" w:rsidRPr="00DB2D2F">
        <w:rPr>
          <w:rFonts w:ascii="Times New Roman" w:hAnsi="Times New Roman" w:cs="Times New Roman"/>
        </w:rPr>
        <w:t xml:space="preserve">What concrete </w:t>
      </w:r>
      <w:r w:rsidR="00AE10FA" w:rsidRPr="00DB2D2F">
        <w:rPr>
          <w:rFonts w:ascii="Times New Roman" w:hAnsi="Times New Roman" w:cs="Times New Roman"/>
        </w:rPr>
        <w:t xml:space="preserve">SCRO </w:t>
      </w:r>
      <w:r w:rsidR="00F857C4" w:rsidRPr="00DB2D2F">
        <w:rPr>
          <w:rFonts w:ascii="Times New Roman" w:hAnsi="Times New Roman" w:cs="Times New Roman"/>
        </w:rPr>
        <w:t xml:space="preserve">practices are performed by organizations to manage tangible and intangible resources from external entities for the purpose of enhancing the corporate innovation </w:t>
      </w:r>
      <w:r w:rsidR="00686CFD" w:rsidRPr="00DB2D2F">
        <w:rPr>
          <w:rFonts w:ascii="Times New Roman" w:hAnsi="Times New Roman" w:cs="Times New Roman"/>
        </w:rPr>
        <w:t>performance</w:t>
      </w:r>
      <w:r w:rsidR="00F857C4" w:rsidRPr="00DB2D2F">
        <w:rPr>
          <w:rFonts w:ascii="Times New Roman" w:hAnsi="Times New Roman" w:cs="Times New Roman"/>
        </w:rPr>
        <w:t>?</w:t>
      </w:r>
    </w:p>
    <w:p w14:paraId="734BEA56" w14:textId="2DCAB828" w:rsidR="00F857C4" w:rsidRPr="00DB2D2F" w:rsidRDefault="00BF001D" w:rsidP="00DB2D2F">
      <w:pPr>
        <w:spacing w:line="480" w:lineRule="auto"/>
        <w:ind w:left="360"/>
        <w:jc w:val="both"/>
        <w:rPr>
          <w:rFonts w:ascii="Times New Roman" w:hAnsi="Times New Roman" w:cs="Times New Roman"/>
          <w:b/>
        </w:rPr>
      </w:pPr>
      <w:r w:rsidRPr="00DB2D2F">
        <w:rPr>
          <w:rFonts w:ascii="Times New Roman" w:hAnsi="Times New Roman" w:cs="Times New Roman"/>
        </w:rPr>
        <w:t xml:space="preserve">RQ3: </w:t>
      </w:r>
      <w:r w:rsidR="00D75559" w:rsidRPr="00DB2D2F">
        <w:rPr>
          <w:rFonts w:ascii="Times New Roman" w:hAnsi="Times New Roman" w:cs="Times New Roman"/>
        </w:rPr>
        <w:t>How</w:t>
      </w:r>
      <w:r w:rsidR="00F857C4" w:rsidRPr="00DB2D2F">
        <w:rPr>
          <w:rFonts w:ascii="Times New Roman" w:hAnsi="Times New Roman" w:cs="Times New Roman"/>
        </w:rPr>
        <w:t xml:space="preserve"> does organizational culture </w:t>
      </w:r>
      <w:r w:rsidR="008820FF" w:rsidRPr="00DB2D2F">
        <w:rPr>
          <w:rFonts w:ascii="Times New Roman" w:hAnsi="Times New Roman" w:cs="Times New Roman"/>
        </w:rPr>
        <w:t>affect</w:t>
      </w:r>
      <w:r w:rsidR="00F857C4" w:rsidRPr="00DB2D2F">
        <w:rPr>
          <w:rFonts w:ascii="Times New Roman" w:hAnsi="Times New Roman" w:cs="Times New Roman"/>
        </w:rPr>
        <w:t xml:space="preserve"> </w:t>
      </w:r>
      <w:r w:rsidR="009C0A40" w:rsidRPr="00DB2D2F">
        <w:rPr>
          <w:rFonts w:ascii="Times New Roman" w:hAnsi="Times New Roman" w:cs="Times New Roman"/>
        </w:rPr>
        <w:t>SCRO</w:t>
      </w:r>
      <w:r w:rsidR="008820FF" w:rsidRPr="00DB2D2F">
        <w:rPr>
          <w:rFonts w:ascii="Times New Roman" w:hAnsi="Times New Roman" w:cs="Times New Roman"/>
        </w:rPr>
        <w:t xml:space="preserve"> outcomes</w:t>
      </w:r>
      <w:r w:rsidR="009C0A40" w:rsidRPr="00DB2D2F">
        <w:rPr>
          <w:rFonts w:ascii="Times New Roman" w:hAnsi="Times New Roman" w:cs="Times New Roman"/>
        </w:rPr>
        <w:t>?</w:t>
      </w:r>
      <w:r w:rsidR="008820FF" w:rsidRPr="00DB2D2F">
        <w:rPr>
          <w:rFonts w:ascii="Times New Roman" w:hAnsi="Times New Roman" w:cs="Times New Roman"/>
        </w:rPr>
        <w:t xml:space="preserve"> </w:t>
      </w:r>
      <w:r w:rsidR="009C0A40" w:rsidRPr="00DB2D2F">
        <w:rPr>
          <w:rFonts w:ascii="Times New Roman" w:hAnsi="Times New Roman" w:cs="Times New Roman"/>
        </w:rPr>
        <w:t xml:space="preserve"> </w:t>
      </w:r>
      <w:r w:rsidR="00F857C4" w:rsidRPr="00DB2D2F">
        <w:rPr>
          <w:rFonts w:ascii="Times New Roman" w:hAnsi="Times New Roman" w:cs="Times New Roman"/>
        </w:rPr>
        <w:t xml:space="preserve"> </w:t>
      </w:r>
    </w:p>
    <w:p w14:paraId="58FCFEB1" w14:textId="77777777" w:rsidR="006D21EC" w:rsidRPr="0068584C" w:rsidRDefault="006D21EC" w:rsidP="0035460B">
      <w:pPr>
        <w:spacing w:line="480" w:lineRule="auto"/>
        <w:jc w:val="both"/>
        <w:rPr>
          <w:rFonts w:ascii="Times New Roman" w:hAnsi="Times New Roman" w:cs="Times New Roman"/>
          <w:b/>
        </w:rPr>
      </w:pPr>
    </w:p>
    <w:p w14:paraId="14B9A86F" w14:textId="7B9EA799" w:rsidR="004F64C5" w:rsidRPr="0068584C" w:rsidRDefault="003D23E8"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rPr>
        <w:t>T</w:t>
      </w:r>
      <w:r w:rsidR="00F857C4" w:rsidRPr="0068584C">
        <w:rPr>
          <w:rFonts w:ascii="Times New Roman" w:hAnsi="Times New Roman" w:cs="Times New Roman"/>
        </w:rPr>
        <w:t xml:space="preserve">his research </w:t>
      </w:r>
      <w:r w:rsidRPr="0068584C">
        <w:rPr>
          <w:rFonts w:ascii="Times New Roman" w:hAnsi="Times New Roman" w:cs="Times New Roman"/>
        </w:rPr>
        <w:t>will</w:t>
      </w:r>
      <w:r w:rsidR="00F857C4" w:rsidRPr="0068584C">
        <w:rPr>
          <w:rFonts w:ascii="Times New Roman" w:hAnsi="Times New Roman" w:cs="Times New Roman"/>
        </w:rPr>
        <w:t xml:space="preserve"> address th</w:t>
      </w:r>
      <w:r w:rsidR="001D2406" w:rsidRPr="0068584C">
        <w:rPr>
          <w:rFonts w:ascii="Times New Roman" w:hAnsi="Times New Roman" w:cs="Times New Roman"/>
        </w:rPr>
        <w:t>ese</w:t>
      </w:r>
      <w:r w:rsidR="00F857C4" w:rsidRPr="0068584C">
        <w:rPr>
          <w:rFonts w:ascii="Times New Roman" w:hAnsi="Times New Roman" w:cs="Times New Roman"/>
        </w:rPr>
        <w:t xml:space="preserve"> </w:t>
      </w:r>
      <w:r w:rsidRPr="0068584C">
        <w:rPr>
          <w:rFonts w:ascii="Times New Roman" w:hAnsi="Times New Roman" w:cs="Times New Roman"/>
        </w:rPr>
        <w:t>questions</w:t>
      </w:r>
      <w:r w:rsidR="00F857C4" w:rsidRPr="0068584C">
        <w:rPr>
          <w:rFonts w:ascii="Times New Roman" w:hAnsi="Times New Roman" w:cs="Times New Roman"/>
        </w:rPr>
        <w:t xml:space="preserve"> by exploring the concept of supply chain resource orchestration (SCRO)</w:t>
      </w:r>
      <w:r w:rsidR="009C0A40" w:rsidRPr="0068584C">
        <w:rPr>
          <w:rFonts w:ascii="Times New Roman" w:hAnsi="Times New Roman" w:cs="Times New Roman"/>
        </w:rPr>
        <w:t xml:space="preserve"> and</w:t>
      </w:r>
      <w:r w:rsidR="00F857C4" w:rsidRPr="0068584C">
        <w:rPr>
          <w:rFonts w:ascii="Times New Roman" w:hAnsi="Times New Roman" w:cs="Times New Roman"/>
        </w:rPr>
        <w:t xml:space="preserve"> enhancing the </w:t>
      </w:r>
      <w:r w:rsidRPr="0068584C">
        <w:rPr>
          <w:rFonts w:ascii="Times New Roman" w:hAnsi="Times New Roman" w:cs="Times New Roman"/>
        </w:rPr>
        <w:t xml:space="preserve">(theoretical and practical) </w:t>
      </w:r>
      <w:r w:rsidR="00F857C4" w:rsidRPr="0068584C">
        <w:rPr>
          <w:rFonts w:ascii="Times New Roman" w:hAnsi="Times New Roman" w:cs="Times New Roman"/>
        </w:rPr>
        <w:t>understanding of the meaning of SCRO</w:t>
      </w:r>
      <w:r w:rsidR="009C0A40" w:rsidRPr="0068584C">
        <w:rPr>
          <w:rFonts w:ascii="Times New Roman" w:hAnsi="Times New Roman" w:cs="Times New Roman"/>
        </w:rPr>
        <w:t xml:space="preserve">. </w:t>
      </w:r>
      <w:r w:rsidR="004F64C5" w:rsidRPr="0068584C">
        <w:rPr>
          <w:rFonts w:ascii="Times New Roman" w:hAnsi="Times New Roman" w:cs="Times New Roman"/>
        </w:rPr>
        <w:t xml:space="preserve">This research also </w:t>
      </w:r>
      <w:r w:rsidR="00F857C4" w:rsidRPr="0068584C">
        <w:rPr>
          <w:rFonts w:ascii="Times New Roman" w:hAnsi="Times New Roman" w:cs="Times New Roman"/>
        </w:rPr>
        <w:t>investigat</w:t>
      </w:r>
      <w:r w:rsidR="004F64C5" w:rsidRPr="0068584C">
        <w:rPr>
          <w:rFonts w:ascii="Times New Roman" w:hAnsi="Times New Roman" w:cs="Times New Roman"/>
        </w:rPr>
        <w:t>es</w:t>
      </w:r>
      <w:r w:rsidR="00F857C4" w:rsidRPr="0068584C">
        <w:rPr>
          <w:rFonts w:ascii="Times New Roman" w:hAnsi="Times New Roman" w:cs="Times New Roman"/>
        </w:rPr>
        <w:t xml:space="preserve"> how </w:t>
      </w:r>
      <w:r w:rsidR="00046D2A" w:rsidRPr="0068584C">
        <w:rPr>
          <w:rFonts w:ascii="Times New Roman" w:hAnsi="Times New Roman" w:cs="Times New Roman"/>
        </w:rPr>
        <w:t xml:space="preserve">organizational culture </w:t>
      </w:r>
      <w:r w:rsidR="00DB781B" w:rsidRPr="0068584C">
        <w:rPr>
          <w:rFonts w:ascii="Times New Roman" w:hAnsi="Times New Roman" w:cs="Times New Roman"/>
        </w:rPr>
        <w:t xml:space="preserve">might </w:t>
      </w:r>
      <w:r w:rsidR="00F857C4" w:rsidRPr="0068584C">
        <w:rPr>
          <w:rFonts w:ascii="Times New Roman" w:hAnsi="Times New Roman" w:cs="Times New Roman"/>
        </w:rPr>
        <w:t>affect SCRO</w:t>
      </w:r>
      <w:r w:rsidR="00DB1ACC" w:rsidRPr="0068584C">
        <w:rPr>
          <w:rFonts w:ascii="Times New Roman" w:hAnsi="Times New Roman" w:cs="Times New Roman"/>
        </w:rPr>
        <w:t xml:space="preserve"> </w:t>
      </w:r>
      <w:r w:rsidR="00F857C4" w:rsidRPr="0068584C">
        <w:rPr>
          <w:rFonts w:ascii="Times New Roman" w:hAnsi="Times New Roman" w:cs="Times New Roman"/>
        </w:rPr>
        <w:t xml:space="preserve">and </w:t>
      </w:r>
      <w:r w:rsidR="00F857C4" w:rsidRPr="0068584C">
        <w:rPr>
          <w:rFonts w:ascii="Times New Roman" w:hAnsi="Times New Roman" w:cs="Times New Roman"/>
        </w:rPr>
        <w:lastRenderedPageBreak/>
        <w:t>innovation performance.</w:t>
      </w:r>
      <w:r w:rsidR="00046D2A" w:rsidRPr="0068584C">
        <w:rPr>
          <w:rFonts w:ascii="Times New Roman" w:hAnsi="Times New Roman" w:cs="Times New Roman"/>
        </w:rPr>
        <w:t xml:space="preserve"> Specifically, the origin of resources will be considered, adding external sources of resources to the domain. The</w:t>
      </w:r>
      <w:r w:rsidR="001D2406" w:rsidRPr="0068584C">
        <w:rPr>
          <w:rFonts w:ascii="Times New Roman" w:hAnsi="Times New Roman" w:cs="Times New Roman"/>
        </w:rPr>
        <w:t xml:space="preserve"> intent is to </w:t>
      </w:r>
      <w:r w:rsidR="00046D2A" w:rsidRPr="0068584C">
        <w:rPr>
          <w:rFonts w:ascii="Times New Roman" w:hAnsi="Times New Roman" w:cs="Times New Roman"/>
        </w:rPr>
        <w:t xml:space="preserve">analyze how this broader perspective including internal and external resources might enhance the </w:t>
      </w:r>
      <w:r w:rsidR="00046D2A" w:rsidRPr="0068584C">
        <w:rPr>
          <w:rFonts w:ascii="Times New Roman" w:hAnsi="Times New Roman" w:cs="Times New Roman"/>
          <w:color w:val="000000" w:themeColor="text1"/>
        </w:rPr>
        <w:t>predictive and explanatory power</w:t>
      </w:r>
      <w:r w:rsidR="006D318D" w:rsidRPr="0068584C">
        <w:rPr>
          <w:rFonts w:ascii="Times New Roman" w:hAnsi="Times New Roman" w:cs="Times New Roman"/>
          <w:color w:val="000000" w:themeColor="text1"/>
        </w:rPr>
        <w:t>s</w:t>
      </w:r>
      <w:r w:rsidR="00046D2A" w:rsidRPr="0068584C">
        <w:rPr>
          <w:rFonts w:ascii="Times New Roman" w:hAnsi="Times New Roman" w:cs="Times New Roman"/>
          <w:color w:val="000000" w:themeColor="text1"/>
        </w:rPr>
        <w:t xml:space="preserve"> of resource management theory.</w:t>
      </w:r>
      <w:r w:rsidR="004B444D" w:rsidRPr="0068584C">
        <w:rPr>
          <w:rFonts w:ascii="Times New Roman" w:hAnsi="Times New Roman" w:cs="Times New Roman"/>
          <w:color w:val="000000" w:themeColor="text1"/>
        </w:rPr>
        <w:t xml:space="preserve"> It is</w:t>
      </w:r>
      <w:r w:rsidR="00B05913" w:rsidRPr="0068584C">
        <w:rPr>
          <w:rFonts w:ascii="Times New Roman" w:hAnsi="Times New Roman" w:cs="Times New Roman"/>
          <w:color w:val="000000" w:themeColor="text1"/>
        </w:rPr>
        <w:t xml:space="preserve"> intend</w:t>
      </w:r>
      <w:r w:rsidR="004B444D" w:rsidRPr="0068584C">
        <w:rPr>
          <w:rFonts w:ascii="Times New Roman" w:hAnsi="Times New Roman" w:cs="Times New Roman"/>
          <w:color w:val="000000" w:themeColor="text1"/>
        </w:rPr>
        <w:t>ed</w:t>
      </w:r>
      <w:r w:rsidR="00B05913" w:rsidRPr="0068584C">
        <w:rPr>
          <w:rFonts w:ascii="Times New Roman" w:hAnsi="Times New Roman" w:cs="Times New Roman"/>
          <w:color w:val="000000" w:themeColor="text1"/>
        </w:rPr>
        <w:t xml:space="preserve"> to </w:t>
      </w:r>
      <w:r w:rsidR="00F857C4" w:rsidRPr="0068584C">
        <w:rPr>
          <w:rFonts w:ascii="Times New Roman" w:hAnsi="Times New Roman" w:cs="Times New Roman"/>
          <w:color w:val="000000" w:themeColor="text1"/>
        </w:rPr>
        <w:t xml:space="preserve">initiate a discussion of </w:t>
      </w:r>
      <w:r w:rsidR="00046D2A" w:rsidRPr="0068584C">
        <w:rPr>
          <w:rFonts w:ascii="Times New Roman" w:hAnsi="Times New Roman" w:cs="Times New Roman"/>
          <w:color w:val="000000" w:themeColor="text1"/>
        </w:rPr>
        <w:t xml:space="preserve">the conceptualization, domain, </w:t>
      </w:r>
      <w:r w:rsidR="00F857C4" w:rsidRPr="0068584C">
        <w:rPr>
          <w:rFonts w:ascii="Times New Roman" w:hAnsi="Times New Roman" w:cs="Times New Roman"/>
          <w:color w:val="000000" w:themeColor="text1"/>
        </w:rPr>
        <w:t>boundary conditions</w:t>
      </w:r>
      <w:r w:rsidR="00046D2A" w:rsidRPr="0068584C">
        <w:rPr>
          <w:rFonts w:ascii="Times New Roman" w:hAnsi="Times New Roman" w:cs="Times New Roman"/>
          <w:color w:val="000000" w:themeColor="text1"/>
        </w:rPr>
        <w:t>,</w:t>
      </w:r>
      <w:r w:rsidR="00F857C4" w:rsidRPr="0068584C">
        <w:rPr>
          <w:rFonts w:ascii="Times New Roman" w:hAnsi="Times New Roman" w:cs="Times New Roman"/>
          <w:color w:val="000000" w:themeColor="text1"/>
        </w:rPr>
        <w:t xml:space="preserve"> and contextual influences</w:t>
      </w:r>
      <w:r w:rsidR="00B05913" w:rsidRPr="0068584C">
        <w:rPr>
          <w:rFonts w:ascii="Times New Roman" w:hAnsi="Times New Roman" w:cs="Times New Roman"/>
          <w:color w:val="000000" w:themeColor="text1"/>
        </w:rPr>
        <w:t xml:space="preserve"> concerning the phenomenon of supply chain resource orchestration</w:t>
      </w:r>
      <w:r w:rsidR="00F857C4" w:rsidRPr="0068584C">
        <w:rPr>
          <w:rFonts w:ascii="Times New Roman" w:hAnsi="Times New Roman" w:cs="Times New Roman"/>
          <w:color w:val="000000" w:themeColor="text1"/>
        </w:rPr>
        <w:t>.</w:t>
      </w:r>
    </w:p>
    <w:p w14:paraId="1EF7CCB8" w14:textId="3052A18F" w:rsidR="002E1966" w:rsidRPr="0068584C" w:rsidRDefault="008D7601" w:rsidP="0035460B">
      <w:pPr>
        <w:spacing w:line="480" w:lineRule="auto"/>
        <w:jc w:val="both"/>
        <w:rPr>
          <w:rFonts w:ascii="Times New Roman" w:hAnsi="Times New Roman" w:cs="Times New Roman"/>
          <w:b/>
        </w:rPr>
      </w:pPr>
      <w:r>
        <w:rPr>
          <w:rFonts w:ascii="Times New Roman" w:hAnsi="Times New Roman" w:cs="Times New Roman"/>
        </w:rPr>
        <w:tab/>
      </w:r>
      <w:r w:rsidR="006E4FF7" w:rsidRPr="0068584C">
        <w:rPr>
          <w:rFonts w:ascii="Times New Roman" w:hAnsi="Times New Roman" w:cs="Times New Roman"/>
        </w:rPr>
        <w:t>Following Wacker</w:t>
      </w:r>
      <w:r w:rsidR="00244F84" w:rsidRPr="0068584C">
        <w:rPr>
          <w:rFonts w:ascii="Times New Roman" w:hAnsi="Times New Roman" w:cs="Times New Roman"/>
        </w:rPr>
        <w:t>’s</w:t>
      </w:r>
      <w:r w:rsidR="006E4FF7" w:rsidRPr="0068584C">
        <w:rPr>
          <w:rFonts w:ascii="Times New Roman" w:hAnsi="Times New Roman" w:cs="Times New Roman"/>
        </w:rPr>
        <w:t xml:space="preserve"> (1998) procedures of good theory-building, the current resource management research stream </w:t>
      </w:r>
      <w:r w:rsidR="009E30D4" w:rsidRPr="0068584C">
        <w:rPr>
          <w:rFonts w:ascii="Times New Roman" w:hAnsi="Times New Roman" w:cs="Times New Roman"/>
        </w:rPr>
        <w:t xml:space="preserve">can be </w:t>
      </w:r>
      <w:r w:rsidR="00DA6426" w:rsidRPr="0068584C">
        <w:rPr>
          <w:rFonts w:ascii="Times New Roman" w:hAnsi="Times New Roman" w:cs="Times New Roman"/>
        </w:rPr>
        <w:t xml:space="preserve">broadened </w:t>
      </w:r>
      <w:r w:rsidR="006E4FF7" w:rsidRPr="0068584C">
        <w:rPr>
          <w:rFonts w:ascii="Times New Roman" w:hAnsi="Times New Roman" w:cs="Times New Roman"/>
        </w:rPr>
        <w:t xml:space="preserve">to include organizational capabilities related to the </w:t>
      </w:r>
      <w:r w:rsidR="00DA6426" w:rsidRPr="0068584C">
        <w:rPr>
          <w:rFonts w:ascii="Times New Roman" w:hAnsi="Times New Roman" w:cs="Times New Roman"/>
        </w:rPr>
        <w:t xml:space="preserve">orchestration </w:t>
      </w:r>
      <w:r w:rsidR="006E4FF7" w:rsidRPr="0068584C">
        <w:rPr>
          <w:rFonts w:ascii="Times New Roman" w:hAnsi="Times New Roman" w:cs="Times New Roman"/>
        </w:rPr>
        <w:t>of external resources.</w:t>
      </w:r>
      <w:r w:rsidR="002E1966" w:rsidRPr="0068584C">
        <w:rPr>
          <w:rFonts w:ascii="Times New Roman" w:hAnsi="Times New Roman" w:cs="Times New Roman"/>
        </w:rPr>
        <w:t xml:space="preserve"> </w:t>
      </w:r>
      <w:r w:rsidR="009E30D4" w:rsidRPr="0068584C">
        <w:rPr>
          <w:rFonts w:ascii="Times New Roman" w:hAnsi="Times New Roman" w:cs="Times New Roman"/>
        </w:rPr>
        <w:t>In this</w:t>
      </w:r>
      <w:r w:rsidR="004F64C5" w:rsidRPr="0068584C">
        <w:rPr>
          <w:rFonts w:ascii="Times New Roman" w:hAnsi="Times New Roman" w:cs="Times New Roman"/>
        </w:rPr>
        <w:t xml:space="preserve"> research</w:t>
      </w:r>
      <w:r w:rsidR="009E30D4" w:rsidRPr="0068584C">
        <w:rPr>
          <w:rFonts w:ascii="Times New Roman" w:hAnsi="Times New Roman" w:cs="Times New Roman"/>
        </w:rPr>
        <w:t xml:space="preserve">, a </w:t>
      </w:r>
      <w:r w:rsidR="002E1966" w:rsidRPr="0068584C">
        <w:rPr>
          <w:rFonts w:ascii="Times New Roman" w:hAnsi="Times New Roman" w:cs="Times New Roman"/>
        </w:rPr>
        <w:t>theory elaboration method</w:t>
      </w:r>
      <w:r w:rsidR="00F861CE" w:rsidRPr="0068584C">
        <w:rPr>
          <w:rFonts w:ascii="Times New Roman" w:hAnsi="Times New Roman" w:cs="Times New Roman"/>
        </w:rPr>
        <w:t xml:space="preserve"> </w:t>
      </w:r>
      <w:r w:rsidR="00A608F4"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"10.1016/j.jom.2014.03.004", "ISSN" : "0272-6963", "author" : [ { "dropping-particle" : "", "family" : "Ketokivi", "given" : "Mikko", "non-dropping-particle" : "", "parse-names" : false, "suffix" : "" }, { "dropping-particle" : "", "family" : "Choi", "given" : "Thomas", "non-dropping-particle" : "", "parse-names" : false, "suffix" : "" } ], "container-title" : "Journal of Operations Management", "id" : "ITEM-1", "issue" : "5", "issued" : { "date-parts" : [ [ "2014" ] ] }, "page" : "232-240", "publisher" : "Elsevier B.V.", "title" : "Renaissance of case research as a scientific method", "type" : "article-journal", "volume" : "32" }, "uris" : [ "http://www.mendeley.com/documents/?uuid=d1c36dbd-61c8-47df-91bd-ba12cdfcdf11" ] } ], "mendeley" : { "formattedCitation" : "(Ketokivi &amp; Choi, 2014)", "plainTextFormattedCitation" : "(Ketokivi &amp; Choi, 2014)", "previouslyFormattedCitation" : "(Ketokivi &amp; Choi, 2014)" }, "properties" : { "noteIndex" : 0 }, "schema" : "https://github.com/citation-style-language/schema/raw/master/csl-citation.json" }</w:instrText>
      </w:r>
      <w:r w:rsidR="00A608F4" w:rsidRPr="0068584C">
        <w:rPr>
          <w:rFonts w:ascii="Times New Roman" w:hAnsi="Times New Roman" w:cs="Times New Roman"/>
        </w:rPr>
        <w:fldChar w:fldCharType="separate"/>
      </w:r>
      <w:r w:rsidR="000E6ECE" w:rsidRPr="000E6ECE">
        <w:rPr>
          <w:rFonts w:ascii="Times New Roman" w:hAnsi="Times New Roman" w:cs="Times New Roman"/>
          <w:noProof/>
        </w:rPr>
        <w:t>(Ketokivi &amp; Choi, 2014)</w:t>
      </w:r>
      <w:r w:rsidR="00A608F4" w:rsidRPr="0068584C">
        <w:rPr>
          <w:rFonts w:ascii="Times New Roman" w:hAnsi="Times New Roman" w:cs="Times New Roman"/>
        </w:rPr>
        <w:fldChar w:fldCharType="end"/>
      </w:r>
      <w:r w:rsidR="002E1966" w:rsidRPr="0068584C">
        <w:rPr>
          <w:rFonts w:ascii="Times New Roman" w:hAnsi="Times New Roman" w:cs="Times New Roman"/>
        </w:rPr>
        <w:t xml:space="preserve"> </w:t>
      </w:r>
      <w:r w:rsidR="009E30D4" w:rsidRPr="0068584C">
        <w:rPr>
          <w:rFonts w:ascii="Times New Roman" w:hAnsi="Times New Roman" w:cs="Times New Roman"/>
        </w:rPr>
        <w:t>is</w:t>
      </w:r>
      <w:r w:rsidR="002E1966" w:rsidRPr="0068584C">
        <w:rPr>
          <w:rFonts w:ascii="Times New Roman" w:hAnsi="Times New Roman" w:cs="Times New Roman"/>
        </w:rPr>
        <w:t xml:space="preserve"> applied and qualitative</w:t>
      </w:r>
      <w:r w:rsidR="002E1966" w:rsidRPr="0068584C">
        <w:rPr>
          <w:rFonts w:ascii="Times New Roman" w:hAnsi="Times New Roman" w:cs="Times New Roman"/>
          <w:b/>
        </w:rPr>
        <w:t xml:space="preserve"> </w:t>
      </w:r>
      <w:r w:rsidR="002E1966" w:rsidRPr="0068584C">
        <w:rPr>
          <w:rFonts w:ascii="Times New Roman" w:hAnsi="Times New Roman" w:cs="Times New Roman"/>
        </w:rPr>
        <w:t xml:space="preserve">data from case studies </w:t>
      </w:r>
      <w:r w:rsidR="004051EC" w:rsidRPr="0068584C">
        <w:rPr>
          <w:rFonts w:ascii="Times New Roman" w:hAnsi="Times New Roman" w:cs="Times New Roman"/>
        </w:rPr>
        <w:t xml:space="preserve">are </w:t>
      </w:r>
      <w:r w:rsidR="002E1966" w:rsidRPr="0068584C">
        <w:rPr>
          <w:rFonts w:ascii="Times New Roman" w:hAnsi="Times New Roman" w:cs="Times New Roman"/>
        </w:rPr>
        <w:t>used as evidence.</w:t>
      </w:r>
      <w:r w:rsidR="00F31F5E" w:rsidRPr="0068584C">
        <w:rPr>
          <w:rFonts w:ascii="Times New Roman" w:hAnsi="Times New Roman" w:cs="Times New Roman"/>
        </w:rPr>
        <w:t xml:space="preserve"> The purpose of this theory elaboration research is to explore how the </w:t>
      </w:r>
      <w:r w:rsidR="00523EDE" w:rsidRPr="0068584C">
        <w:rPr>
          <w:rFonts w:ascii="Times New Roman" w:hAnsi="Times New Roman" w:cs="Times New Roman"/>
        </w:rPr>
        <w:t xml:space="preserve">existing resource management theoretical </w:t>
      </w:r>
      <w:r w:rsidR="00F31F5E" w:rsidRPr="0068584C">
        <w:rPr>
          <w:rFonts w:ascii="Times New Roman" w:hAnsi="Times New Roman" w:cs="Times New Roman"/>
        </w:rPr>
        <w:t>framework</w:t>
      </w:r>
      <w:r w:rsidR="00523EDE" w:rsidRPr="0068584C">
        <w:rPr>
          <w:rFonts w:ascii="Times New Roman" w:hAnsi="Times New Roman" w:cs="Times New Roman"/>
        </w:rPr>
        <w:t xml:space="preserve">s </w:t>
      </w:r>
      <w:r w:rsidR="00F31F5E" w:rsidRPr="0068584C">
        <w:rPr>
          <w:rFonts w:ascii="Times New Roman" w:hAnsi="Times New Roman" w:cs="Times New Roman"/>
        </w:rPr>
        <w:t>could be expanded to address the orchestration</w:t>
      </w:r>
      <w:r w:rsidR="00E96821" w:rsidRPr="0068584C">
        <w:rPr>
          <w:rFonts w:ascii="Times New Roman" w:hAnsi="Times New Roman" w:cs="Times New Roman"/>
        </w:rPr>
        <w:t xml:space="preserve"> practices</w:t>
      </w:r>
      <w:r w:rsidR="00F31F5E" w:rsidRPr="0068584C">
        <w:rPr>
          <w:rFonts w:ascii="Times New Roman" w:hAnsi="Times New Roman" w:cs="Times New Roman"/>
        </w:rPr>
        <w:t xml:space="preserve"> </w:t>
      </w:r>
      <w:r w:rsidR="00E96821" w:rsidRPr="0068584C">
        <w:rPr>
          <w:rFonts w:ascii="Times New Roman" w:hAnsi="Times New Roman" w:cs="Times New Roman"/>
        </w:rPr>
        <w:t xml:space="preserve">for </w:t>
      </w:r>
      <w:r w:rsidR="00614BEB" w:rsidRPr="0068584C">
        <w:rPr>
          <w:rFonts w:ascii="Times New Roman" w:hAnsi="Times New Roman" w:cs="Times New Roman"/>
        </w:rPr>
        <w:t xml:space="preserve">supply chain </w:t>
      </w:r>
      <w:r w:rsidR="00F31F5E" w:rsidRPr="0068584C">
        <w:rPr>
          <w:rFonts w:ascii="Times New Roman" w:hAnsi="Times New Roman" w:cs="Times New Roman"/>
        </w:rPr>
        <w:t>resources</w:t>
      </w:r>
      <w:r w:rsidR="00523EDE" w:rsidRPr="0068584C">
        <w:rPr>
          <w:rFonts w:ascii="Times New Roman" w:hAnsi="Times New Roman" w:cs="Times New Roman"/>
        </w:rPr>
        <w:t xml:space="preserve">. </w:t>
      </w:r>
      <w:r w:rsidR="00493FE4" w:rsidRPr="0068584C">
        <w:rPr>
          <w:rFonts w:ascii="Times New Roman" w:hAnsi="Times New Roman" w:cs="Times New Roman"/>
        </w:rPr>
        <w:t xml:space="preserve">Thereby, this research is a response to repeated calls for more theory-building research in the operations and supply chain management field </w:t>
      </w:r>
      <w:r w:rsidR="004373F9"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"Choi", "given" : "Thomas Y", "non-dropping-particle" : "", "parse-names" : false, "suffix" : "" }, { "dropping-particle" : "", "family" : "Wacker", "given" : "John G", "non-dropping-particle" : "", "parse-names" : false, "suffix" : "" } ], "container-title" : "Journal of Supply Chain Management", "id" : "ITEM-1", "issue" : "2", "issued" : { "date-parts" : [ [ "2011" ] ] }, "page" : "8-11", "title" : "THEORY BUILDING IN THE OM / SCM FIELD: POINTING TO THE FUTURE BY LOOKING AT THE PAST", "type" : "article-journal", "volume" : "47" }, "uris" : [ "http://www.mendeley.com/documents/?uuid=8e3a3f41-96c1-4f84-8bcb-0001c5a40c72" ] }, { "id" : "ITEM-2", "itemData" : { "author" : [ { "dropping-particle" : "", "family" : "Carter", "given" : "Craig R", "non-dropping-particle" : "", "parse-names" : false, "suffix" : "" } ], "container-title" : "Journal of Supply Chain Management", "id" : "ITEM-2", "issue" : "2", "issued" : { "date-parts" : [ [ "2011" ] ] }, "page" : "3-7", "title" : "A CALL FOR THEORY: THE MATURATION OF THE SUPPLY CHAIN MANAGEMENT DISCIPLINE", "type" : "article-journal", "volume" : "47" }, "uris" : [ "http://www.mendeley.com/documents/?uuid=9e4e9c67-26ea-465c-8a85-c4b3ee8db4d8" ] }, { "id" : "ITEM-3", "itemData" : { "DOI" : "10.1016/j.pursup.2016.09.002", "ISSN" : "1478-4092", "author" : [ { "dropping-particle" : "", "family" : "Dubois", "given" : "Anna", "non-dropping-particle" : "", "parse-names" : false, "suffix" : "" }, { "dropping-particle" : "", "family" : "Salmi", "given" : "Asta", "non-dropping-particle" : "", "parse-names" : false, "suffix" : "" } ], "container-title" : "Journal of Purchasing and Supply Management", "id" : "ITEM-3", "issue" : "4", "issued" : { "date-parts" : [ [ "2016" ] ] }, "page" : "247-249", "publisher" : "Elsevier", "title" : "A call for broadening the range of approaches to case studies in purchasing and supply management", "type" : "article-journal", "volume" : "22" }, "uris" : [ "http://www.mendeley.com/documents/?uuid=c5809305-2f38-4a79-8372-a83b4369e89b" ] } ], "mendeley" : { "formattedCitation" : "(Carter, 2011; Choi &amp; Wacker, 2011; Dubois &amp; Salmi, 2016)", "plainTextFormattedCitation" : "(Carter, 2011; Choi &amp; Wacker, 2011; Dubois &amp; Salmi, 2016)", "previouslyFormattedCitation" : "(Carter, 2011; Choi &amp; Wacker, 2011; Dubois &amp; Salmi, 2016)" }, "properties" : { "noteIndex" : 0 }, "schema" : "https://github.com/citation-style-language/schema/raw/master/csl-citation.json" }</w:instrText>
      </w:r>
      <w:r w:rsidR="004373F9" w:rsidRPr="0068584C">
        <w:rPr>
          <w:rFonts w:ascii="Times New Roman" w:hAnsi="Times New Roman" w:cs="Times New Roman"/>
        </w:rPr>
        <w:fldChar w:fldCharType="separate"/>
      </w:r>
      <w:r w:rsidR="000E6ECE" w:rsidRPr="000E6ECE">
        <w:rPr>
          <w:rFonts w:ascii="Times New Roman" w:hAnsi="Times New Roman" w:cs="Times New Roman"/>
          <w:noProof/>
        </w:rPr>
        <w:t>(Carter, 2011; Choi &amp; Wacker, 2011; Dubois &amp; Salmi, 2016)</w:t>
      </w:r>
      <w:r w:rsidR="004373F9" w:rsidRPr="0068584C">
        <w:rPr>
          <w:rFonts w:ascii="Times New Roman" w:hAnsi="Times New Roman" w:cs="Times New Roman"/>
        </w:rPr>
        <w:fldChar w:fldCharType="end"/>
      </w:r>
      <w:r w:rsidR="00CF6523" w:rsidRPr="0068584C">
        <w:rPr>
          <w:rFonts w:ascii="Times New Roman" w:hAnsi="Times New Roman" w:cs="Times New Roman"/>
        </w:rPr>
        <w:t>.</w:t>
      </w:r>
      <w:r w:rsidR="00422D2E" w:rsidRPr="0068584C">
        <w:rPr>
          <w:rFonts w:ascii="Times New Roman" w:hAnsi="Times New Roman" w:cs="Times New Roman"/>
        </w:rPr>
        <w:t xml:space="preserve"> </w:t>
      </w:r>
      <w:r w:rsidR="00F31F5E" w:rsidRPr="0068584C">
        <w:rPr>
          <w:rFonts w:ascii="Times New Roman" w:hAnsi="Times New Roman" w:cs="Times New Roman"/>
        </w:rPr>
        <w:t xml:space="preserve">The aim is to make an initial attempt toward an organizational level theory of SCRO as an elaboration of </w:t>
      </w:r>
      <w:r w:rsidR="00643F27" w:rsidRPr="0068584C">
        <w:rPr>
          <w:rFonts w:ascii="Times New Roman" w:hAnsi="Times New Roman" w:cs="Times New Roman"/>
        </w:rPr>
        <w:t>resource orchestration theory</w:t>
      </w:r>
      <w:r w:rsidR="00BD7061" w:rsidRPr="0068584C">
        <w:rPr>
          <w:rFonts w:ascii="Times New Roman" w:hAnsi="Times New Roman" w:cs="Times New Roman"/>
        </w:rPr>
        <w:t xml:space="preserve"> (ROT)</w:t>
      </w:r>
      <w:r w:rsidR="0010058E" w:rsidRPr="0068584C">
        <w:rPr>
          <w:rFonts w:ascii="Times New Roman" w:hAnsi="Times New Roman" w:cs="Times New Roman"/>
        </w:rPr>
        <w:t xml:space="preserve"> </w:t>
      </w:r>
      <w:r w:rsidR="0010058E"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Hitt, Ireland, &amp; Gilbert, 2011)", "plainTextFormattedCitation" : "(Sirmon, Hitt, Ireland, &amp; Gilbert, 2011)", "previouslyFormattedCitation" : "(Sirmon, Hitt, Ireland, &amp; Gilbert, 2011)" }, "properties" : { "noteIndex" : 0 }, "schema" : "https://github.com/citation-style-language/schema/raw/master/csl-citation.json" }</w:instrText>
      </w:r>
      <w:r w:rsidR="0010058E" w:rsidRPr="0068584C">
        <w:rPr>
          <w:rFonts w:ascii="Times New Roman" w:hAnsi="Times New Roman" w:cs="Times New Roman"/>
        </w:rPr>
        <w:fldChar w:fldCharType="separate"/>
      </w:r>
      <w:r w:rsidR="000E6ECE" w:rsidRPr="000E6ECE">
        <w:rPr>
          <w:rFonts w:ascii="Times New Roman" w:hAnsi="Times New Roman" w:cs="Times New Roman"/>
          <w:noProof/>
        </w:rPr>
        <w:t>(Sirmon, Hitt, Ireland, &amp; Gilbert, 2011)</w:t>
      </w:r>
      <w:r w:rsidR="0010058E" w:rsidRPr="0068584C">
        <w:rPr>
          <w:rFonts w:ascii="Times New Roman" w:hAnsi="Times New Roman" w:cs="Times New Roman"/>
        </w:rPr>
        <w:fldChar w:fldCharType="end"/>
      </w:r>
      <w:r w:rsidR="0010058E" w:rsidRPr="0068584C">
        <w:rPr>
          <w:rFonts w:ascii="Times New Roman" w:hAnsi="Times New Roman" w:cs="Times New Roman"/>
        </w:rPr>
        <w:t>.</w:t>
      </w:r>
    </w:p>
    <w:p w14:paraId="681416CE" w14:textId="77777777" w:rsidR="00F746CB" w:rsidRPr="0068584C" w:rsidRDefault="00F746CB" w:rsidP="0035460B">
      <w:pPr>
        <w:spacing w:line="480" w:lineRule="auto"/>
        <w:rPr>
          <w:rFonts w:ascii="Times New Roman" w:hAnsi="Times New Roman" w:cs="Times New Roman"/>
          <w:b/>
        </w:rPr>
      </w:pPr>
    </w:p>
    <w:p w14:paraId="0BB1B1E0" w14:textId="47BB8F98" w:rsidR="007C6675" w:rsidRPr="00FF7DB0" w:rsidRDefault="007C6675" w:rsidP="00FF7DB0">
      <w:pPr>
        <w:pStyle w:val="Heading2"/>
      </w:pPr>
      <w:bookmarkStart w:id="51" w:name="_Toc357382417"/>
      <w:bookmarkStart w:id="52" w:name="_Toc357383263"/>
      <w:bookmarkStart w:id="53" w:name="_Toc358326734"/>
      <w:r w:rsidRPr="00FF7DB0">
        <w:t>Theoretical Foundation</w:t>
      </w:r>
      <w:bookmarkEnd w:id="51"/>
      <w:bookmarkEnd w:id="52"/>
      <w:bookmarkEnd w:id="53"/>
    </w:p>
    <w:p w14:paraId="5ABC7071" w14:textId="035F5E3B" w:rsidR="007C6675" w:rsidRPr="0068584C" w:rsidRDefault="007C6675" w:rsidP="0035460B">
      <w:pPr>
        <w:spacing w:line="480" w:lineRule="auto"/>
        <w:jc w:val="both"/>
        <w:rPr>
          <w:rFonts w:ascii="Times New Roman" w:hAnsi="Times New Roman" w:cs="Times New Roman"/>
        </w:rPr>
      </w:pPr>
      <w:r w:rsidRPr="0068584C">
        <w:rPr>
          <w:rFonts w:ascii="Times New Roman" w:hAnsi="Times New Roman" w:cs="Times New Roman"/>
        </w:rPr>
        <w:t>The phenomenon of supply chain-driven innovation</w:t>
      </w:r>
      <w:r w:rsidR="00F746CB" w:rsidRPr="0068584C">
        <w:rPr>
          <w:rFonts w:ascii="Times New Roman" w:hAnsi="Times New Roman" w:cs="Times New Roman"/>
        </w:rPr>
        <w:t>, which encompasses</w:t>
      </w:r>
      <w:r w:rsidRPr="0068584C">
        <w:rPr>
          <w:rFonts w:ascii="Times New Roman" w:hAnsi="Times New Roman" w:cs="Times New Roman"/>
        </w:rPr>
        <w:t xml:space="preserve"> supply chain resource management</w:t>
      </w:r>
      <w:r w:rsidR="00F746CB" w:rsidRPr="0068584C">
        <w:rPr>
          <w:rFonts w:ascii="Times New Roman" w:hAnsi="Times New Roman" w:cs="Times New Roman"/>
        </w:rPr>
        <w:t>,</w:t>
      </w:r>
      <w:r w:rsidRPr="0068584C">
        <w:rPr>
          <w:rFonts w:ascii="Times New Roman" w:hAnsi="Times New Roman" w:cs="Times New Roman"/>
        </w:rPr>
        <w:t xml:space="preserve"> has many facets that are rooted in different academic disciplines. </w:t>
      </w:r>
      <w:r w:rsidR="004F64C5" w:rsidRPr="0068584C">
        <w:rPr>
          <w:rFonts w:ascii="Times New Roman" w:hAnsi="Times New Roman" w:cs="Times New Roman"/>
        </w:rPr>
        <w:t>S</w:t>
      </w:r>
      <w:r w:rsidRPr="0068584C">
        <w:rPr>
          <w:rFonts w:ascii="Times New Roman" w:hAnsi="Times New Roman" w:cs="Times New Roman"/>
        </w:rPr>
        <w:t xml:space="preserve">upply management (sourcing), entrepreneurship, strategic management, and marketing literature </w:t>
      </w:r>
      <w:r w:rsidR="004F64C5" w:rsidRPr="0068584C">
        <w:rPr>
          <w:rFonts w:ascii="Times New Roman" w:hAnsi="Times New Roman" w:cs="Times New Roman"/>
        </w:rPr>
        <w:t xml:space="preserve">offer </w:t>
      </w:r>
      <w:r w:rsidRPr="0068584C">
        <w:rPr>
          <w:rFonts w:ascii="Times New Roman" w:hAnsi="Times New Roman" w:cs="Times New Roman"/>
        </w:rPr>
        <w:t xml:space="preserve">a </w:t>
      </w:r>
      <w:r w:rsidR="002640F2" w:rsidRPr="0068584C">
        <w:rPr>
          <w:rFonts w:ascii="Times New Roman" w:hAnsi="Times New Roman" w:cs="Times New Roman"/>
        </w:rPr>
        <w:lastRenderedPageBreak/>
        <w:t xml:space="preserve">diverse </w:t>
      </w:r>
      <w:r w:rsidRPr="0068584C">
        <w:rPr>
          <w:rFonts w:ascii="Times New Roman" w:hAnsi="Times New Roman" w:cs="Times New Roman"/>
        </w:rPr>
        <w:t xml:space="preserve">research foundation for this complex phenomenon. As a starting point for the theory elaboration process, the resource management theories </w:t>
      </w:r>
      <w:r w:rsidR="001D578D" w:rsidRPr="0068584C">
        <w:rPr>
          <w:rFonts w:ascii="Times New Roman" w:hAnsi="Times New Roman" w:cs="Times New Roman"/>
        </w:rPr>
        <w:t>a</w:t>
      </w:r>
      <w:r w:rsidRPr="0068584C">
        <w:rPr>
          <w:rFonts w:ascii="Times New Roman" w:hAnsi="Times New Roman" w:cs="Times New Roman"/>
        </w:rPr>
        <w:t>re analyzed, beginning with the resource-based theory</w:t>
      </w:r>
      <w:r w:rsidR="0086014A" w:rsidRPr="0068584C">
        <w:rPr>
          <w:rFonts w:ascii="Times New Roman" w:hAnsi="Times New Roman" w:cs="Times New Roman"/>
        </w:rPr>
        <w:t xml:space="preserve"> (RBT)</w:t>
      </w:r>
      <w:r w:rsidRPr="0068584C">
        <w:rPr>
          <w:rFonts w:ascii="Times New Roman" w:hAnsi="Times New Roman" w:cs="Times New Roman"/>
        </w:rPr>
        <w:t>.</w:t>
      </w:r>
    </w:p>
    <w:p w14:paraId="5D3E6142" w14:textId="77777777" w:rsidR="005578C9" w:rsidRPr="0068584C" w:rsidRDefault="005578C9" w:rsidP="0035460B">
      <w:pPr>
        <w:spacing w:line="480" w:lineRule="auto"/>
        <w:rPr>
          <w:rFonts w:ascii="Times New Roman" w:hAnsi="Times New Roman" w:cs="Times New Roman"/>
          <w:b/>
        </w:rPr>
      </w:pPr>
    </w:p>
    <w:p w14:paraId="22E24359" w14:textId="277C3AA5" w:rsidR="005578C9" w:rsidRPr="0068584C" w:rsidRDefault="005578C9" w:rsidP="00BC1559">
      <w:pPr>
        <w:pStyle w:val="Heading3new"/>
      </w:pPr>
      <w:r w:rsidRPr="0068584C">
        <w:t xml:space="preserve">Resource Management Theories  </w:t>
      </w:r>
    </w:p>
    <w:p w14:paraId="36F217E4" w14:textId="59FDB29B" w:rsidR="00DE3F79" w:rsidRPr="0068584C" w:rsidRDefault="00553470"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R</w:t>
      </w:r>
      <w:r w:rsidR="0048640C" w:rsidRPr="0068584C">
        <w:rPr>
          <w:rFonts w:ascii="Times New Roman" w:hAnsi="Times New Roman" w:cs="Times New Roman"/>
        </w:rPr>
        <w:t>esource-based theory</w:t>
      </w:r>
      <w:r w:rsidRPr="0068584C">
        <w:rPr>
          <w:rFonts w:ascii="Times New Roman" w:hAnsi="Times New Roman" w:cs="Times New Roman"/>
          <w:color w:val="000000" w:themeColor="text1"/>
        </w:rPr>
        <w:t xml:space="preserve"> </w:t>
      </w:r>
      <w:r w:rsidR="00F70001" w:rsidRPr="0068584C">
        <w:rPr>
          <w:rFonts w:ascii="Times New Roman" w:hAnsi="Times New Roman" w:cs="Times New Roman"/>
          <w:color w:val="000000" w:themeColor="text1"/>
        </w:rPr>
        <w:t xml:space="preserve">(RBT) </w:t>
      </w:r>
      <w:r w:rsidRPr="0068584C">
        <w:rPr>
          <w:rFonts w:ascii="Times New Roman" w:hAnsi="Times New Roman" w:cs="Times New Roman"/>
          <w:color w:val="000000" w:themeColor="text1"/>
        </w:rPr>
        <w:t>has</w:t>
      </w:r>
      <w:r w:rsidR="005578C9" w:rsidRPr="0068584C">
        <w:rPr>
          <w:rFonts w:ascii="Times New Roman" w:hAnsi="Times New Roman" w:cs="Times New Roman"/>
          <w:color w:val="000000" w:themeColor="text1"/>
        </w:rPr>
        <w:t xml:space="preserve"> been applied in the strategic management literature to </w:t>
      </w:r>
      <w:r w:rsidR="0041602E" w:rsidRPr="0068584C">
        <w:rPr>
          <w:rFonts w:ascii="Times New Roman" w:hAnsi="Times New Roman" w:cs="Times New Roman"/>
          <w:color w:val="000000" w:themeColor="text1"/>
        </w:rPr>
        <w:t>explain why organizations differ in</w:t>
      </w:r>
      <w:r w:rsidR="005578C9" w:rsidRPr="0068584C">
        <w:rPr>
          <w:rFonts w:ascii="Times New Roman" w:hAnsi="Times New Roman" w:cs="Times New Roman"/>
          <w:color w:val="000000" w:themeColor="text1"/>
        </w:rPr>
        <w:t xml:space="preserve"> performance</w:t>
      </w:r>
      <w:r w:rsidR="002F0DAF" w:rsidRPr="0068584C">
        <w:rPr>
          <w:rFonts w:ascii="Times New Roman" w:hAnsi="Times New Roman" w:cs="Times New Roman"/>
          <w:color w:val="000000" w:themeColor="text1"/>
        </w:rPr>
        <w:t xml:space="preserve"> </w:t>
      </w:r>
      <w:r w:rsidR="002F0DAF"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"ISBN" : "2871375275", "author" : [ { "dropping-particle" : "", "family" : "McIvor", "given" : "Ronan", "non-dropping-particle" : "", "parse-names" : false, "suffix" : "" } ], "container-title" : "Journal of Operations Management", "id" : "ITEM-1", "issued" : { "date-parts" : [ [ "2009" ] ] }, "page" : "45-63", "title" : "How the transaction cost and resource-based theories of the firm inform outsourcing evaluation", "type" : "article-journal", "volume" : "27" }, "uris" : [ "http://www.mendeley.com/documents/?uuid=c946106e-97e9-482b-a9bd-8b7dd5b4feb0" ] }, { "id" : "ITEM-2", "itemData" : { "DOI" : "10.1111/jscm.12055", "ISBN" : "1523-2409", "ISSN" : "1745493X", "abstract" : "We highlight key contributions from the special topic forum (STF) articles and detail findings from a survey of researchers interested in the role of resources on supply chain functioning and management. We assert that the STF articles have closed important gaps between what needed to be known and is now known about how and when resources aid supply chains. However, the survey findings suggest that researchers who invoke theories of resources need to be more precise in their theoretical exposition and that future research needs to focus more heavily on the role of resources not just within, but also beyond a firm's boundaries (i.e., interfirm), and how those resources aid supply chains. The survey findings also suggest that future supply chain studies should focus more on investigating contingency relationships, and \u201cfitting\u201d research designs to address the specific research question of interest. Broadly speaking, we conclude that resources within and across firm boundaries are vital to supply chain functioning and management, but that as research evolves, new insights might be best characterized by studies that take stock of critical contingencies.", "author" : [ { "dropping-particle" : "", "family" : "Crook", "given" : "T. Russell", "non-dropping-particle" : "", "parse-names" : false, "suffix" : "" }, { "dropping-particle" : "", "family" : "Esper", "given" : "Terry L.", "non-dropping-particle" : "", "parse-names" : false, "suffix" : "" } ], "container-title" : "Journal of Supply Chain Management", "id" : "ITEM-2", "issue" : "3", "issued" : { "date-parts" : [ [ "2014" ] ] }, "page" : "94-97", "title" : "Do Resources Aid in Supply Chain Functioning and Management? Yes, But More (and More Precise) Research is Needed", "type" : "article-journal", "volume" : "50" }, "uris" : [ "http://www.mendeley.com/documents/?uuid=ffa79fbc-359a-441c-bb62-d948795f562a" ] } ], "mendeley" : { "formattedCitation" : "(Crook &amp; Esper, 2014; McIvor, 2009)", "plainTextFormattedCitation" : "(Crook &amp; Esper, 2014; McIvor, 2009)", "previouslyFormattedCitation" : "(Crook &amp; Esper, 2014; McIvor, 2009)" }, "properties" : { "noteIndex" : 0 }, "schema" : "https://github.com/citation-style-language/schema/raw/master/csl-citation.json" }</w:instrText>
      </w:r>
      <w:r w:rsidR="002F0DAF"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(Crook &amp; Esper, 2014; McIvor, 2009)</w:t>
      </w:r>
      <w:r w:rsidR="002F0DAF" w:rsidRPr="0068584C">
        <w:rPr>
          <w:rFonts w:ascii="Times New Roman" w:hAnsi="Times New Roman" w:cs="Times New Roman"/>
          <w:color w:val="000000" w:themeColor="text1"/>
        </w:rPr>
        <w:fldChar w:fldCharType="end"/>
      </w:r>
      <w:r w:rsidR="005578C9" w:rsidRPr="0068584C">
        <w:rPr>
          <w:rFonts w:ascii="Times New Roman" w:hAnsi="Times New Roman" w:cs="Times New Roman"/>
          <w:color w:val="000000" w:themeColor="text1"/>
        </w:rPr>
        <w:t xml:space="preserve">. </w:t>
      </w:r>
      <w:r w:rsidR="00FF06B3" w:rsidRPr="0068584C">
        <w:rPr>
          <w:rFonts w:ascii="Times New Roman" w:hAnsi="Times New Roman" w:cs="Times New Roman"/>
          <w:color w:val="000000" w:themeColor="text1"/>
        </w:rPr>
        <w:t>According to RBT, the organization is “a bundle of valuable strategic resources inside the firm</w:t>
      </w:r>
      <w:r w:rsidR="000272E4" w:rsidRPr="0068584C">
        <w:rPr>
          <w:rFonts w:ascii="Times New Roman" w:hAnsi="Times New Roman" w:cs="Times New Roman"/>
          <w:color w:val="000000" w:themeColor="text1"/>
        </w:rPr>
        <w:t xml:space="preserve">” </w:t>
      </w:r>
      <w:r w:rsidR="00754450" w:rsidRPr="0068584C">
        <w:rPr>
          <w:rFonts w:ascii="Times New Roman" w:hAnsi="Times New Roman" w:cs="Times New Roman"/>
          <w:color w:val="000000" w:themeColor="text1"/>
        </w:rPr>
        <w:t xml:space="preserve">that can be employed </w:t>
      </w:r>
      <w:r w:rsidR="000272E4" w:rsidRPr="0068584C">
        <w:rPr>
          <w:rFonts w:ascii="Times New Roman" w:hAnsi="Times New Roman" w:cs="Times New Roman"/>
          <w:color w:val="000000" w:themeColor="text1"/>
        </w:rPr>
        <w:t>to enhance competitiven</w:t>
      </w:r>
      <w:r w:rsidR="00754450" w:rsidRPr="0068584C">
        <w:rPr>
          <w:rFonts w:ascii="Times New Roman" w:hAnsi="Times New Roman" w:cs="Times New Roman"/>
          <w:color w:val="000000" w:themeColor="text1"/>
        </w:rPr>
        <w:t>e</w:t>
      </w:r>
      <w:r w:rsidR="000272E4" w:rsidRPr="0068584C">
        <w:rPr>
          <w:rFonts w:ascii="Times New Roman" w:hAnsi="Times New Roman" w:cs="Times New Roman"/>
          <w:color w:val="000000" w:themeColor="text1"/>
        </w:rPr>
        <w:t>ss</w:t>
      </w:r>
      <w:r w:rsidR="007A7257" w:rsidRPr="0068584C">
        <w:rPr>
          <w:rFonts w:ascii="Times New Roman" w:hAnsi="Times New Roman" w:cs="Times New Roman"/>
          <w:color w:val="000000" w:themeColor="text1"/>
        </w:rPr>
        <w:t xml:space="preserve"> </w:t>
      </w:r>
      <w:r w:rsidR="002F0DAF"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"ISBN" : "2871375275", "author" : [ { "dropping-particle" : "", "family" : "McIvor", "given" : "Ronan", "non-dropping-particle" : "", "parse-names" : false, "suffix" : "" } ], "container-title" : "Journal of Operations Management", "id" : "ITEM-1", "issued" : { "date-parts" : [ [ "2009" ] ] }, "page" : "45-63", "title" : "How the transaction cost and resource-based theories of the firm inform outsourcing evaluation", "type" : "article-journal", "volume" : "27" }, "uris" : [ "http://www.mendeley.com/documents/?uuid=c946106e-97e9-482b-a9bd-8b7dd5b4feb0" ] } ], "mendeley" : { "formattedCitation" : "(McIvor, 2009)", "plainTextFormattedCitation" : "(McIvor, 2009)", "previouslyFormattedCitation" : "(McIvor, 2009)" }, "properties" : { "noteIndex" : 0 }, "schema" : "https://github.com/citation-style-language/schema/raw/master/csl-citation.json" }</w:instrText>
      </w:r>
      <w:r w:rsidR="002F0DAF"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(McIvor, 2009)</w:t>
      </w:r>
      <w:r w:rsidR="002F0DAF" w:rsidRPr="0068584C">
        <w:rPr>
          <w:rFonts w:ascii="Times New Roman" w:hAnsi="Times New Roman" w:cs="Times New Roman"/>
          <w:color w:val="000000" w:themeColor="text1"/>
        </w:rPr>
        <w:fldChar w:fldCharType="end"/>
      </w:r>
      <w:r w:rsidR="00FF06B3" w:rsidRPr="0068584C">
        <w:rPr>
          <w:rFonts w:ascii="Times New Roman" w:hAnsi="Times New Roman" w:cs="Times New Roman"/>
          <w:color w:val="000000" w:themeColor="text1"/>
        </w:rPr>
        <w:t xml:space="preserve">. </w:t>
      </w:r>
      <w:r w:rsidR="000272E4" w:rsidRPr="0068584C">
        <w:rPr>
          <w:rFonts w:ascii="Times New Roman" w:hAnsi="Times New Roman" w:cs="Times New Roman"/>
          <w:color w:val="000000" w:themeColor="text1"/>
        </w:rPr>
        <w:t xml:space="preserve">Managers need to establish an inimitable resource portfolio that enables </w:t>
      </w:r>
      <w:r w:rsidR="003A5531" w:rsidRPr="0068584C">
        <w:rPr>
          <w:rFonts w:ascii="Times New Roman" w:hAnsi="Times New Roman" w:cs="Times New Roman"/>
          <w:color w:val="000000" w:themeColor="text1"/>
        </w:rPr>
        <w:t xml:space="preserve">the firm </w:t>
      </w:r>
      <w:r w:rsidR="000272E4" w:rsidRPr="0068584C">
        <w:rPr>
          <w:rFonts w:ascii="Times New Roman" w:hAnsi="Times New Roman" w:cs="Times New Roman"/>
          <w:color w:val="000000" w:themeColor="text1"/>
        </w:rPr>
        <w:t>to gain a competitive advantage</w:t>
      </w:r>
      <w:r w:rsidR="005578C9" w:rsidRPr="0068584C">
        <w:rPr>
          <w:rFonts w:ascii="Times New Roman" w:hAnsi="Times New Roman" w:cs="Times New Roman"/>
          <w:color w:val="000000" w:themeColor="text1"/>
        </w:rPr>
        <w:t xml:space="preserve"> </w:t>
      </w:r>
      <w:r w:rsidR="005F09F0" w:rsidRPr="0068584C">
        <w:rPr>
          <w:rFonts w:ascii="Times New Roman" w:hAnsi="Times New Roman" w:cs="Times New Roman"/>
          <w:color w:val="000000" w:themeColor="text1"/>
        </w:rPr>
        <w:t>leading ultimately</w:t>
      </w:r>
      <w:r w:rsidR="005578C9" w:rsidRPr="0068584C">
        <w:rPr>
          <w:rFonts w:ascii="Times New Roman" w:hAnsi="Times New Roman" w:cs="Times New Roman"/>
          <w:color w:val="000000" w:themeColor="text1"/>
        </w:rPr>
        <w:t xml:space="preserve"> to better performance in the market place. </w:t>
      </w:r>
      <w:r w:rsidR="00E91E95" w:rsidRPr="0068584C">
        <w:rPr>
          <w:rFonts w:ascii="Times New Roman" w:hAnsi="Times New Roman" w:cs="Times New Roman"/>
          <w:color w:val="000000" w:themeColor="text1"/>
        </w:rPr>
        <w:t>Resource acquisition performance differentials have been attributed to information asymmetry in strategic factor markets</w:t>
      </w:r>
      <w:r w:rsidR="00445134" w:rsidRPr="0068584C">
        <w:rPr>
          <w:rFonts w:ascii="Times New Roman" w:hAnsi="Times New Roman" w:cs="Times New Roman"/>
          <w:color w:val="000000" w:themeColor="text1"/>
        </w:rPr>
        <w:t xml:space="preserve"> </w:t>
      </w:r>
      <w:r w:rsidR="00445134"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"Barney", "given" : "Jay B.", "non-dropping-particle" : "", "parse-names" : false, "suffix" : "" } ], "container-title" : "Management Science", "id" : "ITEM-1", "issue" : "10", "issued" : { "date-parts" : [ [ "1986" ] ] }, "page" : "1231-1241", "title" : "Strategic Factor Markets: Expectations, Luck , and Business Strategy", "type" : "article-journal", "volume" : "32" }, "uris" : [ "http://www.mendeley.com/documents/?uuid=a8ade927-e43b-42ae-b792-11658c9e3895" ] }, { "id" : "ITEM-2", "itemData" : { "author" : [ { "dropping-particle" : "", "family" : "Ellram", "given" : "Lisa M", "non-dropping-particle" : "", "parse-names" : false, "suffix" : "" }, { "dropping-particle" : "", "family" : "Tate", "given" : "Wendy L", "non-dropping-particle" : "", "parse-names" : false, "suffix" : "" }, { "dropping-particle" : "", "family" : "Feitzinger", "given" : "Edward G", "non-dropping-particle" : "", "parse-names" : false, "suffix" : "" } ], "container-title" : "Journal of Supply Chain Management", "id" : "ITEM-2", "issue" : "1", "issued" : { "date-parts" : [ [ "2013" ] ] }, "page" : "29-46", "title" : "FACTOR-MARKET RIVALRY AND COMPETITION FOR SUPPLY CHAIN RESOURCES", "type" : "article-journal", "volume" : "49" }, "uris" : [ "http://www.mendeley.com/documents/?uuid=372a430b-f591-4c46-85cb-014fa89b3ab4" ] } ], "mendeley" : { "formattedCitation" : "(Barney, 1986; Ellram, Tate, &amp; Feitzinger, 2013)", "plainTextFormattedCitation" : "(Barney, 1986; Ellram, Tate, &amp; Feitzinger, 2013)", "previouslyFormattedCitation" : "(Barney, 1986; Ellram, Tate, &amp; Feitzinger, 2013)" }, "properties" : { "noteIndex" : 0 }, "schema" : "https://github.com/citation-style-language/schema/raw/master/csl-citation.json" }</w:instrText>
      </w:r>
      <w:r w:rsidR="00445134"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(Barney, 1986; Ellram, Tate, &amp; Feitzinger, 2013)</w:t>
      </w:r>
      <w:r w:rsidR="00445134" w:rsidRPr="0068584C">
        <w:rPr>
          <w:rFonts w:ascii="Times New Roman" w:hAnsi="Times New Roman" w:cs="Times New Roman"/>
          <w:color w:val="000000" w:themeColor="text1"/>
        </w:rPr>
        <w:fldChar w:fldCharType="end"/>
      </w:r>
      <w:r w:rsidR="00E91E95" w:rsidRPr="0068584C">
        <w:rPr>
          <w:rFonts w:ascii="Times New Roman" w:hAnsi="Times New Roman" w:cs="Times New Roman"/>
          <w:color w:val="000000" w:themeColor="text1"/>
        </w:rPr>
        <w:t>.</w:t>
      </w:r>
    </w:p>
    <w:p w14:paraId="308CD14B" w14:textId="6B1F019A" w:rsidR="00F70001" w:rsidRPr="0068584C" w:rsidRDefault="008D7601"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5578C9" w:rsidRPr="0068584C">
        <w:rPr>
          <w:rFonts w:ascii="Times New Roman" w:hAnsi="Times New Roman" w:cs="Times New Roman"/>
          <w:color w:val="000000" w:themeColor="text1"/>
        </w:rPr>
        <w:t xml:space="preserve">RBT has </w:t>
      </w:r>
      <w:r w:rsidR="000272E4" w:rsidRPr="0068584C">
        <w:rPr>
          <w:rFonts w:ascii="Times New Roman" w:hAnsi="Times New Roman" w:cs="Times New Roman"/>
          <w:color w:val="000000" w:themeColor="text1"/>
        </w:rPr>
        <w:t xml:space="preserve">also </w:t>
      </w:r>
      <w:r w:rsidR="005578C9" w:rsidRPr="0068584C">
        <w:rPr>
          <w:rFonts w:ascii="Times New Roman" w:hAnsi="Times New Roman" w:cs="Times New Roman"/>
          <w:color w:val="000000" w:themeColor="text1"/>
        </w:rPr>
        <w:t xml:space="preserve">been utilized to explain and predict </w:t>
      </w:r>
      <w:r w:rsidR="0047622A" w:rsidRPr="0068584C">
        <w:rPr>
          <w:rFonts w:ascii="Times New Roman" w:hAnsi="Times New Roman" w:cs="Times New Roman"/>
          <w:color w:val="000000" w:themeColor="text1"/>
        </w:rPr>
        <w:t>innovation performance</w:t>
      </w:r>
      <w:r w:rsidR="005578C9" w:rsidRPr="0068584C">
        <w:rPr>
          <w:rFonts w:ascii="Times New Roman" w:hAnsi="Times New Roman" w:cs="Times New Roman"/>
          <w:color w:val="000000" w:themeColor="text1"/>
        </w:rPr>
        <w:t xml:space="preserve"> differences </w:t>
      </w:r>
      <w:r w:rsidR="0000427E"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"ISBN" : "0-06-045193-9", "author" : [ { "dropping-particle" : "", "family" : "Pfeffer", "given" : "Jeffrey", "non-dropping-particle" : "", "parse-names" : false, "suffix" : "" }, { "dropping-particle" : "", "family" : "Salancik", "given" : "Gerald R.", "non-dropping-particle" : "", "parse-names" : false, "suffix" : "" } ], "chapter-number" : "10 - The D", "container-title" : "The External Control of Organizations: A Resource Dependence Perspective", "id" : "ITEM-1", "issued" : { "date-parts" : [ [ "1978" ] ] }, "page" : "257-287", "publisher" : "Harper &amp; Row", "publisher-place" : "New York, NY", "title" : "The Design and Management of Externally Controlled Organizations", "type" : "chapter" }, "uris" : [ "http://www.mendeley.com/documents/?uuid=ddb95939-ac9f-4081-b4b7-5166ada1baa2" ] }, { "id" : "ITEM-2", "itemData" : { "DOI" : "10.1287/mnsc.41.7.1224", "ISBN" : "00251909", "ISSN" : "0025-1909", "PMID" : "9512034597", "abstract" : "Organizations vary greatly in their approaches and success in the\\nintroduction of new products and services. In this study, it was\\nproposed that much of this variance can be captured by understanding the\\nextent to which product design and process design are integrated in new\\nprogram launches. A mailed survey of 43 domestic firms was used to test\\nfour propositions concerning product-process development practices.\\nSignificantly, it was found that firms using the more rare\\ndesign-manufacturing personnel integrating mechanisms (engineering job\\nrotation and mobility) have higher sales per employee. Results of a\\ndiscriminant analysis show that firms benchmarking on product\\ndevelopment practices, as contrasted with performance benchmarks, were\\nsignificantly more likely to use both the rare and the more common forms\\nof design-manufacturing integration (i.e., train personnel in new\\ndesign, methods, have manufacturing sign-off on design reviews, and\\nrestructure, e.g., use teams). Significantly, these firms also report a\\ngreater proportion of degreed manufacturing engineers. Not surprisingly,\\nlarger firms and business units were found to take longer to develop new\\nproducts.", "author" : [ { "dropping-particle" : "", "family" : "Ettlie", "given" : "J. E.", "non-dropping-particle" : "", "parse-names" : false, "suffix" : "" } ], "container-title" : "Management Science", "id" : "ITEM-2", "issued" : { "date-parts" : [ [ "1995" ] ] }, "page" : "1224-1237", "title" : "Product-Process Development Integration in Manufacturing", "type" : "article-journal", "volume" : "41" }, "uris" : [ "http://www.mendeley.com/documents/?uuid=a0e5e221-7a26-4ece-902c-36c0b06af7e6" ] } ], "mendeley" : { "formattedCitation" : "(Ettlie, 1995; Pfeffer &amp; Salancik, 1978)", "plainTextFormattedCitation" : "(Ettlie, 1995; Pfeffer &amp; Salancik, 1978)", "previouslyFormattedCitation" : "(Ettlie, 1995; Pfeffer &amp; Salancik, 1978)" }, "properties" : { "noteIndex" : 0 }, "schema" : "https://github.com/citation-style-language/schema/raw/master/csl-citation.json" }</w:instrText>
      </w:r>
      <w:r w:rsidR="0000427E"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(Ettlie, 1995; Pfeffer &amp; Salancik, 1978)</w:t>
      </w:r>
      <w:r w:rsidR="0000427E" w:rsidRPr="0068584C">
        <w:rPr>
          <w:rFonts w:ascii="Times New Roman" w:hAnsi="Times New Roman" w:cs="Times New Roman"/>
          <w:color w:val="000000" w:themeColor="text1"/>
        </w:rPr>
        <w:fldChar w:fldCharType="end"/>
      </w:r>
      <w:r w:rsidR="005578C9" w:rsidRPr="0068584C">
        <w:rPr>
          <w:rFonts w:ascii="Times New Roman" w:hAnsi="Times New Roman" w:cs="Times New Roman"/>
          <w:color w:val="000000" w:themeColor="text1"/>
        </w:rPr>
        <w:t>.</w:t>
      </w:r>
      <w:r w:rsidR="00CC21DF" w:rsidRPr="0068584C">
        <w:rPr>
          <w:rFonts w:ascii="Times New Roman" w:hAnsi="Times New Roman" w:cs="Times New Roman"/>
          <w:color w:val="000000" w:themeColor="text1"/>
        </w:rPr>
        <w:t xml:space="preserve"> </w:t>
      </w:r>
      <w:r w:rsidR="005578C9" w:rsidRPr="0068584C">
        <w:rPr>
          <w:rFonts w:ascii="Times New Roman" w:hAnsi="Times New Roman" w:cs="Times New Roman"/>
          <w:color w:val="000000" w:themeColor="text1"/>
        </w:rPr>
        <w:t xml:space="preserve">An underlying assumption of the resource-based theory is that the resource characteristics are </w:t>
      </w:r>
      <w:r w:rsidR="0047622A" w:rsidRPr="0068584C">
        <w:rPr>
          <w:rFonts w:ascii="Times New Roman" w:hAnsi="Times New Roman" w:cs="Times New Roman"/>
          <w:color w:val="000000" w:themeColor="text1"/>
        </w:rPr>
        <w:t xml:space="preserve">influencing </w:t>
      </w:r>
      <w:r w:rsidR="005578C9" w:rsidRPr="0068584C">
        <w:rPr>
          <w:rFonts w:ascii="Times New Roman" w:hAnsi="Times New Roman" w:cs="Times New Roman"/>
          <w:color w:val="000000" w:themeColor="text1"/>
        </w:rPr>
        <w:t>organizational performance</w:t>
      </w:r>
      <w:r w:rsidR="00EC18E5">
        <w:rPr>
          <w:rFonts w:ascii="Times New Roman" w:hAnsi="Times New Roman" w:cs="Times New Roman"/>
          <w:color w:val="000000" w:themeColor="text1"/>
        </w:rPr>
        <w:t xml:space="preserve"> </w:t>
      </w:r>
      <w:r w:rsidR="002B4AA3">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"ITEM-1", "issue" : "3", "issued" : { "date-parts" : [ [ "2014" ] ] }, "page" : "6-15", "title" : "Resource Gaps and Resource Orchestration Shortfalls in Supply Chain Management: The Case of Product Recalls", "type" : "article-journal", "volume" : "50" }, "uris" : [ "http://www.mendeley.com/documents/?uuid=253c704b-7d13-4b31-9f44-27ec30152f71" ] } ], "mendeley" : { "formattedCitation" : "(Ketchen, Wowak, &amp; Craighead, 2014)", "plainTextFormattedCitation" : "(Ketchen, Wowak, &amp; Craighead, 2014)", "previouslyFormattedCitation" : "(Ketchen, Wowak, &amp; Craighead, 2014)" }, "properties" : { "noteIndex" : 0 }, "schema" : "https://github.com/citation-style-language/schema/raw/master/csl-citation.json" }</w:instrText>
      </w:r>
      <w:r w:rsidR="002B4AA3">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(Ketchen, Wowak, &amp; Craighead, 2014)</w:t>
      </w:r>
      <w:r w:rsidR="002B4AA3">
        <w:rPr>
          <w:rFonts w:ascii="Times New Roman" w:hAnsi="Times New Roman" w:cs="Times New Roman"/>
          <w:color w:val="000000" w:themeColor="text1"/>
        </w:rPr>
        <w:fldChar w:fldCharType="end"/>
      </w:r>
      <w:r w:rsidR="005578C9" w:rsidRPr="0068584C">
        <w:rPr>
          <w:rFonts w:ascii="Times New Roman" w:hAnsi="Times New Roman" w:cs="Times New Roman"/>
          <w:color w:val="000000" w:themeColor="text1"/>
        </w:rPr>
        <w:t xml:space="preserve">. </w:t>
      </w:r>
      <w:r w:rsidR="0047622A" w:rsidRPr="0068584C">
        <w:rPr>
          <w:rFonts w:ascii="Times New Roman" w:hAnsi="Times New Roman" w:cs="Times New Roman"/>
          <w:color w:val="000000" w:themeColor="text1"/>
        </w:rPr>
        <w:t>Specifically,</w:t>
      </w:r>
      <w:r w:rsidR="00A028B8" w:rsidRPr="0068584C">
        <w:rPr>
          <w:rFonts w:ascii="Times New Roman" w:hAnsi="Times New Roman" w:cs="Times New Roman"/>
          <w:color w:val="000000" w:themeColor="text1"/>
        </w:rPr>
        <w:t xml:space="preserve"> the</w:t>
      </w:r>
      <w:r w:rsidR="005578C9" w:rsidRPr="0068584C">
        <w:rPr>
          <w:rFonts w:ascii="Times New Roman" w:hAnsi="Times New Roman" w:cs="Times New Roman"/>
          <w:color w:val="000000" w:themeColor="text1"/>
        </w:rPr>
        <w:t xml:space="preserve"> </w:t>
      </w:r>
      <w:r w:rsidR="0047622A" w:rsidRPr="0068584C">
        <w:rPr>
          <w:rFonts w:ascii="Times New Roman" w:hAnsi="Times New Roman" w:cs="Times New Roman"/>
          <w:color w:val="000000" w:themeColor="text1"/>
        </w:rPr>
        <w:t>“</w:t>
      </w:r>
      <w:r w:rsidR="005578C9" w:rsidRPr="0068584C">
        <w:rPr>
          <w:rFonts w:ascii="Times New Roman" w:hAnsi="Times New Roman" w:cs="Times New Roman"/>
          <w:color w:val="000000" w:themeColor="text1"/>
        </w:rPr>
        <w:t>tacitness, complexity, and specificity</w:t>
      </w:r>
      <w:r w:rsidR="00A028B8" w:rsidRPr="0068584C">
        <w:rPr>
          <w:rFonts w:ascii="Times New Roman" w:hAnsi="Times New Roman" w:cs="Times New Roman"/>
          <w:color w:val="000000" w:themeColor="text1"/>
        </w:rPr>
        <w:t>”</w:t>
      </w:r>
      <w:r w:rsidR="005578C9" w:rsidRPr="0068584C">
        <w:rPr>
          <w:rFonts w:ascii="Times New Roman" w:hAnsi="Times New Roman" w:cs="Times New Roman"/>
          <w:color w:val="000000" w:themeColor="text1"/>
        </w:rPr>
        <w:t xml:space="preserve"> </w:t>
      </w:r>
      <w:r w:rsidR="00A028B8" w:rsidRPr="0068584C">
        <w:rPr>
          <w:rFonts w:ascii="Times New Roman" w:hAnsi="Times New Roman" w:cs="Times New Roman"/>
          <w:color w:val="000000" w:themeColor="text1"/>
        </w:rPr>
        <w:t xml:space="preserve">characteristics </w:t>
      </w:r>
      <w:r w:rsidR="005578C9" w:rsidRPr="0068584C">
        <w:rPr>
          <w:rFonts w:ascii="Times New Roman" w:hAnsi="Times New Roman" w:cs="Times New Roman"/>
          <w:color w:val="000000" w:themeColor="text1"/>
        </w:rPr>
        <w:t xml:space="preserve">of resources </w:t>
      </w:r>
      <w:r w:rsidR="00A028B8" w:rsidRPr="0068584C">
        <w:rPr>
          <w:rFonts w:ascii="Times New Roman" w:hAnsi="Times New Roman" w:cs="Times New Roman"/>
          <w:color w:val="000000" w:themeColor="text1"/>
        </w:rPr>
        <w:t xml:space="preserve">can </w:t>
      </w:r>
      <w:r w:rsidR="005578C9" w:rsidRPr="0068584C">
        <w:rPr>
          <w:rFonts w:ascii="Times New Roman" w:hAnsi="Times New Roman" w:cs="Times New Roman"/>
          <w:color w:val="000000" w:themeColor="text1"/>
        </w:rPr>
        <w:t>prevent imitation by competitors and thus enable improved market performance</w:t>
      </w:r>
      <w:r w:rsidR="004A1217" w:rsidRPr="0068584C">
        <w:rPr>
          <w:rFonts w:ascii="Times New Roman" w:hAnsi="Times New Roman" w:cs="Times New Roman"/>
          <w:color w:val="000000" w:themeColor="text1"/>
        </w:rPr>
        <w:t xml:space="preserve"> </w:t>
      </w:r>
      <w:r w:rsidR="004A1217"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"10.1002/smj.223", "ISSN" : "0143-2095", "author" : [ { "dropping-particle" : "", "family" : "McEvily", "given" : "Susan K.", "non-dropping-particle" : "", "parse-names" : false, "suffix" : "" }, { "dropping-particle" : "", "family" : "Chakravarthy", "given" : "Bala", "non-dropping-particle" : "", "parse-names" : false, "suffix" : "" } ], "container-title" : "Strategic Management Journal", "id" : "ITEM-1", "issue" : "4", "issued" : { "date-parts" : [ [ "2002" ] ] }, "page" : "285-305", "title" : "The persistence of knowledge-based advantage: an empirical test for product performance and technological knowledge", "type" : "article-journal", "volume" : "23" }, "uris" : [ "http://www.mendeley.com/documents/?uuid=d53eefd9-f9fd-4b98-8edb-42832a7cf0c1" ] } ], "mendeley" : { "formattedCitation" : "(McEvily &amp; Chakravarthy, 2002)", "plainTextFormattedCitation" : "(McEvily &amp; Chakravarthy, 2002)", "previouslyFormattedCitation" : "(McEvily &amp; Chakravarthy, 2002)" }, "properties" : { "noteIndex" : 0 }, "schema" : "https://github.com/citation-style-language/schema/raw/master/csl-citation.json" }</w:instrText>
      </w:r>
      <w:r w:rsidR="004A1217"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(McEvily &amp; Chakravarthy, 2002)</w:t>
      </w:r>
      <w:r w:rsidR="004A1217" w:rsidRPr="0068584C">
        <w:rPr>
          <w:rFonts w:ascii="Times New Roman" w:hAnsi="Times New Roman" w:cs="Times New Roman"/>
          <w:color w:val="000000" w:themeColor="text1"/>
        </w:rPr>
        <w:fldChar w:fldCharType="end"/>
      </w:r>
      <w:r w:rsidR="005578C9" w:rsidRPr="0068584C">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1D578D" w:rsidRPr="0068584C">
        <w:rPr>
          <w:rFonts w:ascii="Times New Roman" w:hAnsi="Times New Roman" w:cs="Times New Roman"/>
          <w:color w:val="000000" w:themeColor="text1"/>
        </w:rPr>
        <w:t xml:space="preserve">Apart from the resource-based theory, further consideration is given to the </w:t>
      </w:r>
      <w:r w:rsidR="001D578D" w:rsidRPr="0068584C">
        <w:rPr>
          <w:rFonts w:ascii="Times New Roman" w:hAnsi="Times New Roman" w:cs="Times New Roman"/>
        </w:rPr>
        <w:t>dynamic capabilities theory (</w:t>
      </w:r>
      <w:r w:rsidR="001D578D" w:rsidRPr="0068584C">
        <w:rPr>
          <w:rFonts w:ascii="Times New Roman" w:hAnsi="Times New Roman" w:cs="Times New Roman"/>
          <w:color w:val="000000" w:themeColor="text1"/>
        </w:rPr>
        <w:t>DCT) and resource orchestration theory (ROT)</w:t>
      </w:r>
      <w:r w:rsidR="00CC21DF" w:rsidRPr="0068584C">
        <w:rPr>
          <w:rFonts w:ascii="Times New Roman" w:hAnsi="Times New Roman" w:cs="Times New Roman"/>
          <w:color w:val="000000" w:themeColor="text1"/>
        </w:rPr>
        <w:t>,</w:t>
      </w:r>
      <w:r w:rsidR="001D578D" w:rsidRPr="0068584C">
        <w:rPr>
          <w:rFonts w:ascii="Times New Roman" w:hAnsi="Times New Roman" w:cs="Times New Roman"/>
          <w:color w:val="000000" w:themeColor="text1"/>
        </w:rPr>
        <w:t xml:space="preserve"> which</w:t>
      </w:r>
      <w:r w:rsidR="00F70001" w:rsidRPr="0068584C">
        <w:rPr>
          <w:rFonts w:ascii="Times New Roman" w:hAnsi="Times New Roman" w:cs="Times New Roman"/>
          <w:color w:val="000000" w:themeColor="text1"/>
        </w:rPr>
        <w:t xml:space="preserve"> are</w:t>
      </w:r>
      <w:r w:rsidR="001D578D" w:rsidRPr="0068584C">
        <w:rPr>
          <w:rFonts w:ascii="Times New Roman" w:hAnsi="Times New Roman" w:cs="Times New Roman"/>
          <w:color w:val="000000" w:themeColor="text1"/>
        </w:rPr>
        <w:t xml:space="preserve"> extensions of RBT. </w:t>
      </w:r>
      <w:r w:rsidR="004F7951" w:rsidRPr="0068584C">
        <w:rPr>
          <w:rFonts w:ascii="Times New Roman" w:hAnsi="Times New Roman" w:cs="Times New Roman"/>
        </w:rPr>
        <w:t xml:space="preserve">The theory of dynamic capabilities posits that the </w:t>
      </w:r>
      <w:r w:rsidR="003A5531" w:rsidRPr="0068584C">
        <w:rPr>
          <w:rFonts w:ascii="Times New Roman" w:hAnsi="Times New Roman" w:cs="Times New Roman"/>
        </w:rPr>
        <w:t xml:space="preserve">timely </w:t>
      </w:r>
      <w:r w:rsidR="004F7951" w:rsidRPr="0068584C">
        <w:rPr>
          <w:rFonts w:ascii="Times New Roman" w:hAnsi="Times New Roman" w:cs="Times New Roman"/>
        </w:rPr>
        <w:t>re-</w:t>
      </w:r>
      <w:r w:rsidR="004F7951" w:rsidRPr="0068584C">
        <w:rPr>
          <w:rFonts w:ascii="Times New Roman" w:hAnsi="Times New Roman" w:cs="Times New Roman"/>
          <w:color w:val="000000" w:themeColor="text1"/>
        </w:rPr>
        <w:t>configuration of critical resources enable</w:t>
      </w:r>
      <w:r w:rsidR="003A5531" w:rsidRPr="0068584C">
        <w:rPr>
          <w:rFonts w:ascii="Times New Roman" w:hAnsi="Times New Roman" w:cs="Times New Roman"/>
          <w:color w:val="000000" w:themeColor="text1"/>
        </w:rPr>
        <w:t>s</w:t>
      </w:r>
      <w:r w:rsidR="004F7951" w:rsidRPr="0068584C">
        <w:rPr>
          <w:rFonts w:ascii="Times New Roman" w:hAnsi="Times New Roman" w:cs="Times New Roman"/>
          <w:color w:val="000000" w:themeColor="text1"/>
        </w:rPr>
        <w:t xml:space="preserve"> organizations to adapt to an environment of uncertainty and</w:t>
      </w:r>
      <w:r w:rsidR="00D84AF3">
        <w:rPr>
          <w:rFonts w:ascii="Times New Roman" w:hAnsi="Times New Roman" w:cs="Times New Roman"/>
          <w:color w:val="000000" w:themeColor="text1"/>
        </w:rPr>
        <w:t xml:space="preserve"> </w:t>
      </w:r>
      <w:r w:rsidR="004F7951" w:rsidRPr="0068584C">
        <w:rPr>
          <w:rFonts w:ascii="Times New Roman" w:hAnsi="Times New Roman" w:cs="Times New Roman"/>
          <w:color w:val="000000" w:themeColor="text1"/>
        </w:rPr>
        <w:t>volatility</w:t>
      </w:r>
      <w:r w:rsidR="003A5531" w:rsidRPr="0068584C">
        <w:rPr>
          <w:rFonts w:ascii="Times New Roman" w:hAnsi="Times New Roman" w:cs="Times New Roman"/>
          <w:color w:val="000000" w:themeColor="text1"/>
        </w:rPr>
        <w:t>, which can result in a competitive advantage</w:t>
      </w:r>
      <w:r w:rsidR="004F7951" w:rsidRPr="0068584C">
        <w:rPr>
          <w:rFonts w:ascii="Times New Roman" w:hAnsi="Times New Roman" w:cs="Times New Roman"/>
          <w:color w:val="000000" w:themeColor="text1"/>
        </w:rPr>
        <w:t xml:space="preserve"> </w:t>
      </w:r>
      <w:r w:rsidR="004F7951"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"ISSN" : "01432095", "PMID" : "20859841", "abstract" : "The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 "author" : [ { "dropping-particle" : "", "family" : "Teece", "given" : "David J", "non-dropping-particle" : "", "parse-names" : false, "suffix" : "" }, { "dropping-particle" : "", "family" : "Pisano", "given" : "Gary", "non-dropping-particle" : "", "parse-names" : false, "suffix" : "" }, { "dropping-particle" : "", "family" : "Shuen", "given" : "Amy", "non-dropping-particle" : "", "parse-names" : false, "suffix" : "" } ], "chapter-number" : "19", "container-title" : "Strategic Management Journal", "editor" : [ { "dropping-particle" : "", "family" : "Dosi", "given" : "Giovanni", "non-dropping-particle" : "", "parse-names" : false, "suffix" : "" }, { "dropping-particle" : "", "family" : "Nelson", "given" : "Richard R", "non-dropping-particle" : "", "parse-names" : false, "suffix" : "" }, { "dropping-particle" : "", "family" : "Winter", "given" : "Sidney G", "non-dropping-particle" : "", "parse-names" : false, "suffix" : "" } ], "id" : "ITEM-1", "issue" : "7", "issued" : { "date-parts" : [ [ "1997" ] ] }, "page" : "509-533", "publisher" : "John Wiley &amp; Sons", "title" : "Dynamic capabilities and strategic management", "type" : "article-journal", "volume" : "18" }, "uris" : [ "http://www.mendeley.com/documents/?uuid=02891bcf-d320-4c43-b905-18e5702c29c5" ] }, { "id" : "ITEM-2",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"ITEM-2", "issued" : { "date-parts" : [ [ "2000" ] ] }, "page" : "1105-1121", "title" : "Dynamic Capabilities: What Are They?", "type" : "article-journal", "volume" : "21" }, "uris" : [ "http://www.mendeley.com/documents/?uuid=29651fe3-b2a9-482d-82cf-c139477ca50d" ] } ], "mendeley" : { "formattedCitation" : "(Eisenhardt &amp; Martin, 2000; Teece, Pisano, &amp; Shuen, 1997)", "plainTextFormattedCitation" : "(Eisenhardt &amp; Martin, 2000; Teece, Pisano, &amp; Shuen, 1997)", "previouslyFormattedCitation" : "(Eisenhardt &amp; Martin, 2000; Teece, Pisano, &amp; Shuen, 1997)" }, "properties" : { "noteIndex" : 0 }, "schema" : "https://github.com/citation-style-language/schema/raw/master/csl-citation.json" }</w:instrText>
      </w:r>
      <w:r w:rsidR="004F7951"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 xml:space="preserve">(Eisenhardt &amp; Martin, 2000; Teece, </w:t>
      </w:r>
      <w:r w:rsidR="000E6ECE" w:rsidRPr="000E6ECE">
        <w:rPr>
          <w:rFonts w:ascii="Times New Roman" w:hAnsi="Times New Roman" w:cs="Times New Roman"/>
          <w:noProof/>
          <w:color w:val="000000" w:themeColor="text1"/>
        </w:rPr>
        <w:lastRenderedPageBreak/>
        <w:t>Pisano, &amp; Shuen, 1997)</w:t>
      </w:r>
      <w:r w:rsidR="004F7951" w:rsidRPr="0068584C">
        <w:rPr>
          <w:rFonts w:ascii="Times New Roman" w:hAnsi="Times New Roman" w:cs="Times New Roman"/>
          <w:color w:val="000000" w:themeColor="text1"/>
        </w:rPr>
        <w:fldChar w:fldCharType="end"/>
      </w:r>
      <w:r w:rsidR="004F7951" w:rsidRPr="0068584C">
        <w:rPr>
          <w:rFonts w:ascii="Times New Roman" w:hAnsi="Times New Roman" w:cs="Times New Roman"/>
          <w:color w:val="000000" w:themeColor="text1"/>
        </w:rPr>
        <w:t xml:space="preserve">. </w:t>
      </w:r>
      <w:r w:rsidR="003A5531" w:rsidRPr="0068584C">
        <w:rPr>
          <w:rFonts w:ascii="Times New Roman" w:hAnsi="Times New Roman" w:cs="Times New Roman"/>
          <w:color w:val="000000" w:themeColor="text1"/>
        </w:rPr>
        <w:t xml:space="preserve">In dynamic markets, the continuous configuration and manipulation of knowledge resources </w:t>
      </w:r>
      <w:r w:rsidR="0015575B" w:rsidRPr="0068584C">
        <w:rPr>
          <w:rFonts w:ascii="Times New Roman" w:hAnsi="Times New Roman" w:cs="Times New Roman"/>
          <w:color w:val="000000" w:themeColor="text1"/>
        </w:rPr>
        <w:t xml:space="preserve">have </w:t>
      </w:r>
      <w:r w:rsidR="003A5531" w:rsidRPr="0068584C">
        <w:rPr>
          <w:rFonts w:ascii="Times New Roman" w:hAnsi="Times New Roman" w:cs="Times New Roman"/>
          <w:color w:val="000000" w:themeColor="text1"/>
        </w:rPr>
        <w:t>been observed as particularly essential</w:t>
      </w:r>
      <w:r w:rsidR="00C72701" w:rsidRPr="0068584C">
        <w:rPr>
          <w:rFonts w:ascii="Times New Roman" w:hAnsi="Times New Roman" w:cs="Times New Roman"/>
          <w:color w:val="000000" w:themeColor="text1"/>
        </w:rPr>
        <w:t xml:space="preserve"> </w:t>
      </w:r>
      <w:r w:rsidR="00C72701"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"10.2307/2486994", "ISBN" : "01432095", "ISSN" : "0143-2095", "PMID" : "10906095", "abstract" : "Given assumptions about the characteristics of knowledge and the knowledge requirements of production, the firm is conceptualized as an institution for integrating knowledge. The primary contribution of the paper is in exploring the coordination mechanisms through which firms integrate the specialist knowledge of their members. In contrast to earlier literature, knowledge is viewed as residing within the individual, and the primary role of the organization is knowledge application rather than knowledge creation. The resulting theory has implications for the basis of organizational capability, the principles of organization design (in particular, the analysis of hierarchy and the distribution of decision-making authority), and the determinants of the horizontal and vertical boundaries of the firm. More generally, the knowledge-based approach sheds new light upon current organizational innovations and trends and has far- reaching implications for management practice", "author" : [ { "dropping-particle" : "", "family" : "Grant", "given" : "Robert M", "non-dropping-particle" : "", "parse-names" : false, "suffix" : "" } ], "container-title" : "Strategic Management Journal", "id" : "ITEM-1", "issued" : { "date-parts" : [ [ "1996" ] ] }, "page" : "109-122", "title" : "Toward a Knowledge-Based Theory of the Firm", "type" : "article-journal", "volume" : "17" }, "uris" : [ "http://www.mendeley.com/documents/?uuid=797e13ca-9e3e-469f-b621-7e4c955fd775" ] }, { "id" : "ITEM-2", "itemData" : { "DOI" : "10.1287/orsc.7.5.502", "ISBN" : "10477039", "ISSN" : "1047-7039", "PMID" : "4436095", "abstract" : "Firms are organizations that represent social knowledge of coordination and learning. But why should their boundaries demarcate quantitative shifts in the knowledge and capability of their members? Should not knowledge reside also in a network of interacting firms? This line of questioning presents the challenge to state an alternative view to the \"theory of the firm,\" a theory that has moved from Coase's early treatment of what firms do to a concern with ownership, incentives, and self-interest. We return to Coase's original insight in understanding the cost and benefits of a firm but based on a view that individuals are characterized by an \"unsocial sociality.\" Does the perception of opportunism generate the need to integrate market transactions into the firm, or do boundaries of the firm lead to the attribution of opportunism? This basic dichotomy between self-interest and the longing to belong is the behavioral underpinning to the superiority of firms over markets in resolving a fundamental dilemma: productivity grows with the division of labor but specialization increases the costs of communication and coordination. The knowledge of the firm has an economic value over market transactions when identity leads to social knowledge that supports coordination and communication. Through identification, procedural rules are learned, and coordination and communication are facilitated across individuals and groups of diverse specialized competence. A firm is distinct from a market because coordination, communication, and learning are situated not only physically in locality, but also mentally in an identity. Since identity implies a moral order as well as rules of exclusion, there are limitations and costs to relying upon a firm for exchange as opposed to the market. These costs are not necessarily those traditionally assigned to the category of decreasing returns to hierarchy. For example, an identity implies that some practices, and businesses, may be notionally... [ABSTRACT FROM AUTHOR]", "author" : [ { "dropping-particle" : "", "family" : "Kogut", "given" : "B.", "non-dropping-particle" : "", "parse-names" : false, "suffix" : "" }, { "dropping-particle" : "", "family" : "Zander", "given" : "U.", "non-dropping-particle" : "", "parse-names" : false, "suffix" : "" } ], "container-title" : "Organization Science", "id" : "ITEM-2", "issue" : "5", "issued" : { "date-parts" : [ [ "1996" ] ] }, "page" : "502-518", "title" : "What Firms Do? Coordination, Identity, and Learning", "type" : "article-journal", "volume" : "7" }, "uris" : [ "http://www.mendeley.com/documents/?uuid=f946c4b5-66e3-4518-9395-18ca2b330e8c" ] }, { "id" : "ITEM-3",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"ITEM-3", "issued" : { "date-parts" : [ [ "2000" ] ] }, "page" : "1105-1121", "title" : "Dynamic Capabilities: What Are They?", "type" : "article-journal", "volume" : "21" }, "uris" : [ "http://www.mendeley.com/documents/?uuid=29651fe3-b2a9-482d-82cf-c139477ca50d" ] } ], "mendeley" : { "formattedCitation" : "(Eisenhardt &amp; Martin, 2000; Grant, 1996; Kogut &amp; Zander, 1996)", "plainTextFormattedCitation" : "(Eisenhardt &amp; Martin, 2000; Grant, 1996; Kogut &amp; Zander, 1996)", "previouslyFormattedCitation" : "(Eisenhardt &amp; Martin, 2000; Grant, 1996; Kogut &amp; Zander, 1996)" }, "properties" : { "noteIndex" : 0 }, "schema" : "https://github.com/citation-style-language/schema/raw/master/csl-citation.json" }</w:instrText>
      </w:r>
      <w:r w:rsidR="00C72701"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(Eisenhardt &amp; Martin, 2000; Grant, 1996; Kogut &amp; Zander, 1996)</w:t>
      </w:r>
      <w:r w:rsidR="00C72701" w:rsidRPr="0068584C">
        <w:rPr>
          <w:rFonts w:ascii="Times New Roman" w:hAnsi="Times New Roman" w:cs="Times New Roman"/>
          <w:color w:val="000000" w:themeColor="text1"/>
        </w:rPr>
        <w:fldChar w:fldCharType="end"/>
      </w:r>
      <w:r w:rsidR="003A5531" w:rsidRPr="0068584C">
        <w:rPr>
          <w:rFonts w:ascii="Times New Roman" w:hAnsi="Times New Roman" w:cs="Times New Roman"/>
          <w:color w:val="000000" w:themeColor="text1"/>
        </w:rPr>
        <w:t xml:space="preserve">. </w:t>
      </w:r>
      <w:r w:rsidR="00CC21DF" w:rsidRPr="0068584C">
        <w:rPr>
          <w:rFonts w:ascii="Times New Roman" w:hAnsi="Times New Roman" w:cs="Times New Roman"/>
          <w:color w:val="000000" w:themeColor="text1"/>
        </w:rPr>
        <w:t xml:space="preserve">Finally, the </w:t>
      </w:r>
      <w:r w:rsidR="009C4ADB">
        <w:rPr>
          <w:rFonts w:ascii="Times New Roman" w:hAnsi="Times New Roman" w:cs="Times New Roman"/>
          <w:color w:val="000000" w:themeColor="text1"/>
        </w:rPr>
        <w:t>r</w:t>
      </w:r>
      <w:r w:rsidR="0079615C" w:rsidRPr="0068584C">
        <w:rPr>
          <w:rFonts w:ascii="Times New Roman" w:hAnsi="Times New Roman" w:cs="Times New Roman"/>
          <w:color w:val="000000" w:themeColor="text1"/>
        </w:rPr>
        <w:t xml:space="preserve">esource </w:t>
      </w:r>
      <w:r w:rsidR="009C4ADB">
        <w:rPr>
          <w:rFonts w:ascii="Times New Roman" w:hAnsi="Times New Roman" w:cs="Times New Roman"/>
          <w:color w:val="000000" w:themeColor="text1"/>
        </w:rPr>
        <w:t>o</w:t>
      </w:r>
      <w:r w:rsidR="0079615C" w:rsidRPr="0068584C">
        <w:rPr>
          <w:rFonts w:ascii="Times New Roman" w:hAnsi="Times New Roman" w:cs="Times New Roman"/>
          <w:color w:val="000000" w:themeColor="text1"/>
        </w:rPr>
        <w:t xml:space="preserve">rchestration </w:t>
      </w:r>
      <w:r w:rsidR="009C4ADB">
        <w:rPr>
          <w:rFonts w:ascii="Times New Roman" w:hAnsi="Times New Roman" w:cs="Times New Roman"/>
          <w:color w:val="000000" w:themeColor="text1"/>
        </w:rPr>
        <w:t>t</w:t>
      </w:r>
      <w:r w:rsidR="0079615C" w:rsidRPr="0068584C">
        <w:rPr>
          <w:rFonts w:ascii="Times New Roman" w:hAnsi="Times New Roman" w:cs="Times New Roman"/>
          <w:color w:val="000000" w:themeColor="text1"/>
        </w:rPr>
        <w:t>heory is an emerging theoretical perspective on resource management</w:t>
      </w:r>
      <w:r w:rsidR="002D33BC" w:rsidRPr="0068584C">
        <w:rPr>
          <w:rFonts w:ascii="Times New Roman" w:hAnsi="Times New Roman" w:cs="Times New Roman"/>
          <w:color w:val="000000" w:themeColor="text1"/>
        </w:rPr>
        <w:t xml:space="preserve"> emphasizing the critical role of managerial actions</w:t>
      </w:r>
      <w:r w:rsidR="007D5182">
        <w:rPr>
          <w:rFonts w:ascii="Times New Roman" w:hAnsi="Times New Roman" w:cs="Times New Roman"/>
          <w:color w:val="000000" w:themeColor="text1"/>
        </w:rPr>
        <w:t xml:space="preserve"> </w:t>
      </w:r>
      <w:r w:rsidR="001C7C1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"ITEM-1", "issue" : "3", "issued" : { "date-parts" : [ [ "2014" ] ] }, "page" : "6-15", "title" : "Resource Gaps and Resource Orchestration Shortfalls in Supply Chain Management: The Case of Product Recalls", "type" : "article-journal", "volume" : "50" }, "uris" : [ "http://www.mendeley.com/documents/?uuid=253c704b-7d13-4b31-9f44-27ec30152f71" ] }, { "id" : "ITEM-2", "itemData" : { "DOI" : "10.1016/j.jom.2014.06.003", "ISSN" : "0272-6963", "author" : [ { "dropping-particle" : "", "family" : "Koufteros", "given" : "Xenophon", "non-dropping-particle" : "", "parse-names" : false, "suffix" : "" }, { "dropping-particle" : "", "family" : "Verghese", "given" : "Anto", "non-dropping-particle" : "", "parse-names" : false, "suffix" : "" }, { "dropping-particle" : "", "family" : "Lucianetti", "given" : "Lorenzo", "non-dropping-particle" : "", "parse-names" : false, "suffix" : "" } ], "container-title" : "Journal of Operations Management", "id" : "ITEM-2", "issue" : "6", "issued" : { "date-parts" : [ [ "2014" ] ] }, "page" : "313-336", "publisher" : "Elsevier B.V.", "title" : "The effect of performance measurement systems on firm performance: A cross-sectional and a longitudinal study", "type" : "article-journal", "volume" : "32" }, "uris" : [ "http://www.mendeley.com/documents/?uuid=4019bf10-e246-4bfe-8b14-65083d2d2c97" ] } ], "mendeley" : { "formattedCitation" : "(Ketchen et al., 2014; Koufteros, Verghese, &amp; Lucianetti, 2014)", "plainTextFormattedCitation" : "(Ketchen et al., 2014; Koufteros, Verghese, &amp; Lucianetti, 2014)", "previouslyFormattedCitation" : "(Ketchen et al., 2014; Koufteros, Verghese, &amp; Lucianetti, 2014)" }, "properties" : { "noteIndex" : 0 }, "schema" : "https://github.com/citation-style-language/schema/raw/master/csl-citation.json" }</w:instrText>
      </w:r>
      <w:r w:rsidR="001C7C1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(Ketchen et al., 2014; Koufteros, Verghese, &amp; Lucianetti, 2014)</w:t>
      </w:r>
      <w:r w:rsidR="001C7C1C">
        <w:rPr>
          <w:rFonts w:ascii="Times New Roman" w:hAnsi="Times New Roman" w:cs="Times New Roman"/>
          <w:color w:val="000000" w:themeColor="text1"/>
        </w:rPr>
        <w:fldChar w:fldCharType="end"/>
      </w:r>
      <w:r w:rsidR="0079615C" w:rsidRPr="0068584C">
        <w:rPr>
          <w:rFonts w:ascii="Times New Roman" w:hAnsi="Times New Roman" w:cs="Times New Roman"/>
          <w:color w:val="000000" w:themeColor="text1"/>
        </w:rPr>
        <w:t>.</w:t>
      </w:r>
    </w:p>
    <w:p w14:paraId="728069F7" w14:textId="422D2E91" w:rsidR="006624E6" w:rsidRPr="0068584C" w:rsidRDefault="008D7601" w:rsidP="0035460B">
      <w:pPr>
        <w:spacing w:line="480" w:lineRule="auto"/>
        <w:jc w:val="both"/>
        <w:rPr>
          <w:rFonts w:ascii="Times New Roman" w:hAnsi="Times New Roman" w:cs="Times New Roman"/>
          <w:i/>
        </w:rPr>
      </w:pPr>
      <w:r>
        <w:rPr>
          <w:rFonts w:ascii="Times New Roman" w:hAnsi="Times New Roman" w:cs="Times New Roman"/>
          <w:color w:val="000000" w:themeColor="text1"/>
        </w:rPr>
        <w:tab/>
      </w:r>
      <w:r w:rsidR="007F7613" w:rsidRPr="0068584C">
        <w:rPr>
          <w:rFonts w:ascii="Times New Roman" w:hAnsi="Times New Roman" w:cs="Times New Roman"/>
          <w:color w:val="000000" w:themeColor="text1"/>
        </w:rPr>
        <w:t xml:space="preserve">ROT </w:t>
      </w:r>
      <w:r w:rsidR="00DE3F79" w:rsidRPr="0068584C">
        <w:rPr>
          <w:rFonts w:ascii="Times New Roman" w:hAnsi="Times New Roman" w:cs="Times New Roman"/>
          <w:color w:val="000000" w:themeColor="text1"/>
        </w:rPr>
        <w:t xml:space="preserve">has </w:t>
      </w:r>
      <w:r w:rsidR="007F7613" w:rsidRPr="0068584C">
        <w:rPr>
          <w:rFonts w:ascii="Times New Roman" w:hAnsi="Times New Roman" w:cs="Times New Roman"/>
          <w:color w:val="000000" w:themeColor="text1"/>
        </w:rPr>
        <w:t xml:space="preserve">roots in resource-based theory and dynamic capabilities theory </w:t>
      </w:r>
      <w:r w:rsidR="007F7613"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007F7613"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(Sirmon et al., 2011)</w:t>
      </w:r>
      <w:r w:rsidR="007F7613" w:rsidRPr="0068584C">
        <w:rPr>
          <w:rFonts w:ascii="Times New Roman" w:hAnsi="Times New Roman" w:cs="Times New Roman"/>
          <w:color w:val="000000" w:themeColor="text1"/>
        </w:rPr>
        <w:fldChar w:fldCharType="end"/>
      </w:r>
      <w:r w:rsidR="007F7613" w:rsidRPr="0068584C">
        <w:rPr>
          <w:rFonts w:ascii="Times New Roman" w:hAnsi="Times New Roman" w:cs="Times New Roman"/>
          <w:color w:val="000000" w:themeColor="text1"/>
        </w:rPr>
        <w:t>.</w:t>
      </w:r>
      <w:r w:rsidR="00A76B00" w:rsidRPr="0068584C">
        <w:rPr>
          <w:rFonts w:ascii="Times New Roman" w:hAnsi="Times New Roman" w:cs="Times New Roman"/>
          <w:color w:val="000000" w:themeColor="text1"/>
        </w:rPr>
        <w:t xml:space="preserve"> Resource orchestration is concerned with the managerial decisions and processes about how to manage resources effectively and efficiently</w:t>
      </w:r>
      <w:r w:rsidR="007A741E" w:rsidRPr="0068584C">
        <w:rPr>
          <w:rFonts w:ascii="Times New Roman" w:hAnsi="Times New Roman" w:cs="Times New Roman"/>
          <w:color w:val="000000" w:themeColor="text1"/>
        </w:rPr>
        <w:t xml:space="preserve"> </w:t>
      </w:r>
      <w:r w:rsidR="007A741E"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"10.1002/sej.1227", "author" : [ { "dropping-particle" : "", "family" : "Baert", "given" : "Caroline", "non-dropping-particle" : "", "parse-names" : false, "suffix" : "" }, { "dropping-particle" : "", "family" : "Meuleman", "given" : "Miguel", "non-dropping-particle" : "", "parse-names" : false, "suffix" : "" }, { "dropping-particle" : "", "family" : "Debruyne", "given" : "Marion", "non-dropping-particle" : "", "parse-names" : false, "suffix" : "" }, { "dropping-particle" : "", "family" : "Wright", "given" : "Mike", "non-dropping-particle" : "", "parse-names" : false, "suffix" : "" } ], "container-title" : "Strategic Entrepreneurship Journal", "id" : "ITEM-1", "issued" : { "date-parts" : [ [ "2016" ] ] }, "page" : "346-370", "title" : "PORTFOLIO ENTREPRENEURSHIP AND RESOURCE ORCHESTRATION", "type" : "article-journal", "volume" : "10" }, "uris" : [ "http://www.mendeley.com/documents/?uuid=f0907ead-c14c-4c97-80e2-d3a4c9840688" ] } ], "mendeley" : { "formattedCitation" : "(Baert, Meuleman, Debruyne, &amp; Wright, 2016)", "plainTextFormattedCitation" : "(Baert, Meuleman, Debruyne, &amp; Wright, 2016)", "previouslyFormattedCitation" : "(Baert, Meuleman, Debruyne, &amp; Wright, 2016)" }, "properties" : { "noteIndex" : 0 }, "schema" : "https://github.com/citation-style-language/schema/raw/master/csl-citation.json" }</w:instrText>
      </w:r>
      <w:r w:rsidR="007A741E"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(Baert, Meuleman, Debruyne, &amp; Wright, 2016)</w:t>
      </w:r>
      <w:r w:rsidR="007A741E" w:rsidRPr="0068584C">
        <w:rPr>
          <w:rFonts w:ascii="Times New Roman" w:hAnsi="Times New Roman" w:cs="Times New Roman"/>
          <w:color w:val="000000" w:themeColor="text1"/>
        </w:rPr>
        <w:fldChar w:fldCharType="end"/>
      </w:r>
      <w:r w:rsidR="007A741E" w:rsidRPr="0068584C">
        <w:rPr>
          <w:rFonts w:ascii="Times New Roman" w:hAnsi="Times New Roman" w:cs="Times New Roman"/>
          <w:color w:val="000000" w:themeColor="text1"/>
        </w:rPr>
        <w:t xml:space="preserve">. </w:t>
      </w:r>
      <w:r w:rsidR="00A76B00" w:rsidRPr="0068584C">
        <w:rPr>
          <w:rFonts w:ascii="Times New Roman" w:hAnsi="Times New Roman" w:cs="Times New Roman"/>
          <w:color w:val="000000" w:themeColor="text1"/>
        </w:rPr>
        <w:t>Specifically, ROT concerns structuring the firm’s resource portfolio, bundling resources into capabilities, and leveraging the capabilities to create value for customers</w:t>
      </w:r>
      <w:r w:rsidR="00512E4D" w:rsidRPr="0068584C">
        <w:rPr>
          <w:rFonts w:ascii="Times New Roman" w:hAnsi="Times New Roman" w:cs="Times New Roman"/>
          <w:color w:val="000000" w:themeColor="text1"/>
        </w:rPr>
        <w:t xml:space="preserve"> </w:t>
      </w:r>
      <w:r w:rsidR="00512E4D"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"ITEM-1", "issue" : "May", "issued" : { "date-parts" : [ [ "2011" ] ] }, "page" : "57-75", "title" : "Strategic Entrepreneurship: Creating Value for Individuals, Organizations, and Society", "type" : "article-journal" }, "uris" : [ "http://www.mendeley.com/documents/?uuid=a440eb44-a14e-41a2-85e6-3af528235937" ] } ], "mendeley" : { "formattedCitation" : "(Hitt, Ireland, Sirmon, &amp; Trahms, 2011)", "plainTextFormattedCitation" : "(Hitt, Ireland, Sirmon, &amp; Trahms, 2011)", "previouslyFormattedCitation" : "(Hitt, Ireland, Sirmon, &amp; Trahms, 2011)" }, "properties" : { "noteIndex" : 0 }, "schema" : "https://github.com/citation-style-language/schema/raw/master/csl-citation.json" }</w:instrText>
      </w:r>
      <w:r w:rsidR="00512E4D"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(Hitt, Ireland, Sirmon, &amp; Trahms, 2011)</w:t>
      </w:r>
      <w:r w:rsidR="00512E4D" w:rsidRPr="0068584C">
        <w:rPr>
          <w:rFonts w:ascii="Times New Roman" w:hAnsi="Times New Roman" w:cs="Times New Roman"/>
          <w:color w:val="000000" w:themeColor="text1"/>
        </w:rPr>
        <w:fldChar w:fldCharType="end"/>
      </w:r>
      <w:r w:rsidR="00A76B00" w:rsidRPr="0068584C">
        <w:rPr>
          <w:rFonts w:ascii="Times New Roman" w:hAnsi="Times New Roman" w:cs="Times New Roman"/>
          <w:color w:val="000000" w:themeColor="text1"/>
        </w:rPr>
        <w:t>.</w:t>
      </w:r>
      <w:r w:rsidR="00225954" w:rsidRPr="0068584C">
        <w:rPr>
          <w:rFonts w:ascii="Times New Roman" w:hAnsi="Times New Roman" w:cs="Times New Roman"/>
          <w:color w:val="000000" w:themeColor="text1"/>
        </w:rPr>
        <w:t xml:space="preserve"> </w:t>
      </w:r>
      <w:r w:rsidR="009656EB" w:rsidRPr="0068584C">
        <w:rPr>
          <w:rFonts w:ascii="Times New Roman" w:hAnsi="Times New Roman" w:cs="Times New Roman"/>
          <w:color w:val="000000" w:themeColor="text1"/>
        </w:rPr>
        <w:t xml:space="preserve">Resource orchestration theory </w:t>
      </w:r>
      <w:r w:rsidR="0078377F" w:rsidRPr="0068584C">
        <w:rPr>
          <w:rFonts w:ascii="Times New Roman" w:hAnsi="Times New Roman" w:cs="Times New Roman"/>
          <w:color w:val="000000" w:themeColor="text1"/>
        </w:rPr>
        <w:t xml:space="preserve">is </w:t>
      </w:r>
      <w:r w:rsidR="00225954" w:rsidRPr="0068584C">
        <w:rPr>
          <w:rFonts w:ascii="Times New Roman" w:hAnsi="Times New Roman" w:cs="Times New Roman"/>
          <w:color w:val="000000" w:themeColor="text1"/>
        </w:rPr>
        <w:t xml:space="preserve">broadening </w:t>
      </w:r>
      <w:r w:rsidR="0078377F" w:rsidRPr="0068584C">
        <w:rPr>
          <w:rFonts w:ascii="Times New Roman" w:hAnsi="Times New Roman" w:cs="Times New Roman"/>
          <w:color w:val="000000" w:themeColor="text1"/>
        </w:rPr>
        <w:t>the</w:t>
      </w:r>
      <w:r w:rsidR="009656EB" w:rsidRPr="0068584C">
        <w:rPr>
          <w:rFonts w:ascii="Times New Roman" w:hAnsi="Times New Roman" w:cs="Times New Roman"/>
          <w:color w:val="000000" w:themeColor="text1"/>
        </w:rPr>
        <w:t xml:space="preserve"> </w:t>
      </w:r>
      <w:r w:rsidR="00E57162">
        <w:rPr>
          <w:rFonts w:ascii="Times New Roman" w:hAnsi="Times New Roman" w:cs="Times New Roman"/>
          <w:color w:val="000000" w:themeColor="text1"/>
        </w:rPr>
        <w:t>RBT domain</w:t>
      </w:r>
      <w:r w:rsidR="009656EB" w:rsidRPr="0068584C">
        <w:rPr>
          <w:rFonts w:ascii="Times New Roman" w:hAnsi="Times New Roman" w:cs="Times New Roman"/>
          <w:color w:val="000000" w:themeColor="text1"/>
        </w:rPr>
        <w:t xml:space="preserve"> </w:t>
      </w:r>
      <w:r w:rsidR="00A76B00" w:rsidRPr="0068584C">
        <w:rPr>
          <w:rFonts w:ascii="Times New Roman" w:hAnsi="Times New Roman" w:cs="Times New Roman"/>
          <w:color w:val="000000" w:themeColor="text1"/>
        </w:rPr>
        <w:t>by</w:t>
      </w:r>
      <w:r w:rsidR="0078377F" w:rsidRPr="0068584C">
        <w:rPr>
          <w:rFonts w:ascii="Times New Roman" w:hAnsi="Times New Roman" w:cs="Times New Roman"/>
          <w:color w:val="000000" w:themeColor="text1"/>
        </w:rPr>
        <w:t xml:space="preserve"> emphasiz</w:t>
      </w:r>
      <w:r w:rsidR="00A76B00" w:rsidRPr="0068584C">
        <w:rPr>
          <w:rFonts w:ascii="Times New Roman" w:hAnsi="Times New Roman" w:cs="Times New Roman"/>
          <w:color w:val="000000" w:themeColor="text1"/>
        </w:rPr>
        <w:t>ing</w:t>
      </w:r>
      <w:r w:rsidR="0078377F" w:rsidRPr="0068584C">
        <w:rPr>
          <w:rFonts w:ascii="Times New Roman" w:hAnsi="Times New Roman" w:cs="Times New Roman"/>
          <w:color w:val="000000" w:themeColor="text1"/>
        </w:rPr>
        <w:t xml:space="preserve"> </w:t>
      </w:r>
      <w:r w:rsidR="009656EB" w:rsidRPr="0068584C">
        <w:rPr>
          <w:rFonts w:ascii="Times New Roman" w:hAnsi="Times New Roman" w:cs="Times New Roman"/>
          <w:color w:val="000000" w:themeColor="text1"/>
        </w:rPr>
        <w:t xml:space="preserve">the role of </w:t>
      </w:r>
      <w:r w:rsidR="009E628D" w:rsidRPr="0068584C">
        <w:rPr>
          <w:rFonts w:ascii="Times New Roman" w:hAnsi="Times New Roman" w:cs="Times New Roman"/>
          <w:color w:val="000000" w:themeColor="text1"/>
        </w:rPr>
        <w:t xml:space="preserve">managerial </w:t>
      </w:r>
      <w:r w:rsidR="009656EB" w:rsidRPr="0068584C">
        <w:rPr>
          <w:rFonts w:ascii="Times New Roman" w:hAnsi="Times New Roman" w:cs="Times New Roman"/>
          <w:color w:val="000000" w:themeColor="text1"/>
        </w:rPr>
        <w:t xml:space="preserve">activities in realizing the </w:t>
      </w:r>
      <w:r w:rsidR="009E628D" w:rsidRPr="0068584C">
        <w:rPr>
          <w:rFonts w:ascii="Times New Roman" w:hAnsi="Times New Roman" w:cs="Times New Roman"/>
          <w:color w:val="000000" w:themeColor="text1"/>
        </w:rPr>
        <w:t xml:space="preserve">competitive </w:t>
      </w:r>
      <w:r w:rsidR="00251B8B" w:rsidRPr="0068584C">
        <w:rPr>
          <w:rFonts w:ascii="Times New Roman" w:hAnsi="Times New Roman" w:cs="Times New Roman"/>
          <w:color w:val="000000" w:themeColor="text1"/>
        </w:rPr>
        <w:t xml:space="preserve">benefits </w:t>
      </w:r>
      <w:r w:rsidR="009656EB" w:rsidRPr="0068584C">
        <w:rPr>
          <w:rFonts w:ascii="Times New Roman" w:hAnsi="Times New Roman" w:cs="Times New Roman"/>
          <w:color w:val="000000" w:themeColor="text1"/>
        </w:rPr>
        <w:t xml:space="preserve">of strategic resources </w:t>
      </w:r>
      <w:r w:rsidR="00422683"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00422683"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(Sirmon et al., 2011)</w:t>
      </w:r>
      <w:r w:rsidR="00422683" w:rsidRPr="0068584C">
        <w:rPr>
          <w:rFonts w:ascii="Times New Roman" w:hAnsi="Times New Roman" w:cs="Times New Roman"/>
          <w:color w:val="000000" w:themeColor="text1"/>
        </w:rPr>
        <w:fldChar w:fldCharType="end"/>
      </w:r>
      <w:r w:rsidR="009656EB" w:rsidRPr="0068584C">
        <w:rPr>
          <w:rFonts w:ascii="Times New Roman" w:hAnsi="Times New Roman" w:cs="Times New Roman"/>
          <w:color w:val="000000" w:themeColor="text1"/>
        </w:rPr>
        <w:t xml:space="preserve">. </w:t>
      </w:r>
      <w:r w:rsidR="001A7374" w:rsidRPr="0068584C">
        <w:rPr>
          <w:rFonts w:ascii="Times New Roman" w:hAnsi="Times New Roman" w:cs="Times New Roman"/>
          <w:color w:val="000000" w:themeColor="text1"/>
        </w:rPr>
        <w:t xml:space="preserve">Even if abundant resources are available, a competitive advantage can only be achieved with effective resource management </w:t>
      </w:r>
      <w:r w:rsidR="00A637E9" w:rsidRPr="0068584C">
        <w:rPr>
          <w:rFonts w:ascii="Times New Roman" w:hAnsi="Times New Roman" w:cs="Times New Roman"/>
          <w:color w:val="000000" w:themeColor="text1"/>
        </w:rPr>
        <w:t xml:space="preserve">practices </w:t>
      </w:r>
      <w:r w:rsidR="00422683"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"ITEM-1", "issue" : "3", "issued" : { "date-parts" : [ [ "2014" ] ] }, "page" : "6-15", "title" : "Resource Gaps and Resource Orchestration Shortfalls in Supply Chain Management: The Case of Product Recalls", "type" : "article-journal", "volume" : "50" }, "uris" : [ "http://www.mendeley.com/documents/?uuid=253c704b-7d13-4b31-9f44-27ec30152f71" ] } ], "mendeley" : { "formattedCitation" : "(Ketchen et al., 2014)", "plainTextFormattedCitation" : "(Ketchen et al., 2014)", "previouslyFormattedCitation" : "(Ketchen et al., 2014)" }, "properties" : { "noteIndex" : 0 }, "schema" : "https://github.com/citation-style-language/schema/raw/master/csl-citation.json" }</w:instrText>
      </w:r>
      <w:r w:rsidR="00422683"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(Ketchen et al., 2014)</w:t>
      </w:r>
      <w:r w:rsidR="00422683" w:rsidRPr="0068584C">
        <w:rPr>
          <w:rFonts w:ascii="Times New Roman" w:hAnsi="Times New Roman" w:cs="Times New Roman"/>
          <w:color w:val="000000" w:themeColor="text1"/>
        </w:rPr>
        <w:fldChar w:fldCharType="end"/>
      </w:r>
      <w:r w:rsidR="00814905" w:rsidRPr="0068584C">
        <w:rPr>
          <w:rFonts w:ascii="Times New Roman" w:hAnsi="Times New Roman" w:cs="Times New Roman"/>
          <w:color w:val="000000" w:themeColor="text1"/>
        </w:rPr>
        <w:t>. The possession of</w:t>
      </w:r>
      <w:r w:rsidR="006624E6" w:rsidRPr="0068584C">
        <w:rPr>
          <w:rFonts w:ascii="Times New Roman" w:hAnsi="Times New Roman" w:cs="Times New Roman"/>
          <w:color w:val="000000" w:themeColor="text1"/>
        </w:rPr>
        <w:t xml:space="preserve"> resources </w:t>
      </w:r>
      <w:r w:rsidR="00814905" w:rsidRPr="0068584C">
        <w:rPr>
          <w:rFonts w:ascii="Times New Roman" w:hAnsi="Times New Roman" w:cs="Times New Roman"/>
          <w:color w:val="000000" w:themeColor="text1"/>
        </w:rPr>
        <w:t xml:space="preserve">alone </w:t>
      </w:r>
      <w:r w:rsidR="006624E6" w:rsidRPr="0068584C">
        <w:rPr>
          <w:rFonts w:ascii="Times New Roman" w:hAnsi="Times New Roman" w:cs="Times New Roman"/>
          <w:color w:val="000000" w:themeColor="text1"/>
        </w:rPr>
        <w:t xml:space="preserve">does not guarantee </w:t>
      </w:r>
      <w:r w:rsidR="00814905" w:rsidRPr="0068584C">
        <w:rPr>
          <w:rFonts w:ascii="Times New Roman" w:hAnsi="Times New Roman" w:cs="Times New Roman"/>
          <w:color w:val="000000" w:themeColor="text1"/>
        </w:rPr>
        <w:t>competitiveness for the organization</w:t>
      </w:r>
      <w:r w:rsidR="007A741E" w:rsidRPr="0068584C">
        <w:rPr>
          <w:rFonts w:ascii="Times New Roman" w:hAnsi="Times New Roman" w:cs="Times New Roman"/>
          <w:color w:val="000000" w:themeColor="text1"/>
        </w:rPr>
        <w:t xml:space="preserve"> </w:t>
      </w:r>
      <w:r w:rsidR="007A741E"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"10.1002/sej.1227", "author" : [ { "dropping-particle" : "", "family" : "Baert", "given" : "Caroline", "non-dropping-particle" : "", "parse-names" : false, "suffix" : "" }, { "dropping-particle" : "", "family" : "Meuleman", "given" : "Miguel", "non-dropping-particle" : "", "parse-names" : false, "suffix" : "" }, { "dropping-particle" : "", "family" : "Debruyne", "given" : "Marion", "non-dropping-particle" : "", "parse-names" : false, "suffix" : "" }, { "dropping-particle" : "", "family" : "Wright", "given" : "Mike", "non-dropping-particle" : "", "parse-names" : false, "suffix" : "" } ], "container-title" : "Strategic Entrepreneurship Journal", "id" : "ITEM-1", "issued" : { "date-parts" : [ [ "2016" ] ] }, "page" : "346-370", "title" : "PORTFOLIO ENTREPRENEURSHIP AND RESOURCE ORCHESTRATION", "type" : "article-journal", "volume" : "10" }, "uris" : [ "http://www.mendeley.com/documents/?uuid=f0907ead-c14c-4c97-80e2-d3a4c9840688" ] } ], "mendeley" : { "formattedCitation" : "(Baert et al., 2016)", "plainTextFormattedCitation" : "(Baert et al., 2016)", "previouslyFormattedCitation" : "(Baert et al., 2016)" }, "properties" : { "noteIndex" : 0 }, "schema" : "https://github.com/citation-style-language/schema/raw/master/csl-citation.json" }</w:instrText>
      </w:r>
      <w:r w:rsidR="007A741E"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(Baert et al., 2016)</w:t>
      </w:r>
      <w:r w:rsidR="007A741E" w:rsidRPr="0068584C">
        <w:rPr>
          <w:rFonts w:ascii="Times New Roman" w:hAnsi="Times New Roman" w:cs="Times New Roman"/>
          <w:color w:val="000000" w:themeColor="text1"/>
        </w:rPr>
        <w:fldChar w:fldCharType="end"/>
      </w:r>
      <w:r w:rsidR="00814905" w:rsidRPr="0068584C">
        <w:rPr>
          <w:rFonts w:ascii="Times New Roman" w:hAnsi="Times New Roman" w:cs="Times New Roman"/>
          <w:color w:val="000000" w:themeColor="text1"/>
        </w:rPr>
        <w:t xml:space="preserve">. In contrast, effective resource </w:t>
      </w:r>
      <w:r w:rsidR="00CE6056" w:rsidRPr="0068584C">
        <w:rPr>
          <w:rFonts w:ascii="Times New Roman" w:hAnsi="Times New Roman" w:cs="Times New Roman"/>
          <w:color w:val="000000" w:themeColor="text1"/>
        </w:rPr>
        <w:t xml:space="preserve">administration or </w:t>
      </w:r>
      <w:r w:rsidR="00814905" w:rsidRPr="0068584C">
        <w:rPr>
          <w:rFonts w:ascii="Times New Roman" w:hAnsi="Times New Roman" w:cs="Times New Roman"/>
          <w:color w:val="000000" w:themeColor="text1"/>
        </w:rPr>
        <w:t xml:space="preserve">orchestration practices enable high organizational </w:t>
      </w:r>
      <w:r w:rsidR="006624E6" w:rsidRPr="0068584C">
        <w:rPr>
          <w:rFonts w:ascii="Times New Roman" w:hAnsi="Times New Roman" w:cs="Times New Roman"/>
          <w:color w:val="000000" w:themeColor="text1"/>
        </w:rPr>
        <w:t>performance</w:t>
      </w:r>
      <w:r w:rsidR="00A25BBC" w:rsidRPr="0068584C">
        <w:rPr>
          <w:rFonts w:ascii="Times New Roman" w:hAnsi="Times New Roman" w:cs="Times New Roman"/>
          <w:color w:val="000000" w:themeColor="text1"/>
        </w:rPr>
        <w:t xml:space="preserve"> </w:t>
      </w:r>
      <w:r w:rsidR="00A25BBC"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"ITEM-1", "issue" : "3", "issued" : { "date-parts" : [ [ "2014" ] ] }, "page" : "6-15", "title" : "Resource Gaps and Resource Orchestration Shortfalls in Supply Chain Management: The Case of Product Recalls", "type" : "article-journal", "volume" : "50" }, "uris" : [ "http://www.mendeley.com/documents/?uuid=253c704b-7d13-4b31-9f44-27ec30152f71" ] }, { "id" : "ITEM-2", "itemData" : { "DOI" : "10.1002/smj.432", "ISBN" : "0143-2095", "ISSN" : "01432095", "PMID" : "224999817", "abstract" : "This paper argues that the gap between the theoretical utility and the practical utility of the resource-based view (RBV) may be narrowed by operationalizing the theory more consistently with Penrose's original framework. The operationalization proposed here is a twofold approach. First, the RBV may be enhanced by the explicit recognition of Penrose's two classes of resources, namely, administrative resources and productive resources. This distinction suggests a focus on the administrative decisions of managers that lead to economic performance. Second, we argue that the RBV is a theory about extraordinary performers or outliers-not averages. Therefore, the statistical methods used in applying the theory must account for individual firm differences, and not be based on means, which statistically neutralize firm differences. We propose a novel Bayesian hierarchical methodology to examine the relationship between administrative decisions and economic performance over time. We develop and explain a measure of competitive advantage that goes beyond comparisons of economic performance. This Bayesian methodology allows us to make meaningful probability statements about specific, individual firms and the effects of the administrative decisions examined in this study. Copyright (C) 2004 John Wiley Sons, Ltd.", "author" : [ { "dropping-particle" : "", "family" : "Hansen", "given" : "Mark H.", "non-dropping-particle" : "", "parse-names" : false, "suffix" : "" }, { "dropping-particle" : "", "family" : "Perry", "given" : "Lee T.", "non-dropping-particle" : "", "parse-names" : false, "suffix" : "" }, { "dropping-particle" : "", "family" : "Reese", "given" : "C. Shane", "non-dropping-particle" : "", "parse-names" : false, "suffix" : "" } ], "container-title" : "Strategic Management Journal", "id" : "ITEM-2", "issue" : "13", "issued" : { "date-parts" : [ [ "2004" ] ] }, "page" : "1279-1295", "title" : "A bayesian operationalization of the resource-based view", "type" : "article-journal", "volume" : "25" }, "uris" : [ "http://www.mendeley.com/documents/?uuid=b0b4c3ef-b3ac-4072-be8e-93437ab2c851" ] }, { "id" : "ITEM-3",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"ITEM-3",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"(Hansen, Perry, &amp; Reese, 2004; Ketchen et al., 2014; Wowak, Craighead, Ketchen, &amp; Hult, 2016)", "plainTextFormattedCitation" : "(Hansen, Perry, &amp; Reese, 2004; Ketchen et al., 2014; Wowak, Craighead, Ketchen, &amp; Hult, 2016)", "previouslyFormattedCitation" : "(Hansen, Perry, &amp; Reese, 2004; Ketchen et al., 2014; Wowak, Craighead, Ketchen, &amp; Hult, 2016)" }, "properties" : { "noteIndex" : 0 }, "schema" : "https://github.com/citation-style-language/schema/raw/master/csl-citation.json" }</w:instrText>
      </w:r>
      <w:r w:rsidR="00A25BBC"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(Hansen, Perry, &amp; Reese, 2004; Ketchen et al., 2014; Wowak, Craighead, Ketchen, &amp; Hult, 2016)</w:t>
      </w:r>
      <w:r w:rsidR="00A25BBC" w:rsidRPr="0068584C">
        <w:rPr>
          <w:rFonts w:ascii="Times New Roman" w:hAnsi="Times New Roman" w:cs="Times New Roman"/>
          <w:color w:val="000000" w:themeColor="text1"/>
        </w:rPr>
        <w:fldChar w:fldCharType="end"/>
      </w:r>
      <w:r w:rsidR="00354E43" w:rsidRPr="0068584C">
        <w:rPr>
          <w:rFonts w:ascii="Times New Roman" w:hAnsi="Times New Roman" w:cs="Times New Roman"/>
          <w:color w:val="000000" w:themeColor="text1"/>
        </w:rPr>
        <w:t xml:space="preserve">.      </w:t>
      </w:r>
    </w:p>
    <w:p w14:paraId="5B24B460" w14:textId="77777777" w:rsidR="001D3168" w:rsidRPr="0068584C" w:rsidRDefault="001D3168" w:rsidP="0035460B">
      <w:pPr>
        <w:spacing w:line="480" w:lineRule="auto"/>
        <w:rPr>
          <w:rFonts w:ascii="Times New Roman" w:hAnsi="Times New Roman" w:cs="Times New Roman"/>
          <w:color w:val="000000" w:themeColor="text1"/>
        </w:rPr>
      </w:pPr>
    </w:p>
    <w:p w14:paraId="42C2166F" w14:textId="579F3C1B" w:rsidR="00D5769C" w:rsidRPr="00BC1559" w:rsidRDefault="00D5769C" w:rsidP="00BC1559">
      <w:pPr>
        <w:pStyle w:val="Heading3new"/>
      </w:pPr>
      <w:r w:rsidRPr="00BC1559">
        <w:t>Resource Management Practices</w:t>
      </w:r>
      <w:r w:rsidR="001F6D55" w:rsidRPr="00BC1559">
        <w:t xml:space="preserve"> – Theor</w:t>
      </w:r>
      <w:r w:rsidR="00BF33CB" w:rsidRPr="00BC1559">
        <w:t>etical</w:t>
      </w:r>
      <w:r w:rsidR="001F6D55" w:rsidRPr="00BC1559">
        <w:t xml:space="preserve"> Gaps</w:t>
      </w:r>
    </w:p>
    <w:p w14:paraId="28D3AA59" w14:textId="10DA5D90" w:rsidR="0071586D" w:rsidRPr="0068584C" w:rsidRDefault="00F243E5" w:rsidP="0035460B">
      <w:pPr>
        <w:spacing w:line="480" w:lineRule="auto"/>
        <w:jc w:val="both"/>
        <w:rPr>
          <w:rFonts w:ascii="Times New Roman" w:hAnsi="Times New Roman" w:cs="Times New Roman"/>
        </w:rPr>
      </w:pPr>
      <w:r w:rsidRPr="0068584C">
        <w:rPr>
          <w:rFonts w:ascii="Times New Roman" w:hAnsi="Times New Roman" w:cs="Times New Roman"/>
        </w:rPr>
        <w:t xml:space="preserve">Current resource management theory including RBT, DCT, and ROT, has several </w:t>
      </w:r>
      <w:r w:rsidR="00F70001" w:rsidRPr="0068584C">
        <w:rPr>
          <w:rFonts w:ascii="Times New Roman" w:hAnsi="Times New Roman" w:cs="Times New Roman"/>
        </w:rPr>
        <w:t xml:space="preserve">gaps and </w:t>
      </w:r>
      <w:r w:rsidRPr="0068584C">
        <w:rPr>
          <w:rFonts w:ascii="Times New Roman" w:hAnsi="Times New Roman" w:cs="Times New Roman"/>
        </w:rPr>
        <w:t xml:space="preserve">appears </w:t>
      </w:r>
      <w:r w:rsidR="00726ABF" w:rsidRPr="0068584C">
        <w:rPr>
          <w:rFonts w:ascii="Times New Roman" w:hAnsi="Times New Roman" w:cs="Times New Roman"/>
        </w:rPr>
        <w:t xml:space="preserve">in </w:t>
      </w:r>
      <w:r w:rsidRPr="0068584C">
        <w:rPr>
          <w:rFonts w:ascii="Times New Roman" w:hAnsi="Times New Roman" w:cs="Times New Roman"/>
        </w:rPr>
        <w:t xml:space="preserve">need </w:t>
      </w:r>
      <w:r w:rsidR="00726ABF" w:rsidRPr="0068584C">
        <w:rPr>
          <w:rFonts w:ascii="Times New Roman" w:hAnsi="Times New Roman" w:cs="Times New Roman"/>
        </w:rPr>
        <w:t xml:space="preserve">of </w:t>
      </w:r>
      <w:r w:rsidRPr="0068584C">
        <w:rPr>
          <w:rFonts w:ascii="Times New Roman" w:hAnsi="Times New Roman" w:cs="Times New Roman"/>
        </w:rPr>
        <w:t xml:space="preserve">further development.  </w:t>
      </w:r>
      <w:r w:rsidR="001F6D55" w:rsidRPr="0068584C">
        <w:rPr>
          <w:rFonts w:ascii="Times New Roman" w:hAnsi="Times New Roman" w:cs="Times New Roman"/>
        </w:rPr>
        <w:t>L</w:t>
      </w:r>
      <w:r w:rsidR="004C5A56" w:rsidRPr="0068584C">
        <w:rPr>
          <w:rFonts w:ascii="Times New Roman" w:hAnsi="Times New Roman" w:cs="Times New Roman"/>
        </w:rPr>
        <w:t>ittle research has focused on the actual practices</w:t>
      </w:r>
      <w:r w:rsidR="000156AA" w:rsidRPr="0068584C">
        <w:rPr>
          <w:rFonts w:ascii="Times New Roman" w:hAnsi="Times New Roman" w:cs="Times New Roman"/>
        </w:rPr>
        <w:t xml:space="preserve"> and micro-processes</w:t>
      </w:r>
      <w:r w:rsidR="004C5A56" w:rsidRPr="0068584C">
        <w:rPr>
          <w:rFonts w:ascii="Times New Roman" w:hAnsi="Times New Roman" w:cs="Times New Roman"/>
        </w:rPr>
        <w:t xml:space="preserve"> of integrating external knowledge</w:t>
      </w:r>
      <w:r w:rsidRPr="0068584C">
        <w:rPr>
          <w:rFonts w:ascii="Times New Roman" w:hAnsi="Times New Roman" w:cs="Times New Roman"/>
        </w:rPr>
        <w:t xml:space="preserve"> resources</w:t>
      </w:r>
      <w:r w:rsidR="004A6A6F" w:rsidRPr="0068584C">
        <w:rPr>
          <w:rFonts w:ascii="Times New Roman" w:hAnsi="Times New Roman" w:cs="Times New Roman"/>
        </w:rPr>
        <w:t xml:space="preserve"> </w:t>
      </w:r>
      <w:r w:rsidR="0006223E"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0006223E" w:rsidRPr="0068584C">
        <w:rPr>
          <w:rFonts w:ascii="Times New Roman" w:hAnsi="Times New Roman" w:cs="Times New Roman"/>
        </w:rPr>
        <w:fldChar w:fldCharType="separate"/>
      </w:r>
      <w:r w:rsidR="000E6ECE" w:rsidRPr="000E6ECE">
        <w:rPr>
          <w:rFonts w:ascii="Times New Roman" w:hAnsi="Times New Roman" w:cs="Times New Roman"/>
          <w:noProof/>
        </w:rPr>
        <w:t>(Sirmon et al., 2011)</w:t>
      </w:r>
      <w:r w:rsidR="0006223E" w:rsidRPr="0068584C">
        <w:rPr>
          <w:rFonts w:ascii="Times New Roman" w:hAnsi="Times New Roman" w:cs="Times New Roman"/>
        </w:rPr>
        <w:fldChar w:fldCharType="end"/>
      </w:r>
      <w:r w:rsidR="004C5A56" w:rsidRPr="0068584C">
        <w:rPr>
          <w:rFonts w:ascii="Times New Roman" w:hAnsi="Times New Roman" w:cs="Times New Roman"/>
        </w:rPr>
        <w:t xml:space="preserve">. In particular, </w:t>
      </w:r>
      <w:r w:rsidR="004C5A56" w:rsidRPr="0068584C">
        <w:rPr>
          <w:rFonts w:ascii="Times New Roman" w:hAnsi="Times New Roman" w:cs="Times New Roman"/>
        </w:rPr>
        <w:lastRenderedPageBreak/>
        <w:t xml:space="preserve">the integration of critical resource inflow from the upstream supply chain has not been </w:t>
      </w:r>
      <w:r w:rsidR="00DB52D8" w:rsidRPr="0068584C">
        <w:rPr>
          <w:rFonts w:ascii="Times New Roman" w:hAnsi="Times New Roman" w:cs="Times New Roman"/>
        </w:rPr>
        <w:t xml:space="preserve">sufficiently </w:t>
      </w:r>
      <w:r w:rsidR="004C5A56" w:rsidRPr="0068584C">
        <w:rPr>
          <w:rFonts w:ascii="Times New Roman" w:hAnsi="Times New Roman" w:cs="Times New Roman"/>
        </w:rPr>
        <w:t>addressed</w:t>
      </w:r>
      <w:r w:rsidR="0006223E" w:rsidRPr="0068584C">
        <w:rPr>
          <w:rFonts w:ascii="Times New Roman" w:hAnsi="Times New Roman" w:cs="Times New Roman"/>
        </w:rPr>
        <w:t xml:space="preserve"> </w:t>
      </w:r>
      <w:r w:rsidR="0006223E"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"10.1002/sej.1227", "author" : [ { "dropping-particle" : "", "family" : "Baert", "given" : "Caroline", "non-dropping-particle" : "", "parse-names" : false, "suffix" : "" }, { "dropping-particle" : "", "family" : "Meuleman", "given" : "Miguel", "non-dropping-particle" : "", "parse-names" : false, "suffix" : "" }, { "dropping-particle" : "", "family" : "Debruyne", "given" : "Marion", "non-dropping-particle" : "", "parse-names" : false, "suffix" : "" }, { "dropping-particle" : "", "family" : "Wright", "given" : "Mike", "non-dropping-particle" : "", "parse-names" : false, "suffix" : "" } ], "container-title" : "Strategic Entrepreneurship Journal", "id" : "ITEM-1", "issued" : { "date-parts" : [ [ "2016" ] ] }, "page" : "346-370", "title" : "PORTFOLIO ENTREPRENEURSHIP AND RESOURCE ORCHESTRATION", "type" : "article-journal", "volume" : "10" }, "uris" : [ "http://www.mendeley.com/documents/?uuid=f0907ead-c14c-4c97-80e2-d3a4c9840688" ] } ], "mendeley" : { "formattedCitation" : "(Baert et al., 2016)", "plainTextFormattedCitation" : "(Baert et al., 2016)", "previouslyFormattedCitation" : "(Baert et al., 2016)" }, "properties" : { "noteIndex" : 0 }, "schema" : "https://github.com/citation-style-language/schema/raw/master/csl-citation.json" }</w:instrText>
      </w:r>
      <w:r w:rsidR="0006223E" w:rsidRPr="0068584C">
        <w:rPr>
          <w:rFonts w:ascii="Times New Roman" w:hAnsi="Times New Roman" w:cs="Times New Roman"/>
        </w:rPr>
        <w:fldChar w:fldCharType="separate"/>
      </w:r>
      <w:r w:rsidR="000E6ECE" w:rsidRPr="000E6ECE">
        <w:rPr>
          <w:rFonts w:ascii="Times New Roman" w:hAnsi="Times New Roman" w:cs="Times New Roman"/>
          <w:noProof/>
        </w:rPr>
        <w:t>(Baert et al., 2016)</w:t>
      </w:r>
      <w:r w:rsidR="0006223E" w:rsidRPr="0068584C">
        <w:rPr>
          <w:rFonts w:ascii="Times New Roman" w:hAnsi="Times New Roman" w:cs="Times New Roman"/>
        </w:rPr>
        <w:fldChar w:fldCharType="end"/>
      </w:r>
      <w:r w:rsidR="004C5A56" w:rsidRPr="0068584C">
        <w:rPr>
          <w:rFonts w:ascii="Times New Roman" w:hAnsi="Times New Roman" w:cs="Times New Roman"/>
        </w:rPr>
        <w:t>.</w:t>
      </w:r>
      <w:r w:rsidR="00EC5B5B" w:rsidRPr="0068584C">
        <w:rPr>
          <w:rFonts w:ascii="Times New Roman" w:hAnsi="Times New Roman" w:cs="Times New Roman"/>
        </w:rPr>
        <w:t xml:space="preserve"> S</w:t>
      </w:r>
      <w:r w:rsidR="0029668A" w:rsidRPr="0068584C">
        <w:rPr>
          <w:rFonts w:ascii="Times New Roman" w:hAnsi="Times New Roman" w:cs="Times New Roman"/>
        </w:rPr>
        <w:t>ome researchers have investigated the acquisition of companies and business units (</w:t>
      </w:r>
      <w:r w:rsidR="008526BC" w:rsidRPr="0068584C">
        <w:rPr>
          <w:rFonts w:ascii="Times New Roman" w:hAnsi="Times New Roman" w:cs="Times New Roman"/>
        </w:rPr>
        <w:t>entire legal entities</w:t>
      </w:r>
      <w:r w:rsidR="0029668A" w:rsidRPr="0068584C">
        <w:rPr>
          <w:rFonts w:ascii="Times New Roman" w:hAnsi="Times New Roman" w:cs="Times New Roman"/>
        </w:rPr>
        <w:t>)</w:t>
      </w:r>
      <w:r w:rsidR="00287B59" w:rsidRPr="0068584C">
        <w:rPr>
          <w:rFonts w:ascii="Times New Roman" w:hAnsi="Times New Roman" w:cs="Times New Roman"/>
        </w:rPr>
        <w:t xml:space="preserve"> as macro-level resources</w:t>
      </w:r>
      <w:r w:rsidR="0046227B" w:rsidRPr="0068584C">
        <w:rPr>
          <w:rFonts w:ascii="Times New Roman" w:hAnsi="Times New Roman" w:cs="Times New Roman"/>
        </w:rPr>
        <w:t xml:space="preserve"> </w:t>
      </w:r>
      <w:r w:rsidR="0046227B"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"10.1002/smj", "author" : [ { "dropping-particle" : "", "family" : "Wang", "given" : "Lihua", "non-dropping-particle" : "", "parse-names" : false, "suffix" : "" }, { "dropping-particle" : "", "family" : "Zajac", "given" : "Edward J", "non-dropping-particle" : "", "parse-names" : false, "suffix" : "" } ], "container-title" : "Strategic Management Journal", "id" : "ITEM-1", "issued" : { "date-parts" : [ [ "2007" ] ] }, "page" : "1291-1317", "title" : "Alliance Or Acquisition? A Dyadic Perspective On Interfirm Resource Combinations", "type" : "article-journal", "volume" : "28" }, "uris" : [ "http://www.mendeley.com/documents/?uuid=6d2eea59-6a4b-4bb5-9707-80b72e2fc686" ] }, { "id" : "ITEM-2", "itemData" : { "author" : [ { "dropping-particle" : "", "family" : "Wiklund", "given" : "Johan", "non-dropping-particle" : "", "parse-names" : false, "suffix" : "" }, { "dropping-particle" : "", "family" : "Shepherd", "given" : "Dean A", "non-dropping-particle" : "", "parse-names" : false, "suffix" : "" } ], "container-title" : "Entrepreneurship Theory and Practice", "id" : "ITEM-2", "issue" : "January", "issued" : { "date-parts" : [ [ "2009" ] ] }, "page" : "193-213", "title" : "The Effectiveness of Alliances and Acquisitions: The Role of Resource Combination Activities", "type" : "article-journal" }, "uris" : [ "http://www.mendeley.com/documents/?uuid=da6b6fe4-2a11-4c9a-a14d-17eee8bfc2fe" ] }, { "id" : "ITEM-3", "itemData" : { "DOI" : "10.1177/0149206310387675", "author" : [ { "dropping-particle" : "", "family" : "Maritan", "given" : "Catherine A", "non-dropping-particle" : "", "parse-names" : false, "suffix" : "" }, { "dropping-particle" : "", "family" : "Peteraf", "given" : "Margaret A", "non-dropping-particle" : "", "parse-names" : false, "suffix" : "" } ], "container-title" : "Journal of Management", "id" : "ITEM-3", "issue" : "5", "issued" : { "date-parts" : [ [ "2011" ] ] }, "page" : "1374-1389", "title" : "Building a Bridge Between Resource Acquisition and Resource Accumulation", "type" : "article-journal", "volume" : "37" }, "uris" : [ "http://www.mendeley.com/documents/?uuid=2254e123-be22-420f-923e-6d63e01c21be" ] } ], "mendeley" : { "formattedCitation" : "(Maritan &amp; Peteraf, 2011; Wang &amp; Zajac, 2007; Wiklund &amp; Shepherd, 2009)", "plainTextFormattedCitation" : "(Maritan &amp; Peteraf, 2011; Wang &amp; Zajac, 2007; Wiklund &amp; Shepherd, 2009)", "previouslyFormattedCitation" : "(Maritan &amp; Peteraf, 2011; Wang &amp; Zajac, 2007; Wiklund &amp; Shepherd, 2009)" }, "properties" : { "noteIndex" : 0 }, "schema" : "https://github.com/citation-style-language/schema/raw/master/csl-citation.json" }</w:instrText>
      </w:r>
      <w:r w:rsidR="0046227B" w:rsidRPr="0068584C">
        <w:rPr>
          <w:rFonts w:ascii="Times New Roman" w:hAnsi="Times New Roman" w:cs="Times New Roman"/>
        </w:rPr>
        <w:fldChar w:fldCharType="separate"/>
      </w:r>
      <w:r w:rsidR="000E6ECE" w:rsidRPr="000E6ECE">
        <w:rPr>
          <w:rFonts w:ascii="Times New Roman" w:hAnsi="Times New Roman" w:cs="Times New Roman"/>
          <w:noProof/>
        </w:rPr>
        <w:t>(Maritan &amp; Peteraf, 2011; Wang &amp; Zajac, 2007; Wiklund &amp; Shepherd, 2009)</w:t>
      </w:r>
      <w:r w:rsidR="0046227B" w:rsidRPr="0068584C">
        <w:rPr>
          <w:rFonts w:ascii="Times New Roman" w:hAnsi="Times New Roman" w:cs="Times New Roman"/>
        </w:rPr>
        <w:fldChar w:fldCharType="end"/>
      </w:r>
      <w:r w:rsidR="0046227B" w:rsidRPr="0068584C">
        <w:rPr>
          <w:rFonts w:ascii="Times New Roman" w:hAnsi="Times New Roman" w:cs="Times New Roman"/>
        </w:rPr>
        <w:t>.</w:t>
      </w:r>
      <w:r w:rsidR="0099199D" w:rsidRPr="0068584C">
        <w:rPr>
          <w:rFonts w:ascii="Times New Roman" w:hAnsi="Times New Roman" w:cs="Times New Roman"/>
        </w:rPr>
        <w:t xml:space="preserve"> </w:t>
      </w:r>
      <w:r w:rsidR="00EC5B5B" w:rsidRPr="0068584C">
        <w:rPr>
          <w:rFonts w:ascii="Times New Roman" w:hAnsi="Times New Roman" w:cs="Times New Roman"/>
        </w:rPr>
        <w:t xml:space="preserve">However, </w:t>
      </w:r>
      <w:r w:rsidR="0071586D" w:rsidRPr="0068584C">
        <w:rPr>
          <w:rFonts w:ascii="Times New Roman" w:hAnsi="Times New Roman" w:cs="Times New Roman"/>
        </w:rPr>
        <w:t xml:space="preserve">relatively little is known about the acquisition and integration </w:t>
      </w:r>
      <w:r w:rsidR="004219D5" w:rsidRPr="0068584C">
        <w:rPr>
          <w:rFonts w:ascii="Times New Roman" w:hAnsi="Times New Roman" w:cs="Times New Roman"/>
        </w:rPr>
        <w:t xml:space="preserve">processes and managerial </w:t>
      </w:r>
      <w:r w:rsidR="0071586D" w:rsidRPr="0068584C">
        <w:rPr>
          <w:rFonts w:ascii="Times New Roman" w:hAnsi="Times New Roman" w:cs="Times New Roman"/>
        </w:rPr>
        <w:t>practices concerning more micro level resources</w:t>
      </w:r>
      <w:r w:rsidR="004219D5" w:rsidRPr="0068584C">
        <w:rPr>
          <w:rFonts w:ascii="Times New Roman" w:hAnsi="Times New Roman" w:cs="Times New Roman"/>
        </w:rPr>
        <w:t xml:space="preserve"> (e.g., specific knowledge or technology to support innovation processes)</w:t>
      </w:r>
      <w:r w:rsidR="0071586D" w:rsidRPr="0068584C">
        <w:rPr>
          <w:rFonts w:ascii="Times New Roman" w:hAnsi="Times New Roman" w:cs="Times New Roman"/>
        </w:rPr>
        <w:t>.</w:t>
      </w:r>
      <w:r w:rsidR="00D843DC" w:rsidRPr="0068584C">
        <w:rPr>
          <w:rFonts w:ascii="Times New Roman" w:hAnsi="Times New Roman" w:cs="Times New Roman"/>
        </w:rPr>
        <w:t xml:space="preserve"> The lack of understanding particularly refers to organizing resources such as knowledge of structures, routines, processes, and systems </w:t>
      </w:r>
      <w:r w:rsidR="001F6F49"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"10.1002/smj.183", "author" : [ { "dropping-particle" : "", "family" : "Yli-Renko", "given" : "Helena", "non-dropping-particle" : "", "parse-names" : false, "suffix" : "" }, { "dropping-particle" : "", "family" : "Autio", "given" : "Erkko", "non-dropping-particle" : "", "parse-names" : false, "suffix" : "" }, { "dropping-particle" : "", "family" : "Sapienza", "given" : "Harry J", "non-dropping-particle" : "", "parse-names" : false, "suffix" : "" } ], "container-title" : "Strategic Management Journal", "id" : "ITEM-1", "issued" : { "date-parts" : [ [ "2001" ] ] }, "page" : "587-613", "title" : "Social Capital, Knowledge Acquisition, and Knowledge Exploitation in Young Technoloy-Based Firms", "type" : "article-journal", "volume" : "22" }, "uris" : [ "http://www.mendeley.com/documents/?uuid=ba706702-8dac-4b4c-8174-90774cac7c6c" ] } ], "mendeley" : { "formattedCitation" : "(Yli-Renko et al., 2001)", "plainTextFormattedCitation" : "(Yli-Renko et al., 2001)", "previouslyFormattedCitation" : "(Yli-Renko et al., 2001)" }, "properties" : { "noteIndex" : 0 }, "schema" : "https://github.com/citation-style-language/schema/raw/master/csl-citation.json" }</w:instrText>
      </w:r>
      <w:r w:rsidR="001F6F49" w:rsidRPr="0068584C">
        <w:rPr>
          <w:rFonts w:ascii="Times New Roman" w:hAnsi="Times New Roman" w:cs="Times New Roman"/>
        </w:rPr>
        <w:fldChar w:fldCharType="separate"/>
      </w:r>
      <w:r w:rsidR="000E6ECE" w:rsidRPr="000E6ECE">
        <w:rPr>
          <w:rFonts w:ascii="Times New Roman" w:hAnsi="Times New Roman" w:cs="Times New Roman"/>
          <w:noProof/>
        </w:rPr>
        <w:t>(Yli-Renko et al., 2001)</w:t>
      </w:r>
      <w:r w:rsidR="001F6F49" w:rsidRPr="0068584C">
        <w:rPr>
          <w:rFonts w:ascii="Times New Roman" w:hAnsi="Times New Roman" w:cs="Times New Roman"/>
        </w:rPr>
        <w:fldChar w:fldCharType="end"/>
      </w:r>
      <w:r w:rsidR="00D843DC" w:rsidRPr="0068584C">
        <w:rPr>
          <w:rFonts w:ascii="Times New Roman" w:hAnsi="Times New Roman" w:cs="Times New Roman"/>
        </w:rPr>
        <w:t>.</w:t>
      </w:r>
    </w:p>
    <w:p w14:paraId="36004FB0" w14:textId="5A605574" w:rsidR="000753AC" w:rsidRPr="0068584C" w:rsidRDefault="008D7601" w:rsidP="0035460B">
      <w:pPr>
        <w:spacing w:line="480" w:lineRule="auto"/>
        <w:jc w:val="both"/>
        <w:rPr>
          <w:rFonts w:ascii="Times New Roman" w:hAnsi="Times New Roman" w:cs="Times New Roman"/>
        </w:rPr>
      </w:pPr>
      <w:r>
        <w:rPr>
          <w:rFonts w:ascii="Times New Roman" w:hAnsi="Times New Roman" w:cs="Times New Roman"/>
        </w:rPr>
        <w:tab/>
      </w:r>
      <w:r w:rsidR="00F2113D" w:rsidRPr="0068584C">
        <w:rPr>
          <w:rFonts w:ascii="Times New Roman" w:hAnsi="Times New Roman" w:cs="Times New Roman"/>
        </w:rPr>
        <w:t xml:space="preserve">For both practice and academia, the conflict between increasing involvement of external partners in the innovation process </w:t>
      </w:r>
      <w:r w:rsidR="001A4BA7"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"Madhok", "given" : "Anoop", "non-dropping-particle" : "", "parse-names" : false, "suffix" : "" }, { "dropping-particle" : "", "family" : "Tallman", "given" : "Stephen B", "non-dropping-particle" : "", "parse-names" : false, "suffix" : "" } ], "container-title" : "Organization Science", "id" : "ITEM-1", "issue" : "3", "issued" : { "date-parts" : [ [ "1998" ] ] }, "page" : "326-339", "title" : "Resources, Transactions and Rents: Managing Value Through Interfirm Collaborative Relationships", "type" : "article-journal", "volume" : "9" }, "uris" : [ "http://www.mendeley.com/documents/?uuid=7ffde82a-02c8-4024-b3aa-6dea8d2ade97" ] } ], "mendeley" : { "formattedCitation" : "(Madhok &amp; Tallman, 1998)", "plainTextFormattedCitation" : "(Madhok &amp; Tallman, 1998)", "previouslyFormattedCitation" : "(Madhok &amp; Tallman, 1998)" }, "properties" : { "noteIndex" : 0 }, "schema" : "https://github.com/citation-style-language/schema/raw/master/csl-citation.json" }</w:instrText>
      </w:r>
      <w:r w:rsidR="001A4BA7" w:rsidRPr="0068584C">
        <w:rPr>
          <w:rFonts w:ascii="Times New Roman" w:hAnsi="Times New Roman" w:cs="Times New Roman"/>
        </w:rPr>
        <w:fldChar w:fldCharType="separate"/>
      </w:r>
      <w:r w:rsidR="000E6ECE" w:rsidRPr="000E6ECE">
        <w:rPr>
          <w:rFonts w:ascii="Times New Roman" w:hAnsi="Times New Roman" w:cs="Times New Roman"/>
          <w:noProof/>
        </w:rPr>
        <w:t>(Madhok &amp; Tallman, 1998)</w:t>
      </w:r>
      <w:r w:rsidR="001A4BA7" w:rsidRPr="0068584C">
        <w:rPr>
          <w:rFonts w:ascii="Times New Roman" w:hAnsi="Times New Roman" w:cs="Times New Roman"/>
        </w:rPr>
        <w:fldChar w:fldCharType="end"/>
      </w:r>
      <w:r w:rsidR="00F2113D" w:rsidRPr="0068584C">
        <w:rPr>
          <w:rFonts w:ascii="Times New Roman" w:hAnsi="Times New Roman" w:cs="Times New Roman"/>
        </w:rPr>
        <w:t xml:space="preserve"> and increasing innovation failure rates has not been resolved</w:t>
      </w:r>
      <w:r w:rsidR="00390BBB">
        <w:rPr>
          <w:rFonts w:ascii="Times New Roman" w:hAnsi="Times New Roman" w:cs="Times New Roman"/>
        </w:rPr>
        <w:t xml:space="preserve"> yet</w:t>
      </w:r>
      <w:r w:rsidR="000D7310" w:rsidRPr="0068584C">
        <w:rPr>
          <w:rFonts w:ascii="Times New Roman" w:hAnsi="Times New Roman" w:cs="Times New Roman"/>
        </w:rPr>
        <w:t xml:space="preserve"> </w:t>
      </w:r>
      <w:r w:rsidR="001A4BA7"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"10.1016/j.bushor.2009.05.002", "author" : [ { "dropping-particle" : "", "family" : "Ireland", "given" : "R Duane", "non-dropping-particle" : "", "parse-names" : false, "suffix" : "" }, { "dropping-particle" : "", "family" : "Webb", "given" : "Justin W", "non-dropping-particle" : "", "parse-names" : false, "suffix" : "" } ], "container-title" : "Business Horizons", "id" : "ITEM-1", "issued" : { "date-parts" : [ [ "2009" ] ] }, "page" : "469-479", "title" : "Crossing the great divide of strategic entrepreneurship: Transitioning between exploration and exploitation", "type" : "article-journal", "volume" : "52" }, "uris" : [ "http://www.mendeley.com/documents/?uuid=efb49960-b1db-4603-afb2-f75062bd8acb" ] }, { "id" : "ITEM-2", "itemData" : { "DOI" : "10.1111/j.1540-5885.2012.01009.x", "ISBN" : "1540-5885", "ISSN" : "07376782", "PMID" : "89549053", "abstract" : "A persistent myth in product innovation and management is that the failure rate of new products is 80% or higher. How does this false idea continue to displace the conclusions of empirical studies since 1977 that the new product failure rate is 40% or less? We examine the influence of a fallacy that encourages people's unthinking acceptance of ideas on new product failure rates and whose appeal rests primarily on an emotional, rather than a reasoned, argument. Self-interest also plays a major role in keeping this myth alive.", "author" : [ { "dropping-particle" : "", "family" : "Castellion", "given" : "George", "non-dropping-particle" : "", "parse-names" : false, "suffix" : "" }, { "dropping-particle" : "", "family" : "Markham", "given" : "Stephen K.", "non-dropping-particle" : "", "parse-names" : false, "suffix" : "" } ], "container-title" : "Journal of Product Innovation Management", "id" : "ITEM-2", "issue" : "5", "issued" : { "date-parts" : [ [ "2013" ] ] }, "page" : "976-979", "title" : "Perspective: New product failure rates: Influence of Argumentum ad populum and self-interest", "type" : "article-journal", "volume" : "30" }, "uris" : [ "http://www.mendeley.com/documents/?uuid=eba29b4c-72ff-45e7-987c-33bc11ae1f44" ] }, { "id" : "ITEM-3",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"ITEM-3",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"(Castellion &amp; Markham, 2013; Ireland &amp; Webb, 2009; Wowak et al., 2016)", "plainTextFormattedCitation" : "(Castellion &amp; Markham, 2013; Ireland &amp; Webb, 2009; Wowak et al., 2016)", "previouslyFormattedCitation" : "(Castellion &amp; Markham, 2013; Ireland &amp; Webb, 2009; Wowak et al., 2016)" }, "properties" : { "noteIndex" : 0 }, "schema" : "https://github.com/citation-style-language/schema/raw/master/csl-citation.json" }</w:instrText>
      </w:r>
      <w:r w:rsidR="001A4BA7" w:rsidRPr="0068584C">
        <w:rPr>
          <w:rFonts w:ascii="Times New Roman" w:hAnsi="Times New Roman" w:cs="Times New Roman"/>
        </w:rPr>
        <w:fldChar w:fldCharType="separate"/>
      </w:r>
      <w:r w:rsidR="000E6ECE" w:rsidRPr="000E6ECE">
        <w:rPr>
          <w:rFonts w:ascii="Times New Roman" w:hAnsi="Times New Roman" w:cs="Times New Roman"/>
          <w:noProof/>
        </w:rPr>
        <w:t>(Castellion &amp; Markham, 2013; Ireland &amp; Webb, 2009; Wowak et al., 2016)</w:t>
      </w:r>
      <w:r w:rsidR="001A4BA7" w:rsidRPr="0068584C">
        <w:rPr>
          <w:rFonts w:ascii="Times New Roman" w:hAnsi="Times New Roman" w:cs="Times New Roman"/>
        </w:rPr>
        <w:fldChar w:fldCharType="end"/>
      </w:r>
      <w:r w:rsidR="00F2113D" w:rsidRPr="0068584C">
        <w:rPr>
          <w:rFonts w:ascii="Times New Roman" w:hAnsi="Times New Roman" w:cs="Times New Roman"/>
        </w:rPr>
        <w:t xml:space="preserve">. </w:t>
      </w:r>
      <w:r w:rsidR="000753AC" w:rsidRPr="0068584C">
        <w:rPr>
          <w:rFonts w:ascii="Times New Roman" w:hAnsi="Times New Roman" w:cs="Times New Roman"/>
        </w:rPr>
        <w:t xml:space="preserve">To address this </w:t>
      </w:r>
      <w:r w:rsidR="00867A90" w:rsidRPr="0068584C">
        <w:rPr>
          <w:rFonts w:ascii="Times New Roman" w:hAnsi="Times New Roman" w:cs="Times New Roman"/>
        </w:rPr>
        <w:t>conflict</w:t>
      </w:r>
      <w:r w:rsidR="000753AC" w:rsidRPr="0068584C">
        <w:rPr>
          <w:rFonts w:ascii="Times New Roman" w:hAnsi="Times New Roman" w:cs="Times New Roman"/>
        </w:rPr>
        <w:t>, research needs to look beyond the focal organization</w:t>
      </w:r>
      <w:r w:rsidR="00CE55DD" w:rsidRPr="0068584C">
        <w:rPr>
          <w:rFonts w:ascii="Times New Roman" w:hAnsi="Times New Roman" w:cs="Times New Roman"/>
        </w:rPr>
        <w:t>’s resource management</w:t>
      </w:r>
      <w:r w:rsidR="00DB52D8" w:rsidRPr="0068584C">
        <w:rPr>
          <w:rFonts w:ascii="Times New Roman" w:hAnsi="Times New Roman" w:cs="Times New Roman"/>
        </w:rPr>
        <w:t xml:space="preserve"> and include </w:t>
      </w:r>
      <w:r w:rsidR="002B4560" w:rsidRPr="0068584C">
        <w:rPr>
          <w:rFonts w:ascii="Times New Roman" w:hAnsi="Times New Roman" w:cs="Times New Roman"/>
        </w:rPr>
        <w:t xml:space="preserve">the practices of managing the </w:t>
      </w:r>
      <w:r w:rsidR="00DB52D8" w:rsidRPr="0068584C">
        <w:rPr>
          <w:rFonts w:ascii="Times New Roman" w:hAnsi="Times New Roman" w:cs="Times New Roman"/>
        </w:rPr>
        <w:t>external resource inflow within the scope of the investigation</w:t>
      </w:r>
      <w:r w:rsidR="000753AC" w:rsidRPr="0068584C">
        <w:rPr>
          <w:rFonts w:ascii="Times New Roman" w:hAnsi="Times New Roman" w:cs="Times New Roman"/>
        </w:rPr>
        <w:t xml:space="preserve">. </w:t>
      </w:r>
      <w:r w:rsidR="00EF47DB" w:rsidRPr="0068584C">
        <w:rPr>
          <w:rFonts w:ascii="Times New Roman" w:hAnsi="Times New Roman" w:cs="Times New Roman"/>
        </w:rPr>
        <w:t xml:space="preserve">Specifically, organizations differ in their effectiveness of integrating resources, which explains in part </w:t>
      </w:r>
      <w:r w:rsidR="000A7A38" w:rsidRPr="0068584C">
        <w:rPr>
          <w:rFonts w:ascii="Times New Roman" w:hAnsi="Times New Roman" w:cs="Times New Roman"/>
        </w:rPr>
        <w:t>heterogeneity among organizational performance</w:t>
      </w:r>
      <w:r w:rsidR="00BD6BA5" w:rsidRPr="0068584C">
        <w:rPr>
          <w:rFonts w:ascii="Times New Roman" w:hAnsi="Times New Roman" w:cs="Times New Roman"/>
        </w:rPr>
        <w:t xml:space="preserve"> </w:t>
      </w:r>
      <w:r w:rsidR="00BD6BA5"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"10.1177/0149206310387675", "author" : [ { "dropping-particle" : "", "family" : "Maritan", "given" : "Catherine A", "non-dropping-particle" : "", "parse-names" : false, "suffix" : "" }, { "dropping-particle" : "", "family" : "Peteraf", "given" : "Margaret A", "non-dropping-particle" : "", "parse-names" : false, "suffix" : "" } ], "container-title" : "Journal of Management", "id" : "ITEM-1", "issue" : "5", "issued" : { "date-parts" : [ [ "2011" ] ] }, "page" : "1374-1389", "title" : "Building a Bridge Between Resource Acquisition and Resource Accumulation", "type" : "article-journal", "volume" : "37" }, "uris" : [ "http://www.mendeley.com/documents/?uuid=2254e123-be22-420f-923e-6d63e01c21be" ] } ], "mendeley" : { "formattedCitation" : "(Maritan &amp; Peteraf, 2011)", "plainTextFormattedCitation" : "(Maritan &amp; Peteraf, 2011)", "previouslyFormattedCitation" : "(Maritan &amp; Peteraf, 2011)" }, "properties" : { "noteIndex" : 0 }, "schema" : "https://github.com/citation-style-language/schema/raw/master/csl-citation.json" }</w:instrText>
      </w:r>
      <w:r w:rsidR="00BD6BA5" w:rsidRPr="0068584C">
        <w:rPr>
          <w:rFonts w:ascii="Times New Roman" w:hAnsi="Times New Roman" w:cs="Times New Roman"/>
        </w:rPr>
        <w:fldChar w:fldCharType="separate"/>
      </w:r>
      <w:r w:rsidR="000E6ECE" w:rsidRPr="000E6ECE">
        <w:rPr>
          <w:rFonts w:ascii="Times New Roman" w:hAnsi="Times New Roman" w:cs="Times New Roman"/>
          <w:noProof/>
        </w:rPr>
        <w:t>(Maritan &amp; Peteraf, 2011)</w:t>
      </w:r>
      <w:r w:rsidR="00BD6BA5" w:rsidRPr="0068584C">
        <w:rPr>
          <w:rFonts w:ascii="Times New Roman" w:hAnsi="Times New Roman" w:cs="Times New Roman"/>
        </w:rPr>
        <w:fldChar w:fldCharType="end"/>
      </w:r>
      <w:r w:rsidR="00BD6BA5" w:rsidRPr="0068584C">
        <w:rPr>
          <w:rFonts w:ascii="Times New Roman" w:hAnsi="Times New Roman" w:cs="Times New Roman"/>
        </w:rPr>
        <w:t>.</w:t>
      </w:r>
      <w:r w:rsidR="000A7A38" w:rsidRPr="0068584C">
        <w:rPr>
          <w:rFonts w:ascii="Times New Roman" w:hAnsi="Times New Roman" w:cs="Times New Roman"/>
        </w:rPr>
        <w:t xml:space="preserve"> </w:t>
      </w:r>
      <w:r w:rsidR="00CE4459" w:rsidRPr="0068584C">
        <w:rPr>
          <w:rFonts w:ascii="Times New Roman" w:hAnsi="Times New Roman" w:cs="Times New Roman"/>
        </w:rPr>
        <w:t>Scholars have called for</w:t>
      </w:r>
      <w:r w:rsidR="00F25392" w:rsidRPr="0068584C">
        <w:rPr>
          <w:rFonts w:ascii="Times New Roman" w:hAnsi="Times New Roman" w:cs="Times New Roman"/>
        </w:rPr>
        <w:t xml:space="preserve"> more research about the micro</w:t>
      </w:r>
      <w:r w:rsidR="005C0881">
        <w:rPr>
          <w:rFonts w:ascii="Times New Roman" w:hAnsi="Times New Roman" w:cs="Times New Roman"/>
        </w:rPr>
        <w:t xml:space="preserve"> </w:t>
      </w:r>
      <w:r w:rsidR="00F25392" w:rsidRPr="0068584C">
        <w:rPr>
          <w:rFonts w:ascii="Times New Roman" w:hAnsi="Times New Roman" w:cs="Times New Roman"/>
        </w:rPr>
        <w:t>foundations and sub-processes</w:t>
      </w:r>
      <w:r w:rsidR="00CE4459" w:rsidRPr="0068584C">
        <w:rPr>
          <w:rFonts w:ascii="Times New Roman" w:hAnsi="Times New Roman" w:cs="Times New Roman"/>
        </w:rPr>
        <w:t xml:space="preserve"> of resource management, </w:t>
      </w:r>
      <w:r w:rsidR="00F25392" w:rsidRPr="0068584C">
        <w:rPr>
          <w:rFonts w:ascii="Times New Roman" w:hAnsi="Times New Roman" w:cs="Times New Roman"/>
        </w:rPr>
        <w:t>the detailed managerial actions</w:t>
      </w:r>
      <w:r w:rsidR="00CE4459" w:rsidRPr="0068584C">
        <w:rPr>
          <w:rFonts w:ascii="Times New Roman" w:hAnsi="Times New Roman" w:cs="Times New Roman"/>
        </w:rPr>
        <w:t>,</w:t>
      </w:r>
      <w:r w:rsidR="00F25392" w:rsidRPr="0068584C">
        <w:rPr>
          <w:rFonts w:ascii="Times New Roman" w:hAnsi="Times New Roman" w:cs="Times New Roman"/>
        </w:rPr>
        <w:t xml:space="preserve"> and </w:t>
      </w:r>
      <w:r w:rsidR="004005ED" w:rsidRPr="0068584C">
        <w:rPr>
          <w:rFonts w:ascii="Times New Roman" w:hAnsi="Times New Roman" w:cs="Times New Roman"/>
        </w:rPr>
        <w:t>their</w:t>
      </w:r>
      <w:r w:rsidR="00F25392" w:rsidRPr="0068584C">
        <w:rPr>
          <w:rFonts w:ascii="Times New Roman" w:hAnsi="Times New Roman" w:cs="Times New Roman"/>
        </w:rPr>
        <w:t xml:space="preserve"> performance impact </w:t>
      </w:r>
      <w:r w:rsidR="00BD6BA5"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"Wiklund", "given" : "Johan", "non-dropping-particle" : "", "parse-names" : false, "suffix" : "" }, { "dropping-particle" : "", "family" : "Shepherd", "given" : "Dean A", "non-dropping-particle" : "", "parse-names" : false, "suffix" : "" } ], "container-title" : "Entrepreneurship Theory and Practice", "id" : "ITEM-1", "issue" : "January", "issued" : { "date-parts" : [ [ "2009" ] ] }, "page" : "193-213", "title" : "The Effectiveness of Alliances and Acquisitions: The Role of Resource Combination Activities", "type" : "article-journal" }, "uris" : [ "http://www.mendeley.com/documents/?uuid=da6b6fe4-2a11-4c9a-a14d-17eee8bfc2fe" ] } ], "mendeley" : { "formattedCitation" : "(Wiklund &amp; Shepherd, 2009)", "plainTextFormattedCitation" : "(Wiklund &amp; Shepherd, 2009)", "previouslyFormattedCitation" : "(Wiklund &amp; Shepherd, 2009)" }, "properties" : { "noteIndex" : 0 }, "schema" : "https://github.com/citation-style-language/schema/raw/master/csl-citation.json" }</w:instrText>
      </w:r>
      <w:r w:rsidR="00BD6BA5" w:rsidRPr="0068584C">
        <w:rPr>
          <w:rFonts w:ascii="Times New Roman" w:hAnsi="Times New Roman" w:cs="Times New Roman"/>
        </w:rPr>
        <w:fldChar w:fldCharType="separate"/>
      </w:r>
      <w:r w:rsidR="000E6ECE" w:rsidRPr="000E6ECE">
        <w:rPr>
          <w:rFonts w:ascii="Times New Roman" w:hAnsi="Times New Roman" w:cs="Times New Roman"/>
          <w:noProof/>
        </w:rPr>
        <w:t>(Wiklund &amp; Shepherd, 2009)</w:t>
      </w:r>
      <w:r w:rsidR="00BD6BA5" w:rsidRPr="0068584C">
        <w:rPr>
          <w:rFonts w:ascii="Times New Roman" w:hAnsi="Times New Roman" w:cs="Times New Roman"/>
        </w:rPr>
        <w:fldChar w:fldCharType="end"/>
      </w:r>
      <w:r w:rsidR="00BD6BA5" w:rsidRPr="0068584C">
        <w:rPr>
          <w:rFonts w:ascii="Times New Roman" w:hAnsi="Times New Roman" w:cs="Times New Roman"/>
        </w:rPr>
        <w:t xml:space="preserve">. </w:t>
      </w:r>
    </w:p>
    <w:p w14:paraId="1D43EE53" w14:textId="1F8D58F3" w:rsidR="0015400C" w:rsidRPr="0068584C" w:rsidRDefault="008D7601" w:rsidP="0035460B">
      <w:pPr>
        <w:spacing w:line="480" w:lineRule="auto"/>
        <w:jc w:val="both"/>
        <w:rPr>
          <w:rFonts w:ascii="Times New Roman" w:hAnsi="Times New Roman" w:cs="Times New Roman"/>
        </w:rPr>
      </w:pPr>
      <w:r>
        <w:rPr>
          <w:rFonts w:ascii="Times New Roman" w:hAnsi="Times New Roman" w:cs="Times New Roman"/>
        </w:rPr>
        <w:tab/>
      </w:r>
      <w:r w:rsidR="008018E5" w:rsidRPr="0068584C">
        <w:rPr>
          <w:rFonts w:ascii="Times New Roman" w:hAnsi="Times New Roman" w:cs="Times New Roman"/>
        </w:rPr>
        <w:t xml:space="preserve">Neither DCT nor ROT </w:t>
      </w:r>
      <w:r w:rsidR="000C628D" w:rsidRPr="0068584C">
        <w:rPr>
          <w:rFonts w:ascii="Times New Roman" w:hAnsi="Times New Roman" w:cs="Times New Roman"/>
        </w:rPr>
        <w:t>has</w:t>
      </w:r>
      <w:r w:rsidR="008018E5" w:rsidRPr="0068584C">
        <w:rPr>
          <w:rFonts w:ascii="Times New Roman" w:hAnsi="Times New Roman" w:cs="Times New Roman"/>
        </w:rPr>
        <w:t xml:space="preserve"> </w:t>
      </w:r>
      <w:r w:rsidR="00572512">
        <w:rPr>
          <w:rFonts w:ascii="Times New Roman" w:hAnsi="Times New Roman" w:cs="Times New Roman"/>
        </w:rPr>
        <w:t>fully</w:t>
      </w:r>
      <w:r w:rsidR="00572512" w:rsidRPr="0068584C">
        <w:rPr>
          <w:rFonts w:ascii="Times New Roman" w:hAnsi="Times New Roman" w:cs="Times New Roman"/>
        </w:rPr>
        <w:t xml:space="preserve"> </w:t>
      </w:r>
      <w:r w:rsidR="008018E5" w:rsidRPr="0068584C">
        <w:rPr>
          <w:rFonts w:ascii="Times New Roman" w:hAnsi="Times New Roman" w:cs="Times New Roman"/>
        </w:rPr>
        <w:t xml:space="preserve">addressed the </w:t>
      </w:r>
      <w:r w:rsidR="00572512">
        <w:rPr>
          <w:rFonts w:ascii="Times New Roman" w:hAnsi="Times New Roman" w:cs="Times New Roman"/>
        </w:rPr>
        <w:t>integration</w:t>
      </w:r>
      <w:r w:rsidR="00572512" w:rsidRPr="0068584C">
        <w:rPr>
          <w:rFonts w:ascii="Times New Roman" w:hAnsi="Times New Roman" w:cs="Times New Roman"/>
        </w:rPr>
        <w:t xml:space="preserve"> </w:t>
      </w:r>
      <w:r w:rsidR="008018E5" w:rsidRPr="0068584C">
        <w:rPr>
          <w:rFonts w:ascii="Times New Roman" w:hAnsi="Times New Roman" w:cs="Times New Roman"/>
        </w:rPr>
        <w:t xml:space="preserve">of resources </w:t>
      </w:r>
      <w:r w:rsidR="00171EDC">
        <w:rPr>
          <w:rFonts w:ascii="Times New Roman" w:hAnsi="Times New Roman" w:cs="Times New Roman"/>
        </w:rPr>
        <w:t>originating</w:t>
      </w:r>
      <w:r w:rsidR="008018E5" w:rsidRPr="0068584C">
        <w:rPr>
          <w:rFonts w:ascii="Times New Roman" w:hAnsi="Times New Roman" w:cs="Times New Roman"/>
        </w:rPr>
        <w:t xml:space="preserve"> </w:t>
      </w:r>
      <w:r w:rsidR="0028341B" w:rsidRPr="0068584C">
        <w:rPr>
          <w:rFonts w:ascii="Times New Roman" w:hAnsi="Times New Roman" w:cs="Times New Roman"/>
        </w:rPr>
        <w:t xml:space="preserve">from </w:t>
      </w:r>
      <w:r w:rsidR="008018E5" w:rsidRPr="0068584C">
        <w:rPr>
          <w:rFonts w:ascii="Times New Roman" w:hAnsi="Times New Roman" w:cs="Times New Roman"/>
        </w:rPr>
        <w:t xml:space="preserve">outside of the organization’s boundaries. </w:t>
      </w:r>
      <w:r w:rsidR="000753AC" w:rsidRPr="0068584C">
        <w:rPr>
          <w:rFonts w:ascii="Times New Roman" w:hAnsi="Times New Roman" w:cs="Times New Roman"/>
        </w:rPr>
        <w:t xml:space="preserve">So far, the resource orchestration literature was </w:t>
      </w:r>
      <w:r w:rsidR="00A50159" w:rsidRPr="0068584C">
        <w:rPr>
          <w:rFonts w:ascii="Times New Roman" w:hAnsi="Times New Roman" w:cs="Times New Roman"/>
        </w:rPr>
        <w:t xml:space="preserve">focused </w:t>
      </w:r>
      <w:r w:rsidR="00581246" w:rsidRPr="0068584C">
        <w:rPr>
          <w:rFonts w:ascii="Times New Roman" w:hAnsi="Times New Roman" w:cs="Times New Roman"/>
        </w:rPr>
        <w:t xml:space="preserve">primarily </w:t>
      </w:r>
      <w:r w:rsidR="000753AC" w:rsidRPr="0068584C">
        <w:rPr>
          <w:rFonts w:ascii="Times New Roman" w:hAnsi="Times New Roman" w:cs="Times New Roman"/>
        </w:rPr>
        <w:t>on internal resource</w:t>
      </w:r>
      <w:r w:rsidR="00E32D0F" w:rsidRPr="0068584C">
        <w:rPr>
          <w:rFonts w:ascii="Times New Roman" w:hAnsi="Times New Roman" w:cs="Times New Roman"/>
        </w:rPr>
        <w:t xml:space="preserve"> management and</w:t>
      </w:r>
      <w:r w:rsidR="000753AC" w:rsidRPr="0068584C">
        <w:rPr>
          <w:rFonts w:ascii="Times New Roman" w:hAnsi="Times New Roman" w:cs="Times New Roman"/>
        </w:rPr>
        <w:t xml:space="preserve"> integration activities</w:t>
      </w:r>
      <w:r w:rsidR="00736F24">
        <w:rPr>
          <w:rFonts w:ascii="Times New Roman" w:hAnsi="Times New Roman" w:cs="Times New Roman"/>
        </w:rPr>
        <w:t xml:space="preserve"> </w:t>
      </w:r>
      <w:r w:rsidR="00736F24">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"10.1002/sej.1227", "author" : [ { "dropping-particle" : "", "family" : "Baert", "given" : "Caroline", "non-dropping-particle" : "", "parse-names" : false, "suffix" : "" }, { "dropping-particle" : "", "family" : "Meuleman", "given" : "Miguel", "non-dropping-particle" : "", "parse-names" : false, "suffix" : "" }, { "dropping-particle" : "", "family" : "Debruyne", "given" : "Marion", "non-dropping-particle" : "", "parse-names" : false, "suffix" : "" }, { "dropping-particle" : "", "family" : "Wright", "given" : "Mike", "non-dropping-particle" : "", "parse-names" : false, "suffix" : "" } ], "container-title" : "Strategic Entrepreneurship Journal", "id" : "ITEM-1", "issued" : { "date-parts" : [ [ "2016" ] ] }, "page" : "346-370", "title" : "PORTFOLIO ENTREPRENEURSHIP AND RESOURCE ORCHESTRATION", "type" : "article-journal", "volume" : "10" }, "uris" : [ "http://www.mendeley.com/documents/?uuid=f0907ead-c14c-4c97-80e2-d3a4c9840688" ] } ], "mendeley" : { "formattedCitation" : "(Baert et al., 2016)", "plainTextFormattedCitation" : "(Baert et al., 2016)", "previouslyFormattedCitation" : "(Baert et al., 2016)" }, "properties" : { "noteIndex" : 0 }, "schema" : "https://github.com/citation-style-language/schema/raw/master/csl-citation.json" }</w:instrText>
      </w:r>
      <w:r w:rsidR="00736F24">
        <w:rPr>
          <w:rFonts w:ascii="Times New Roman" w:hAnsi="Times New Roman" w:cs="Times New Roman"/>
        </w:rPr>
        <w:fldChar w:fldCharType="separate"/>
      </w:r>
      <w:r w:rsidR="000E6ECE" w:rsidRPr="000E6ECE">
        <w:rPr>
          <w:rFonts w:ascii="Times New Roman" w:hAnsi="Times New Roman" w:cs="Times New Roman"/>
          <w:noProof/>
        </w:rPr>
        <w:t>(Baert et al., 2016)</w:t>
      </w:r>
      <w:r w:rsidR="00736F24">
        <w:rPr>
          <w:rFonts w:ascii="Times New Roman" w:hAnsi="Times New Roman" w:cs="Times New Roman"/>
        </w:rPr>
        <w:fldChar w:fldCharType="end"/>
      </w:r>
      <w:r w:rsidR="00C76C67">
        <w:rPr>
          <w:rFonts w:ascii="Times New Roman" w:hAnsi="Times New Roman" w:cs="Times New Roman"/>
        </w:rPr>
        <w:t>.</w:t>
      </w:r>
      <w:r w:rsidR="00F37853" w:rsidRPr="0068584C">
        <w:rPr>
          <w:rFonts w:ascii="Times New Roman" w:hAnsi="Times New Roman" w:cs="Times New Roman"/>
        </w:rPr>
        <w:t xml:space="preserve"> </w:t>
      </w:r>
      <w:r w:rsidR="00814BCA">
        <w:rPr>
          <w:rFonts w:ascii="Times New Roman" w:hAnsi="Times New Roman" w:cs="Times New Roman"/>
        </w:rPr>
        <w:t>Deeper</w:t>
      </w:r>
      <w:r w:rsidR="00814BCA" w:rsidRPr="0068584C">
        <w:rPr>
          <w:rFonts w:ascii="Times New Roman" w:hAnsi="Times New Roman" w:cs="Times New Roman"/>
        </w:rPr>
        <w:t xml:space="preserve"> </w:t>
      </w:r>
      <w:r w:rsidR="00EF25BB" w:rsidRPr="0068584C">
        <w:rPr>
          <w:rFonts w:ascii="Times New Roman" w:hAnsi="Times New Roman" w:cs="Times New Roman"/>
        </w:rPr>
        <w:t xml:space="preserve">theoretical </w:t>
      </w:r>
      <w:r w:rsidR="00540E21" w:rsidRPr="0068584C">
        <w:rPr>
          <w:rFonts w:ascii="Times New Roman" w:hAnsi="Times New Roman" w:cs="Times New Roman"/>
        </w:rPr>
        <w:t>understand</w:t>
      </w:r>
      <w:r w:rsidR="00EF25BB" w:rsidRPr="0068584C">
        <w:rPr>
          <w:rFonts w:ascii="Times New Roman" w:hAnsi="Times New Roman" w:cs="Times New Roman"/>
        </w:rPr>
        <w:t>ing of</w:t>
      </w:r>
      <w:r w:rsidR="00540E21" w:rsidRPr="0068584C">
        <w:rPr>
          <w:rFonts w:ascii="Times New Roman" w:hAnsi="Times New Roman" w:cs="Times New Roman"/>
        </w:rPr>
        <w:t xml:space="preserve"> what managerial practices lead to higher innovation performance</w:t>
      </w:r>
      <w:r w:rsidR="00EF25BB" w:rsidRPr="0068584C">
        <w:rPr>
          <w:rFonts w:ascii="Times New Roman" w:hAnsi="Times New Roman" w:cs="Times New Roman"/>
        </w:rPr>
        <w:t xml:space="preserve"> is needed</w:t>
      </w:r>
      <w:r w:rsidR="00540E21" w:rsidRPr="0068584C">
        <w:rPr>
          <w:rFonts w:ascii="Times New Roman" w:hAnsi="Times New Roman" w:cs="Times New Roman"/>
        </w:rPr>
        <w:t>.</w:t>
      </w:r>
      <w:r w:rsidR="00EF25BB" w:rsidRPr="0068584C">
        <w:rPr>
          <w:rFonts w:ascii="Times New Roman" w:hAnsi="Times New Roman" w:cs="Times New Roman"/>
        </w:rPr>
        <w:t xml:space="preserve"> </w:t>
      </w:r>
      <w:r w:rsidR="00540E21" w:rsidRPr="0068584C">
        <w:rPr>
          <w:rFonts w:ascii="Times New Roman" w:hAnsi="Times New Roman" w:cs="Times New Roman"/>
        </w:rPr>
        <w:t xml:space="preserve"> </w:t>
      </w:r>
      <w:r w:rsidR="00EF38FC" w:rsidRPr="0068584C">
        <w:rPr>
          <w:rFonts w:ascii="Times New Roman" w:hAnsi="Times New Roman" w:cs="Times New Roman"/>
        </w:rPr>
        <w:t xml:space="preserve">A paucity of research has been noted in terms of organizational routines and capabilities </w:t>
      </w:r>
      <w:r w:rsidR="00EF38FC" w:rsidRPr="0068584C">
        <w:rPr>
          <w:rFonts w:ascii="Times New Roman" w:hAnsi="Times New Roman" w:cs="Times New Roman"/>
        </w:rPr>
        <w:lastRenderedPageBreak/>
        <w:t>related to resource management</w:t>
      </w:r>
      <w:r w:rsidR="00884DFB" w:rsidRPr="0068584C">
        <w:rPr>
          <w:rFonts w:ascii="Times New Roman" w:hAnsi="Times New Roman" w:cs="Times New Roman"/>
        </w:rPr>
        <w:t xml:space="preserve"> </w:t>
      </w:r>
      <w:r w:rsidR="00884DFB"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"10.1177/0149206310387675", "author" : [ { "dropping-particle" : "", "family" : "Maritan", "given" : "Catherine A", "non-dropping-particle" : "", "parse-names" : false, "suffix" : "" }, { "dropping-particle" : "", "family" : "Peteraf", "given" : "Margaret A", "non-dropping-particle" : "", "parse-names" : false, "suffix" : "" } ], "container-title" : "Journal of Management", "id" : "ITEM-1", "issue" : "5", "issued" : { "date-parts" : [ [ "2011" ] ] }, "page" : "1374-1389", "title" : "Building a Bridge Between Resource Acquisition and Resource Accumulation", "type" : "article-journal", "volume" : "37" }, "uris" : [ "http://www.mendeley.com/documents/?uuid=2254e123-be22-420f-923e-6d63e01c21be" ] } ], "mendeley" : { "formattedCitation" : "(Maritan &amp; Peteraf, 2011)", "plainTextFormattedCitation" : "(Maritan &amp; Peteraf, 2011)", "previouslyFormattedCitation" : "(Maritan &amp; Peteraf, 2011)" }, "properties" : { "noteIndex" : 0 }, "schema" : "https://github.com/citation-style-language/schema/raw/master/csl-citation.json" }</w:instrText>
      </w:r>
      <w:r w:rsidR="00884DFB" w:rsidRPr="0068584C">
        <w:rPr>
          <w:rFonts w:ascii="Times New Roman" w:hAnsi="Times New Roman" w:cs="Times New Roman"/>
        </w:rPr>
        <w:fldChar w:fldCharType="separate"/>
      </w:r>
      <w:r w:rsidR="000E6ECE" w:rsidRPr="000E6ECE">
        <w:rPr>
          <w:rFonts w:ascii="Times New Roman" w:hAnsi="Times New Roman" w:cs="Times New Roman"/>
          <w:noProof/>
        </w:rPr>
        <w:t>(Maritan &amp; Peteraf, 2011)</w:t>
      </w:r>
      <w:r w:rsidR="00884DFB" w:rsidRPr="0068584C">
        <w:rPr>
          <w:rFonts w:ascii="Times New Roman" w:hAnsi="Times New Roman" w:cs="Times New Roman"/>
        </w:rPr>
        <w:fldChar w:fldCharType="end"/>
      </w:r>
      <w:r w:rsidR="00884DFB" w:rsidRPr="0068584C">
        <w:rPr>
          <w:rFonts w:ascii="Times New Roman" w:hAnsi="Times New Roman" w:cs="Times New Roman"/>
        </w:rPr>
        <w:t>.</w:t>
      </w:r>
      <w:r w:rsidR="00EF38FC" w:rsidRPr="0068584C">
        <w:rPr>
          <w:rFonts w:ascii="Times New Roman" w:hAnsi="Times New Roman" w:cs="Times New Roman"/>
        </w:rPr>
        <w:t xml:space="preserve"> </w:t>
      </w:r>
      <w:r w:rsidR="00473E92" w:rsidRPr="0068584C">
        <w:rPr>
          <w:rFonts w:ascii="Times New Roman" w:hAnsi="Times New Roman" w:cs="Times New Roman"/>
        </w:rPr>
        <w:t xml:space="preserve">The theoretical domain could be broadened to consider the impact of </w:t>
      </w:r>
      <w:r w:rsidR="00F243E5" w:rsidRPr="0068584C">
        <w:rPr>
          <w:rFonts w:ascii="Times New Roman" w:hAnsi="Times New Roman" w:cs="Times New Roman"/>
        </w:rPr>
        <w:t xml:space="preserve">cultural </w:t>
      </w:r>
      <w:r w:rsidR="00FB00FB" w:rsidRPr="0068584C">
        <w:rPr>
          <w:rFonts w:ascii="Times New Roman" w:hAnsi="Times New Roman" w:cs="Times New Roman"/>
        </w:rPr>
        <w:t>factors</w:t>
      </w:r>
      <w:r w:rsidR="00FB00FB" w:rsidRPr="0068584C" w:rsidDel="00473E92">
        <w:rPr>
          <w:rFonts w:ascii="Times New Roman" w:hAnsi="Times New Roman" w:cs="Times New Roman"/>
        </w:rPr>
        <w:t xml:space="preserve"> </w:t>
      </w:r>
      <w:r w:rsidR="00FB00FB" w:rsidRPr="0068584C">
        <w:rPr>
          <w:rFonts w:ascii="Times New Roman" w:hAnsi="Times New Roman" w:cs="Times New Roman"/>
        </w:rPr>
        <w:t xml:space="preserve">(e.g., </w:t>
      </w:r>
      <w:r w:rsidR="00243F49" w:rsidRPr="0068584C">
        <w:rPr>
          <w:rFonts w:ascii="Times New Roman" w:hAnsi="Times New Roman" w:cs="Times New Roman"/>
        </w:rPr>
        <w:t>innovation culture</w:t>
      </w:r>
      <w:r w:rsidR="00540E21" w:rsidRPr="0068584C">
        <w:rPr>
          <w:rFonts w:ascii="Times New Roman" w:hAnsi="Times New Roman" w:cs="Times New Roman"/>
        </w:rPr>
        <w:t xml:space="preserve">) </w:t>
      </w:r>
      <w:r w:rsidR="00473E92" w:rsidRPr="0068584C">
        <w:rPr>
          <w:rFonts w:ascii="Times New Roman" w:hAnsi="Times New Roman" w:cs="Times New Roman"/>
        </w:rPr>
        <w:t xml:space="preserve">on resource </w:t>
      </w:r>
      <w:r w:rsidR="009726A3">
        <w:rPr>
          <w:rFonts w:ascii="Times New Roman" w:hAnsi="Times New Roman" w:cs="Times New Roman"/>
        </w:rPr>
        <w:t xml:space="preserve">management </w:t>
      </w:r>
      <w:r w:rsidR="00473E92" w:rsidRPr="0068584C">
        <w:rPr>
          <w:rFonts w:ascii="Times New Roman" w:hAnsi="Times New Roman" w:cs="Times New Roman"/>
        </w:rPr>
        <w:t>practices.</w:t>
      </w:r>
      <w:r w:rsidR="009C7B18" w:rsidRPr="0068584C">
        <w:rPr>
          <w:rFonts w:ascii="Times New Roman" w:hAnsi="Times New Roman" w:cs="Times New Roman"/>
        </w:rPr>
        <w:t xml:space="preserve"> Scholars called for more research on the impact of mental models and managerial cognition on resource management processes and outcomes</w:t>
      </w:r>
      <w:r w:rsidR="0068621B">
        <w:rPr>
          <w:rFonts w:ascii="Times New Roman" w:hAnsi="Times New Roman" w:cs="Times New Roman"/>
        </w:rPr>
        <w:t xml:space="preserve"> </w:t>
      </w:r>
      <w:r w:rsidR="0068621B">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"10.1177/0149206310387675", "author" : [ { "dropping-particle" : "", "family" : "Maritan", "given" : "Catherine A", "non-dropping-particle" : "", "parse-names" : false, "suffix" : "" }, { "dropping-particle" : "", "family" : "Peteraf", "given" : "Margaret A", "non-dropping-particle" : "", "parse-names" : false, "suffix" : "" } ], "container-title" : "Journal of Management", "id" : "ITEM-1", "issue" : "5", "issued" : { "date-parts" : [ [ "2011" ] ] }, "page" : "1374-1389", "title" : "Building a Bridge Between Resource Acquisition and Resource Accumulation", "type" : "article-journal", "volume" : "37" }, "uris" : [ "http://www.mendeley.com/documents/?uuid=2254e123-be22-420f-923e-6d63e01c21be" ] } ], "mendeley" : { "formattedCitation" : "(Maritan &amp; Peteraf, 2011)", "plainTextFormattedCitation" : "(Maritan &amp; Peteraf, 2011)", "previouslyFormattedCitation" : "(Maritan &amp; Peteraf, 2011)" }, "properties" : { "noteIndex" : 0 }, "schema" : "https://github.com/citation-style-language/schema/raw/master/csl-citation.json" }</w:instrText>
      </w:r>
      <w:r w:rsidR="0068621B">
        <w:rPr>
          <w:rFonts w:ascii="Times New Roman" w:hAnsi="Times New Roman" w:cs="Times New Roman"/>
        </w:rPr>
        <w:fldChar w:fldCharType="separate"/>
      </w:r>
      <w:r w:rsidR="000E6ECE" w:rsidRPr="000E6ECE">
        <w:rPr>
          <w:rFonts w:ascii="Times New Roman" w:hAnsi="Times New Roman" w:cs="Times New Roman"/>
          <w:noProof/>
        </w:rPr>
        <w:t>(Maritan &amp; Peteraf, 2011)</w:t>
      </w:r>
      <w:r w:rsidR="0068621B">
        <w:rPr>
          <w:rFonts w:ascii="Times New Roman" w:hAnsi="Times New Roman" w:cs="Times New Roman"/>
        </w:rPr>
        <w:fldChar w:fldCharType="end"/>
      </w:r>
      <w:r w:rsidR="009C7B18" w:rsidRPr="0068584C">
        <w:rPr>
          <w:rFonts w:ascii="Times New Roman" w:hAnsi="Times New Roman" w:cs="Times New Roman"/>
        </w:rPr>
        <w:t>.</w:t>
      </w:r>
      <w:r w:rsidR="004D1617" w:rsidRPr="0068584C">
        <w:rPr>
          <w:rFonts w:ascii="Times New Roman" w:hAnsi="Times New Roman" w:cs="Times New Roman"/>
        </w:rPr>
        <w:t xml:space="preserve">  Also, t</w:t>
      </w:r>
      <w:r w:rsidR="0015400C" w:rsidRPr="0068584C">
        <w:rPr>
          <w:rFonts w:ascii="Times New Roman" w:hAnsi="Times New Roman" w:cs="Times New Roman"/>
        </w:rPr>
        <w:t xml:space="preserve">he origin of the resource does not matter in the RBT perspective, where other resource attributes are emphasized (e.g., </w:t>
      </w:r>
      <w:r w:rsidR="00F44128">
        <w:rPr>
          <w:rFonts w:ascii="Times New Roman" w:hAnsi="Times New Roman" w:cs="Times New Roman"/>
        </w:rPr>
        <w:t>valuable or rare</w:t>
      </w:r>
      <w:r w:rsidR="0015400C" w:rsidRPr="0068584C">
        <w:rPr>
          <w:rFonts w:ascii="Times New Roman" w:hAnsi="Times New Roman" w:cs="Times New Roman"/>
        </w:rPr>
        <w:t>)</w:t>
      </w:r>
      <w:r w:rsidR="00884DFB" w:rsidRPr="0068584C">
        <w:rPr>
          <w:rFonts w:ascii="Times New Roman" w:hAnsi="Times New Roman" w:cs="Times New Roman"/>
        </w:rPr>
        <w:t xml:space="preserve"> </w:t>
      </w:r>
      <w:r w:rsidR="00884DFB"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"ISBN" : "2871375275", "author" : [ { "dropping-particle" : "", "family" : "McIvor", "given" : "Ronan", "non-dropping-particle" : "", "parse-names" : false, "suffix" : "" } ], "container-title" : "Journal of Operations Management", "id" : "ITEM-1", "issued" : { "date-parts" : [ [ "2009" ] ] }, "page" : "45-63", "title" : "How the transaction cost and resource-based theories of the firm inform outsourcing evaluation", "type" : "article-journal", "volume" : "27" }, "uris" : [ "http://www.mendeley.com/documents/?uuid=c946106e-97e9-482b-a9bd-8b7dd5b4feb0" ] } ], "mendeley" : { "formattedCitation" : "(McIvor, 2009)", "plainTextFormattedCitation" : "(McIvor, 2009)", "previouslyFormattedCitation" : "(McIvor, 2009)" }, "properties" : { "noteIndex" : 0 }, "schema" : "https://github.com/citation-style-language/schema/raw/master/csl-citation.json" }</w:instrText>
      </w:r>
      <w:r w:rsidR="00884DFB" w:rsidRPr="0068584C">
        <w:rPr>
          <w:rFonts w:ascii="Times New Roman" w:hAnsi="Times New Roman" w:cs="Times New Roman"/>
        </w:rPr>
        <w:fldChar w:fldCharType="separate"/>
      </w:r>
      <w:r w:rsidR="000E6ECE" w:rsidRPr="000E6ECE">
        <w:rPr>
          <w:rFonts w:ascii="Times New Roman" w:hAnsi="Times New Roman" w:cs="Times New Roman"/>
          <w:noProof/>
        </w:rPr>
        <w:t>(McIvor, 2009)</w:t>
      </w:r>
      <w:r w:rsidR="00884DFB" w:rsidRPr="0068584C">
        <w:rPr>
          <w:rFonts w:ascii="Times New Roman" w:hAnsi="Times New Roman" w:cs="Times New Roman"/>
        </w:rPr>
        <w:fldChar w:fldCharType="end"/>
      </w:r>
      <w:r w:rsidR="0015400C" w:rsidRPr="0068584C">
        <w:rPr>
          <w:rFonts w:ascii="Times New Roman" w:hAnsi="Times New Roman" w:cs="Times New Roman"/>
        </w:rPr>
        <w:t>.</w:t>
      </w:r>
      <w:r w:rsidR="00F72AD1">
        <w:rPr>
          <w:rFonts w:ascii="Times New Roman" w:hAnsi="Times New Roman" w:cs="Times New Roman"/>
        </w:rPr>
        <w:t xml:space="preserve"> In conclusion, resources play a role in achieving a competitive advantage and enhancing performance </w:t>
      </w:r>
      <w:r w:rsidR="001E1DC1">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"10.1002/smj", "author" : [ { "dropping-particle" : "", "family" : "Crook", "given" : "T Russell", "non-dropping-particle" : "", "parse-names" : false, "suffix" : "" }, { "dropping-particle" : "", "family" : "Jr", "given" : "David J Ketchen", "non-dropping-particle" : "", "parse-names" : false, "suffix" : "" }, { "dropping-particle" : "", "family" : "Combs", "given" : "James G", "non-dropping-particle" : "", "parse-names" : false, "suffix" : "" }, { "dropping-particle" : "", "family" : "Todd", "given" : "Samuel Y", "non-dropping-particle" : "", "parse-names" : false, "suffix" : "" } ], "container-title" : "Strategic Management Journal", "id" : "ITEM-1", "issued" : { "date-parts" : [ [ "2008" ] ] }, "page" : "1141-1154", "title" : "Strategic Resources and Performance: A Meta-Analysis", "type" : "article-journal", "volume" : "29" }, "uris" : [ "http://www.mendeley.com/documents/?uuid=53bdedb7-95db-455e-88be-b29c2a8da8ef" ] } ], "mendeley" : { "formattedCitation" : "(Crook, Jr, Combs, &amp; Todd, 2008)", "plainTextFormattedCitation" : "(Crook, Jr, Combs, &amp; Todd, 2008)", "previouslyFormattedCitation" : "(Crook, Jr, Combs, &amp; Todd, 2008)" }, "properties" : { "noteIndex" : 0 }, "schema" : "https://github.com/citation-style-language/schema/raw/master/csl-citation.json" }</w:instrText>
      </w:r>
      <w:r w:rsidR="001E1DC1">
        <w:rPr>
          <w:rFonts w:ascii="Times New Roman" w:hAnsi="Times New Roman" w:cs="Times New Roman"/>
        </w:rPr>
        <w:fldChar w:fldCharType="separate"/>
      </w:r>
      <w:r w:rsidR="000E6ECE" w:rsidRPr="000E6ECE">
        <w:rPr>
          <w:rFonts w:ascii="Times New Roman" w:hAnsi="Times New Roman" w:cs="Times New Roman"/>
          <w:noProof/>
        </w:rPr>
        <w:t>(Crook, Jr, Combs, &amp; Todd, 2008)</w:t>
      </w:r>
      <w:r w:rsidR="001E1DC1">
        <w:rPr>
          <w:rFonts w:ascii="Times New Roman" w:hAnsi="Times New Roman" w:cs="Times New Roman"/>
        </w:rPr>
        <w:fldChar w:fldCharType="end"/>
      </w:r>
      <w:r w:rsidR="001E1DC1">
        <w:rPr>
          <w:rFonts w:ascii="Times New Roman" w:hAnsi="Times New Roman" w:cs="Times New Roman"/>
        </w:rPr>
        <w:t>. DCT and ROT emphasize the mediating effect of, respectively,</w:t>
      </w:r>
      <w:r w:rsidR="0068621B">
        <w:rPr>
          <w:rFonts w:ascii="Times New Roman" w:hAnsi="Times New Roman" w:cs="Times New Roman"/>
        </w:rPr>
        <w:t xml:space="preserve"> </w:t>
      </w:r>
      <w:r w:rsidR="001E1DC1">
        <w:rPr>
          <w:rFonts w:ascii="Times New Roman" w:hAnsi="Times New Roman" w:cs="Times New Roman"/>
        </w:rPr>
        <w:t>resource configurations and resource orchestration practices.</w:t>
      </w:r>
    </w:p>
    <w:p w14:paraId="6FCAA4A2" w14:textId="77777777" w:rsidR="002B2F2F" w:rsidRPr="0068584C" w:rsidRDefault="002B2F2F" w:rsidP="0035460B">
      <w:pPr>
        <w:spacing w:line="480" w:lineRule="auto"/>
        <w:rPr>
          <w:rFonts w:ascii="Times New Roman" w:hAnsi="Times New Roman" w:cs="Times New Roman"/>
        </w:rPr>
      </w:pPr>
    </w:p>
    <w:p w14:paraId="71EAFA19" w14:textId="12D1BD44" w:rsidR="008C522B" w:rsidRPr="00BC1559" w:rsidRDefault="006B467A" w:rsidP="00BC1559">
      <w:pPr>
        <w:pStyle w:val="Heading3new"/>
      </w:pPr>
      <w:r w:rsidRPr="00BC1559">
        <w:t xml:space="preserve">Core Components of </w:t>
      </w:r>
      <w:r w:rsidR="00CA1E46" w:rsidRPr="00BC1559">
        <w:t xml:space="preserve">Resource Management </w:t>
      </w:r>
      <w:r w:rsidR="00D11122" w:rsidRPr="00BC1559">
        <w:t>Theory</w:t>
      </w:r>
      <w:r w:rsidRPr="00BC1559">
        <w:t xml:space="preserve"> (RBT, DCT, ROT)</w:t>
      </w:r>
    </w:p>
    <w:p w14:paraId="6A3595C4" w14:textId="5F0BE087" w:rsidR="00D11122" w:rsidRPr="0068584C" w:rsidRDefault="00D11122" w:rsidP="0035460B">
      <w:pPr>
        <w:spacing w:line="480" w:lineRule="auto"/>
        <w:jc w:val="both"/>
        <w:rPr>
          <w:rFonts w:ascii="Times New Roman" w:hAnsi="Times New Roman" w:cs="Times New Roman"/>
        </w:rPr>
      </w:pPr>
      <w:r w:rsidRPr="0068584C">
        <w:rPr>
          <w:rFonts w:ascii="Times New Roman" w:hAnsi="Times New Roman" w:cs="Times New Roman"/>
        </w:rPr>
        <w:t xml:space="preserve">Following the Wacker (1998) approach to theory development, the applicable resource management theoretical frameworks </w:t>
      </w:r>
      <w:r w:rsidR="004D1617" w:rsidRPr="0068584C">
        <w:rPr>
          <w:rFonts w:ascii="Times New Roman" w:hAnsi="Times New Roman" w:cs="Times New Roman"/>
        </w:rPr>
        <w:t>are</w:t>
      </w:r>
      <w:r w:rsidRPr="0068584C">
        <w:rPr>
          <w:rFonts w:ascii="Times New Roman" w:hAnsi="Times New Roman" w:cs="Times New Roman"/>
        </w:rPr>
        <w:t xml:space="preserve"> analyzed. Specifically, the </w:t>
      </w:r>
      <w:r w:rsidR="00445F36" w:rsidRPr="0068584C">
        <w:rPr>
          <w:rFonts w:ascii="Times New Roman" w:hAnsi="Times New Roman" w:cs="Times New Roman"/>
        </w:rPr>
        <w:t>construct</w:t>
      </w:r>
      <w:r w:rsidRPr="0068584C">
        <w:rPr>
          <w:rFonts w:ascii="Times New Roman" w:hAnsi="Times New Roman" w:cs="Times New Roman"/>
        </w:rPr>
        <w:t>s, domain, theoretical relationships, and the predictions (</w:t>
      </w:r>
      <w:r w:rsidR="002B2F2F" w:rsidRPr="0068584C">
        <w:rPr>
          <w:rFonts w:ascii="Times New Roman" w:hAnsi="Times New Roman" w:cs="Times New Roman"/>
        </w:rPr>
        <w:t xml:space="preserve">factual </w:t>
      </w:r>
      <w:r w:rsidRPr="0068584C">
        <w:rPr>
          <w:rFonts w:ascii="Times New Roman" w:hAnsi="Times New Roman" w:cs="Times New Roman"/>
        </w:rPr>
        <w:t xml:space="preserve">claims) </w:t>
      </w:r>
      <w:r w:rsidR="004D1617" w:rsidRPr="0068584C">
        <w:rPr>
          <w:rFonts w:ascii="Times New Roman" w:hAnsi="Times New Roman" w:cs="Times New Roman"/>
        </w:rPr>
        <w:t>are assessed</w:t>
      </w:r>
      <w:r w:rsidRPr="0068584C">
        <w:rPr>
          <w:rFonts w:ascii="Times New Roman" w:hAnsi="Times New Roman" w:cs="Times New Roman"/>
        </w:rPr>
        <w:t xml:space="preserve">. </w:t>
      </w:r>
      <w:r w:rsidR="00D4615F">
        <w:rPr>
          <w:rFonts w:ascii="Times New Roman" w:hAnsi="Times New Roman" w:cs="Times New Roman"/>
        </w:rPr>
        <w:t xml:space="preserve">A summary is provided in </w:t>
      </w:r>
      <w:r w:rsidR="00D4615F">
        <w:rPr>
          <w:rFonts w:ascii="Times New Roman" w:hAnsi="Times New Roman" w:cs="Times New Roman"/>
        </w:rPr>
        <w:fldChar w:fldCharType="begin"/>
      </w:r>
      <w:r w:rsidR="00D4615F">
        <w:rPr>
          <w:rFonts w:ascii="Times New Roman" w:hAnsi="Times New Roman" w:cs="Times New Roman"/>
        </w:rPr>
        <w:instrText xml:space="preserve"> REF _Ref357387908 \h </w:instrText>
      </w:r>
      <w:r w:rsidR="00D4615F">
        <w:rPr>
          <w:rFonts w:ascii="Times New Roman" w:hAnsi="Times New Roman" w:cs="Times New Roman"/>
        </w:rPr>
      </w:r>
      <w:r w:rsidR="00D4615F">
        <w:rPr>
          <w:rFonts w:ascii="Times New Roman" w:hAnsi="Times New Roman" w:cs="Times New Roman"/>
        </w:rPr>
        <w:fldChar w:fldCharType="separate"/>
      </w:r>
      <w:r w:rsidR="00C2793E">
        <w:t xml:space="preserve">Table </w:t>
      </w:r>
      <w:r w:rsidR="00C2793E">
        <w:rPr>
          <w:noProof/>
        </w:rPr>
        <w:t>4</w:t>
      </w:r>
      <w:r w:rsidR="00D4615F">
        <w:rPr>
          <w:rFonts w:ascii="Times New Roman" w:hAnsi="Times New Roman" w:cs="Times New Roman"/>
        </w:rPr>
        <w:fldChar w:fldCharType="end"/>
      </w:r>
      <w:r w:rsidR="00D4615F">
        <w:rPr>
          <w:rFonts w:ascii="Times New Roman" w:hAnsi="Times New Roman" w:cs="Times New Roman"/>
        </w:rPr>
        <w:t xml:space="preserve"> </w:t>
      </w:r>
      <w:r w:rsidR="004D1617" w:rsidRPr="0068584C">
        <w:rPr>
          <w:rFonts w:ascii="Times New Roman" w:hAnsi="Times New Roman" w:cs="Times New Roman"/>
        </w:rPr>
        <w:t>with further discussion following</w:t>
      </w:r>
      <w:r w:rsidRPr="0068584C">
        <w:rPr>
          <w:rFonts w:ascii="Times New Roman" w:hAnsi="Times New Roman" w:cs="Times New Roman"/>
        </w:rPr>
        <w:t>.</w:t>
      </w:r>
    </w:p>
    <w:p w14:paraId="381AE88E" w14:textId="77777777" w:rsidR="00377160" w:rsidRDefault="00377160" w:rsidP="0035460B">
      <w:pPr>
        <w:spacing w:line="480" w:lineRule="auto"/>
        <w:rPr>
          <w:rFonts w:ascii="Times New Roman" w:hAnsi="Times New Roman" w:cs="Times New Roman"/>
        </w:rPr>
      </w:pPr>
    </w:p>
    <w:p w14:paraId="70F306F4" w14:textId="77777777" w:rsidR="00CD59B3" w:rsidRDefault="00CD59B3" w:rsidP="0035460B">
      <w:pPr>
        <w:spacing w:line="480" w:lineRule="auto"/>
        <w:rPr>
          <w:rFonts w:ascii="Times New Roman" w:hAnsi="Times New Roman" w:cs="Times New Roman"/>
        </w:rPr>
      </w:pPr>
    </w:p>
    <w:p w14:paraId="365EB3FB" w14:textId="77777777" w:rsidR="00CD59B3" w:rsidRDefault="00CD59B3" w:rsidP="0035460B">
      <w:pPr>
        <w:spacing w:line="480" w:lineRule="auto"/>
        <w:rPr>
          <w:rFonts w:ascii="Times New Roman" w:hAnsi="Times New Roman" w:cs="Times New Roman"/>
        </w:rPr>
      </w:pPr>
    </w:p>
    <w:p w14:paraId="6A2B690A" w14:textId="77777777" w:rsidR="00CD59B3" w:rsidRDefault="00CD59B3" w:rsidP="0035460B">
      <w:pPr>
        <w:spacing w:line="480" w:lineRule="auto"/>
        <w:rPr>
          <w:rFonts w:ascii="Times New Roman" w:hAnsi="Times New Roman" w:cs="Times New Roman"/>
        </w:rPr>
      </w:pPr>
    </w:p>
    <w:p w14:paraId="1E69A211" w14:textId="77777777" w:rsidR="00CD59B3" w:rsidRDefault="00CD59B3" w:rsidP="0035460B">
      <w:pPr>
        <w:spacing w:line="480" w:lineRule="auto"/>
        <w:rPr>
          <w:rFonts w:ascii="Times New Roman" w:hAnsi="Times New Roman" w:cs="Times New Roman"/>
        </w:rPr>
      </w:pPr>
    </w:p>
    <w:p w14:paraId="557B1C33" w14:textId="77777777" w:rsidR="00CD59B3" w:rsidRDefault="00CD59B3" w:rsidP="0035460B">
      <w:pPr>
        <w:spacing w:line="480" w:lineRule="auto"/>
        <w:rPr>
          <w:rFonts w:ascii="Times New Roman" w:hAnsi="Times New Roman" w:cs="Times New Roman"/>
        </w:rPr>
      </w:pPr>
    </w:p>
    <w:p w14:paraId="6EF5A8F1" w14:textId="77777777" w:rsidR="00CD59B3" w:rsidRDefault="00CD59B3" w:rsidP="0035460B">
      <w:pPr>
        <w:spacing w:line="480" w:lineRule="auto"/>
        <w:rPr>
          <w:rFonts w:ascii="Times New Roman" w:hAnsi="Times New Roman" w:cs="Times New Roman"/>
        </w:rPr>
      </w:pPr>
    </w:p>
    <w:p w14:paraId="615F0C47" w14:textId="77777777" w:rsidR="00CD59B3" w:rsidRDefault="00CD59B3" w:rsidP="0035460B">
      <w:pPr>
        <w:spacing w:line="480" w:lineRule="auto"/>
        <w:rPr>
          <w:rFonts w:ascii="Times New Roman" w:hAnsi="Times New Roman" w:cs="Times New Roman"/>
        </w:rPr>
      </w:pPr>
    </w:p>
    <w:p w14:paraId="4986A552" w14:textId="77777777" w:rsidR="00CD59B3" w:rsidRPr="0068584C" w:rsidRDefault="00CD59B3" w:rsidP="0035460B">
      <w:pPr>
        <w:spacing w:line="480" w:lineRule="auto"/>
        <w:rPr>
          <w:rFonts w:ascii="Times New Roman" w:hAnsi="Times New Roman" w:cs="Times New Roman"/>
        </w:rPr>
      </w:pPr>
    </w:p>
    <w:p w14:paraId="2B96C658" w14:textId="7305B919" w:rsidR="00484DDA" w:rsidRDefault="00484DDA" w:rsidP="00484DDA">
      <w:pPr>
        <w:pStyle w:val="Caption"/>
        <w:keepNext/>
      </w:pPr>
      <w:bookmarkStart w:id="54" w:name="_Toc358326840"/>
      <w:bookmarkStart w:id="55" w:name="_Ref357387908"/>
      <w:r>
        <w:t xml:space="preserve">Table </w:t>
      </w:r>
      <w:fldSimple w:instr=" SEQ Table \* ARABIC ">
        <w:r w:rsidR="00C2793E">
          <w:rPr>
            <w:noProof/>
          </w:rPr>
          <w:t>4</w:t>
        </w:r>
        <w:bookmarkEnd w:id="54"/>
      </w:fldSimple>
      <w:bookmarkEnd w:id="55"/>
    </w:p>
    <w:p w14:paraId="4612DE49" w14:textId="1031F7B8" w:rsidR="00D11122" w:rsidRPr="008C76D8" w:rsidRDefault="00445F36" w:rsidP="008C76D8">
      <w:pPr>
        <w:rPr>
          <w:rFonts w:ascii="Times New Roman" w:hAnsi="Times New Roman" w:cs="Times New Roman"/>
          <w:b/>
        </w:rPr>
      </w:pPr>
      <w:r w:rsidRPr="008C76D8">
        <w:rPr>
          <w:rFonts w:ascii="Times New Roman" w:hAnsi="Times New Roman" w:cs="Times New Roman"/>
          <w:b/>
        </w:rPr>
        <w:t>Construct</w:t>
      </w:r>
      <w:r w:rsidR="00DA5B5A" w:rsidRPr="008C76D8">
        <w:rPr>
          <w:rFonts w:ascii="Times New Roman" w:hAnsi="Times New Roman" w:cs="Times New Roman"/>
          <w:b/>
        </w:rPr>
        <w:t>s, Domain, Relationship, and Predictions of RBT, DCT, and ROT</w:t>
      </w:r>
    </w:p>
    <w:tbl>
      <w:tblPr>
        <w:tblStyle w:val="TableGrid"/>
        <w:tblW w:w="0" w:type="auto"/>
        <w:tblLayout w:type="fixed"/>
        <w:tblLook w:val="04A0" w:firstRow="1" w:lastRow="0" w:firstColumn="1" w:lastColumn="0" w:noHBand="0" w:noVBand="1"/>
      </w:tblPr>
      <w:tblGrid>
        <w:gridCol w:w="1368"/>
        <w:gridCol w:w="2340"/>
        <w:gridCol w:w="2520"/>
        <w:gridCol w:w="2610"/>
      </w:tblGrid>
      <w:tr w:rsidR="004D1617" w:rsidRPr="0002452F" w14:paraId="42AB5D4D" w14:textId="77777777" w:rsidTr="008C76D8">
        <w:tc>
          <w:tcPr>
            <w:tcW w:w="1368" w:type="dxa"/>
          </w:tcPr>
          <w:p w14:paraId="29980A74" w14:textId="77777777" w:rsidR="00D26489" w:rsidRPr="0002452F" w:rsidRDefault="00D26489" w:rsidP="000E2973">
            <w:pPr>
              <w:spacing w:line="480" w:lineRule="auto"/>
              <w:rPr>
                <w:rFonts w:ascii="Times New Roman" w:hAnsi="Times New Roman" w:cs="Times New Roman"/>
                <w:sz w:val="18"/>
                <w:szCs w:val="18"/>
              </w:rPr>
            </w:pPr>
          </w:p>
        </w:tc>
        <w:tc>
          <w:tcPr>
            <w:tcW w:w="2340" w:type="dxa"/>
          </w:tcPr>
          <w:p w14:paraId="5849E3F2" w14:textId="77777777" w:rsidR="000E2973" w:rsidRDefault="000E2973" w:rsidP="000E2973">
            <w:pPr>
              <w:spacing w:line="480" w:lineRule="auto"/>
              <w:jc w:val="center"/>
              <w:rPr>
                <w:rFonts w:ascii="Times New Roman" w:hAnsi="Times New Roman" w:cs="Times New Roman"/>
                <w:b/>
                <w:sz w:val="18"/>
                <w:szCs w:val="18"/>
              </w:rPr>
            </w:pPr>
          </w:p>
          <w:p w14:paraId="48D5CDA5" w14:textId="501DCD66" w:rsidR="00D26489" w:rsidRPr="0068584C" w:rsidRDefault="00D26489" w:rsidP="000E2973">
            <w:pPr>
              <w:spacing w:line="480" w:lineRule="auto"/>
              <w:jc w:val="center"/>
              <w:rPr>
                <w:rFonts w:ascii="Times New Roman" w:hAnsi="Times New Roman" w:cs="Times New Roman"/>
                <w:b/>
                <w:sz w:val="18"/>
                <w:szCs w:val="18"/>
              </w:rPr>
            </w:pPr>
            <w:r w:rsidRPr="0068584C">
              <w:rPr>
                <w:rFonts w:ascii="Times New Roman" w:hAnsi="Times New Roman" w:cs="Times New Roman"/>
                <w:b/>
                <w:sz w:val="18"/>
                <w:szCs w:val="18"/>
              </w:rPr>
              <w:t>RBT</w:t>
            </w:r>
          </w:p>
        </w:tc>
        <w:tc>
          <w:tcPr>
            <w:tcW w:w="2520" w:type="dxa"/>
          </w:tcPr>
          <w:p w14:paraId="25BA9342" w14:textId="77777777" w:rsidR="000E2973" w:rsidRDefault="000E2973" w:rsidP="00CD59B3">
            <w:pPr>
              <w:spacing w:line="480" w:lineRule="auto"/>
              <w:jc w:val="center"/>
              <w:rPr>
                <w:rFonts w:ascii="Times New Roman" w:hAnsi="Times New Roman" w:cs="Times New Roman"/>
                <w:b/>
                <w:sz w:val="18"/>
                <w:szCs w:val="18"/>
              </w:rPr>
            </w:pPr>
          </w:p>
          <w:p w14:paraId="4D3F140C" w14:textId="225D9D3F" w:rsidR="00D26489" w:rsidRPr="0068584C" w:rsidRDefault="00D26489" w:rsidP="00CD59B3">
            <w:pPr>
              <w:spacing w:line="480" w:lineRule="auto"/>
              <w:jc w:val="center"/>
              <w:rPr>
                <w:rFonts w:ascii="Times New Roman" w:hAnsi="Times New Roman" w:cs="Times New Roman"/>
                <w:b/>
                <w:sz w:val="18"/>
                <w:szCs w:val="18"/>
              </w:rPr>
            </w:pPr>
            <w:r w:rsidRPr="0068584C">
              <w:rPr>
                <w:rFonts w:ascii="Times New Roman" w:hAnsi="Times New Roman" w:cs="Times New Roman"/>
                <w:b/>
                <w:sz w:val="18"/>
                <w:szCs w:val="18"/>
              </w:rPr>
              <w:t>DCT</w:t>
            </w:r>
          </w:p>
        </w:tc>
        <w:tc>
          <w:tcPr>
            <w:tcW w:w="2610" w:type="dxa"/>
          </w:tcPr>
          <w:p w14:paraId="01B00460" w14:textId="77777777" w:rsidR="000E2973" w:rsidRDefault="000E2973" w:rsidP="00CD59B3">
            <w:pPr>
              <w:spacing w:line="480" w:lineRule="auto"/>
              <w:jc w:val="center"/>
              <w:rPr>
                <w:rFonts w:ascii="Times New Roman" w:hAnsi="Times New Roman" w:cs="Times New Roman"/>
                <w:b/>
                <w:sz w:val="18"/>
                <w:szCs w:val="18"/>
              </w:rPr>
            </w:pPr>
          </w:p>
          <w:p w14:paraId="07F0F9CA" w14:textId="7C662F88" w:rsidR="00D26489" w:rsidRPr="0068584C" w:rsidRDefault="00D26489" w:rsidP="00AA56C1">
            <w:pPr>
              <w:spacing w:line="480" w:lineRule="auto"/>
              <w:jc w:val="center"/>
              <w:rPr>
                <w:rFonts w:ascii="Times New Roman" w:hAnsi="Times New Roman" w:cs="Times New Roman"/>
                <w:b/>
                <w:sz w:val="18"/>
                <w:szCs w:val="18"/>
              </w:rPr>
            </w:pPr>
            <w:r w:rsidRPr="0068584C">
              <w:rPr>
                <w:rFonts w:ascii="Times New Roman" w:hAnsi="Times New Roman" w:cs="Times New Roman"/>
                <w:b/>
                <w:sz w:val="18"/>
                <w:szCs w:val="18"/>
              </w:rPr>
              <w:t>ROT</w:t>
            </w:r>
          </w:p>
        </w:tc>
      </w:tr>
      <w:tr w:rsidR="004D1617" w:rsidRPr="0002452F" w14:paraId="01FE775B" w14:textId="77777777" w:rsidTr="008C76D8">
        <w:tc>
          <w:tcPr>
            <w:tcW w:w="1368" w:type="dxa"/>
          </w:tcPr>
          <w:p w14:paraId="58A48F98" w14:textId="77777777" w:rsidR="000E2973" w:rsidRPr="008C76D8" w:rsidRDefault="000E2973" w:rsidP="000E2973">
            <w:pPr>
              <w:spacing w:line="480" w:lineRule="auto"/>
              <w:rPr>
                <w:rFonts w:ascii="Times New Roman" w:hAnsi="Times New Roman" w:cs="Times New Roman"/>
                <w:b/>
                <w:sz w:val="18"/>
                <w:szCs w:val="18"/>
              </w:rPr>
            </w:pPr>
          </w:p>
          <w:p w14:paraId="43271F2D" w14:textId="7FC37319" w:rsidR="00D26489" w:rsidRPr="008C76D8" w:rsidRDefault="00445F36" w:rsidP="000E2973">
            <w:pPr>
              <w:spacing w:line="480" w:lineRule="auto"/>
              <w:rPr>
                <w:rFonts w:ascii="Times New Roman" w:hAnsi="Times New Roman" w:cs="Times New Roman"/>
                <w:b/>
                <w:sz w:val="18"/>
                <w:szCs w:val="18"/>
              </w:rPr>
            </w:pPr>
            <w:r w:rsidRPr="008C76D8">
              <w:rPr>
                <w:rFonts w:ascii="Times New Roman" w:hAnsi="Times New Roman" w:cs="Times New Roman"/>
                <w:b/>
                <w:sz w:val="18"/>
                <w:szCs w:val="18"/>
              </w:rPr>
              <w:t>Construct</w:t>
            </w:r>
            <w:r w:rsidR="00D26489" w:rsidRPr="008C76D8">
              <w:rPr>
                <w:rFonts w:ascii="Times New Roman" w:hAnsi="Times New Roman" w:cs="Times New Roman"/>
                <w:b/>
                <w:sz w:val="18"/>
                <w:szCs w:val="18"/>
              </w:rPr>
              <w:t>s</w:t>
            </w:r>
          </w:p>
        </w:tc>
        <w:tc>
          <w:tcPr>
            <w:tcW w:w="2340" w:type="dxa"/>
          </w:tcPr>
          <w:p w14:paraId="3C25A751" w14:textId="77777777" w:rsidR="000E2973" w:rsidRPr="008C76D8" w:rsidRDefault="000E2973" w:rsidP="008C76D8">
            <w:pPr>
              <w:spacing w:line="480" w:lineRule="auto"/>
              <w:ind w:left="72"/>
              <w:rPr>
                <w:rFonts w:ascii="Times New Roman" w:hAnsi="Times New Roman" w:cs="Times New Roman"/>
                <w:sz w:val="18"/>
                <w:szCs w:val="18"/>
              </w:rPr>
            </w:pPr>
          </w:p>
          <w:p w14:paraId="18E8D2CD" w14:textId="4E3B5105" w:rsidR="00D26489" w:rsidRPr="0068584C" w:rsidRDefault="00966ED8"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 xml:space="preserve">(Strategic) </w:t>
            </w:r>
            <w:r w:rsidR="00D26489" w:rsidRPr="0068584C">
              <w:rPr>
                <w:rFonts w:ascii="Times New Roman" w:hAnsi="Times New Roman" w:cs="Times New Roman"/>
                <w:sz w:val="18"/>
                <w:szCs w:val="18"/>
              </w:rPr>
              <w:t>Resources</w:t>
            </w:r>
          </w:p>
          <w:p w14:paraId="0CA17217" w14:textId="5177C99E" w:rsidR="00D26489" w:rsidRPr="0068584C" w:rsidRDefault="00D26489"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Capabilities</w:t>
            </w:r>
            <w:r w:rsidR="007E65B3" w:rsidRPr="0068584C">
              <w:rPr>
                <w:rFonts w:ascii="Times New Roman" w:hAnsi="Times New Roman" w:cs="Times New Roman"/>
                <w:sz w:val="18"/>
                <w:szCs w:val="18"/>
              </w:rPr>
              <w:t>/</w:t>
            </w:r>
            <w:r w:rsidR="009C7146" w:rsidRPr="0068584C">
              <w:rPr>
                <w:rFonts w:ascii="Times New Roman" w:hAnsi="Times New Roman" w:cs="Times New Roman"/>
                <w:sz w:val="18"/>
                <w:szCs w:val="18"/>
              </w:rPr>
              <w:t xml:space="preserve"> </w:t>
            </w:r>
            <w:r w:rsidR="007E65B3" w:rsidRPr="0068584C">
              <w:rPr>
                <w:rFonts w:ascii="Times New Roman" w:hAnsi="Times New Roman" w:cs="Times New Roman"/>
                <w:sz w:val="18"/>
                <w:szCs w:val="18"/>
              </w:rPr>
              <w:t>Competencies</w:t>
            </w:r>
          </w:p>
          <w:p w14:paraId="7F5C0E44" w14:textId="77777777" w:rsidR="00D26489" w:rsidRDefault="00D26489"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(Sustainable) Competitive Advantage</w:t>
            </w:r>
          </w:p>
          <w:p w14:paraId="4EE3D0C5" w14:textId="7F9F5F0E" w:rsidR="0070712D" w:rsidRPr="0068584C" w:rsidRDefault="0070712D" w:rsidP="00C7731B">
            <w:pPr>
              <w:pStyle w:val="ListParagraph"/>
              <w:numPr>
                <w:ilvl w:val="0"/>
                <w:numId w:val="3"/>
              </w:numPr>
              <w:spacing w:line="480" w:lineRule="auto"/>
              <w:ind w:left="432"/>
              <w:rPr>
                <w:rFonts w:ascii="Times New Roman" w:hAnsi="Times New Roman" w:cs="Times New Roman"/>
                <w:sz w:val="18"/>
                <w:szCs w:val="18"/>
              </w:rPr>
            </w:pPr>
            <w:r>
              <w:rPr>
                <w:rFonts w:ascii="Times New Roman" w:hAnsi="Times New Roman" w:cs="Times New Roman"/>
                <w:sz w:val="18"/>
                <w:szCs w:val="18"/>
              </w:rPr>
              <w:t>Organizational Performance</w:t>
            </w:r>
          </w:p>
        </w:tc>
        <w:tc>
          <w:tcPr>
            <w:tcW w:w="2520" w:type="dxa"/>
          </w:tcPr>
          <w:p w14:paraId="0B90AAE4" w14:textId="77777777" w:rsidR="000E2973" w:rsidRPr="008C76D8" w:rsidRDefault="000E2973" w:rsidP="008C76D8">
            <w:pPr>
              <w:spacing w:line="480" w:lineRule="auto"/>
              <w:ind w:left="72"/>
              <w:rPr>
                <w:rFonts w:ascii="Times New Roman" w:hAnsi="Times New Roman" w:cs="Times New Roman"/>
                <w:sz w:val="18"/>
                <w:szCs w:val="18"/>
              </w:rPr>
            </w:pPr>
          </w:p>
          <w:p w14:paraId="77A5F453" w14:textId="197FB477" w:rsidR="00D26489" w:rsidRPr="0068584C" w:rsidRDefault="00966ED8"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 xml:space="preserve">(Strategic) </w:t>
            </w:r>
            <w:r w:rsidR="00D26489" w:rsidRPr="0068584C">
              <w:rPr>
                <w:rFonts w:ascii="Times New Roman" w:hAnsi="Times New Roman" w:cs="Times New Roman"/>
                <w:sz w:val="18"/>
                <w:szCs w:val="18"/>
              </w:rPr>
              <w:t>Resources</w:t>
            </w:r>
          </w:p>
          <w:p w14:paraId="283766A5" w14:textId="3DFF1496" w:rsidR="00D26489" w:rsidRPr="0068584C" w:rsidRDefault="00D26489"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Resource Configuration</w:t>
            </w:r>
            <w:r w:rsidR="0070712D">
              <w:rPr>
                <w:rFonts w:ascii="Times New Roman" w:hAnsi="Times New Roman" w:cs="Times New Roman"/>
                <w:sz w:val="18"/>
                <w:szCs w:val="18"/>
              </w:rPr>
              <w:t xml:space="preserve"> Practice</w:t>
            </w:r>
            <w:r w:rsidRPr="0068584C">
              <w:rPr>
                <w:rFonts w:ascii="Times New Roman" w:hAnsi="Times New Roman" w:cs="Times New Roman"/>
                <w:sz w:val="18"/>
                <w:szCs w:val="18"/>
              </w:rPr>
              <w:t>s</w:t>
            </w:r>
          </w:p>
          <w:p w14:paraId="349B17A7" w14:textId="77777777" w:rsidR="00D26489" w:rsidRPr="0068584C" w:rsidRDefault="00D26489"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Capabilities</w:t>
            </w:r>
          </w:p>
          <w:p w14:paraId="5E0C7356" w14:textId="77777777" w:rsidR="00D26489" w:rsidRDefault="00D26489"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(Temporary) Competitive Advantage</w:t>
            </w:r>
          </w:p>
          <w:p w14:paraId="14CD0417" w14:textId="1A471E5C" w:rsidR="0070712D" w:rsidRPr="0068584C" w:rsidRDefault="0070712D" w:rsidP="00C7731B">
            <w:pPr>
              <w:pStyle w:val="ListParagraph"/>
              <w:numPr>
                <w:ilvl w:val="0"/>
                <w:numId w:val="3"/>
              </w:numPr>
              <w:spacing w:line="480" w:lineRule="auto"/>
              <w:ind w:left="432"/>
              <w:rPr>
                <w:rFonts w:ascii="Times New Roman" w:eastAsiaTheme="majorEastAsia" w:hAnsi="Times New Roman" w:cs="Times New Roman"/>
                <w:b/>
                <w:bCs/>
                <w:color w:val="4F81BD" w:themeColor="accent1"/>
                <w:sz w:val="18"/>
                <w:szCs w:val="18"/>
              </w:rPr>
            </w:pPr>
            <w:r>
              <w:rPr>
                <w:rFonts w:ascii="Times New Roman" w:hAnsi="Times New Roman" w:cs="Times New Roman"/>
                <w:sz w:val="18"/>
                <w:szCs w:val="18"/>
              </w:rPr>
              <w:t>Organizational Performance</w:t>
            </w:r>
          </w:p>
        </w:tc>
        <w:tc>
          <w:tcPr>
            <w:tcW w:w="2610" w:type="dxa"/>
          </w:tcPr>
          <w:p w14:paraId="47F8A5D9" w14:textId="77777777" w:rsidR="000E2973" w:rsidRPr="008C76D8" w:rsidRDefault="000E2973" w:rsidP="008C76D8">
            <w:pPr>
              <w:spacing w:line="480" w:lineRule="auto"/>
              <w:ind w:left="72"/>
              <w:rPr>
                <w:rFonts w:ascii="Times New Roman" w:hAnsi="Times New Roman" w:cs="Times New Roman"/>
                <w:sz w:val="18"/>
                <w:szCs w:val="18"/>
              </w:rPr>
            </w:pPr>
          </w:p>
          <w:p w14:paraId="0CA0CA63" w14:textId="533AFD57" w:rsidR="00D26489" w:rsidRPr="0068584C" w:rsidRDefault="00966ED8"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 xml:space="preserve">(Strategic) </w:t>
            </w:r>
            <w:r w:rsidR="00D26489" w:rsidRPr="0068584C">
              <w:rPr>
                <w:rFonts w:ascii="Times New Roman" w:hAnsi="Times New Roman" w:cs="Times New Roman"/>
                <w:sz w:val="18"/>
                <w:szCs w:val="18"/>
              </w:rPr>
              <w:t>Resources</w:t>
            </w:r>
          </w:p>
          <w:p w14:paraId="0F80EC31" w14:textId="7AF8B5AF" w:rsidR="00D26489" w:rsidRPr="0068584C" w:rsidRDefault="00D26489"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 xml:space="preserve">Capabilities (Managerial </w:t>
            </w:r>
            <w:r w:rsidR="0070712D">
              <w:rPr>
                <w:rFonts w:ascii="Times New Roman" w:hAnsi="Times New Roman" w:cs="Times New Roman"/>
                <w:sz w:val="18"/>
                <w:szCs w:val="18"/>
              </w:rPr>
              <w:t>Practices</w:t>
            </w:r>
            <w:r w:rsidRPr="0068584C">
              <w:rPr>
                <w:rFonts w:ascii="Times New Roman" w:hAnsi="Times New Roman" w:cs="Times New Roman"/>
                <w:sz w:val="18"/>
                <w:szCs w:val="18"/>
              </w:rPr>
              <w:t>)</w:t>
            </w:r>
          </w:p>
          <w:p w14:paraId="2B26DE09" w14:textId="77777777" w:rsidR="00D26489" w:rsidRDefault="00D26489"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w:t>
            </w:r>
            <w:r w:rsidR="00DA3148" w:rsidRPr="0068584C">
              <w:rPr>
                <w:rFonts w:ascii="Times New Roman" w:hAnsi="Times New Roman" w:cs="Times New Roman"/>
                <w:sz w:val="18"/>
                <w:szCs w:val="18"/>
              </w:rPr>
              <w:t>Temporary</w:t>
            </w:r>
            <w:r w:rsidRPr="0068584C">
              <w:rPr>
                <w:rFonts w:ascii="Times New Roman" w:hAnsi="Times New Roman" w:cs="Times New Roman"/>
                <w:sz w:val="18"/>
                <w:szCs w:val="18"/>
              </w:rPr>
              <w:t>) Competitive Advantage</w:t>
            </w:r>
          </w:p>
          <w:p w14:paraId="182296C3" w14:textId="684F2DD5" w:rsidR="0070712D" w:rsidRPr="0068584C" w:rsidRDefault="0070712D" w:rsidP="00C7731B">
            <w:pPr>
              <w:pStyle w:val="ListParagraph"/>
              <w:numPr>
                <w:ilvl w:val="0"/>
                <w:numId w:val="3"/>
              </w:numPr>
              <w:spacing w:line="480" w:lineRule="auto"/>
              <w:ind w:left="432"/>
              <w:rPr>
                <w:rFonts w:ascii="Times New Roman" w:hAnsi="Times New Roman" w:cs="Times New Roman"/>
                <w:sz w:val="18"/>
                <w:szCs w:val="18"/>
              </w:rPr>
            </w:pPr>
            <w:r>
              <w:rPr>
                <w:rFonts w:ascii="Times New Roman" w:hAnsi="Times New Roman" w:cs="Times New Roman"/>
                <w:sz w:val="18"/>
                <w:szCs w:val="18"/>
              </w:rPr>
              <w:t>Organizational Performance</w:t>
            </w:r>
          </w:p>
        </w:tc>
      </w:tr>
      <w:tr w:rsidR="004D1617" w:rsidRPr="0002452F" w14:paraId="53F85425" w14:textId="77777777" w:rsidTr="008C76D8">
        <w:tc>
          <w:tcPr>
            <w:tcW w:w="1368" w:type="dxa"/>
          </w:tcPr>
          <w:p w14:paraId="17E2F307" w14:textId="77777777" w:rsidR="00FE0C93" w:rsidRPr="008C76D8" w:rsidRDefault="00FE0C93" w:rsidP="000E2973">
            <w:pPr>
              <w:spacing w:line="480" w:lineRule="auto"/>
              <w:rPr>
                <w:rFonts w:ascii="Times New Roman" w:hAnsi="Times New Roman" w:cs="Times New Roman"/>
                <w:b/>
                <w:sz w:val="18"/>
                <w:szCs w:val="18"/>
              </w:rPr>
            </w:pPr>
          </w:p>
          <w:p w14:paraId="1A35A099" w14:textId="28481DFC" w:rsidR="00D26489" w:rsidRPr="008C76D8" w:rsidRDefault="00D26489" w:rsidP="000E2973">
            <w:pPr>
              <w:spacing w:line="480" w:lineRule="auto"/>
              <w:rPr>
                <w:rFonts w:ascii="Times New Roman" w:hAnsi="Times New Roman" w:cs="Times New Roman"/>
                <w:b/>
                <w:sz w:val="18"/>
                <w:szCs w:val="18"/>
              </w:rPr>
            </w:pPr>
            <w:r w:rsidRPr="008C76D8">
              <w:rPr>
                <w:rFonts w:ascii="Times New Roman" w:hAnsi="Times New Roman" w:cs="Times New Roman"/>
                <w:b/>
                <w:sz w:val="18"/>
                <w:szCs w:val="18"/>
              </w:rPr>
              <w:t>Domain</w:t>
            </w:r>
          </w:p>
        </w:tc>
        <w:tc>
          <w:tcPr>
            <w:tcW w:w="2340" w:type="dxa"/>
          </w:tcPr>
          <w:p w14:paraId="78921EB1" w14:textId="77777777" w:rsidR="00FE0C93" w:rsidRPr="008C76D8" w:rsidRDefault="00FE0C93" w:rsidP="008C76D8">
            <w:pPr>
              <w:spacing w:line="480" w:lineRule="auto"/>
              <w:ind w:left="72"/>
              <w:rPr>
                <w:rFonts w:ascii="Times New Roman" w:hAnsi="Times New Roman" w:cs="Times New Roman"/>
                <w:sz w:val="18"/>
                <w:szCs w:val="18"/>
              </w:rPr>
            </w:pPr>
          </w:p>
          <w:p w14:paraId="21BC922C" w14:textId="77777777" w:rsidR="00D26489" w:rsidRPr="0068584C" w:rsidRDefault="00D26489"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Competitive Market</w:t>
            </w:r>
          </w:p>
          <w:p w14:paraId="165ECC74" w14:textId="74151F44" w:rsidR="00D26489" w:rsidRPr="0068584C" w:rsidRDefault="00D26489" w:rsidP="00C7731B">
            <w:pPr>
              <w:pStyle w:val="ListParagraph"/>
              <w:numPr>
                <w:ilvl w:val="0"/>
                <w:numId w:val="3"/>
              </w:numPr>
              <w:spacing w:line="480" w:lineRule="auto"/>
              <w:ind w:left="432"/>
              <w:rPr>
                <w:rFonts w:ascii="Times New Roman" w:hAnsi="Times New Roman" w:cs="Times New Roman"/>
                <w:sz w:val="18"/>
                <w:szCs w:val="18"/>
              </w:rPr>
            </w:pPr>
            <w:r w:rsidRPr="0068584C">
              <w:rPr>
                <w:rFonts w:ascii="Times New Roman" w:hAnsi="Times New Roman" w:cs="Times New Roman"/>
                <w:sz w:val="18"/>
                <w:szCs w:val="18"/>
              </w:rPr>
              <w:t>Value Creation Objective</w:t>
            </w:r>
          </w:p>
        </w:tc>
        <w:tc>
          <w:tcPr>
            <w:tcW w:w="2520" w:type="dxa"/>
          </w:tcPr>
          <w:p w14:paraId="18B073A0" w14:textId="77777777" w:rsidR="00FE0C93" w:rsidRPr="008C76D8" w:rsidRDefault="00FE0C93" w:rsidP="008C76D8">
            <w:pPr>
              <w:spacing w:line="480" w:lineRule="auto"/>
              <w:ind w:left="72"/>
              <w:rPr>
                <w:rFonts w:ascii="Times New Roman" w:eastAsiaTheme="majorEastAsia" w:hAnsi="Times New Roman" w:cs="Times New Roman"/>
                <w:b/>
                <w:bCs/>
                <w:iCs/>
                <w:color w:val="4F81BD" w:themeColor="accent1"/>
                <w:sz w:val="18"/>
                <w:szCs w:val="18"/>
              </w:rPr>
            </w:pPr>
          </w:p>
          <w:p w14:paraId="33918E25" w14:textId="7F92C965" w:rsidR="00D26489" w:rsidRPr="008C76D8" w:rsidRDefault="00D26489" w:rsidP="00C7731B">
            <w:pPr>
              <w:pStyle w:val="ListParagraph"/>
              <w:numPr>
                <w:ilvl w:val="0"/>
                <w:numId w:val="3"/>
              </w:numPr>
              <w:spacing w:line="480" w:lineRule="auto"/>
              <w:ind w:left="432"/>
              <w:rPr>
                <w:rFonts w:ascii="Times New Roman" w:eastAsiaTheme="majorEastAsia" w:hAnsi="Times New Roman" w:cs="Times New Roman"/>
                <w:b/>
                <w:bCs/>
                <w:iCs/>
                <w:color w:val="4F81BD" w:themeColor="accent1"/>
                <w:sz w:val="18"/>
                <w:szCs w:val="18"/>
              </w:rPr>
            </w:pPr>
            <w:r w:rsidRPr="00FE0C93">
              <w:rPr>
                <w:rFonts w:ascii="Times New Roman" w:hAnsi="Times New Roman" w:cs="Times New Roman"/>
                <w:sz w:val="18"/>
                <w:szCs w:val="18"/>
              </w:rPr>
              <w:t>Dynamic</w:t>
            </w:r>
            <w:r w:rsidR="00A71FCE" w:rsidRPr="00631015">
              <w:rPr>
                <w:rFonts w:ascii="Times New Roman" w:hAnsi="Times New Roman" w:cs="Times New Roman"/>
                <w:sz w:val="18"/>
                <w:szCs w:val="18"/>
              </w:rPr>
              <w:t xml:space="preserve"> Market </w:t>
            </w:r>
            <w:r w:rsidRPr="00FE0C93">
              <w:rPr>
                <w:rFonts w:ascii="Times New Roman" w:hAnsi="Times New Roman" w:cs="Times New Roman"/>
                <w:sz w:val="18"/>
                <w:szCs w:val="18"/>
              </w:rPr>
              <w:t>Environment</w:t>
            </w:r>
          </w:p>
          <w:p w14:paraId="46FF1B9D" w14:textId="51B41055" w:rsidR="007D4A2C" w:rsidRPr="00CD59B3" w:rsidRDefault="007D4A2C" w:rsidP="00C7731B">
            <w:pPr>
              <w:pStyle w:val="ListParagraph"/>
              <w:numPr>
                <w:ilvl w:val="0"/>
                <w:numId w:val="3"/>
              </w:numPr>
              <w:spacing w:line="480" w:lineRule="auto"/>
              <w:ind w:left="432"/>
              <w:rPr>
                <w:rFonts w:ascii="Times New Roman" w:hAnsi="Times New Roman" w:cs="Times New Roman"/>
                <w:sz w:val="18"/>
                <w:szCs w:val="18"/>
              </w:rPr>
            </w:pPr>
            <w:r w:rsidRPr="00FE0C93">
              <w:rPr>
                <w:rFonts w:ascii="Times New Roman" w:hAnsi="Times New Roman" w:cs="Times New Roman"/>
                <w:sz w:val="18"/>
                <w:szCs w:val="18"/>
              </w:rPr>
              <w:t>F</w:t>
            </w:r>
            <w:r w:rsidR="00A7266E" w:rsidRPr="00631015">
              <w:rPr>
                <w:rFonts w:ascii="Times New Roman" w:hAnsi="Times New Roman" w:cs="Times New Roman"/>
                <w:sz w:val="18"/>
                <w:szCs w:val="18"/>
              </w:rPr>
              <w:t>ocal O</w:t>
            </w:r>
            <w:r w:rsidRPr="00631015">
              <w:rPr>
                <w:rFonts w:ascii="Times New Roman" w:hAnsi="Times New Roman" w:cs="Times New Roman"/>
                <w:sz w:val="18"/>
                <w:szCs w:val="18"/>
              </w:rPr>
              <w:t>rganization</w:t>
            </w:r>
          </w:p>
          <w:p w14:paraId="03D7F598" w14:textId="77777777" w:rsidR="00025720" w:rsidRPr="00CD59B3" w:rsidRDefault="00025720" w:rsidP="00C7731B">
            <w:pPr>
              <w:pStyle w:val="ListParagraph"/>
              <w:numPr>
                <w:ilvl w:val="0"/>
                <w:numId w:val="3"/>
              </w:numPr>
              <w:spacing w:line="480" w:lineRule="auto"/>
              <w:ind w:left="432"/>
              <w:rPr>
                <w:rFonts w:ascii="Times New Roman" w:hAnsi="Times New Roman" w:cs="Times New Roman"/>
                <w:sz w:val="18"/>
                <w:szCs w:val="18"/>
              </w:rPr>
            </w:pPr>
            <w:r w:rsidRPr="00CD59B3">
              <w:rPr>
                <w:rFonts w:ascii="Times New Roman" w:hAnsi="Times New Roman" w:cs="Times New Roman"/>
                <w:sz w:val="18"/>
                <w:szCs w:val="18"/>
              </w:rPr>
              <w:t>Uncertainty</w:t>
            </w:r>
          </w:p>
          <w:p w14:paraId="4DD63177" w14:textId="0EF578A0" w:rsidR="00A71FCE" w:rsidRPr="00AA56C1" w:rsidRDefault="00A71FCE" w:rsidP="00C7731B">
            <w:pPr>
              <w:pStyle w:val="ListParagraph"/>
              <w:numPr>
                <w:ilvl w:val="0"/>
                <w:numId w:val="3"/>
              </w:numPr>
              <w:spacing w:line="480" w:lineRule="auto"/>
              <w:ind w:left="432"/>
              <w:rPr>
                <w:rFonts w:ascii="Times New Roman" w:hAnsi="Times New Roman" w:cs="Times New Roman"/>
                <w:sz w:val="18"/>
                <w:szCs w:val="18"/>
              </w:rPr>
            </w:pPr>
            <w:r w:rsidRPr="00AA56C1">
              <w:rPr>
                <w:rFonts w:ascii="Times New Roman" w:hAnsi="Times New Roman" w:cs="Times New Roman"/>
                <w:sz w:val="18"/>
                <w:szCs w:val="18"/>
              </w:rPr>
              <w:t>Value Creation Objective</w:t>
            </w:r>
          </w:p>
        </w:tc>
        <w:tc>
          <w:tcPr>
            <w:tcW w:w="2610" w:type="dxa"/>
          </w:tcPr>
          <w:p w14:paraId="44507666" w14:textId="77777777" w:rsidR="00FE0C93" w:rsidRPr="008C76D8" w:rsidRDefault="00FE0C93" w:rsidP="008C76D8">
            <w:pPr>
              <w:spacing w:line="480" w:lineRule="auto"/>
              <w:ind w:left="72"/>
              <w:rPr>
                <w:rFonts w:ascii="Times New Roman" w:hAnsi="Times New Roman" w:cs="Times New Roman"/>
                <w:sz w:val="18"/>
                <w:szCs w:val="18"/>
              </w:rPr>
            </w:pPr>
          </w:p>
          <w:p w14:paraId="0449D13D" w14:textId="77777777" w:rsidR="00D26489" w:rsidRPr="00631015" w:rsidRDefault="00D26489" w:rsidP="00C7731B">
            <w:pPr>
              <w:pStyle w:val="ListParagraph"/>
              <w:numPr>
                <w:ilvl w:val="0"/>
                <w:numId w:val="3"/>
              </w:numPr>
              <w:spacing w:line="480" w:lineRule="auto"/>
              <w:ind w:left="432"/>
              <w:rPr>
                <w:rFonts w:ascii="Times New Roman" w:hAnsi="Times New Roman" w:cs="Times New Roman"/>
                <w:sz w:val="18"/>
                <w:szCs w:val="18"/>
              </w:rPr>
            </w:pPr>
            <w:r w:rsidRPr="00FE0C93">
              <w:rPr>
                <w:rFonts w:ascii="Times New Roman" w:hAnsi="Times New Roman" w:cs="Times New Roman"/>
                <w:sz w:val="18"/>
                <w:szCs w:val="18"/>
              </w:rPr>
              <w:t xml:space="preserve">Competitive </w:t>
            </w:r>
            <w:r w:rsidRPr="00631015">
              <w:rPr>
                <w:rFonts w:ascii="Times New Roman" w:hAnsi="Times New Roman" w:cs="Times New Roman"/>
                <w:sz w:val="18"/>
                <w:szCs w:val="18"/>
              </w:rPr>
              <w:t>Market</w:t>
            </w:r>
          </w:p>
          <w:p w14:paraId="0580391F" w14:textId="3D45183C" w:rsidR="00D26489" w:rsidRPr="00FE0C93" w:rsidRDefault="007D4A2C" w:rsidP="00C7731B">
            <w:pPr>
              <w:pStyle w:val="ListParagraph"/>
              <w:numPr>
                <w:ilvl w:val="0"/>
                <w:numId w:val="3"/>
              </w:numPr>
              <w:spacing w:line="480" w:lineRule="auto"/>
              <w:ind w:left="432"/>
              <w:rPr>
                <w:rFonts w:ascii="Times New Roman" w:hAnsi="Times New Roman" w:cs="Times New Roman"/>
                <w:sz w:val="18"/>
                <w:szCs w:val="18"/>
              </w:rPr>
            </w:pPr>
            <w:r w:rsidRPr="00FE0C93">
              <w:rPr>
                <w:rFonts w:ascii="Times New Roman" w:hAnsi="Times New Roman" w:cs="Times New Roman"/>
                <w:sz w:val="18"/>
                <w:szCs w:val="18"/>
              </w:rPr>
              <w:t>F</w:t>
            </w:r>
            <w:r w:rsidR="00D26489" w:rsidRPr="00FE0C93">
              <w:rPr>
                <w:rFonts w:ascii="Times New Roman" w:hAnsi="Times New Roman" w:cs="Times New Roman"/>
                <w:sz w:val="18"/>
                <w:szCs w:val="18"/>
              </w:rPr>
              <w:t xml:space="preserve">ocal </w:t>
            </w:r>
            <w:r w:rsidR="00332D11" w:rsidRPr="00FE0C93">
              <w:rPr>
                <w:rFonts w:ascii="Times New Roman" w:hAnsi="Times New Roman" w:cs="Times New Roman"/>
                <w:sz w:val="18"/>
                <w:szCs w:val="18"/>
              </w:rPr>
              <w:t>O</w:t>
            </w:r>
            <w:r w:rsidR="00D26489" w:rsidRPr="00FE0C93">
              <w:rPr>
                <w:rFonts w:ascii="Times New Roman" w:hAnsi="Times New Roman" w:cs="Times New Roman"/>
                <w:sz w:val="18"/>
                <w:szCs w:val="18"/>
              </w:rPr>
              <w:t>rganization</w:t>
            </w:r>
          </w:p>
          <w:p w14:paraId="1CBC76FF" w14:textId="77777777" w:rsidR="00220251" w:rsidRPr="00FE0C93" w:rsidRDefault="00220251" w:rsidP="00C7731B">
            <w:pPr>
              <w:pStyle w:val="ListParagraph"/>
              <w:numPr>
                <w:ilvl w:val="0"/>
                <w:numId w:val="3"/>
              </w:numPr>
              <w:spacing w:line="480" w:lineRule="auto"/>
              <w:ind w:left="432"/>
              <w:rPr>
                <w:rFonts w:ascii="Times New Roman" w:hAnsi="Times New Roman" w:cs="Times New Roman"/>
                <w:sz w:val="18"/>
                <w:szCs w:val="18"/>
              </w:rPr>
            </w:pPr>
            <w:r w:rsidRPr="00FE0C93">
              <w:rPr>
                <w:rFonts w:ascii="Times New Roman" w:hAnsi="Times New Roman" w:cs="Times New Roman"/>
                <w:sz w:val="18"/>
                <w:szCs w:val="18"/>
              </w:rPr>
              <w:t>Value Creation Objective</w:t>
            </w:r>
          </w:p>
          <w:p w14:paraId="2D348C55" w14:textId="052DDE12" w:rsidR="00B433DF" w:rsidRPr="00FE0C93" w:rsidRDefault="00B433DF" w:rsidP="00C7731B">
            <w:pPr>
              <w:pStyle w:val="ListParagraph"/>
              <w:numPr>
                <w:ilvl w:val="0"/>
                <w:numId w:val="3"/>
              </w:numPr>
              <w:spacing w:line="480" w:lineRule="auto"/>
              <w:ind w:left="432"/>
              <w:rPr>
                <w:rFonts w:ascii="Times New Roman" w:hAnsi="Times New Roman" w:cs="Times New Roman"/>
                <w:sz w:val="18"/>
                <w:szCs w:val="18"/>
              </w:rPr>
            </w:pPr>
            <w:r w:rsidRPr="00FE0C93">
              <w:rPr>
                <w:rFonts w:ascii="Times New Roman" w:hAnsi="Times New Roman" w:cs="Times New Roman"/>
                <w:sz w:val="18"/>
                <w:szCs w:val="18"/>
              </w:rPr>
              <w:t>Contingent on life cycle phase, strategic breadth, and organizational level (depth)</w:t>
            </w:r>
          </w:p>
        </w:tc>
      </w:tr>
      <w:tr w:rsidR="004D1617" w:rsidRPr="0002452F" w14:paraId="4AF91169" w14:textId="77777777" w:rsidTr="008C76D8">
        <w:tc>
          <w:tcPr>
            <w:tcW w:w="1368" w:type="dxa"/>
          </w:tcPr>
          <w:p w14:paraId="19884430" w14:textId="77777777" w:rsidR="00FE0C93" w:rsidRPr="008C76D8" w:rsidRDefault="00FE0C93" w:rsidP="000E2973">
            <w:pPr>
              <w:spacing w:line="480" w:lineRule="auto"/>
              <w:rPr>
                <w:rFonts w:ascii="Times New Roman" w:hAnsi="Times New Roman" w:cs="Times New Roman"/>
                <w:b/>
                <w:sz w:val="18"/>
                <w:szCs w:val="20"/>
              </w:rPr>
            </w:pPr>
          </w:p>
          <w:p w14:paraId="32DA7E0D" w14:textId="77777777" w:rsidR="00D26489" w:rsidRPr="008C76D8" w:rsidRDefault="00883481" w:rsidP="000E2973">
            <w:pPr>
              <w:spacing w:line="480" w:lineRule="auto"/>
              <w:rPr>
                <w:rFonts w:ascii="Times New Roman" w:hAnsi="Times New Roman" w:cs="Times New Roman"/>
                <w:b/>
                <w:sz w:val="18"/>
                <w:szCs w:val="20"/>
              </w:rPr>
            </w:pPr>
            <w:r w:rsidRPr="008C76D8">
              <w:rPr>
                <w:rFonts w:ascii="Times New Roman" w:hAnsi="Times New Roman" w:cs="Times New Roman"/>
                <w:b/>
                <w:sz w:val="18"/>
                <w:szCs w:val="20"/>
              </w:rPr>
              <w:t>Relationships</w:t>
            </w:r>
          </w:p>
          <w:p w14:paraId="78C10347" w14:textId="03227DA9" w:rsidR="007D4A2C" w:rsidRPr="008C76D8" w:rsidRDefault="007D4A2C" w:rsidP="00CD59B3">
            <w:pPr>
              <w:spacing w:line="480" w:lineRule="auto"/>
              <w:rPr>
                <w:rFonts w:ascii="Times New Roman" w:hAnsi="Times New Roman" w:cs="Times New Roman"/>
                <w:b/>
                <w:sz w:val="20"/>
                <w:szCs w:val="20"/>
              </w:rPr>
            </w:pPr>
            <w:r w:rsidRPr="008C76D8">
              <w:rPr>
                <w:rFonts w:ascii="Times New Roman" w:hAnsi="Times New Roman" w:cs="Times New Roman"/>
                <w:b/>
                <w:sz w:val="18"/>
                <w:szCs w:val="20"/>
              </w:rPr>
              <w:t>&amp; Predictions</w:t>
            </w:r>
          </w:p>
        </w:tc>
        <w:tc>
          <w:tcPr>
            <w:tcW w:w="2340" w:type="dxa"/>
          </w:tcPr>
          <w:p w14:paraId="1BACA667" w14:textId="77777777" w:rsidR="00FE0C93" w:rsidRDefault="00FE0C93" w:rsidP="00AA56C1">
            <w:pPr>
              <w:spacing w:line="480" w:lineRule="auto"/>
              <w:rPr>
                <w:rFonts w:ascii="Times New Roman" w:hAnsi="Times New Roman" w:cs="Times New Roman"/>
                <w:sz w:val="16"/>
                <w:szCs w:val="16"/>
              </w:rPr>
            </w:pPr>
          </w:p>
          <w:p w14:paraId="21843928" w14:textId="77777777" w:rsidR="008E2C6A" w:rsidRPr="0068584C" w:rsidRDefault="00883481" w:rsidP="00C92A76">
            <w:pPr>
              <w:spacing w:line="480" w:lineRule="auto"/>
              <w:rPr>
                <w:rFonts w:ascii="Times New Roman" w:hAnsi="Times New Roman" w:cs="Times New Roman"/>
                <w:sz w:val="16"/>
                <w:szCs w:val="16"/>
              </w:rPr>
            </w:pPr>
            <w:r w:rsidRPr="0068584C">
              <w:rPr>
                <w:rFonts w:ascii="Times New Roman" w:hAnsi="Times New Roman" w:cs="Times New Roman"/>
                <w:sz w:val="16"/>
                <w:szCs w:val="16"/>
              </w:rPr>
              <w:t xml:space="preserve">Resources </w:t>
            </w:r>
          </w:p>
          <w:p w14:paraId="2CF00BFD" w14:textId="3ED46BBC" w:rsidR="008E2C6A" w:rsidRPr="0068584C" w:rsidRDefault="00883481" w:rsidP="008C76D8">
            <w:pPr>
              <w:spacing w:line="480" w:lineRule="auto"/>
              <w:rPr>
                <w:rFonts w:ascii="Times New Roman" w:eastAsiaTheme="majorEastAsia" w:hAnsi="Times New Roman" w:cs="Times New Roman"/>
                <w:b/>
                <w:bCs/>
                <w:color w:val="4F81BD" w:themeColor="accent1"/>
                <w:sz w:val="16"/>
                <w:szCs w:val="16"/>
              </w:rPr>
            </w:pPr>
            <w:r w:rsidRPr="0068584C">
              <w:rPr>
                <w:rFonts w:ascii="Times New Roman" w:hAnsi="Times New Roman" w:cs="Times New Roman"/>
                <w:sz w:val="16"/>
                <w:szCs w:val="16"/>
              </w:rPr>
              <w:sym w:font="Wingdings" w:char="F0E0"/>
            </w:r>
            <w:r w:rsidRPr="0068584C">
              <w:rPr>
                <w:rFonts w:ascii="Times New Roman" w:hAnsi="Times New Roman" w:cs="Times New Roman"/>
                <w:sz w:val="16"/>
                <w:szCs w:val="16"/>
              </w:rPr>
              <w:t xml:space="preserve"> Comp</w:t>
            </w:r>
            <w:r w:rsidR="00761C48" w:rsidRPr="0068584C">
              <w:rPr>
                <w:rFonts w:ascii="Times New Roman" w:hAnsi="Times New Roman" w:cs="Times New Roman"/>
                <w:sz w:val="16"/>
                <w:szCs w:val="16"/>
              </w:rPr>
              <w:t xml:space="preserve">etitive </w:t>
            </w:r>
            <w:r w:rsidRPr="0068584C">
              <w:rPr>
                <w:rFonts w:ascii="Times New Roman" w:hAnsi="Times New Roman" w:cs="Times New Roman"/>
                <w:sz w:val="16"/>
                <w:szCs w:val="16"/>
              </w:rPr>
              <w:t>Adv</w:t>
            </w:r>
            <w:r w:rsidR="00761C48" w:rsidRPr="0068584C">
              <w:rPr>
                <w:rFonts w:ascii="Times New Roman" w:hAnsi="Times New Roman" w:cs="Times New Roman"/>
                <w:sz w:val="16"/>
                <w:szCs w:val="16"/>
              </w:rPr>
              <w:t>antage</w:t>
            </w:r>
          </w:p>
          <w:p w14:paraId="1FA7B3F4" w14:textId="1008A1A2" w:rsidR="00D26489" w:rsidRPr="0068584C" w:rsidRDefault="00883481" w:rsidP="008C76D8">
            <w:pPr>
              <w:spacing w:line="480" w:lineRule="auto"/>
              <w:rPr>
                <w:rFonts w:ascii="Times New Roman" w:eastAsiaTheme="majorEastAsia" w:hAnsi="Times New Roman" w:cs="Times New Roman"/>
                <w:b/>
                <w:bCs/>
                <w:color w:val="4F81BD" w:themeColor="accent1"/>
                <w:sz w:val="16"/>
                <w:szCs w:val="16"/>
              </w:rPr>
            </w:pPr>
            <w:r w:rsidRPr="0068584C">
              <w:rPr>
                <w:rFonts w:ascii="Times New Roman" w:hAnsi="Times New Roman" w:cs="Times New Roman"/>
                <w:sz w:val="16"/>
                <w:szCs w:val="16"/>
              </w:rPr>
              <w:sym w:font="Wingdings" w:char="F0E0"/>
            </w:r>
            <w:r w:rsidRPr="0068584C">
              <w:rPr>
                <w:rFonts w:ascii="Times New Roman" w:hAnsi="Times New Roman" w:cs="Times New Roman"/>
                <w:sz w:val="16"/>
                <w:szCs w:val="16"/>
              </w:rPr>
              <w:t xml:space="preserve"> Performance</w:t>
            </w:r>
          </w:p>
        </w:tc>
        <w:tc>
          <w:tcPr>
            <w:tcW w:w="2520" w:type="dxa"/>
          </w:tcPr>
          <w:p w14:paraId="49788367" w14:textId="77777777" w:rsidR="00FE0C93" w:rsidRPr="00FE0C93" w:rsidRDefault="00FE0C93">
            <w:pPr>
              <w:spacing w:line="480" w:lineRule="auto"/>
              <w:rPr>
                <w:rFonts w:ascii="Times New Roman" w:hAnsi="Times New Roman" w:cs="Times New Roman"/>
                <w:sz w:val="16"/>
                <w:szCs w:val="16"/>
              </w:rPr>
            </w:pPr>
          </w:p>
          <w:p w14:paraId="362D8A96" w14:textId="77777777" w:rsidR="008E2C6A" w:rsidRPr="00CD59B3" w:rsidRDefault="00883481" w:rsidP="008C76D8">
            <w:pPr>
              <w:spacing w:line="480" w:lineRule="auto"/>
              <w:rPr>
                <w:rFonts w:ascii="Times New Roman" w:eastAsiaTheme="majorEastAsia" w:hAnsi="Times New Roman" w:cs="Times New Roman"/>
                <w:b/>
                <w:bCs/>
                <w:color w:val="4F81BD" w:themeColor="accent1"/>
                <w:sz w:val="16"/>
                <w:szCs w:val="16"/>
              </w:rPr>
            </w:pPr>
            <w:r w:rsidRPr="00CD59B3">
              <w:rPr>
                <w:rFonts w:ascii="Times New Roman" w:hAnsi="Times New Roman" w:cs="Times New Roman"/>
                <w:sz w:val="16"/>
                <w:szCs w:val="16"/>
              </w:rPr>
              <w:t xml:space="preserve">Resources </w:t>
            </w:r>
          </w:p>
          <w:p w14:paraId="50FC8FBA" w14:textId="77777777" w:rsidR="008E2C6A" w:rsidRPr="00631015" w:rsidRDefault="00883481" w:rsidP="008C76D8">
            <w:pPr>
              <w:spacing w:line="480" w:lineRule="auto"/>
              <w:rPr>
                <w:rFonts w:ascii="Times New Roman" w:eastAsiaTheme="majorEastAsia" w:hAnsi="Times New Roman" w:cs="Times New Roman"/>
                <w:b/>
                <w:bCs/>
                <w:color w:val="4F81BD" w:themeColor="accent1"/>
                <w:sz w:val="16"/>
                <w:szCs w:val="16"/>
              </w:rPr>
            </w:pPr>
            <w:r w:rsidRPr="00FE0C93">
              <w:rPr>
                <w:rFonts w:ascii="Times New Roman" w:hAnsi="Times New Roman" w:cs="Times New Roman"/>
                <w:sz w:val="16"/>
                <w:szCs w:val="16"/>
              </w:rPr>
              <w:sym w:font="Wingdings" w:char="F0E0"/>
            </w:r>
            <w:r w:rsidRPr="00FE0C93">
              <w:rPr>
                <w:rFonts w:ascii="Times New Roman" w:hAnsi="Times New Roman" w:cs="Times New Roman"/>
                <w:sz w:val="16"/>
                <w:szCs w:val="16"/>
              </w:rPr>
              <w:t xml:space="preserve"> Resource Configurations </w:t>
            </w:r>
          </w:p>
          <w:p w14:paraId="426DBC1C" w14:textId="7635CFC7" w:rsidR="008E2C6A" w:rsidRPr="00631015" w:rsidRDefault="00883481" w:rsidP="008C76D8">
            <w:pPr>
              <w:spacing w:line="480" w:lineRule="auto"/>
              <w:rPr>
                <w:rFonts w:ascii="Times New Roman" w:eastAsiaTheme="majorEastAsia" w:hAnsi="Times New Roman" w:cs="Times New Roman"/>
                <w:b/>
                <w:bCs/>
                <w:color w:val="4F81BD" w:themeColor="accent1"/>
                <w:sz w:val="16"/>
                <w:szCs w:val="16"/>
              </w:rPr>
            </w:pPr>
            <w:r w:rsidRPr="00FE0C93">
              <w:rPr>
                <w:rFonts w:ascii="Times New Roman" w:hAnsi="Times New Roman" w:cs="Times New Roman"/>
                <w:sz w:val="16"/>
                <w:szCs w:val="16"/>
              </w:rPr>
              <w:sym w:font="Wingdings" w:char="F0E0"/>
            </w:r>
            <w:r w:rsidRPr="00FE0C93">
              <w:rPr>
                <w:rFonts w:ascii="Times New Roman" w:hAnsi="Times New Roman" w:cs="Times New Roman"/>
                <w:sz w:val="16"/>
                <w:szCs w:val="16"/>
              </w:rPr>
              <w:t xml:space="preserve"> </w:t>
            </w:r>
            <w:r w:rsidR="00761C48" w:rsidRPr="00631015">
              <w:rPr>
                <w:rFonts w:ascii="Times New Roman" w:hAnsi="Times New Roman" w:cs="Times New Roman"/>
                <w:sz w:val="16"/>
                <w:szCs w:val="16"/>
              </w:rPr>
              <w:t>Competitive Advantage</w:t>
            </w:r>
          </w:p>
          <w:p w14:paraId="1D1C6BB5" w14:textId="77777777" w:rsidR="00D26489" w:rsidRPr="00631015" w:rsidRDefault="00883481" w:rsidP="008C76D8">
            <w:pPr>
              <w:spacing w:line="480" w:lineRule="auto"/>
              <w:rPr>
                <w:rFonts w:ascii="Times New Roman" w:eastAsiaTheme="majorEastAsia" w:hAnsi="Times New Roman" w:cs="Times New Roman"/>
                <w:b/>
                <w:bCs/>
                <w:color w:val="4F81BD" w:themeColor="accent1"/>
                <w:sz w:val="16"/>
                <w:szCs w:val="16"/>
              </w:rPr>
            </w:pPr>
            <w:r w:rsidRPr="00FE0C93">
              <w:rPr>
                <w:rFonts w:ascii="Times New Roman" w:hAnsi="Times New Roman" w:cs="Times New Roman"/>
                <w:sz w:val="16"/>
                <w:szCs w:val="16"/>
              </w:rPr>
              <w:sym w:font="Wingdings" w:char="F0E0"/>
            </w:r>
            <w:r w:rsidRPr="00FE0C93">
              <w:rPr>
                <w:rFonts w:ascii="Times New Roman" w:hAnsi="Times New Roman" w:cs="Times New Roman"/>
                <w:sz w:val="16"/>
                <w:szCs w:val="16"/>
              </w:rPr>
              <w:t xml:space="preserve"> Performance</w:t>
            </w:r>
          </w:p>
          <w:p w14:paraId="7FAF6689" w14:textId="06D648BB" w:rsidR="00332D11" w:rsidRPr="00CD59B3" w:rsidRDefault="00332D11">
            <w:pPr>
              <w:spacing w:line="480" w:lineRule="auto"/>
              <w:rPr>
                <w:rFonts w:ascii="Times New Roman" w:hAnsi="Times New Roman" w:cs="Times New Roman"/>
                <w:sz w:val="20"/>
                <w:szCs w:val="20"/>
              </w:rPr>
            </w:pPr>
          </w:p>
        </w:tc>
        <w:tc>
          <w:tcPr>
            <w:tcW w:w="2610" w:type="dxa"/>
          </w:tcPr>
          <w:p w14:paraId="2F55D2EC" w14:textId="77777777" w:rsidR="00FE0C93" w:rsidRPr="00AA56C1" w:rsidRDefault="00FE0C93">
            <w:pPr>
              <w:spacing w:line="480" w:lineRule="auto"/>
              <w:rPr>
                <w:rFonts w:ascii="Times New Roman" w:hAnsi="Times New Roman" w:cs="Times New Roman"/>
                <w:sz w:val="16"/>
                <w:szCs w:val="16"/>
              </w:rPr>
            </w:pPr>
          </w:p>
          <w:p w14:paraId="65B0D724" w14:textId="77777777" w:rsidR="008E2C6A" w:rsidRPr="008C76D8" w:rsidRDefault="00883481" w:rsidP="008C76D8">
            <w:pPr>
              <w:spacing w:line="480" w:lineRule="auto"/>
              <w:rPr>
                <w:rFonts w:ascii="Times New Roman" w:hAnsi="Times New Roman" w:cs="Times New Roman"/>
                <w:sz w:val="16"/>
                <w:szCs w:val="16"/>
              </w:rPr>
            </w:pPr>
            <w:r w:rsidRPr="00C92A76">
              <w:rPr>
                <w:rFonts w:ascii="Times New Roman" w:hAnsi="Times New Roman" w:cs="Times New Roman"/>
                <w:sz w:val="16"/>
                <w:szCs w:val="16"/>
              </w:rPr>
              <w:t xml:space="preserve">Resources </w:t>
            </w:r>
          </w:p>
          <w:p w14:paraId="7AC8624B" w14:textId="77777777" w:rsidR="008E2C6A" w:rsidRPr="00631015" w:rsidRDefault="00883481" w:rsidP="008C76D8">
            <w:pPr>
              <w:spacing w:line="480" w:lineRule="auto"/>
              <w:rPr>
                <w:rFonts w:ascii="Times New Roman" w:eastAsiaTheme="majorEastAsia" w:hAnsi="Times New Roman" w:cs="Times New Roman"/>
                <w:b/>
                <w:bCs/>
                <w:color w:val="4F81BD" w:themeColor="accent1"/>
                <w:sz w:val="16"/>
                <w:szCs w:val="16"/>
              </w:rPr>
            </w:pPr>
            <w:r w:rsidRPr="00FE0C93">
              <w:rPr>
                <w:rFonts w:ascii="Times New Roman" w:hAnsi="Times New Roman" w:cs="Times New Roman"/>
                <w:sz w:val="16"/>
                <w:szCs w:val="16"/>
              </w:rPr>
              <w:sym w:font="Wingdings" w:char="F0E0"/>
            </w:r>
            <w:r w:rsidRPr="00FE0C93">
              <w:rPr>
                <w:rFonts w:ascii="Times New Roman" w:hAnsi="Times New Roman" w:cs="Times New Roman"/>
                <w:sz w:val="16"/>
                <w:szCs w:val="16"/>
              </w:rPr>
              <w:t xml:space="preserve"> Resource Orchestration </w:t>
            </w:r>
          </w:p>
          <w:p w14:paraId="7DFA52F1" w14:textId="09710640" w:rsidR="008E2C6A" w:rsidRPr="00631015" w:rsidRDefault="00883481" w:rsidP="008C76D8">
            <w:pPr>
              <w:spacing w:line="480" w:lineRule="auto"/>
              <w:rPr>
                <w:rFonts w:ascii="Times New Roman" w:eastAsiaTheme="majorEastAsia" w:hAnsi="Times New Roman" w:cs="Times New Roman"/>
                <w:b/>
                <w:bCs/>
                <w:color w:val="4F81BD" w:themeColor="accent1"/>
                <w:sz w:val="16"/>
                <w:szCs w:val="16"/>
              </w:rPr>
            </w:pPr>
            <w:r w:rsidRPr="00FE0C93">
              <w:rPr>
                <w:rFonts w:ascii="Times New Roman" w:hAnsi="Times New Roman" w:cs="Times New Roman"/>
                <w:sz w:val="16"/>
                <w:szCs w:val="16"/>
              </w:rPr>
              <w:sym w:font="Wingdings" w:char="F0E0"/>
            </w:r>
            <w:r w:rsidRPr="00FE0C93">
              <w:rPr>
                <w:rFonts w:ascii="Times New Roman" w:hAnsi="Times New Roman" w:cs="Times New Roman"/>
                <w:sz w:val="16"/>
                <w:szCs w:val="16"/>
              </w:rPr>
              <w:t xml:space="preserve"> </w:t>
            </w:r>
            <w:r w:rsidR="00761C48" w:rsidRPr="00631015">
              <w:rPr>
                <w:rFonts w:ascii="Times New Roman" w:hAnsi="Times New Roman" w:cs="Times New Roman"/>
                <w:sz w:val="16"/>
                <w:szCs w:val="16"/>
              </w:rPr>
              <w:t>Competitive Advantage</w:t>
            </w:r>
          </w:p>
          <w:p w14:paraId="06FDA03E" w14:textId="074CD0FB" w:rsidR="00D26489" w:rsidRPr="00631015" w:rsidRDefault="00883481" w:rsidP="008C76D8">
            <w:pPr>
              <w:spacing w:line="480" w:lineRule="auto"/>
              <w:rPr>
                <w:rFonts w:ascii="Times New Roman" w:eastAsiaTheme="majorEastAsia" w:hAnsi="Times New Roman" w:cs="Times New Roman"/>
                <w:b/>
                <w:bCs/>
                <w:color w:val="4F81BD" w:themeColor="accent1"/>
                <w:sz w:val="20"/>
                <w:szCs w:val="20"/>
              </w:rPr>
            </w:pPr>
            <w:r w:rsidRPr="00FE0C93">
              <w:rPr>
                <w:rFonts w:ascii="Times New Roman" w:hAnsi="Times New Roman" w:cs="Times New Roman"/>
                <w:sz w:val="16"/>
                <w:szCs w:val="16"/>
              </w:rPr>
              <w:sym w:font="Wingdings" w:char="F0E0"/>
            </w:r>
            <w:r w:rsidRPr="00FE0C93">
              <w:rPr>
                <w:rFonts w:ascii="Times New Roman" w:hAnsi="Times New Roman" w:cs="Times New Roman"/>
                <w:sz w:val="16"/>
                <w:szCs w:val="16"/>
              </w:rPr>
              <w:t xml:space="preserve"> Performance</w:t>
            </w:r>
          </w:p>
        </w:tc>
      </w:tr>
    </w:tbl>
    <w:p w14:paraId="0E043B85" w14:textId="77777777" w:rsidR="00D11122" w:rsidRPr="0068584C" w:rsidRDefault="00D11122" w:rsidP="0035460B">
      <w:pPr>
        <w:spacing w:line="480" w:lineRule="auto"/>
        <w:rPr>
          <w:rFonts w:ascii="Times New Roman" w:hAnsi="Times New Roman" w:cs="Times New Roman"/>
        </w:rPr>
      </w:pPr>
    </w:p>
    <w:p w14:paraId="15A71B9C" w14:textId="4FCD6911" w:rsidR="0087360C" w:rsidRPr="0068584C" w:rsidRDefault="00344F00" w:rsidP="0035460B">
      <w:pPr>
        <w:spacing w:line="480" w:lineRule="auto"/>
        <w:jc w:val="both"/>
        <w:rPr>
          <w:rFonts w:ascii="Times New Roman" w:hAnsi="Times New Roman" w:cs="Times New Roman"/>
        </w:rPr>
      </w:pPr>
      <w:r w:rsidRPr="0068584C">
        <w:rPr>
          <w:rFonts w:ascii="Times New Roman" w:hAnsi="Times New Roman" w:cs="Times New Roman"/>
        </w:rPr>
        <w:lastRenderedPageBreak/>
        <w:t>The research follows the guidelines for goo</w:t>
      </w:r>
      <w:r w:rsidR="00666305" w:rsidRPr="0068584C">
        <w:rPr>
          <w:rFonts w:ascii="Times New Roman" w:hAnsi="Times New Roman" w:cs="Times New Roman"/>
        </w:rPr>
        <w:t xml:space="preserve">d theory-building </w:t>
      </w:r>
      <w:r w:rsidR="002A37F8"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"ISBN" : "1515294811", "author" : [ { "dropping-particle" : "", "family" : "Wacker", "given" : "John G", "non-dropping-particle" : "", "parse-names" : false, "suffix" : "" } ], "container-title" : "Journal of Operations Management", "id" : "ITEM-1", "issue" : "4", "issued" : { "date-parts" : [ [ "1998" ] ] }, "page" : "361-385", "title" : "A definition of theory: research guidelines for different theory-building research methods in operations management", "type" : "article-journal", "volume" : "16" }, "uris" : [ "http://www.mendeley.com/documents/?uuid=00f61d23-9b83-4b25-9418-585af3e47d5a" ] } ], "mendeley" : { "formattedCitation" : "(Wacker, 1998)", "plainTextFormattedCitation" : "(Wacker, 1998)", "previouslyFormattedCitation" : "(Wacker, 1998)" }, "properties" : { "noteIndex" : 0 }, "schema" : "https://github.com/citation-style-language/schema/raw/master/csl-citation.json" }</w:instrText>
      </w:r>
      <w:r w:rsidR="002A37F8" w:rsidRPr="0068584C">
        <w:rPr>
          <w:rFonts w:ascii="Times New Roman" w:hAnsi="Times New Roman" w:cs="Times New Roman"/>
        </w:rPr>
        <w:fldChar w:fldCharType="separate"/>
      </w:r>
      <w:r w:rsidR="000E6ECE" w:rsidRPr="000E6ECE">
        <w:rPr>
          <w:rFonts w:ascii="Times New Roman" w:hAnsi="Times New Roman" w:cs="Times New Roman"/>
          <w:noProof/>
        </w:rPr>
        <w:t>(Wacker, 1998)</w:t>
      </w:r>
      <w:r w:rsidR="002A37F8" w:rsidRPr="0068584C">
        <w:rPr>
          <w:rFonts w:ascii="Times New Roman" w:hAnsi="Times New Roman" w:cs="Times New Roman"/>
        </w:rPr>
        <w:fldChar w:fldCharType="end"/>
      </w:r>
      <w:r w:rsidR="000E2C9F" w:rsidRPr="0068584C">
        <w:rPr>
          <w:rFonts w:ascii="Times New Roman" w:hAnsi="Times New Roman" w:cs="Times New Roman"/>
        </w:rPr>
        <w:t>,</w:t>
      </w:r>
      <w:r w:rsidR="00BB5FB0" w:rsidRPr="0068584C">
        <w:rPr>
          <w:rFonts w:ascii="Times New Roman" w:hAnsi="Times New Roman" w:cs="Times New Roman"/>
        </w:rPr>
        <w:t xml:space="preserve"> which has served as a foundation for theory development in the operations and supply chain management field</w:t>
      </w:r>
      <w:r w:rsidR="002A37F8" w:rsidRPr="0068584C">
        <w:rPr>
          <w:rFonts w:ascii="Times New Roman" w:hAnsi="Times New Roman" w:cs="Times New Roman"/>
        </w:rPr>
        <w:t xml:space="preserve">. </w:t>
      </w:r>
      <w:r w:rsidR="000E2C9F" w:rsidRPr="0068584C">
        <w:rPr>
          <w:rFonts w:ascii="Times New Roman" w:hAnsi="Times New Roman" w:cs="Times New Roman"/>
        </w:rPr>
        <w:t xml:space="preserve">Wacker (1998) provides an effective structure for </w:t>
      </w:r>
      <w:r w:rsidR="002B5FF5" w:rsidRPr="0068584C">
        <w:rPr>
          <w:rFonts w:ascii="Times New Roman" w:hAnsi="Times New Roman" w:cs="Times New Roman"/>
        </w:rPr>
        <w:t>analyzing theoretical gaps,</w:t>
      </w:r>
      <w:r w:rsidR="000E2C9F" w:rsidRPr="0068584C">
        <w:rPr>
          <w:rFonts w:ascii="Times New Roman" w:hAnsi="Times New Roman" w:cs="Times New Roman"/>
        </w:rPr>
        <w:t xml:space="preserve"> and has been applied </w:t>
      </w:r>
      <w:r w:rsidR="002B5FF5" w:rsidRPr="0068584C">
        <w:rPr>
          <w:rFonts w:ascii="Times New Roman" w:hAnsi="Times New Roman" w:cs="Times New Roman"/>
        </w:rPr>
        <w:t>in prior theory elaboration research (e.g., Tate and Bals 2016).</w:t>
      </w:r>
      <w:r w:rsidR="000E2C9F" w:rsidRPr="0068584C">
        <w:rPr>
          <w:rFonts w:ascii="Times New Roman" w:hAnsi="Times New Roman" w:cs="Times New Roman"/>
        </w:rPr>
        <w:t xml:space="preserve"> </w:t>
      </w:r>
      <w:r w:rsidR="002B5FF5" w:rsidRPr="0068584C">
        <w:rPr>
          <w:rFonts w:ascii="Times New Roman" w:hAnsi="Times New Roman" w:cs="Times New Roman"/>
        </w:rPr>
        <w:t xml:space="preserve"> </w:t>
      </w:r>
      <w:r w:rsidR="00937123" w:rsidRPr="0068584C">
        <w:rPr>
          <w:rFonts w:ascii="Times New Roman" w:hAnsi="Times New Roman" w:cs="Times New Roman"/>
        </w:rPr>
        <w:t>Wacker maintains that ‘good’ theory development should fol</w:t>
      </w:r>
      <w:r w:rsidR="0083102C" w:rsidRPr="0068584C">
        <w:rPr>
          <w:rFonts w:ascii="Times New Roman" w:hAnsi="Times New Roman" w:cs="Times New Roman"/>
        </w:rPr>
        <w:t xml:space="preserve">low similar research procedures, which would </w:t>
      </w:r>
      <w:r w:rsidR="00937123" w:rsidRPr="0068584C">
        <w:rPr>
          <w:rFonts w:ascii="Times New Roman" w:hAnsi="Times New Roman" w:cs="Times New Roman"/>
        </w:rPr>
        <w:t xml:space="preserve">enable theory to “become integrative” </w:t>
      </w:r>
      <w:r w:rsidR="0083102C" w:rsidRPr="0068584C">
        <w:rPr>
          <w:rFonts w:ascii="Times New Roman" w:hAnsi="Times New Roman" w:cs="Times New Roman"/>
        </w:rPr>
        <w:t xml:space="preserve">and </w:t>
      </w:r>
      <w:r w:rsidR="00B77C28" w:rsidRPr="0068584C">
        <w:rPr>
          <w:rFonts w:ascii="Times New Roman" w:hAnsi="Times New Roman" w:cs="Times New Roman"/>
        </w:rPr>
        <w:t>permit</w:t>
      </w:r>
      <w:r w:rsidR="0083102C" w:rsidRPr="0068584C">
        <w:rPr>
          <w:rFonts w:ascii="Times New Roman" w:hAnsi="Times New Roman" w:cs="Times New Roman"/>
        </w:rPr>
        <w:t xml:space="preserve"> to raise the abstraction level of theory</w:t>
      </w:r>
      <w:r w:rsidR="0060396E">
        <w:rPr>
          <w:rFonts w:ascii="Times New Roman" w:hAnsi="Times New Roman" w:cs="Times New Roman"/>
        </w:rPr>
        <w:t xml:space="preserve"> </w:t>
      </w:r>
      <w:r w:rsidR="0060396E">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"ISBN" : "1515294811", "author" : [ { "dropping-particle" : "", "family" : "Wacker", "given" : "John G", "non-dropping-particle" : "", "parse-names" : false, "suffix" : "" } ], "container-title" : "Journal of Operations Management", "id" : "ITEM-1", "issue" : "4", "issued" : { "date-parts" : [ [ "1998" ] ] }, "page" : "361-385", "title" : "A definition of theory: research guidelines for different theory-building research methods in operations management", "type" : "article-journal", "volume" : "16" }, "locator" : "379", "uris" : [ "http://www.mendeley.com/documents/?uuid=00f61d23-9b83-4b25-9418-585af3e47d5a" ] } ], "mendeley" : { "formattedCitation" : "(Wacker, 1998, p. 379)", "plainTextFormattedCitation" : "(Wacker, 1998, p. 379)", "previouslyFormattedCitation" : "(Wacker, 1998, p. 379)" }, "properties" : { "noteIndex" : 0 }, "schema" : "https://github.com/citation-style-language/schema/raw/master/csl-citation.json" }</w:instrText>
      </w:r>
      <w:r w:rsidR="0060396E">
        <w:rPr>
          <w:rFonts w:ascii="Times New Roman" w:hAnsi="Times New Roman" w:cs="Times New Roman"/>
        </w:rPr>
        <w:fldChar w:fldCharType="separate"/>
      </w:r>
      <w:r w:rsidR="000E6ECE" w:rsidRPr="000E6ECE">
        <w:rPr>
          <w:rFonts w:ascii="Times New Roman" w:hAnsi="Times New Roman" w:cs="Times New Roman"/>
          <w:noProof/>
        </w:rPr>
        <w:t>(Wacker, 1998, p. 379)</w:t>
      </w:r>
      <w:r w:rsidR="0060396E">
        <w:rPr>
          <w:rFonts w:ascii="Times New Roman" w:hAnsi="Times New Roman" w:cs="Times New Roman"/>
        </w:rPr>
        <w:fldChar w:fldCharType="end"/>
      </w:r>
      <w:r w:rsidR="00937123" w:rsidRPr="0068584C">
        <w:rPr>
          <w:rFonts w:ascii="Times New Roman" w:hAnsi="Times New Roman" w:cs="Times New Roman"/>
        </w:rPr>
        <w:t>.</w:t>
      </w:r>
    </w:p>
    <w:p w14:paraId="3F6035F2" w14:textId="6F059CA0" w:rsidR="00D11122" w:rsidRPr="0068584C" w:rsidRDefault="008D7601" w:rsidP="0035460B">
      <w:pPr>
        <w:spacing w:line="480" w:lineRule="auto"/>
        <w:jc w:val="both"/>
        <w:rPr>
          <w:rFonts w:ascii="Times New Roman" w:hAnsi="Times New Roman" w:cs="Times New Roman"/>
        </w:rPr>
      </w:pPr>
      <w:r>
        <w:rPr>
          <w:rFonts w:ascii="Times New Roman" w:hAnsi="Times New Roman" w:cs="Times New Roman"/>
        </w:rPr>
        <w:tab/>
      </w:r>
      <w:r w:rsidR="00537CE9" w:rsidRPr="0068584C">
        <w:rPr>
          <w:rFonts w:ascii="Times New Roman" w:hAnsi="Times New Roman" w:cs="Times New Roman"/>
        </w:rPr>
        <w:t>RBT, DCT, and ROT</w:t>
      </w:r>
      <w:r w:rsidR="001B56EF" w:rsidRPr="0068584C">
        <w:rPr>
          <w:rFonts w:ascii="Times New Roman" w:hAnsi="Times New Roman" w:cs="Times New Roman"/>
        </w:rPr>
        <w:t>, which are relevant theoretical frameworks in this context,</w:t>
      </w:r>
      <w:r w:rsidR="00537CE9" w:rsidRPr="0068584C">
        <w:rPr>
          <w:rFonts w:ascii="Times New Roman" w:hAnsi="Times New Roman" w:cs="Times New Roman"/>
        </w:rPr>
        <w:t xml:space="preserve"> are compared </w:t>
      </w:r>
      <w:r w:rsidR="00AC209E">
        <w:rPr>
          <w:rFonts w:ascii="Times New Roman" w:hAnsi="Times New Roman" w:cs="Times New Roman"/>
        </w:rPr>
        <w:t xml:space="preserve">first </w:t>
      </w:r>
      <w:r w:rsidR="00537CE9" w:rsidRPr="0068584C">
        <w:rPr>
          <w:rFonts w:ascii="Times New Roman" w:hAnsi="Times New Roman" w:cs="Times New Roman"/>
        </w:rPr>
        <w:t xml:space="preserve">by analyzing </w:t>
      </w:r>
      <w:r w:rsidR="0087360C" w:rsidRPr="0068584C">
        <w:rPr>
          <w:rFonts w:ascii="Times New Roman" w:hAnsi="Times New Roman" w:cs="Times New Roman"/>
        </w:rPr>
        <w:t>the four main components of good theory</w:t>
      </w:r>
      <w:r w:rsidR="00537CE9" w:rsidRPr="0068584C">
        <w:rPr>
          <w:rFonts w:ascii="Times New Roman" w:hAnsi="Times New Roman" w:cs="Times New Roman"/>
        </w:rPr>
        <w:t xml:space="preserve">. </w:t>
      </w:r>
      <w:r w:rsidR="00A84664" w:rsidRPr="0068584C">
        <w:rPr>
          <w:rFonts w:ascii="Times New Roman" w:hAnsi="Times New Roman" w:cs="Times New Roman"/>
        </w:rPr>
        <w:t>As depicted in Table</w:t>
      </w:r>
      <w:r w:rsidR="0068621B">
        <w:rPr>
          <w:rFonts w:ascii="Times New Roman" w:hAnsi="Times New Roman" w:cs="Times New Roman"/>
        </w:rPr>
        <w:t xml:space="preserve"> </w:t>
      </w:r>
      <w:r w:rsidR="00A84664" w:rsidRPr="0068584C">
        <w:rPr>
          <w:rFonts w:ascii="Times New Roman" w:hAnsi="Times New Roman" w:cs="Times New Roman"/>
        </w:rPr>
        <w:t>1, those three theories have in common a prediction between resources and performance. This commonality will serve as the appropriate foundation for theory elaboration of SCRO. In a s</w:t>
      </w:r>
      <w:r w:rsidR="00537CE9" w:rsidRPr="0068584C">
        <w:rPr>
          <w:rFonts w:ascii="Times New Roman" w:hAnsi="Times New Roman" w:cs="Times New Roman"/>
        </w:rPr>
        <w:t>econd</w:t>
      </w:r>
      <w:r w:rsidR="00A84664" w:rsidRPr="0068584C">
        <w:rPr>
          <w:rFonts w:ascii="Times New Roman" w:hAnsi="Times New Roman" w:cs="Times New Roman"/>
        </w:rPr>
        <w:t xml:space="preserve"> step</w:t>
      </w:r>
      <w:r w:rsidR="00537CE9" w:rsidRPr="0068584C">
        <w:rPr>
          <w:rFonts w:ascii="Times New Roman" w:hAnsi="Times New Roman" w:cs="Times New Roman"/>
        </w:rPr>
        <w:t xml:space="preserve">, </w:t>
      </w:r>
      <w:r w:rsidR="0087360C" w:rsidRPr="0068584C">
        <w:rPr>
          <w:rFonts w:ascii="Times New Roman" w:hAnsi="Times New Roman" w:cs="Times New Roman"/>
        </w:rPr>
        <w:t xml:space="preserve">SCRO is discussed accordingly. </w:t>
      </w:r>
    </w:p>
    <w:p w14:paraId="18F7E087" w14:textId="1A02C325" w:rsidR="000A7D67" w:rsidRPr="0068584C" w:rsidRDefault="000A7D67" w:rsidP="0035460B">
      <w:pPr>
        <w:spacing w:line="480" w:lineRule="auto"/>
        <w:rPr>
          <w:rFonts w:ascii="Times New Roman" w:hAnsi="Times New Roman" w:cs="Times New Roman"/>
        </w:rPr>
      </w:pPr>
    </w:p>
    <w:p w14:paraId="756C0467" w14:textId="6C51ADC4" w:rsidR="00344F00" w:rsidRPr="001B6FF7" w:rsidRDefault="007916DB" w:rsidP="001B6FF7">
      <w:pPr>
        <w:pStyle w:val="Heading3new"/>
      </w:pPr>
      <w:r w:rsidRPr="001B6FF7">
        <w:t xml:space="preserve">Key </w:t>
      </w:r>
      <w:r w:rsidR="00445F36" w:rsidRPr="001B6FF7">
        <w:t>Construct</w:t>
      </w:r>
      <w:r w:rsidR="00BA25A3" w:rsidRPr="001B6FF7">
        <w:t xml:space="preserve"> Definitions</w:t>
      </w:r>
      <w:r w:rsidR="00E86596" w:rsidRPr="001B6FF7">
        <w:t xml:space="preserve"> </w:t>
      </w:r>
      <w:r w:rsidRPr="001B6FF7">
        <w:t xml:space="preserve">of </w:t>
      </w:r>
      <w:r w:rsidR="00E86596" w:rsidRPr="001B6FF7">
        <w:t xml:space="preserve">RBT, DCT, </w:t>
      </w:r>
      <w:r w:rsidRPr="001B6FF7">
        <w:t xml:space="preserve">and </w:t>
      </w:r>
      <w:r w:rsidR="00E86596" w:rsidRPr="001B6FF7">
        <w:t xml:space="preserve">ROT </w:t>
      </w:r>
    </w:p>
    <w:p w14:paraId="5AEAD0BF" w14:textId="76FAB4F2" w:rsidR="00E75CB8" w:rsidRPr="0068584C" w:rsidRDefault="00CC4C2C"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rPr>
        <w:t xml:space="preserve">Fundamental to good theory are clear theoretical definitions of relevant </w:t>
      </w:r>
      <w:r w:rsidR="00445F36" w:rsidRPr="0068584C">
        <w:rPr>
          <w:rFonts w:ascii="Times New Roman" w:hAnsi="Times New Roman" w:cs="Times New Roman"/>
        </w:rPr>
        <w:t>construct</w:t>
      </w:r>
      <w:r w:rsidRPr="0068584C">
        <w:rPr>
          <w:rFonts w:ascii="Times New Roman" w:hAnsi="Times New Roman" w:cs="Times New Roman"/>
        </w:rPr>
        <w:t>s applied in the theory</w:t>
      </w:r>
      <w:r w:rsidR="00DA3DEF" w:rsidRPr="0068584C">
        <w:rPr>
          <w:rFonts w:ascii="Times New Roman" w:hAnsi="Times New Roman" w:cs="Times New Roman"/>
        </w:rPr>
        <w:t xml:space="preserve"> </w:t>
      </w:r>
      <w:r w:rsidR="00DA3DEF"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"ISBN" : "1515294811", "author" : [ { "dropping-particle" : "", "family" : "Wacker", "given" : "John G", "non-dropping-particle" : "", "parse-names" : false, "suffix" : "" } ], "container-title" : "Journal of Operations Management", "id" : "ITEM-1", "issue" : "4", "issued" : { "date-parts" : [ [ "1998" ] ] }, "page" : "361-385", "title" : "A definition of theory: research guidelines for different theory-building research methods in operations management", "type" : "article-journal", "volume" : "16" }, "uris" : [ "http://www.mendeley.com/documents/?uuid=00f61d23-9b83-4b25-9418-585af3e47d5a" ] } ], "mendeley" : { "formattedCitation" : "(Wacker, 1998)", "plainTextFormattedCitation" : "(Wacker, 1998)", "previouslyFormattedCitation" : "(Wacker, 1998)" }, "properties" : { "noteIndex" : 0 }, "schema" : "https://github.com/citation-style-language/schema/raw/master/csl-citation.json" }</w:instrText>
      </w:r>
      <w:r w:rsidR="00DA3DEF" w:rsidRPr="0068584C">
        <w:rPr>
          <w:rFonts w:ascii="Times New Roman" w:hAnsi="Times New Roman" w:cs="Times New Roman"/>
        </w:rPr>
        <w:fldChar w:fldCharType="separate"/>
      </w:r>
      <w:r w:rsidR="000E6ECE" w:rsidRPr="000E6ECE">
        <w:rPr>
          <w:rFonts w:ascii="Times New Roman" w:hAnsi="Times New Roman" w:cs="Times New Roman"/>
          <w:noProof/>
        </w:rPr>
        <w:t>(Wacker, 1998)</w:t>
      </w:r>
      <w:r w:rsidR="00DA3DEF" w:rsidRPr="0068584C">
        <w:rPr>
          <w:rFonts w:ascii="Times New Roman" w:hAnsi="Times New Roman" w:cs="Times New Roman"/>
        </w:rPr>
        <w:fldChar w:fldCharType="end"/>
      </w:r>
      <w:r w:rsidR="00DA3DEF" w:rsidRPr="0068584C">
        <w:rPr>
          <w:rFonts w:ascii="Times New Roman" w:hAnsi="Times New Roman" w:cs="Times New Roman"/>
        </w:rPr>
        <w:t>.</w:t>
      </w:r>
      <w:r w:rsidR="00377160" w:rsidRPr="0068584C">
        <w:rPr>
          <w:rFonts w:ascii="Times New Roman" w:hAnsi="Times New Roman" w:cs="Times New Roman"/>
          <w:color w:val="000000" w:themeColor="text1"/>
        </w:rPr>
        <w:t xml:space="preserve"> </w:t>
      </w:r>
      <w:r w:rsidR="002C4017" w:rsidRPr="0068584C">
        <w:rPr>
          <w:rFonts w:ascii="Times New Roman" w:hAnsi="Times New Roman" w:cs="Times New Roman"/>
          <w:color w:val="000000" w:themeColor="text1"/>
        </w:rPr>
        <w:t xml:space="preserve">Resources are </w:t>
      </w:r>
      <w:r w:rsidR="00C43D04" w:rsidRPr="0068584C">
        <w:rPr>
          <w:rFonts w:ascii="Times New Roman" w:hAnsi="Times New Roman" w:cs="Times New Roman"/>
          <w:color w:val="000000" w:themeColor="text1"/>
        </w:rPr>
        <w:t>described as t</w:t>
      </w:r>
      <w:r w:rsidR="00835410" w:rsidRPr="0068584C">
        <w:rPr>
          <w:rFonts w:ascii="Times New Roman" w:hAnsi="Times New Roman" w:cs="Times New Roman"/>
          <w:color w:val="000000" w:themeColor="text1"/>
        </w:rPr>
        <w:t xml:space="preserve">angible and intangible assets </w:t>
      </w:r>
      <w:r w:rsidR="00C43D04" w:rsidRPr="0068584C">
        <w:rPr>
          <w:rFonts w:ascii="Times New Roman" w:hAnsi="Times New Roman" w:cs="Times New Roman"/>
          <w:color w:val="000000" w:themeColor="text1"/>
        </w:rPr>
        <w:t>utilized</w:t>
      </w:r>
      <w:r w:rsidR="00835410" w:rsidRPr="0068584C">
        <w:rPr>
          <w:rFonts w:ascii="Times New Roman" w:hAnsi="Times New Roman" w:cs="Times New Roman"/>
          <w:color w:val="000000" w:themeColor="text1"/>
        </w:rPr>
        <w:t xml:space="preserve"> </w:t>
      </w:r>
      <w:r w:rsidR="00C43D04" w:rsidRPr="0068584C">
        <w:rPr>
          <w:rFonts w:ascii="Times New Roman" w:hAnsi="Times New Roman" w:cs="Times New Roman"/>
          <w:color w:val="000000" w:themeColor="text1"/>
        </w:rPr>
        <w:t>for strategy</w:t>
      </w:r>
      <w:r w:rsidR="00835410" w:rsidRPr="0068584C">
        <w:rPr>
          <w:rFonts w:ascii="Times New Roman" w:hAnsi="Times New Roman" w:cs="Times New Roman"/>
          <w:color w:val="000000" w:themeColor="text1"/>
        </w:rPr>
        <w:t xml:space="preserve"> </w:t>
      </w:r>
      <w:r w:rsidR="00C43D04" w:rsidRPr="0068584C">
        <w:rPr>
          <w:rFonts w:ascii="Times New Roman" w:hAnsi="Times New Roman" w:cs="Times New Roman"/>
          <w:color w:val="000000" w:themeColor="text1"/>
        </w:rPr>
        <w:t>implementation</w:t>
      </w:r>
      <w:r w:rsidR="00C8257D" w:rsidRPr="0068584C">
        <w:rPr>
          <w:rFonts w:ascii="Times New Roman" w:hAnsi="Times New Roman" w:cs="Times New Roman"/>
          <w:color w:val="000000" w:themeColor="text1"/>
        </w:rPr>
        <w:t xml:space="preserve"> </w:t>
      </w:r>
      <w:r w:rsidR="00F05DE7"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"Barney", "given" : "Jay B", "non-dropping-particle" : "", "parse-names" : false, "suffix" : "" }, { "dropping-particle" : "", "family" : "Arikan", "given" : "Asli M", "non-dropping-particle" : "", "parse-names" : false, "suffix" : "" } ], "container-title" : "Handbook of strategic management", "editor" : [ { "dropping-particle" : "", "family" : "Hitt, Michael A, Freeman, R E, Harrison", "given" : "J S", "non-dropping-particle" : "", "parse-names" : false, "suffix" : "" } ], "id" : "ITEM-1", "issued" : { "date-parts" : [ [ "2001" ] ] }, "page" : "124-188", "publisher" : "Blackwell", "publisher-place" : "Oxford", "title" : "The resource-based view: Origins and implications", "type" : "chapter", "volume" : "124188" }, "uris" : [ "http://www.mendeley.com/documents/?uuid=8dc8ed65-97cc-482d-8557-56e77e5dfd20" ] }, { "id" : "ITEM-2", "itemData" : { "DOI" : "10.1007/s11747-013-0336-7", "ISBN" : "0092-0703", "ISSN" : "00920703", "PMID" : "93922470", "abstract" : "The use of resource-based theory (RBT) in marketing research has increased by more than 500% in the past decade, which suggests its importance as a framework for explaining and predicting competitive advantages and performance outcomes. This article provides a comprehensive review of RBT, including a contemporary definitional foundation for relevant terms and assumptions and a synthesis of empirical findings from marketing literature. This multidimensional analysis of RBT also evaluates extant marketing research according to four perspectives: the marketing domains that use RBT, the characteristics and uses of market-based resources that differentiate it from other research contexts, the extension of RBT to the \"marketing exchange\" as a unit of analysis, and the connection of RBT to related theories. This analysis also reveals some common pitfalls associated with prior research, offers tentative guidelines on how to improve the use of RBT in marketing, and suggests research directions to advance the theorization and empirical testing of RBT in the future.", "author" : [ { "dropping-particle" : "V.", "family" : "Kozlenkova", "given" : "Irina", "non-dropping-particle" : "", "parse-names" : false, "suffix" : "" }, { "dropping-particle" : "", "family" : "Samaha", "given" : "Stephen A.", "non-dropping-particle" : "", "parse-names" : false, "suffix" : "" }, { "dropping-particle" : "", "family" : "Palmatier", "given" : "Robert W.", "non-dropping-particle" : "", "parse-names" : false, "suffix" : "" } ], "container-title" : "Journal of the Academy of Marketing Science", "id" : "ITEM-2", "issue" : "1", "issued" : { "date-parts" : [ [ "2014" ] ] }, "page" : "1-21", "title" : "Resource-based theory in marketing", "type" : "article-journal", "volume" : "42" }, "uris" : [ "http://www.mendeley.com/documents/?uuid=b3b7f208-9a95-411f-b4eb-7ce3493019c4" ] } ], "mendeley" : { "formattedCitation" : "(Barney &amp; Arikan, 2001; Kozlenkova, Samaha, &amp; Palmatier, 2014)", "plainTextFormattedCitation" : "(Barney &amp; Arikan, 2001; Kozlenkova, Samaha, &amp; Palmatier, 2014)", "previouslyFormattedCitation" : "(Barney &amp; Arikan, 2001; Kozlenkova, Samaha, &amp; Palmatier, 2014)" }, "properties" : { "noteIndex" : 0 }, "schema" : "https://github.com/citation-style-language/schema/raw/master/csl-citation.json" }</w:instrText>
      </w:r>
      <w:r w:rsidR="00F05DE7"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(Barney &amp; Arikan, 2001; Kozlenkova, Samaha, &amp; Palmatier, 2014)</w:t>
      </w:r>
      <w:r w:rsidR="00F05DE7" w:rsidRPr="0068584C">
        <w:rPr>
          <w:rFonts w:ascii="Times New Roman" w:hAnsi="Times New Roman" w:cs="Times New Roman"/>
          <w:color w:val="000000" w:themeColor="text1"/>
        </w:rPr>
        <w:fldChar w:fldCharType="end"/>
      </w:r>
      <w:r w:rsidR="002C4017" w:rsidRPr="0068584C">
        <w:rPr>
          <w:rFonts w:ascii="Times New Roman" w:hAnsi="Times New Roman" w:cs="Times New Roman"/>
          <w:color w:val="000000" w:themeColor="text1"/>
        </w:rPr>
        <w:t xml:space="preserve">. </w:t>
      </w:r>
      <w:r w:rsidR="004640CD" w:rsidRPr="0068584C">
        <w:rPr>
          <w:rFonts w:ascii="Times New Roman" w:hAnsi="Times New Roman" w:cs="Times New Roman"/>
          <w:color w:val="000000" w:themeColor="text1"/>
        </w:rPr>
        <w:t>Specifically</w:t>
      </w:r>
      <w:r w:rsidR="00485BD8" w:rsidRPr="0068584C">
        <w:rPr>
          <w:rFonts w:ascii="Times New Roman" w:hAnsi="Times New Roman" w:cs="Times New Roman"/>
          <w:color w:val="000000" w:themeColor="text1"/>
        </w:rPr>
        <w:t xml:space="preserve">, essential strategic resources are defined as </w:t>
      </w:r>
      <w:r w:rsidR="00855B33" w:rsidRPr="00855B33">
        <w:rPr>
          <w:rFonts w:ascii="Times New Roman" w:hAnsi="Times New Roman" w:cs="Times New Roman"/>
          <w:color w:val="000000" w:themeColor="text1"/>
        </w:rPr>
        <w:t>enduring</w:t>
      </w:r>
      <w:r w:rsidR="00485BD8" w:rsidRPr="00855B33">
        <w:rPr>
          <w:rFonts w:ascii="Times New Roman" w:hAnsi="Times New Roman" w:cs="Times New Roman"/>
          <w:color w:val="000000" w:themeColor="text1"/>
        </w:rPr>
        <w:t xml:space="preserve"> </w:t>
      </w:r>
      <w:r w:rsidR="00485BD8" w:rsidRPr="0068584C">
        <w:rPr>
          <w:rFonts w:ascii="Times New Roman" w:hAnsi="Times New Roman" w:cs="Times New Roman"/>
          <w:color w:val="000000" w:themeColor="text1"/>
        </w:rPr>
        <w:t>productive capabilit</w:t>
      </w:r>
      <w:r w:rsidR="006A3F76">
        <w:rPr>
          <w:rFonts w:ascii="Times New Roman" w:hAnsi="Times New Roman" w:cs="Times New Roman"/>
          <w:color w:val="000000" w:themeColor="text1"/>
        </w:rPr>
        <w:t>ies</w:t>
      </w:r>
      <w:r w:rsidR="00485BD8" w:rsidRPr="0068584C">
        <w:rPr>
          <w:rFonts w:ascii="Times New Roman" w:hAnsi="Times New Roman" w:cs="Times New Roman"/>
          <w:color w:val="000000" w:themeColor="text1"/>
        </w:rPr>
        <w:t xml:space="preserve"> and </w:t>
      </w:r>
      <w:r w:rsidR="006A3F76">
        <w:rPr>
          <w:rFonts w:ascii="Times New Roman" w:hAnsi="Times New Roman" w:cs="Times New Roman"/>
          <w:color w:val="000000" w:themeColor="text1"/>
        </w:rPr>
        <w:t>includes</w:t>
      </w:r>
      <w:r w:rsidR="00485BD8" w:rsidRPr="0068584C">
        <w:rPr>
          <w:rFonts w:ascii="Times New Roman" w:hAnsi="Times New Roman" w:cs="Times New Roman"/>
          <w:color w:val="000000" w:themeColor="text1"/>
        </w:rPr>
        <w:t xml:space="preserve"> intangible</w:t>
      </w:r>
      <w:r w:rsidR="006A3F76">
        <w:rPr>
          <w:rFonts w:ascii="Times New Roman" w:hAnsi="Times New Roman" w:cs="Times New Roman"/>
          <w:color w:val="000000" w:themeColor="text1"/>
        </w:rPr>
        <w:t>s</w:t>
      </w:r>
      <w:r w:rsidR="00485BD8" w:rsidRPr="0068584C">
        <w:rPr>
          <w:rFonts w:ascii="Times New Roman" w:hAnsi="Times New Roman" w:cs="Times New Roman"/>
          <w:color w:val="000000" w:themeColor="text1"/>
        </w:rPr>
        <w:t xml:space="preserve"> </w:t>
      </w:r>
      <w:r w:rsidR="006A3F76">
        <w:rPr>
          <w:rFonts w:ascii="Times New Roman" w:hAnsi="Times New Roman" w:cs="Times New Roman"/>
          <w:color w:val="000000" w:themeColor="text1"/>
        </w:rPr>
        <w:t>such as</w:t>
      </w:r>
      <w:r w:rsidR="006A3F76" w:rsidRPr="0068584C">
        <w:rPr>
          <w:rFonts w:ascii="Times New Roman" w:hAnsi="Times New Roman" w:cs="Times New Roman"/>
          <w:color w:val="000000" w:themeColor="text1"/>
        </w:rPr>
        <w:t xml:space="preserve"> </w:t>
      </w:r>
      <w:r w:rsidR="00485BD8" w:rsidRPr="0068584C">
        <w:rPr>
          <w:rFonts w:ascii="Times New Roman" w:hAnsi="Times New Roman" w:cs="Times New Roman"/>
          <w:color w:val="000000" w:themeColor="text1"/>
        </w:rPr>
        <w:t xml:space="preserve">customer relationships, image, R&amp;D alliances, know-how, etc. </w:t>
      </w:r>
      <w:r w:rsidR="00325261"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"10.1287/mnsc.41.7.1224", "ISBN" : "00251909", "ISSN" : "0025-1909", "PMID" : "9512034597", "abstract" : "Organizations vary greatly in their approaches and success in the\\nintroduction of new products and services. In this study, it was\\nproposed that much of this variance can be captured by understanding the\\nextent to which product design and process design are integrated in new\\nprogram launches. A mailed survey of 43 domestic firms was used to test\\nfour propositions concerning product-process development practices.\\nSignificantly, it was found that firms using the more rare\\ndesign-manufacturing personnel integrating mechanisms (engineering job\\nrotation and mobility) have higher sales per employee. Results of a\\ndiscriminant analysis show that firms benchmarking on product\\ndevelopment practices, as contrasted with performance benchmarks, were\\nsignificantly more likely to use both the rare and the more common forms\\nof design-manufacturing integration (i.e., train personnel in new\\ndesign, methods, have manufacturing sign-off on design reviews, and\\nrestructure, e.g., use teams). Significantly, these firms also report a\\ngreater proportion of degreed manufacturing engineers. Not surprisingly,\\nlarger firms and business units were found to take longer to develop new\\nproducts.", "author" : [ { "dropping-particle" : "", "family" : "Ettlie", "given" : "J. E.", "non-dropping-particle" : "", "parse-names" : false, "suffix" : "" } ], "container-title" : "Management Science", "id" : "ITEM-1", "issued" : { "date-parts" : [ [ "1995" ] ] }, "page" : "1224-1237", "title" : "Product-Process Development Integration in Manufacturing", "type" : "article-journal", "volume" : "41" }, "uris" : [ "http://www.mendeley.com/documents/?uuid=a0e5e221-7a26-4ece-902c-36c0b06af7e6" ] } ], "mendeley" : { "formattedCitation" : "(Ettlie, 1995)", "plainTextFormattedCitation" : "(Ettlie, 1995)", "previouslyFormattedCitation" : "(Ettlie, 1995)" }, "properties" : { "noteIndex" : 0 }, "schema" : "https://github.com/citation-style-language/schema/raw/master/csl-citation.json" }</w:instrText>
      </w:r>
      <w:r w:rsidR="00325261"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(Ettlie, 1995)</w:t>
      </w:r>
      <w:r w:rsidR="00325261" w:rsidRPr="0068584C">
        <w:rPr>
          <w:rFonts w:ascii="Times New Roman" w:hAnsi="Times New Roman" w:cs="Times New Roman"/>
          <w:color w:val="000000" w:themeColor="text1"/>
        </w:rPr>
        <w:fldChar w:fldCharType="end"/>
      </w:r>
      <w:r w:rsidR="00485BD8" w:rsidRPr="0068584C">
        <w:rPr>
          <w:rFonts w:ascii="Times New Roman" w:hAnsi="Times New Roman" w:cs="Times New Roman"/>
          <w:color w:val="000000" w:themeColor="text1"/>
        </w:rPr>
        <w:t xml:space="preserve">. </w:t>
      </w:r>
    </w:p>
    <w:p w14:paraId="5103A3A6" w14:textId="455697DE" w:rsidR="00B127BA" w:rsidRPr="0068584C" w:rsidRDefault="008D7601" w:rsidP="0035460B">
      <w:pPr>
        <w:spacing w:line="480" w:lineRule="auto"/>
        <w:jc w:val="both"/>
        <w:rPr>
          <w:rFonts w:ascii="Times New Roman" w:hAnsi="Times New Roman" w:cs="Times New Roman"/>
          <w:color w:val="000000" w:themeColor="text1"/>
        </w:rPr>
      </w:pPr>
      <w:r>
        <w:rPr>
          <w:rFonts w:ascii="Times New Roman" w:hAnsi="Times New Roman" w:cs="Times New Roman"/>
        </w:rPr>
        <w:tab/>
      </w:r>
      <w:r w:rsidR="00435160" w:rsidRPr="0068584C">
        <w:rPr>
          <w:rFonts w:ascii="Times New Roman" w:hAnsi="Times New Roman" w:cs="Times New Roman"/>
        </w:rPr>
        <w:t xml:space="preserve">Resource based theory </w:t>
      </w:r>
      <w:r w:rsidR="00435160" w:rsidRPr="0068584C">
        <w:rPr>
          <w:rFonts w:ascii="Times New Roman" w:hAnsi="Times New Roman" w:cs="Times New Roman"/>
          <w:color w:val="000000" w:themeColor="text1"/>
        </w:rPr>
        <w:t xml:space="preserve">suggests that the management of an organization’s resources is a critical competitive enabler. </w:t>
      </w:r>
      <w:r w:rsidR="00562C66" w:rsidRPr="0068584C">
        <w:rPr>
          <w:rFonts w:ascii="Times New Roman" w:hAnsi="Times New Roman" w:cs="Times New Roman"/>
          <w:color w:val="000000" w:themeColor="text1"/>
        </w:rPr>
        <w:t xml:space="preserve">According to RBT, organizations are understood as resource bundles. The resource distribution among </w:t>
      </w:r>
      <w:r w:rsidR="00B0194A" w:rsidRPr="0068584C">
        <w:rPr>
          <w:rFonts w:ascii="Times New Roman" w:hAnsi="Times New Roman" w:cs="Times New Roman"/>
          <w:color w:val="000000" w:themeColor="text1"/>
        </w:rPr>
        <w:t xml:space="preserve">organizations </w:t>
      </w:r>
      <w:r w:rsidR="00621E75" w:rsidRPr="0068584C">
        <w:rPr>
          <w:rFonts w:ascii="Times New Roman" w:hAnsi="Times New Roman" w:cs="Times New Roman"/>
          <w:color w:val="000000" w:themeColor="text1"/>
        </w:rPr>
        <w:t>is</w:t>
      </w:r>
      <w:r w:rsidR="0021581B" w:rsidRPr="0068584C">
        <w:rPr>
          <w:rFonts w:ascii="Times New Roman" w:hAnsi="Times New Roman" w:cs="Times New Roman"/>
          <w:color w:val="000000" w:themeColor="text1"/>
        </w:rPr>
        <w:t xml:space="preserve"> assumed as</w:t>
      </w:r>
      <w:r w:rsidR="00621E75" w:rsidRPr="0068584C">
        <w:rPr>
          <w:rFonts w:ascii="Times New Roman" w:hAnsi="Times New Roman" w:cs="Times New Roman"/>
          <w:color w:val="000000" w:themeColor="text1"/>
        </w:rPr>
        <w:t xml:space="preserve"> heterogeneous, and the </w:t>
      </w:r>
      <w:r w:rsidR="00621E75" w:rsidRPr="0068584C">
        <w:rPr>
          <w:rFonts w:ascii="Times New Roman" w:hAnsi="Times New Roman" w:cs="Times New Roman"/>
          <w:color w:val="000000" w:themeColor="text1"/>
        </w:rPr>
        <w:lastRenderedPageBreak/>
        <w:t>resource differentials</w:t>
      </w:r>
      <w:r w:rsidR="00C05F66" w:rsidRPr="0068584C">
        <w:rPr>
          <w:rFonts w:ascii="Times New Roman" w:hAnsi="Times New Roman" w:cs="Times New Roman"/>
          <w:color w:val="000000" w:themeColor="text1"/>
        </w:rPr>
        <w:t xml:space="preserve"> (variances)</w:t>
      </w:r>
      <w:r w:rsidR="00621E75" w:rsidRPr="0068584C">
        <w:rPr>
          <w:rFonts w:ascii="Times New Roman" w:hAnsi="Times New Roman" w:cs="Times New Roman"/>
          <w:color w:val="000000" w:themeColor="text1"/>
        </w:rPr>
        <w:t xml:space="preserve"> are assumed as sustainable</w:t>
      </w:r>
      <w:r w:rsidR="00562C66" w:rsidRPr="0068584C">
        <w:rPr>
          <w:rFonts w:ascii="Times New Roman" w:hAnsi="Times New Roman" w:cs="Times New Roman"/>
          <w:color w:val="000000" w:themeColor="text1"/>
        </w:rPr>
        <w:t xml:space="preserve"> over time</w:t>
      </w:r>
      <w:r w:rsidR="00B10396" w:rsidRPr="0068584C">
        <w:rPr>
          <w:rFonts w:ascii="Times New Roman" w:hAnsi="Times New Roman" w:cs="Times New Roman"/>
          <w:color w:val="000000" w:themeColor="text1"/>
        </w:rPr>
        <w:t xml:space="preserve"> </w:t>
      </w:r>
      <w:r w:rsidR="00E358F3" w:rsidRPr="0055269C">
        <w:rPr>
          <w:rFonts w:ascii="Times New Roman" w:hAnsi="Times New Roman" w:cs="Times New Roman"/>
          <w:color w:val="000000" w:themeColor="text1"/>
        </w:rPr>
        <w:fldChar w:fldCharType="begin" w:fldLock="1"/>
      </w:r>
      <w:r w:rsidR="000E6ECE" w:rsidRPr="004E174A">
        <w:rPr>
          <w:rFonts w:ascii="Times New Roman" w:hAnsi="Times New Roman" w:cs="Times New Roman"/>
          <w:color w:val="000000" w:themeColor="text1"/>
        </w:rPr>
        <w:instrText>ADDIN CSL_CITATION { "citationItems" : [ { "id" : "ITEM-1", "itemData" : { "DOI" : "10.1002/smj.4250050207", "ISBN" : "01432095", "ISSN" : "1097-0266", "PMID" : "19064477", "author" : [ { "dropping-particle" : "", "family" : "Wernerfelt", "given" : "Birger", "non-dropping-particle" : "", "parse-names" : false, "suffix" : "" } ], "container-title" : "Journal of Strategic Management", "id" : "ITEM-1", "issue" : "June 1982", "issued" : { "date-parts" : [ [ "1984" ] ] }, "page" : "171-180", "title" : "A Resource-based View of the Firm", "type" : "article-journal", "volume" : "5" }, "uris" : [ "http://www.mendeley.com/documents/?uuid=bffef9c3-a050-40c2-9af7-c7a98f164e2e" ] }, { "id" : "ITEM-2", "itemData" : { "author" : [ { "dropping-particle" : "", "family" : "Mahoney", "given" : "Joseph T", "non-dropping-particle" : "", "parse-names" : false, "suffix" : "" }, { "dropping-particle" : "", "family" : "Pandian", "given" : "J Rajendran", "non-dropping-particle" : "", "parse-names" : false, "suffix" : "" } ], "container-title" : "Strategic Management Journal", "id" : "ITEM-2", "issue" : "5", "issued" : { "date-parts" : [ [ "1992" ] ] }, "page" : "363-380", "title" : "The Resource-Based View Within the Conversation of Strategic Management", "type" : "article-journal", "volume" : "13" }, "uris" : [ "http://www.mendeley.com/documents/?uuid=d4fb83c7-f85f-4276-a355-3dab6d82ed74" ] }, { "id" : "ITEM-3", "itemData" : { "author" : [ { "dropping-particle" : "", "family" : "Amit", "given" : "Raphael", "non-dropping-particle" : "", "parse-names" : false, "suffix" : "" }, { "dropping-particle" : "", "family" : "Schoemaker", "given" : "Paul J H", "non-dropping-particle" : "", "parse-names" : false, "suffix" : "" } ], "container-title" : "Strategic Management Journal", "id" : "ITEM-3", "issue" : "1", "issued" : { "date-parts" : [ [ "1993" ] ] }, "page" : "33-46", "title" : "Strategic Assets and Organizational Rent", "type" : "article-journal", "volume" : "14" }, "uris" : [ "http://www.mendeley.com/documents/?uuid=843d1e82-4631-4a6a-b109-28be203e3628" ] } ], "mendeley" : { "formattedCitation" : "(Amit &amp; Schoemaker, 1993; Mahoney &amp; Pandian, 1992; Wernerfelt, 1984)", "plainTextFormattedCitation" : "(Amit &amp; Schoemaker, 1993; Mahoney &amp; Pandian, 1992; Wernerfelt, 1984)", "previouslyFormattedCitation" : "(Amit &amp; Schoemaker, 1993; Mahoney &amp; Pandian, 1992; Wernerfelt, 1984)" }, "properties" : { "noteIndex" : 0 }, "schema" : "https://github.com/citation-style-language/schema/raw/master/csl-citation.json" }</w:instrText>
      </w:r>
      <w:r w:rsidR="00E358F3" w:rsidRPr="0055269C">
        <w:rPr>
          <w:rFonts w:ascii="Times New Roman" w:hAnsi="Times New Roman" w:cs="Times New Roman"/>
          <w:color w:val="000000" w:themeColor="text1"/>
        </w:rPr>
        <w:fldChar w:fldCharType="separate"/>
      </w:r>
      <w:r w:rsidR="000E6ECE" w:rsidRPr="0055269C">
        <w:rPr>
          <w:rFonts w:ascii="Times New Roman" w:hAnsi="Times New Roman" w:cs="Times New Roman"/>
          <w:noProof/>
          <w:color w:val="000000" w:themeColor="text1"/>
        </w:rPr>
        <w:t>(Amit &amp; Schoemaker, 1993; Mahoney &amp; Pandian, 1992; Wernerfelt, 1984)</w:t>
      </w:r>
      <w:r w:rsidR="00E358F3" w:rsidRPr="0055269C">
        <w:rPr>
          <w:rFonts w:ascii="Times New Roman" w:hAnsi="Times New Roman" w:cs="Times New Roman"/>
          <w:color w:val="000000" w:themeColor="text1"/>
        </w:rPr>
        <w:fldChar w:fldCharType="end"/>
      </w:r>
      <w:r w:rsidR="00E358F3" w:rsidRPr="004E174A">
        <w:rPr>
          <w:rFonts w:ascii="Times New Roman" w:hAnsi="Times New Roman" w:cs="Times New Roman"/>
          <w:color w:val="000000" w:themeColor="text1"/>
        </w:rPr>
        <w:t>.</w:t>
      </w:r>
      <w:r w:rsidR="00562C66" w:rsidRPr="0055269C">
        <w:rPr>
          <w:rFonts w:ascii="Times New Roman" w:hAnsi="Times New Roman" w:cs="Times New Roman"/>
          <w:color w:val="000000" w:themeColor="text1"/>
        </w:rPr>
        <w:t xml:space="preserve"> </w:t>
      </w:r>
      <w:r w:rsidR="00435160" w:rsidRPr="0055269C">
        <w:rPr>
          <w:rFonts w:ascii="Times New Roman" w:hAnsi="Times New Roman" w:cs="Times New Roman"/>
          <w:color w:val="000000" w:themeColor="text1"/>
        </w:rPr>
        <w:t xml:space="preserve">A sustainable competitive advantage is achievable when </w:t>
      </w:r>
      <w:r w:rsidR="0095704C" w:rsidRPr="00CD59B3">
        <w:rPr>
          <w:rFonts w:ascii="Times New Roman" w:hAnsi="Times New Roman" w:cs="Times New Roman"/>
          <w:color w:val="000000" w:themeColor="text1"/>
        </w:rPr>
        <w:t>organizations</w:t>
      </w:r>
      <w:r w:rsidR="00582200" w:rsidRPr="00CD59B3">
        <w:rPr>
          <w:rFonts w:ascii="Times New Roman" w:hAnsi="Times New Roman" w:cs="Times New Roman"/>
          <w:color w:val="000000" w:themeColor="text1"/>
        </w:rPr>
        <w:t xml:space="preserve"> possess </w:t>
      </w:r>
      <w:r w:rsidR="00FC3070" w:rsidRPr="00CD59B3">
        <w:rPr>
          <w:rFonts w:ascii="Times New Roman" w:hAnsi="Times New Roman" w:cs="Times New Roman"/>
          <w:color w:val="000000" w:themeColor="text1"/>
        </w:rPr>
        <w:t xml:space="preserve">and apply </w:t>
      </w:r>
      <w:r w:rsidR="00435160" w:rsidRPr="008C76D8">
        <w:rPr>
          <w:rFonts w:ascii="Times New Roman" w:hAnsi="Times New Roman" w:cs="Times New Roman"/>
          <w:i/>
          <w:color w:val="000000" w:themeColor="text1"/>
        </w:rPr>
        <w:t>valuable, rare, inimitable and non-substitutable</w:t>
      </w:r>
      <w:r w:rsidR="00435160" w:rsidRPr="004E174A">
        <w:rPr>
          <w:rFonts w:ascii="Times New Roman" w:hAnsi="Times New Roman" w:cs="Times New Roman"/>
          <w:color w:val="000000" w:themeColor="text1"/>
        </w:rPr>
        <w:t xml:space="preserve"> </w:t>
      </w:r>
      <w:r w:rsidR="00582200" w:rsidRPr="0055269C">
        <w:rPr>
          <w:rFonts w:ascii="Times New Roman" w:hAnsi="Times New Roman" w:cs="Times New Roman"/>
          <w:color w:val="000000" w:themeColor="text1"/>
        </w:rPr>
        <w:t xml:space="preserve">resources </w:t>
      </w:r>
      <w:r w:rsidR="00435160" w:rsidRPr="0055269C">
        <w:rPr>
          <w:rFonts w:ascii="Times New Roman" w:hAnsi="Times New Roman" w:cs="Times New Roman"/>
          <w:color w:val="000000" w:themeColor="text1"/>
        </w:rPr>
        <w:t>(VRIN attribu</w:t>
      </w:r>
      <w:r w:rsidR="00A932DC" w:rsidRPr="00CD59B3">
        <w:rPr>
          <w:rFonts w:ascii="Times New Roman" w:hAnsi="Times New Roman" w:cs="Times New Roman"/>
          <w:color w:val="000000" w:themeColor="text1"/>
        </w:rPr>
        <w:t>t</w:t>
      </w:r>
      <w:r w:rsidR="00435160" w:rsidRPr="00CD59B3">
        <w:rPr>
          <w:rFonts w:ascii="Times New Roman" w:hAnsi="Times New Roman" w:cs="Times New Roman"/>
          <w:color w:val="000000" w:themeColor="text1"/>
        </w:rPr>
        <w:t>es)</w:t>
      </w:r>
      <w:r w:rsidR="00B10396" w:rsidRPr="00CD59B3">
        <w:rPr>
          <w:rFonts w:ascii="Times New Roman" w:hAnsi="Times New Roman" w:cs="Times New Roman"/>
          <w:color w:val="000000" w:themeColor="text1"/>
        </w:rPr>
        <w:t xml:space="preserve"> </w:t>
      </w:r>
      <w:r w:rsidR="00B10396" w:rsidRPr="0055269C">
        <w:rPr>
          <w:rFonts w:ascii="Times New Roman" w:hAnsi="Times New Roman" w:cs="Times New Roman"/>
          <w:color w:val="000000" w:themeColor="text1"/>
        </w:rPr>
        <w:fldChar w:fldCharType="begin" w:fldLock="1"/>
      </w:r>
      <w:r w:rsidR="000E6ECE" w:rsidRPr="004E174A">
        <w:rPr>
          <w:rFonts w:ascii="Times New Roman" w:hAnsi="Times New Roman" w:cs="Times New Roman"/>
          <w:color w:val="000000" w:themeColor="text1"/>
        </w:rPr>
        <w:instrText>ADDIN CSL_CITATION { "citationItems" : [ { "id" : "ITEM-1", "itemData" : { "DOI" : "10.1177/014920639101700108", "ISBN" : "8437922992", "ISSN" : "0149-2063", "PMID" : "5978921", "abstract" : "Understanding sources of sustained competitive advantage has become a major area of research in strategic management. Building on the assumptions that strategic resources are hetergeneously distributed across firms and that these differences are stable over time, this article examines the link between firm resources and sustained competitive advantage. Four empirical indicators of the potential of firm resources to genertate sustained competitive advantage - value, rareness, imitability and subsitutability - are discussed. The model is applied by analysing the potential of several firm resources for generating sustained competitive advantages. The article concluded by examining implications of this firm resource model of sustained competitive advantage for other business disciplines.", "author" : [ { "dropping-particle" : "", "family" : "Barney", "given" : "Jay B.", "non-dropping-particle" : "", "parse-names" : false, "suffix" : "" } ], "container-title" : "Journal of Management", "id" : "ITEM-1", "issue" : "1", "issued" : { "date-parts" : [ [ "1991" ] ] }, "page" : "99-120", "title" : "Firm Resources and Sustained Competitive Advantage", "type" : "article-journal", "volume" : "17" }, "uris" : [ "http://www.mendeley.com/documents/?uuid=46d2f2bf-7e29-42e1-af70-21cf0cd4f7a9" ] } ], "mendeley" : { "formattedCitation" : "(Barney, 1991)", "plainTextFormattedCitation" : "(Barney, 1991)", "previouslyFormattedCitation" : "(Barney, 1991)" }, "properties" : { "noteIndex" : 0 }, "schema" : "https://github.com/citation-style-language/schema/raw/master/csl-citation.json" }</w:instrText>
      </w:r>
      <w:r w:rsidR="00B10396" w:rsidRPr="0055269C">
        <w:rPr>
          <w:rFonts w:ascii="Times New Roman" w:hAnsi="Times New Roman" w:cs="Times New Roman"/>
          <w:color w:val="000000" w:themeColor="text1"/>
        </w:rPr>
        <w:fldChar w:fldCharType="separate"/>
      </w:r>
      <w:r w:rsidR="000E6ECE" w:rsidRPr="0055269C">
        <w:rPr>
          <w:rFonts w:ascii="Times New Roman" w:hAnsi="Times New Roman" w:cs="Times New Roman"/>
          <w:noProof/>
          <w:color w:val="000000" w:themeColor="text1"/>
        </w:rPr>
        <w:t>(Barney, 1991)</w:t>
      </w:r>
      <w:r w:rsidR="00B10396" w:rsidRPr="0055269C">
        <w:rPr>
          <w:rFonts w:ascii="Times New Roman" w:hAnsi="Times New Roman" w:cs="Times New Roman"/>
          <w:color w:val="000000" w:themeColor="text1"/>
        </w:rPr>
        <w:fldChar w:fldCharType="end"/>
      </w:r>
      <w:r w:rsidR="00435160" w:rsidRPr="004E174A">
        <w:rPr>
          <w:rFonts w:ascii="Times New Roman" w:hAnsi="Times New Roman" w:cs="Times New Roman"/>
          <w:color w:val="000000" w:themeColor="text1"/>
        </w:rPr>
        <w:t xml:space="preserve"> </w:t>
      </w:r>
      <w:r w:rsidR="00B127BA" w:rsidRPr="0055269C">
        <w:rPr>
          <w:rFonts w:ascii="Times New Roman" w:hAnsi="Times New Roman" w:cs="Times New Roman"/>
          <w:color w:val="000000" w:themeColor="text1"/>
        </w:rPr>
        <w:t>and there</w:t>
      </w:r>
      <w:r w:rsidR="0026775B" w:rsidRPr="0055269C">
        <w:rPr>
          <w:rFonts w:ascii="Times New Roman" w:hAnsi="Times New Roman" w:cs="Times New Roman"/>
          <w:color w:val="000000" w:themeColor="text1"/>
        </w:rPr>
        <w:t>by</w:t>
      </w:r>
      <w:r w:rsidR="00B127BA" w:rsidRPr="00CD59B3">
        <w:rPr>
          <w:rFonts w:ascii="Times New Roman" w:hAnsi="Times New Roman" w:cs="Times New Roman"/>
          <w:color w:val="000000" w:themeColor="text1"/>
        </w:rPr>
        <w:t xml:space="preserve"> implement novel value-creating strategies difficult to duplicate by the competition</w:t>
      </w:r>
      <w:r w:rsidR="0021227A" w:rsidRPr="00CD59B3">
        <w:rPr>
          <w:rFonts w:ascii="Times New Roman" w:hAnsi="Times New Roman" w:cs="Times New Roman"/>
          <w:color w:val="000000" w:themeColor="text1"/>
        </w:rPr>
        <w:t xml:space="preserve"> </w:t>
      </w:r>
      <w:r w:rsidR="00FD57F4" w:rsidRPr="0055269C">
        <w:rPr>
          <w:rFonts w:ascii="Times New Roman" w:hAnsi="Times New Roman" w:cs="Times New Roman"/>
          <w:color w:val="000000" w:themeColor="text1"/>
        </w:rPr>
        <w:fldChar w:fldCharType="begin" w:fldLock="1"/>
      </w:r>
      <w:r w:rsidR="000E6ECE" w:rsidRPr="004E174A">
        <w:rPr>
          <w:rFonts w:ascii="Times New Roman" w:hAnsi="Times New Roman" w:cs="Times New Roman"/>
          <w:color w:val="000000" w:themeColor="text1"/>
        </w:rPr>
        <w:instrText>ADDIN CSL_CITATION { "citationItems" : [ { "id" : "ITEM-1", "itemData" : { "DOI" : "10.1002/smj.4250050207", "ISBN" : "01432095", "ISSN" : "1097-0266", "PMID" : "19064477", "author" : [ { "dropping-particle" : "", "family" : "Wernerfelt", "given" : "Birger", "non-dropping-particle" : "", "parse-names" : false, "suffix" : "" } ], "container-title" : "Journal of Strategic Management", "id" : "ITEM-1", "issue" : "June 1982", "issued" : { "date-parts" : [ [ "1984" ] ] }, "page" : "171-180", "title" : "A Resource-based View of the Firm", "type" : "article-journal", "volume" : "5" }, "uris" : [ "http://www.mendeley.com/documents/?uuid=bffef9c3-a050-40c2-9af7-c7a98f164e2e" ] }, { "id" : "ITEM-2", "itemData" : { "author" : [ { "dropping-particle" : "", "family" : "Conner", "given" : "Kathleen R", "non-dropping-particle" : "", "parse-names" : false, "suffix" : "" }, { "dropping-particle" : "", "family" : "Prahalad", "given" : "C K", "non-dropping-particle" : "", "parse-names" : false, "suffix" : "" } ], "container-title" : "Organization Science", "id" : "ITEM-2", "issue" : "5", "issued" : { "date-parts" : [ [ "1996" ] ] }, "page" : "477-501", "title" : "A Resource-Based Theory of the Firm: Knowledge versus Opportunism", "type" : "article-journal", "volume" : "7" }, "uris" : [ "http://www.mendeley.com/documents/?uuid=ef3c6dba-0ee3-4304-8ba8-785c303f4562" ] }, { "id" : "ITEM-3",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"ITEM-3", "issued" : { "date-parts" : [ [ "2000" ] ] }, "page" : "1105-1121", "title" : "Dynamic Capabilities: What Are They?", "type" : "article-journal", "volume" : "21" }, "uris" : [ "http://www.mendeley.com/documents/?uuid=29651fe3-b2a9-482d-82cf-c139477ca50d" ] } ], "mendeley" : { "formattedCitation" : "(Conner &amp; Prahalad, 1996; Eisenhardt &amp; Martin, 2000; Wernerfelt, 1984)", "plainTextFormattedCitation" : "(Conner &amp; Prahalad, 1996; Eisenhardt &amp; Martin, 2000; Wernerfelt, 1984)", "previouslyFormattedCitation" : "(Conner &amp; Prahalad, 1996; Eisenhardt &amp; Martin, 2000; Wernerfelt, 1984)" }, "properties" : { "noteIndex" : 0 }, "schema" : "https://github.com/citation-style-language/schema/raw/master/csl-citation.json" }</w:instrText>
      </w:r>
      <w:r w:rsidR="00FD57F4" w:rsidRPr="0055269C">
        <w:rPr>
          <w:rFonts w:ascii="Times New Roman" w:hAnsi="Times New Roman" w:cs="Times New Roman"/>
          <w:color w:val="000000" w:themeColor="text1"/>
        </w:rPr>
        <w:fldChar w:fldCharType="separate"/>
      </w:r>
      <w:r w:rsidR="000E6ECE" w:rsidRPr="0055269C">
        <w:rPr>
          <w:rFonts w:ascii="Times New Roman" w:hAnsi="Times New Roman" w:cs="Times New Roman"/>
          <w:noProof/>
          <w:color w:val="000000" w:themeColor="text1"/>
        </w:rPr>
        <w:t>(Conner &amp; Prahalad, 1996; Eisenhardt &amp; Martin, 2000; Wernerfelt, 1984)</w:t>
      </w:r>
      <w:r w:rsidR="00FD57F4" w:rsidRPr="0055269C">
        <w:rPr>
          <w:rFonts w:ascii="Times New Roman" w:hAnsi="Times New Roman" w:cs="Times New Roman"/>
          <w:color w:val="000000" w:themeColor="text1"/>
        </w:rPr>
        <w:fldChar w:fldCharType="end"/>
      </w:r>
      <w:r w:rsidR="00FD57F4" w:rsidRPr="0068584C">
        <w:rPr>
          <w:rFonts w:ascii="Times New Roman" w:hAnsi="Times New Roman" w:cs="Times New Roman"/>
          <w:color w:val="000000" w:themeColor="text1"/>
        </w:rPr>
        <w:t>.</w:t>
      </w:r>
      <w:r w:rsidR="00B127BA" w:rsidRPr="0068584C">
        <w:rPr>
          <w:rFonts w:ascii="Times New Roman" w:hAnsi="Times New Roman" w:cs="Times New Roman"/>
          <w:color w:val="000000" w:themeColor="text1"/>
        </w:rPr>
        <w:t xml:space="preserve"> </w:t>
      </w:r>
    </w:p>
    <w:p w14:paraId="0BDE1392" w14:textId="260CEF4D" w:rsidR="00B078D2" w:rsidRPr="0068584C" w:rsidRDefault="008D7601" w:rsidP="0035460B">
      <w:pPr>
        <w:spacing w:line="480" w:lineRule="auto"/>
        <w:jc w:val="both"/>
        <w:rPr>
          <w:rFonts w:ascii="Times New Roman" w:hAnsi="Times New Roman" w:cs="Times New Roman"/>
          <w:color w:val="000000" w:themeColor="text1"/>
        </w:rPr>
      </w:pPr>
      <w:r>
        <w:rPr>
          <w:rFonts w:ascii="Times New Roman" w:hAnsi="Times New Roman" w:cs="Times New Roman"/>
        </w:rPr>
        <w:tab/>
      </w:r>
      <w:r w:rsidR="00435160" w:rsidRPr="0068584C">
        <w:rPr>
          <w:rFonts w:ascii="Times New Roman" w:hAnsi="Times New Roman" w:cs="Times New Roman"/>
        </w:rPr>
        <w:t>Those</w:t>
      </w:r>
      <w:r w:rsidR="00061BD6" w:rsidRPr="0068584C">
        <w:rPr>
          <w:rFonts w:ascii="Times New Roman" w:hAnsi="Times New Roman" w:cs="Times New Roman"/>
        </w:rPr>
        <w:t xml:space="preserve"> strategic</w:t>
      </w:r>
      <w:r w:rsidR="00435160" w:rsidRPr="0068584C">
        <w:rPr>
          <w:rFonts w:ascii="Times New Roman" w:hAnsi="Times New Roman" w:cs="Times New Roman"/>
        </w:rPr>
        <w:t xml:space="preserve"> resources include “all assets, capabilities, organizational processes, firm attributes, information, knowledge, etc. controlled by a firm that enable the firm to conceive of and implement strategies that improve its efficiency and effectiveness” </w:t>
      </w:r>
      <w:r w:rsidR="008A5C63"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"10.1177/014920639101700108", "ISBN" : "8437922992", "ISSN" : "0149-2063", "PMID" : "5978921", "abstract" : "Understanding sources of sustained competitive advantage has become a major area of research in strategic management. Building on the assumptions that strategic resources are hetergeneously distributed across firms and that these differences are stable over time, this article examines the link between firm resources and sustained competitive advantage. Four empirical indicators of the potential of firm resources to genertate sustained competitive advantage - value, rareness, imitability and subsitutability - are discussed. The model is applied by analysing the potential of several firm resources for generating sustained competitive advantages. The article concluded by examining implications of this firm resource model of sustained competitive advantage for other business disciplines.", "author" : [ { "dropping-particle" : "", "family" : "Barney", "given" : "Jay B.", "non-dropping-particle" : "", "parse-names" : false, "suffix" : "" } ], "container-title" : "Journal of Management", "id" : "ITEM-1", "issue" : "1", "issued" : { "date-parts" : [ [ "1991" ] ] }, "page" : "99-120", "title" : "Firm Resources and Sustained Competitive Advantage", "type" : "article-journal", "volume" : "17" }, "uris" : [ "http://www.mendeley.com/documents/?uuid=46d2f2bf-7e29-42e1-af70-21cf0cd4f7a9" ] } ], "mendeley" : { "formattedCitation" : "(Barney, 1991)", "plainTextFormattedCitation" : "(Barney, 1991)", "previouslyFormattedCitation" : "(Barney, 1991)" }, "properties" : { "noteIndex" : 0 }, "schema" : "https://github.com/citation-style-language/schema/raw/master/csl-citation.json" }</w:instrText>
      </w:r>
      <w:r w:rsidR="008A5C63" w:rsidRPr="0068584C">
        <w:rPr>
          <w:rFonts w:ascii="Times New Roman" w:hAnsi="Times New Roman" w:cs="Times New Roman"/>
        </w:rPr>
        <w:fldChar w:fldCharType="separate"/>
      </w:r>
      <w:r w:rsidR="000E6ECE" w:rsidRPr="000E6ECE">
        <w:rPr>
          <w:rFonts w:ascii="Times New Roman" w:hAnsi="Times New Roman" w:cs="Times New Roman"/>
          <w:noProof/>
        </w:rPr>
        <w:t>(Barney, 1991)</w:t>
      </w:r>
      <w:r w:rsidR="008A5C63" w:rsidRPr="0068584C">
        <w:rPr>
          <w:rFonts w:ascii="Times New Roman" w:hAnsi="Times New Roman" w:cs="Times New Roman"/>
        </w:rPr>
        <w:fldChar w:fldCharType="end"/>
      </w:r>
      <w:r w:rsidR="0021227A" w:rsidRPr="0068584C">
        <w:rPr>
          <w:rFonts w:ascii="Times New Roman" w:hAnsi="Times New Roman" w:cs="Times New Roman"/>
        </w:rPr>
        <w:t>.</w:t>
      </w:r>
      <w:r w:rsidR="008A5C63" w:rsidRPr="0068584C">
        <w:rPr>
          <w:rFonts w:ascii="Times New Roman" w:hAnsi="Times New Roman" w:cs="Times New Roman"/>
        </w:rPr>
        <w:t xml:space="preserve"> </w:t>
      </w:r>
      <w:r w:rsidR="004B671C">
        <w:rPr>
          <w:rFonts w:ascii="Times New Roman" w:hAnsi="Times New Roman" w:cs="Times New Roman"/>
          <w:color w:val="000000" w:themeColor="text1"/>
        </w:rPr>
        <w:t>A</w:t>
      </w:r>
      <w:r w:rsidR="00435160" w:rsidRPr="0068584C">
        <w:rPr>
          <w:rFonts w:ascii="Times New Roman" w:hAnsi="Times New Roman" w:cs="Times New Roman"/>
          <w:color w:val="000000" w:themeColor="text1"/>
        </w:rPr>
        <w:t>n organization’s resources should not only be valuable, rare, and inimitable to enable a competitive advantage</w:t>
      </w:r>
      <w:r w:rsidR="004B671C">
        <w:rPr>
          <w:rFonts w:ascii="Times New Roman" w:hAnsi="Times New Roman" w:cs="Times New Roman"/>
          <w:color w:val="000000" w:themeColor="text1"/>
        </w:rPr>
        <w:t>; additionally, the</w:t>
      </w:r>
      <w:r w:rsidR="00435160" w:rsidRPr="0068584C">
        <w:rPr>
          <w:rFonts w:ascii="Times New Roman" w:hAnsi="Times New Roman" w:cs="Times New Roman"/>
          <w:color w:val="000000" w:themeColor="text1"/>
        </w:rPr>
        <w:t xml:space="preserve"> company also must establish an appropriate </w:t>
      </w:r>
      <w:r w:rsidR="00435160" w:rsidRPr="008C76D8">
        <w:rPr>
          <w:rFonts w:ascii="Times New Roman" w:hAnsi="Times New Roman" w:cs="Times New Roman"/>
          <w:i/>
          <w:color w:val="000000" w:themeColor="text1"/>
        </w:rPr>
        <w:t>organization</w:t>
      </w:r>
      <w:r w:rsidR="00435160" w:rsidRPr="0068584C">
        <w:rPr>
          <w:rFonts w:ascii="Times New Roman" w:hAnsi="Times New Roman" w:cs="Times New Roman"/>
          <w:color w:val="000000" w:themeColor="text1"/>
        </w:rPr>
        <w:t xml:space="preserve"> </w:t>
      </w:r>
      <w:r w:rsidR="004B671C">
        <w:rPr>
          <w:rFonts w:ascii="Times New Roman" w:hAnsi="Times New Roman" w:cs="Times New Roman"/>
          <w:color w:val="000000" w:themeColor="text1"/>
        </w:rPr>
        <w:t xml:space="preserve">(VRIO attributes) </w:t>
      </w:r>
      <w:r w:rsidR="00435160" w:rsidRPr="0068584C">
        <w:rPr>
          <w:rFonts w:ascii="Times New Roman" w:hAnsi="Times New Roman" w:cs="Times New Roman"/>
          <w:color w:val="000000" w:themeColor="text1"/>
        </w:rPr>
        <w:t>to strategically exploit these resources effectively and efficiently</w:t>
      </w:r>
      <w:r w:rsidR="00FF3D2E">
        <w:rPr>
          <w:rFonts w:ascii="Times New Roman" w:hAnsi="Times New Roman" w:cs="Times New Roman"/>
          <w:color w:val="000000" w:themeColor="text1"/>
        </w:rPr>
        <w:t xml:space="preserve"> </w:t>
      </w:r>
      <w:r w:rsidR="00FF3D2E" w:rsidRPr="000A7343">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"10.1007/s11747-013-0336-7", "ISBN" : "0092-0703", "ISSN" : "00920703", "PMID" : "93922470", "abstract" : "The use of resource-based theory (RBT) in marketing research has increased by more than 500% in the past decade, which suggests its importance as a framework for explaining and predicting competitive advantages and performance outcomes. This article provides a comprehensive review of RBT, including a contemporary definitional foundation for relevant terms and assumptions and a synthesis of empirical findings from marketing literature. This multidimensional analysis of RBT also evaluates extant marketing research according to four perspectives: the marketing domains that use RBT, the characteristics and uses of market-based resources that differentiate it from other research contexts, the extension of RBT to the \"marketing exchange\" as a unit of analysis, and the connection of RBT to related theories. This analysis also reveals some common pitfalls associated with prior research, offers tentative guidelines on how to improve the use of RBT in marketing, and suggests research directions to advance the theorization and empirical testing of RBT in the future.", "author" : [ { "dropping-particle" : "V.", "family" : "Kozlenkova", "given" : "Irina", "non-dropping-particle" : "", "parse-names" : false, "suffix" : "" }, { "dropping-particle" : "", "family" : "Samaha", "given" : "Stephen A.", "non-dropping-particle" : "", "parse-names" : false, "suffix" : "" }, { "dropping-particle" : "", "family" : "Palmatier", "given" : "Robert W.", "non-dropping-particle" : "", "parse-names" : false, "suffix" : "" } ], "container-title" : "Journal of the Academy of Marketing Science", "id" : "ITEM-1", "issue" : "1", "issued" : { "date-parts" : [ [ "2014" ] ] }, "page" : "1-21", "title" : "Resource-based theory in marketing", "type" : "article-journal", "volume" : "42" }, "uris" : [ "http://www.mendeley.com/documents/?uuid=b3b7f208-9a95-411f-b4eb-7ce3493019c4" ] } ], "mendeley" : { "formattedCitation" : "(Kozlenkova et al., 2014)", "plainTextFormattedCitation" : "(Kozlenkova et al., 2014)", "previouslyFormattedCitation" : "(Kozlenkova et al., 2014)" }, "properties" : { "noteIndex" : 0 }, "schema" : "https://github.com/citation-style-language/schema/raw/master/csl-citation.json" }</w:instrText>
      </w:r>
      <w:r w:rsidR="00FF3D2E" w:rsidRPr="000A7343">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(Kozlenkova et al., 2014)</w:t>
      </w:r>
      <w:r w:rsidR="00FF3D2E" w:rsidRPr="000A7343">
        <w:rPr>
          <w:rFonts w:ascii="Times New Roman" w:hAnsi="Times New Roman" w:cs="Times New Roman"/>
          <w:color w:val="000000" w:themeColor="text1"/>
        </w:rPr>
        <w:fldChar w:fldCharType="end"/>
      </w:r>
      <w:r w:rsidR="00435160" w:rsidRPr="0068584C">
        <w:rPr>
          <w:rFonts w:ascii="Times New Roman" w:hAnsi="Times New Roman" w:cs="Times New Roman"/>
          <w:color w:val="000000" w:themeColor="text1"/>
        </w:rPr>
        <w:t>.</w:t>
      </w:r>
      <w:r w:rsidR="003272C0" w:rsidRPr="0068584C">
        <w:rPr>
          <w:rFonts w:ascii="Times New Roman" w:hAnsi="Times New Roman" w:cs="Times New Roman"/>
          <w:color w:val="000000" w:themeColor="text1"/>
        </w:rPr>
        <w:t xml:space="preserve"> Valuable resources </w:t>
      </w:r>
      <w:r w:rsidR="00984A4A">
        <w:rPr>
          <w:rFonts w:ascii="Times New Roman" w:hAnsi="Times New Roman" w:cs="Times New Roman"/>
          <w:color w:val="000000" w:themeColor="text1"/>
        </w:rPr>
        <w:t>can lead to reduced</w:t>
      </w:r>
      <w:r w:rsidR="003272C0" w:rsidRPr="0068584C">
        <w:rPr>
          <w:rFonts w:ascii="Times New Roman" w:hAnsi="Times New Roman" w:cs="Times New Roman"/>
          <w:color w:val="000000" w:themeColor="text1"/>
        </w:rPr>
        <w:t xml:space="preserve"> net costs and/or </w:t>
      </w:r>
      <w:r w:rsidR="00984A4A">
        <w:rPr>
          <w:rFonts w:ascii="Times New Roman" w:hAnsi="Times New Roman" w:cs="Times New Roman"/>
          <w:color w:val="000000" w:themeColor="text1"/>
        </w:rPr>
        <w:t>higher</w:t>
      </w:r>
      <w:r w:rsidR="003272C0" w:rsidRPr="0068584C">
        <w:rPr>
          <w:rFonts w:ascii="Times New Roman" w:hAnsi="Times New Roman" w:cs="Times New Roman"/>
          <w:color w:val="000000" w:themeColor="text1"/>
        </w:rPr>
        <w:t xml:space="preserve"> revenues </w:t>
      </w:r>
      <w:r w:rsidR="00B07477">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"Barney", "given" : "Jay B", "non-dropping-particle" : "", "parse-names" : false, "suffix" : "" }, { "dropping-particle" : "", "family" : "Arikan", "given" : "Asli M", "non-dropping-particle" : "", "parse-names" : false, "suffix" : "" } ], "container-title" : "Handbook of strategic management", "editor" : [ { "dropping-particle" : "", "family" : "Hitt, Michael A, Freeman, R E, Harrison", "given" : "J S", "non-dropping-particle" : "", "parse-names" : false, "suffix" : "" } ], "id" : "ITEM-1", "issued" : { "date-parts" : [ [ "2001" ] ] }, "page" : "124-188", "publisher" : "Blackwell", "publisher-place" : "Oxford", "title" : "The resource-based view: Origins and implications", "type" : "chapter", "volume" : "124188" }, "uris" : [ "http://www.mendeley.com/documents/?uuid=8dc8ed65-97cc-482d-8557-56e77e5dfd20" ] } ], "mendeley" : { "formattedCitation" : "(Barney &amp; Arikan, 2001)", "plainTextFormattedCitation" : "(Barney &amp; Arikan, 2001)", "previouslyFormattedCitation" : "(Barney &amp; Arikan, 2001)" }, "properties" : { "noteIndex" : 0 }, "schema" : "https://github.com/citation-style-language/schema/raw/master/csl-citation.json" }</w:instrText>
      </w:r>
      <w:r w:rsidR="00B07477">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(Barney &amp; Arikan, 2001)</w:t>
      </w:r>
      <w:r w:rsidR="00B07477">
        <w:rPr>
          <w:rFonts w:ascii="Times New Roman" w:hAnsi="Times New Roman" w:cs="Times New Roman"/>
          <w:color w:val="000000" w:themeColor="text1"/>
        </w:rPr>
        <w:fldChar w:fldCharType="end"/>
      </w:r>
      <w:r w:rsidR="002E37E5">
        <w:rPr>
          <w:rFonts w:ascii="Times New Roman" w:hAnsi="Times New Roman" w:cs="Times New Roman"/>
          <w:color w:val="000000" w:themeColor="text1"/>
        </w:rPr>
        <w:t>.</w:t>
      </w:r>
      <w:r w:rsidR="001811BA" w:rsidRPr="0068584C">
        <w:rPr>
          <w:rFonts w:ascii="Times New Roman" w:hAnsi="Times New Roman" w:cs="Times New Roman"/>
          <w:color w:val="000000" w:themeColor="text1"/>
        </w:rPr>
        <w:t xml:space="preserve"> </w:t>
      </w:r>
      <w:r w:rsidR="00213EE8" w:rsidRPr="0068584C">
        <w:rPr>
          <w:rFonts w:ascii="Times New Roman" w:hAnsi="Times New Roman" w:cs="Times New Roman"/>
          <w:color w:val="000000" w:themeColor="text1"/>
        </w:rPr>
        <w:t>While r</w:t>
      </w:r>
      <w:r w:rsidR="003272C0" w:rsidRPr="0068584C">
        <w:rPr>
          <w:rFonts w:ascii="Times New Roman" w:hAnsi="Times New Roman" w:cs="Times New Roman"/>
          <w:color w:val="000000" w:themeColor="text1"/>
        </w:rPr>
        <w:t>are resources are “controlled by a small number of competing firms</w:t>
      </w:r>
      <w:r w:rsidR="00213EE8" w:rsidRPr="0068584C">
        <w:rPr>
          <w:rFonts w:ascii="Times New Roman" w:hAnsi="Times New Roman" w:cs="Times New Roman"/>
          <w:color w:val="000000" w:themeColor="text1"/>
        </w:rPr>
        <w:t>,</w:t>
      </w:r>
      <w:r w:rsidR="003272C0" w:rsidRPr="0068584C">
        <w:rPr>
          <w:rFonts w:ascii="Times New Roman" w:hAnsi="Times New Roman" w:cs="Times New Roman"/>
          <w:color w:val="000000" w:themeColor="text1"/>
        </w:rPr>
        <w:t>”</w:t>
      </w:r>
      <w:r w:rsidR="00213EE8" w:rsidRPr="0068584C">
        <w:rPr>
          <w:rFonts w:ascii="Times New Roman" w:hAnsi="Times New Roman" w:cs="Times New Roman"/>
          <w:color w:val="000000" w:themeColor="text1"/>
        </w:rPr>
        <w:t xml:space="preserve"> inimitable resources are costly to </w:t>
      </w:r>
      <w:r w:rsidR="002E37E5">
        <w:rPr>
          <w:rFonts w:ascii="Times New Roman" w:hAnsi="Times New Roman" w:cs="Times New Roman"/>
          <w:color w:val="000000" w:themeColor="text1"/>
        </w:rPr>
        <w:t>acquire or create</w:t>
      </w:r>
      <w:r w:rsidR="002E37E5" w:rsidRPr="0068584C">
        <w:rPr>
          <w:rFonts w:ascii="Times New Roman" w:hAnsi="Times New Roman" w:cs="Times New Roman"/>
          <w:color w:val="000000" w:themeColor="text1"/>
        </w:rPr>
        <w:t xml:space="preserve"> </w:t>
      </w:r>
      <w:r w:rsidR="002E37E5">
        <w:rPr>
          <w:rFonts w:ascii="Times New Roman" w:hAnsi="Times New Roman" w:cs="Times New Roman"/>
          <w:color w:val="000000" w:themeColor="text1"/>
        </w:rPr>
        <w:t>for competitors</w:t>
      </w:r>
      <w:r w:rsidR="00D12840">
        <w:rPr>
          <w:rFonts w:ascii="Times New Roman" w:hAnsi="Times New Roman" w:cs="Times New Roman"/>
          <w:color w:val="000000" w:themeColor="text1"/>
        </w:rPr>
        <w:t xml:space="preserve"> </w:t>
      </w:r>
      <w:r w:rsidR="00D12840">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"10.1007/s11747-013-0336-7", "ISBN" : "0092-0703", "ISSN" : "00920703", "PMID" : "93922470", "abstract" : "The use of resource-based theory (RBT) in marketing research has increased by more than 500% in the past decade, which suggests its importance as a framework for explaining and predicting competitive advantages and performance outcomes. This article provides a comprehensive review of RBT, including a contemporary definitional foundation for relevant terms and assumptions and a synthesis of empirical findings from marketing literature. This multidimensional analysis of RBT also evaluates extant marketing research according to four perspectives: the marketing domains that use RBT, the characteristics and uses of market-based resources that differentiate it from other research contexts, the extension of RBT to the \"marketing exchange\" as a unit of analysis, and the connection of RBT to related theories. This analysis also reveals some common pitfalls associated with prior research, offers tentative guidelines on how to improve the use of RBT in marketing, and suggests research directions to advance the theorization and empirical testing of RBT in the future.", "author" : [ { "dropping-particle" : "V.", "family" : "Kozlenkova", "given" : "Irina", "non-dropping-particle" : "", "parse-names" : false, "suffix" : "" }, { "dropping-particle" : "", "family" : "Samaha", "given" : "Stephen A.", "non-dropping-particle" : "", "parse-names" : false, "suffix" : "" }, { "dropping-particle" : "", "family" : "Palmatier", "given" : "Robert W.", "non-dropping-particle" : "", "parse-names" : false, "suffix" : "" } ], "container-title" : "Journal of the Academy of Marketing Science", "id" : "ITEM-1", "issue" : "1", "issued" : { "date-parts" : [ [ "2014" ] ] }, "page" : "1-21", "title" : "Resource-based theory in marketing", "type" : "article-journal", "volume" : "42" }, "locator" : "4", "uris" : [ "http://www.mendeley.com/documents/?uuid=b3b7f208-9a95-411f-b4eb-7ce3493019c4" ] } ], "mendeley" : { "formattedCitation" : "(Kozlenkova et al., 2014, p. 4)", "plainTextFormattedCitation" : "(Kozlenkova et al., 2014, p. 4)", "previouslyFormattedCitation" : "(Kozlenkova et al., 2014, p. 4)" }, "properties" : { "noteIndex" : 0 }, "schema" : "https://github.com/citation-style-language/schema/raw/master/csl-citation.json" }</w:instrText>
      </w:r>
      <w:r w:rsidR="00D12840">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(Kozlenkova et al., 2014, p. 4)</w:t>
      </w:r>
      <w:r w:rsidR="00D12840">
        <w:rPr>
          <w:rFonts w:ascii="Times New Roman" w:hAnsi="Times New Roman" w:cs="Times New Roman"/>
          <w:color w:val="000000" w:themeColor="text1"/>
        </w:rPr>
        <w:fldChar w:fldCharType="end"/>
      </w:r>
      <w:r w:rsidR="00D12840">
        <w:rPr>
          <w:rFonts w:ascii="Times New Roman" w:hAnsi="Times New Roman" w:cs="Times New Roman"/>
          <w:color w:val="000000" w:themeColor="text1"/>
        </w:rPr>
        <w:t xml:space="preserve">. </w:t>
      </w:r>
      <w:r w:rsidR="002E37E5">
        <w:rPr>
          <w:rFonts w:ascii="Times New Roman" w:hAnsi="Times New Roman" w:cs="Times New Roman"/>
          <w:color w:val="000000" w:themeColor="text1"/>
        </w:rPr>
        <w:t xml:space="preserve"> </w:t>
      </w:r>
    </w:p>
    <w:p w14:paraId="3A19CB60" w14:textId="594513AB" w:rsidR="00FC5F73" w:rsidRPr="0068584C" w:rsidRDefault="008D7601" w:rsidP="0035460B">
      <w:pPr>
        <w:spacing w:line="480" w:lineRule="auto"/>
        <w:jc w:val="both"/>
        <w:rPr>
          <w:rFonts w:ascii="Times New Roman" w:hAnsi="Times New Roman" w:cs="Times New Roman"/>
        </w:rPr>
      </w:pPr>
      <w:r>
        <w:rPr>
          <w:rFonts w:ascii="Times New Roman" w:hAnsi="Times New Roman" w:cs="Times New Roman"/>
          <w:color w:val="000000" w:themeColor="text1"/>
        </w:rPr>
        <w:tab/>
      </w:r>
      <w:r w:rsidR="00B078D2" w:rsidRPr="0068584C">
        <w:rPr>
          <w:rFonts w:ascii="Times New Roman" w:hAnsi="Times New Roman" w:cs="Times New Roman"/>
          <w:color w:val="000000" w:themeColor="text1"/>
        </w:rPr>
        <w:t>Within</w:t>
      </w:r>
      <w:r w:rsidR="00B078D2" w:rsidRPr="0068584C">
        <w:rPr>
          <w:rFonts w:ascii="Times New Roman" w:hAnsi="Times New Roman" w:cs="Times New Roman"/>
          <w:b/>
          <w:color w:val="000000" w:themeColor="text1"/>
        </w:rPr>
        <w:t xml:space="preserve"> </w:t>
      </w:r>
      <w:r w:rsidR="00B078D2" w:rsidRPr="0068584C">
        <w:rPr>
          <w:rFonts w:ascii="Times New Roman" w:hAnsi="Times New Roman" w:cs="Times New Roman"/>
          <w:color w:val="000000" w:themeColor="text1"/>
        </w:rPr>
        <w:t xml:space="preserve">the dynamic capabilities theory </w:t>
      </w:r>
      <w:r w:rsidR="00B078D2"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"ITEM-1", "issued" : { "date-parts" : [ [ "2007" ] ] }, "page" : "1319-1350", "title" : "Explicating Dynamic Capabilities: The Nature and Microfoundations of (Sustainable) Enterprise Performance", "type" : "article-journal", "volume" : "28" }, "uris" : [ "http://www.mendeley.com/documents/?uuid=294c960e-6f43-40bf-808a-3028629ef748" ] }, { "id" : "ITEM-2",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"ITEM-2", "issued" : { "date-parts" : [ [ "2000" ] ] }, "page" : "1105-1121", "title" : "Dynamic Capabilities: What Are They?", "type" : "article-journal", "volume" : "21" }, "uris" : [ "http://www.mendeley.com/documents/?uuid=29651fe3-b2a9-482d-82cf-c139477ca50d" ] } ], "mendeley" : { "formattedCitation" : "(Eisenhardt &amp; Martin, 2000; Teece, 2007)", "plainTextFormattedCitation" : "(Eisenhardt &amp; Martin, 2000; Teece, 2007)", "previouslyFormattedCitation" : "(Eisenhardt &amp; Martin, 2000; Teece, 2007)" }, "properties" : { "noteIndex" : 0 }, "schema" : "https://github.com/citation-style-language/schema/raw/master/csl-citation.json" }</w:instrText>
      </w:r>
      <w:r w:rsidR="00B078D2"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(Eisenhardt &amp; Martin, 2000; Teece, 2007)</w:t>
      </w:r>
      <w:r w:rsidR="00B078D2" w:rsidRPr="0068584C">
        <w:rPr>
          <w:rFonts w:ascii="Times New Roman" w:hAnsi="Times New Roman" w:cs="Times New Roman"/>
          <w:color w:val="000000" w:themeColor="text1"/>
        </w:rPr>
        <w:fldChar w:fldCharType="end"/>
      </w:r>
      <w:r w:rsidR="00B078D2" w:rsidRPr="0068584C">
        <w:rPr>
          <w:rFonts w:ascii="Times New Roman" w:hAnsi="Times New Roman" w:cs="Times New Roman"/>
          <w:color w:val="000000" w:themeColor="text1"/>
        </w:rPr>
        <w:t>,</w:t>
      </w:r>
      <w:r w:rsidR="00B078D2" w:rsidRPr="0068584C">
        <w:rPr>
          <w:rFonts w:ascii="Times New Roman" w:hAnsi="Times New Roman" w:cs="Times New Roman"/>
        </w:rPr>
        <w:t xml:space="preserve"> dynamic capabilities are strategic processes aiming at the identification, integration, and re-configuration of critical resources in a dynamic environment </w:t>
      </w:r>
      <w:r w:rsidR="00B078D2"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"ISSN" : "01432095", "PMID" : "20859841", "abstract" : "The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 "author" : [ { "dropping-particle" : "", "family" : "Teece", "given" : "David J", "non-dropping-particle" : "", "parse-names" : false, "suffix" : "" }, { "dropping-particle" : "", "family" : "Pisano", "given" : "Gary", "non-dropping-particle" : "", "parse-names" : false, "suffix" : "" }, { "dropping-particle" : "", "family" : "Shuen", "given" : "Amy", "non-dropping-particle" : "", "parse-names" : false, "suffix" : "" } ], "chapter-number" : "19", "container-title" : "Strategic Management Journal", "editor" : [ { "dropping-particle" : "", "family" : "Dosi", "given" : "Giovanni", "non-dropping-particle" : "", "parse-names" : false, "suffix" : "" }, { "dropping-particle" : "", "family" : "Nelson", "given" : "Richard R", "non-dropping-particle" : "", "parse-names" : false, "suffix" : "" }, { "dropping-particle" : "", "family" : "Winter", "given" : "Sidney G", "non-dropping-particle" : "", "parse-names" : false, "suffix" : "" } ], "id" : "ITEM-1", "issue" : "7", "issued" : { "date-parts" : [ [ "1997" ] ] }, "page" : "509-533", "publisher" : "John Wiley &amp; Sons", "title" : "Dynamic capabilities and strategic management", "type" : "article-journal", "volume" : "18" }, "uris" : [ "http://www.mendeley.com/documents/?uuid=02891bcf-d320-4c43-b905-18e5702c29c5" ] } ], "mendeley" : { "formattedCitation" : "(Teece et al., 1997)", "plainTextFormattedCitation" : "(Teece et al., 1997)", "previouslyFormattedCitation" : "(Teece et al., 1997)" }, "properties" : { "noteIndex" : 0 }, "schema" : "https://github.com/citation-style-language/schema/raw/master/csl-citation.json" }</w:instrText>
      </w:r>
      <w:r w:rsidR="00B078D2" w:rsidRPr="0068584C">
        <w:rPr>
          <w:rFonts w:ascii="Times New Roman" w:hAnsi="Times New Roman" w:cs="Times New Roman"/>
        </w:rPr>
        <w:fldChar w:fldCharType="separate"/>
      </w:r>
      <w:r w:rsidR="000E6ECE" w:rsidRPr="000E6ECE">
        <w:rPr>
          <w:rFonts w:ascii="Times New Roman" w:hAnsi="Times New Roman" w:cs="Times New Roman"/>
          <w:noProof/>
        </w:rPr>
        <w:t>(Teece et al., 1997)</w:t>
      </w:r>
      <w:r w:rsidR="00B078D2" w:rsidRPr="0068584C">
        <w:rPr>
          <w:rFonts w:ascii="Times New Roman" w:hAnsi="Times New Roman" w:cs="Times New Roman"/>
        </w:rPr>
        <w:fldChar w:fldCharType="end"/>
      </w:r>
      <w:r w:rsidR="00B078D2" w:rsidRPr="0068584C">
        <w:rPr>
          <w:rFonts w:ascii="Times New Roman" w:hAnsi="Times New Roman" w:cs="Times New Roman"/>
        </w:rPr>
        <w:t>. Effective resource orchestration practices could be</w:t>
      </w:r>
      <w:r w:rsidR="00FC5F73" w:rsidRPr="0068584C">
        <w:rPr>
          <w:rFonts w:ascii="Times New Roman" w:hAnsi="Times New Roman" w:cs="Times New Roman"/>
        </w:rPr>
        <w:t xml:space="preserve"> </w:t>
      </w:r>
      <w:r w:rsidR="00B078D2" w:rsidRPr="0068584C">
        <w:rPr>
          <w:rFonts w:ascii="Times New Roman" w:hAnsi="Times New Roman" w:cs="Times New Roman"/>
        </w:rPr>
        <w:t>conceptualized as a dynamic capability. As such, ROT provides more emphasis on the details of the core capability of resource orchestration with its sub-processes of structuring, bundling, and leveraging.</w:t>
      </w:r>
    </w:p>
    <w:p w14:paraId="69478C0D" w14:textId="0A9BE384" w:rsidR="00432C3E" w:rsidRPr="0068584C" w:rsidRDefault="00B70C4E" w:rsidP="0035460B">
      <w:pPr>
        <w:spacing w:line="480" w:lineRule="auto"/>
        <w:rPr>
          <w:rFonts w:ascii="Times New Roman" w:hAnsi="Times New Roman" w:cs="Times New Roman"/>
        </w:rPr>
      </w:pPr>
      <w:r w:rsidRPr="0068584C">
        <w:rPr>
          <w:rFonts w:ascii="Times New Roman" w:hAnsi="Times New Roman" w:cs="Times New Roman"/>
          <w:b/>
          <w:color w:val="548DD4" w:themeColor="text2" w:themeTint="99"/>
        </w:rPr>
        <w:t xml:space="preserve"> </w:t>
      </w:r>
    </w:p>
    <w:p w14:paraId="310FD055" w14:textId="51A3EC95" w:rsidR="00927AD1" w:rsidRPr="001B6FF7" w:rsidRDefault="001F33F5" w:rsidP="0035460B">
      <w:pPr>
        <w:spacing w:line="480" w:lineRule="auto"/>
        <w:rPr>
          <w:rFonts w:ascii="Times New Roman" w:hAnsi="Times New Roman" w:cs="Times New Roman"/>
          <w:i/>
          <w:color w:val="000000" w:themeColor="text1"/>
          <w:u w:val="single"/>
        </w:rPr>
      </w:pPr>
      <w:r w:rsidRPr="001B6FF7">
        <w:rPr>
          <w:rFonts w:ascii="Times New Roman" w:hAnsi="Times New Roman" w:cs="Times New Roman"/>
          <w:i/>
          <w:color w:val="000000" w:themeColor="text1"/>
          <w:u w:val="single"/>
        </w:rPr>
        <w:lastRenderedPageBreak/>
        <w:t xml:space="preserve">Resource </w:t>
      </w:r>
      <w:r w:rsidR="00BC586F" w:rsidRPr="001B6FF7">
        <w:rPr>
          <w:rFonts w:ascii="Times New Roman" w:hAnsi="Times New Roman" w:cs="Times New Roman"/>
          <w:i/>
          <w:color w:val="000000" w:themeColor="text1"/>
          <w:u w:val="single"/>
        </w:rPr>
        <w:t>O</w:t>
      </w:r>
      <w:r w:rsidRPr="001B6FF7">
        <w:rPr>
          <w:rFonts w:ascii="Times New Roman" w:hAnsi="Times New Roman" w:cs="Times New Roman"/>
          <w:i/>
          <w:color w:val="000000" w:themeColor="text1"/>
          <w:u w:val="single"/>
        </w:rPr>
        <w:t xml:space="preserve">rchestration </w:t>
      </w:r>
      <w:r w:rsidR="00BC586F" w:rsidRPr="001B6FF7">
        <w:rPr>
          <w:rFonts w:ascii="Times New Roman" w:hAnsi="Times New Roman" w:cs="Times New Roman"/>
          <w:i/>
          <w:color w:val="000000" w:themeColor="text1"/>
          <w:u w:val="single"/>
        </w:rPr>
        <w:t>P</w:t>
      </w:r>
      <w:r w:rsidRPr="001B6FF7">
        <w:rPr>
          <w:rFonts w:ascii="Times New Roman" w:hAnsi="Times New Roman" w:cs="Times New Roman"/>
          <w:i/>
          <w:color w:val="000000" w:themeColor="text1"/>
          <w:u w:val="single"/>
        </w:rPr>
        <w:t>ractices</w:t>
      </w:r>
    </w:p>
    <w:p w14:paraId="5C3CEED1" w14:textId="1A2C8985" w:rsidR="00F70732" w:rsidRPr="0068584C" w:rsidRDefault="00340450" w:rsidP="0035460B">
      <w:pPr>
        <w:spacing w:line="480" w:lineRule="auto"/>
        <w:jc w:val="both"/>
        <w:rPr>
          <w:rFonts w:ascii="Times New Roman" w:hAnsi="Times New Roman" w:cs="Times New Roman"/>
          <w:b/>
          <w:color w:val="000000" w:themeColor="text1"/>
        </w:rPr>
      </w:pPr>
      <w:r w:rsidRPr="0068584C">
        <w:rPr>
          <w:rFonts w:ascii="Times New Roman" w:hAnsi="Times New Roman" w:cs="Times New Roman"/>
        </w:rPr>
        <w:t xml:space="preserve">Resource orchestration refers to “actions to </w:t>
      </w:r>
      <w:r w:rsidRPr="0068584C">
        <w:rPr>
          <w:rFonts w:ascii="Times New Roman" w:hAnsi="Times New Roman" w:cs="Times New Roman"/>
          <w:bCs/>
        </w:rPr>
        <w:t>structure</w:t>
      </w:r>
      <w:r w:rsidRPr="0068584C">
        <w:rPr>
          <w:rFonts w:ascii="Times New Roman" w:hAnsi="Times New Roman" w:cs="Times New Roman"/>
        </w:rPr>
        <w:t xml:space="preserve"> the firm’s resource portfolio, </w:t>
      </w:r>
      <w:r w:rsidRPr="0068584C">
        <w:rPr>
          <w:rFonts w:ascii="Times New Roman" w:hAnsi="Times New Roman" w:cs="Times New Roman"/>
          <w:bCs/>
        </w:rPr>
        <w:t>bundle</w:t>
      </w:r>
      <w:r w:rsidRPr="0068584C">
        <w:rPr>
          <w:rFonts w:ascii="Times New Roman" w:hAnsi="Times New Roman" w:cs="Times New Roman"/>
        </w:rPr>
        <w:t xml:space="preserve"> resources into capabilities, and </w:t>
      </w:r>
      <w:r w:rsidRPr="0068584C">
        <w:rPr>
          <w:rFonts w:ascii="Times New Roman" w:hAnsi="Times New Roman" w:cs="Times New Roman"/>
          <w:bCs/>
        </w:rPr>
        <w:t>leverage</w:t>
      </w:r>
      <w:r w:rsidRPr="0068584C">
        <w:rPr>
          <w:rFonts w:ascii="Times New Roman" w:hAnsi="Times New Roman" w:cs="Times New Roman"/>
        </w:rPr>
        <w:t xml:space="preserve"> the capabilities to create value for customers, thereby achieving a competitive advantage for the firm”</w:t>
      </w:r>
      <w:r w:rsidR="00440C9C">
        <w:rPr>
          <w:rFonts w:ascii="Times New Roman" w:hAnsi="Times New Roman" w:cs="Times New Roman"/>
        </w:rPr>
        <w:t xml:space="preserve"> </w:t>
      </w:r>
      <w:r w:rsidR="00440C9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"ITEM-1", "issue" : "May", "issued" : { "date-parts" : [ [ "2011" ] ] }, "page" : "57-75", "title" : "Strategic Entrepreneurship: Creating Value for Individuals, Organizations, and Society", "type" : "article-journal" }, "locator" : "64", "uris" : [ "http://www.mendeley.com/documents/?uuid=a440eb44-a14e-41a2-85e6-3af528235937" ] } ], "mendeley" : { "formattedCitation" : "(Hitt et al., 2011, p. 64)", "plainTextFormattedCitation" : "(Hitt et al., 2011, p. 64)", "previouslyFormattedCitation" : "(Hitt et al., 2011, p. 64)" }, "properties" : { "noteIndex" : 0 }, "schema" : "https://github.com/citation-style-language/schema/raw/master/csl-citation.json" }</w:instrText>
      </w:r>
      <w:r w:rsidR="00440C9C">
        <w:rPr>
          <w:rFonts w:ascii="Times New Roman" w:hAnsi="Times New Roman" w:cs="Times New Roman"/>
        </w:rPr>
        <w:fldChar w:fldCharType="separate"/>
      </w:r>
      <w:r w:rsidR="000E6ECE" w:rsidRPr="000E6ECE">
        <w:rPr>
          <w:rFonts w:ascii="Times New Roman" w:hAnsi="Times New Roman" w:cs="Times New Roman"/>
          <w:noProof/>
        </w:rPr>
        <w:t>(Hitt et al., 2011, p. 64)</w:t>
      </w:r>
      <w:r w:rsidR="00440C9C">
        <w:rPr>
          <w:rFonts w:ascii="Times New Roman" w:hAnsi="Times New Roman" w:cs="Times New Roman"/>
        </w:rPr>
        <w:fldChar w:fldCharType="end"/>
      </w:r>
      <w:r w:rsidRPr="0068584C">
        <w:rPr>
          <w:rFonts w:ascii="Times New Roman" w:hAnsi="Times New Roman" w:cs="Times New Roman"/>
        </w:rPr>
        <w:t xml:space="preserve">.  More specifically, (1) </w:t>
      </w:r>
      <w:r w:rsidRPr="0068584C">
        <w:rPr>
          <w:rFonts w:ascii="Times New Roman" w:hAnsi="Times New Roman" w:cs="Times New Roman"/>
          <w:bCs/>
        </w:rPr>
        <w:t>structuring</w:t>
      </w:r>
      <w:r w:rsidRPr="0068584C">
        <w:rPr>
          <w:rFonts w:ascii="Times New Roman" w:hAnsi="Times New Roman" w:cs="Times New Roman"/>
        </w:rPr>
        <w:t xml:space="preserve"> includes acquiring, accumulating, and divesting resources; (2) </w:t>
      </w:r>
      <w:r w:rsidRPr="0068584C">
        <w:rPr>
          <w:rFonts w:ascii="Times New Roman" w:hAnsi="Times New Roman" w:cs="Times New Roman"/>
          <w:bCs/>
        </w:rPr>
        <w:t>bundling</w:t>
      </w:r>
      <w:r w:rsidRPr="0068584C">
        <w:rPr>
          <w:rFonts w:ascii="Times New Roman" w:hAnsi="Times New Roman" w:cs="Times New Roman"/>
        </w:rPr>
        <w:t xml:space="preserve"> involves stabilizing existing capabilities, enriching current capabilities, and pioneering new capabilities. (3) </w:t>
      </w:r>
      <w:r w:rsidRPr="0068584C">
        <w:rPr>
          <w:rFonts w:ascii="Times New Roman" w:hAnsi="Times New Roman" w:cs="Times New Roman"/>
          <w:bCs/>
        </w:rPr>
        <w:t>Leveraging</w:t>
      </w:r>
      <w:r w:rsidRPr="0068584C">
        <w:rPr>
          <w:rFonts w:ascii="Times New Roman" w:hAnsi="Times New Roman" w:cs="Times New Roman"/>
        </w:rPr>
        <w:t xml:space="preserve"> requires a sequence of actions including mobilizing capabilities to form requisite capability configurations, coordinating the integrated capability configurations, and deploying these configurations with a resource advantage strategy, a market opportunity strategy, or an entrepreneurial strategy </w:t>
      </w:r>
      <w:r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"ITEM-1", "issue" : "May", "issued" : { "date-parts" : [ [ "2011" ] ] }, "page" : "57-75", "title" : "Strategic Entrepreneurship: Creating Value for Individuals, Organizations, and Society", "type" : "article-journal" }, "uris" : [ "http://www.mendeley.com/documents/?uuid=a440eb44-a14e-41a2-85e6-3af528235937" ] }, { "id" : "ITEM-2",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"ITEM-2",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"(Hitt et al., 2011; Sirmon et al., 2011)", "plainTextFormattedCitation" : "(Hitt et al., 2011; Sirmon et al., 2011)", "previouslyFormattedCitation" : "(Hitt et al., 2011; Sirmon et al., 2011)" }, "properties" : { "noteIndex" : 0 }, "schema" : "https://github.com/citation-style-language/schema/raw/master/csl-citation.json" }</w:instrText>
      </w:r>
      <w:r w:rsidRPr="0068584C">
        <w:rPr>
          <w:rFonts w:ascii="Times New Roman" w:hAnsi="Times New Roman" w:cs="Times New Roman"/>
        </w:rPr>
        <w:fldChar w:fldCharType="separate"/>
      </w:r>
      <w:r w:rsidR="000E6ECE" w:rsidRPr="000E6ECE">
        <w:rPr>
          <w:rFonts w:ascii="Times New Roman" w:hAnsi="Times New Roman" w:cs="Times New Roman"/>
          <w:noProof/>
        </w:rPr>
        <w:t>(Hitt et al., 2011; Sirmon et al., 2011)</w:t>
      </w:r>
      <w:r w:rsidRPr="0068584C">
        <w:rPr>
          <w:rFonts w:ascii="Times New Roman" w:hAnsi="Times New Roman" w:cs="Times New Roman"/>
        </w:rPr>
        <w:fldChar w:fldCharType="end"/>
      </w:r>
      <w:r w:rsidRPr="0068584C">
        <w:rPr>
          <w:rFonts w:ascii="Times New Roman" w:hAnsi="Times New Roman" w:cs="Times New Roman"/>
        </w:rPr>
        <w:t xml:space="preserve">. </w:t>
      </w:r>
      <w:r w:rsidR="00F70732" w:rsidRPr="0068584C">
        <w:rPr>
          <w:rFonts w:ascii="Times New Roman" w:hAnsi="Times New Roman" w:cs="Times New Roman"/>
        </w:rPr>
        <w:t>A</w:t>
      </w:r>
      <w:r w:rsidRPr="0068584C">
        <w:rPr>
          <w:rFonts w:ascii="Times New Roman" w:hAnsi="Times New Roman" w:cs="Times New Roman"/>
        </w:rPr>
        <w:t xml:space="preserve">lthough </w:t>
      </w:r>
      <w:r w:rsidR="00F70732" w:rsidRPr="0068584C">
        <w:rPr>
          <w:rFonts w:ascii="Times New Roman" w:hAnsi="Times New Roman" w:cs="Times New Roman"/>
        </w:rPr>
        <w:t>the</w:t>
      </w:r>
      <w:r w:rsidRPr="0068584C">
        <w:rPr>
          <w:rFonts w:ascii="Times New Roman" w:hAnsi="Times New Roman" w:cs="Times New Roman"/>
        </w:rPr>
        <w:t xml:space="preserve"> </w:t>
      </w:r>
      <w:r w:rsidR="000E3E1C">
        <w:rPr>
          <w:rFonts w:ascii="Times New Roman" w:hAnsi="Times New Roman" w:cs="Times New Roman"/>
        </w:rPr>
        <w:t xml:space="preserve">managerial </w:t>
      </w:r>
      <w:r w:rsidR="00F70732" w:rsidRPr="0068584C">
        <w:rPr>
          <w:rFonts w:ascii="Times New Roman" w:hAnsi="Times New Roman" w:cs="Times New Roman"/>
        </w:rPr>
        <w:t>practices</w:t>
      </w:r>
      <w:r w:rsidRPr="0068584C">
        <w:rPr>
          <w:rFonts w:ascii="Times New Roman" w:hAnsi="Times New Roman" w:cs="Times New Roman"/>
        </w:rPr>
        <w:t xml:space="preserve"> are </w:t>
      </w:r>
      <w:r w:rsidR="00F70732" w:rsidRPr="0068584C">
        <w:rPr>
          <w:rFonts w:ascii="Times New Roman" w:hAnsi="Times New Roman" w:cs="Times New Roman"/>
        </w:rPr>
        <w:t>beneficial by themselves</w:t>
      </w:r>
      <w:r w:rsidRPr="0068584C">
        <w:rPr>
          <w:rFonts w:ascii="Times New Roman" w:hAnsi="Times New Roman" w:cs="Times New Roman"/>
        </w:rPr>
        <w:t xml:space="preserve">, properly </w:t>
      </w:r>
      <w:r w:rsidRPr="0068584C">
        <w:rPr>
          <w:rFonts w:ascii="Times New Roman" w:hAnsi="Times New Roman" w:cs="Times New Roman"/>
          <w:bCs/>
        </w:rPr>
        <w:t>synchronizing</w:t>
      </w:r>
      <w:r w:rsidRPr="0068584C">
        <w:rPr>
          <w:rFonts w:ascii="Times New Roman" w:hAnsi="Times New Roman" w:cs="Times New Roman"/>
        </w:rPr>
        <w:t xml:space="preserve"> the resource orchestration </w:t>
      </w:r>
      <w:r w:rsidR="008838E2" w:rsidRPr="0068584C">
        <w:rPr>
          <w:rFonts w:ascii="Times New Roman" w:hAnsi="Times New Roman" w:cs="Times New Roman"/>
        </w:rPr>
        <w:t>practices</w:t>
      </w:r>
      <w:r w:rsidRPr="0068584C">
        <w:rPr>
          <w:rFonts w:ascii="Times New Roman" w:hAnsi="Times New Roman" w:cs="Times New Roman"/>
        </w:rPr>
        <w:t xml:space="preserve"> </w:t>
      </w:r>
      <w:r w:rsidR="00F70732" w:rsidRPr="0068584C">
        <w:rPr>
          <w:rFonts w:ascii="Times New Roman" w:hAnsi="Times New Roman" w:cs="Times New Roman"/>
        </w:rPr>
        <w:t>is essential to</w:t>
      </w:r>
      <w:r w:rsidRPr="0068584C">
        <w:rPr>
          <w:rFonts w:ascii="Times New Roman" w:hAnsi="Times New Roman" w:cs="Times New Roman"/>
        </w:rPr>
        <w:t xml:space="preserve"> realize</w:t>
      </w:r>
      <w:r w:rsidR="00F70732" w:rsidRPr="0068584C">
        <w:rPr>
          <w:rFonts w:ascii="Times New Roman" w:hAnsi="Times New Roman" w:cs="Times New Roman"/>
        </w:rPr>
        <w:t xml:space="preserve"> high performance</w:t>
      </w:r>
      <w:r w:rsidRPr="0068584C">
        <w:rPr>
          <w:rFonts w:ascii="Times New Roman" w:hAnsi="Times New Roman" w:cs="Times New Roman"/>
        </w:rPr>
        <w:t xml:space="preserve"> outcomes</w:t>
      </w:r>
      <w:r w:rsidR="00F70732" w:rsidRPr="0068584C">
        <w:rPr>
          <w:rFonts w:ascii="Times New Roman" w:hAnsi="Times New Roman" w:cs="Times New Roman"/>
          <w:color w:val="000000" w:themeColor="text1"/>
        </w:rPr>
        <w:t xml:space="preserve"> </w:t>
      </w:r>
      <w:r w:rsidR="001D0331"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001D0331"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(Sirmon et al., 2011)</w:t>
      </w:r>
      <w:r w:rsidR="001D0331" w:rsidRPr="0068584C">
        <w:rPr>
          <w:rFonts w:ascii="Times New Roman" w:hAnsi="Times New Roman" w:cs="Times New Roman"/>
          <w:color w:val="000000" w:themeColor="text1"/>
        </w:rPr>
        <w:fldChar w:fldCharType="end"/>
      </w:r>
      <w:r w:rsidR="00E6472D" w:rsidRPr="0068584C">
        <w:rPr>
          <w:rFonts w:ascii="Times New Roman" w:hAnsi="Times New Roman" w:cs="Times New Roman"/>
          <w:b/>
          <w:color w:val="000000" w:themeColor="text1"/>
        </w:rPr>
        <w:t>.</w:t>
      </w:r>
      <w:r w:rsidR="00F70732" w:rsidRPr="0068584C">
        <w:rPr>
          <w:rFonts w:ascii="Times New Roman" w:hAnsi="Times New Roman" w:cs="Times New Roman"/>
          <w:b/>
          <w:color w:val="000000" w:themeColor="text1"/>
        </w:rPr>
        <w:t xml:space="preserve">  </w:t>
      </w:r>
    </w:p>
    <w:p w14:paraId="7A2E487E" w14:textId="77777777" w:rsidR="00991F9D" w:rsidRPr="0068584C" w:rsidRDefault="00991F9D" w:rsidP="0035460B">
      <w:pPr>
        <w:spacing w:line="480" w:lineRule="auto"/>
        <w:rPr>
          <w:rFonts w:ascii="Times New Roman" w:hAnsi="Times New Roman" w:cs="Times New Roman"/>
          <w:b/>
          <w:color w:val="000000" w:themeColor="text1"/>
        </w:rPr>
      </w:pPr>
    </w:p>
    <w:p w14:paraId="75106E8A" w14:textId="18B7FAC1" w:rsidR="00991F9D" w:rsidRPr="001B6FF7" w:rsidRDefault="00991F9D" w:rsidP="0035460B">
      <w:pPr>
        <w:spacing w:line="480" w:lineRule="auto"/>
        <w:rPr>
          <w:rFonts w:ascii="Times New Roman" w:hAnsi="Times New Roman" w:cs="Times New Roman"/>
          <w:i/>
          <w:color w:val="000000" w:themeColor="text1"/>
          <w:u w:val="single"/>
        </w:rPr>
      </w:pPr>
      <w:r w:rsidRPr="001B6FF7">
        <w:rPr>
          <w:rFonts w:ascii="Times New Roman" w:hAnsi="Times New Roman" w:cs="Times New Roman"/>
          <w:i/>
          <w:color w:val="000000" w:themeColor="text1"/>
          <w:u w:val="single"/>
        </w:rPr>
        <w:t xml:space="preserve">Competitive </w:t>
      </w:r>
      <w:r w:rsidR="00BC586F" w:rsidRPr="001B6FF7">
        <w:rPr>
          <w:rFonts w:ascii="Times New Roman" w:hAnsi="Times New Roman" w:cs="Times New Roman"/>
          <w:i/>
          <w:color w:val="000000" w:themeColor="text1"/>
          <w:u w:val="single"/>
        </w:rPr>
        <w:t>A</w:t>
      </w:r>
      <w:r w:rsidRPr="001B6FF7">
        <w:rPr>
          <w:rFonts w:ascii="Times New Roman" w:hAnsi="Times New Roman" w:cs="Times New Roman"/>
          <w:i/>
          <w:color w:val="000000" w:themeColor="text1"/>
          <w:u w:val="single"/>
        </w:rPr>
        <w:t>dvantage</w:t>
      </w:r>
    </w:p>
    <w:p w14:paraId="231DB9D5" w14:textId="78392E86" w:rsidR="00B13602" w:rsidRPr="0068584C" w:rsidRDefault="00B13602"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An organization can benefit from a sustainable competitive advantage “when it is creating more economic value than the marginal firm in its industry and when other firms are unable to duplicate the benefits of this strategy</w:t>
      </w:r>
      <w:r w:rsidR="00A13187">
        <w:rPr>
          <w:rFonts w:ascii="Times New Roman" w:hAnsi="Times New Roman" w:cs="Times New Roman"/>
          <w:color w:val="000000" w:themeColor="text1"/>
        </w:rPr>
        <w:t>”</w:t>
      </w:r>
      <w:r w:rsidR="008602E3">
        <w:rPr>
          <w:rFonts w:ascii="Times New Roman" w:hAnsi="Times New Roman" w:cs="Times New Roman"/>
          <w:color w:val="000000" w:themeColor="text1"/>
        </w:rPr>
        <w:t xml:space="preserve"> </w:t>
      </w:r>
      <w:r w:rsidR="008602E3">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"10.1007/s11747-013-0336-7", "ISBN" : "0092-0703", "ISSN" : "00920703", "PMID" : "93922470", "abstract" : "The use of resource-based theory (RBT) in marketing research has increased by more than 500% in the past decade, which suggests its importance as a framework for explaining and predicting competitive advantages and performance outcomes. This article provides a comprehensive review of RBT, including a contemporary definitional foundation for relevant terms and assumptions and a synthesis of empirical findings from marketing literature. This multidimensional analysis of RBT also evaluates extant marketing research according to four perspectives: the marketing domains that use RBT, the characteristics and uses of market-based resources that differentiate it from other research contexts, the extension of RBT to the \"marketing exchange\" as a unit of analysis, and the connection of RBT to related theories. This analysis also reveals some common pitfalls associated with prior research, offers tentative guidelines on how to improve the use of RBT in marketing, and suggests research directions to advance the theorization and empirical testing of RBT in the future.", "author" : [ { "dropping-particle" : "V.", "family" : "Kozlenkova", "given" : "Irina", "non-dropping-particle" : "", "parse-names" : false, "suffix" : "" }, { "dropping-particle" : "", "family" : "Samaha", "given" : "Stephen A.", "non-dropping-particle" : "", "parse-names" : false, "suffix" : "" }, { "dropping-particle" : "", "family" : "Palmatier", "given" : "Robert W.", "non-dropping-particle" : "", "parse-names" : false, "suffix" : "" } ], "container-title" : "Journal of the Academy of Marketing Science", "id" : "ITEM-1", "issue" : "1", "issued" : { "date-parts" : [ [ "2014" ] ] }, "page" : "1-21", "title" : "Resource-based theory in marketing", "type" : "article-journal", "volume" : "42" }, "locator" : "4", "uris" : [ "http://www.mendeley.com/documents/?uuid=b3b7f208-9a95-411f-b4eb-7ce3493019c4" ] } ], "mendeley" : { "formattedCitation" : "(Kozlenkova et al., 2014, p. 4)", "plainTextFormattedCitation" : "(Kozlenkova et al., 2014, p. 4)", "previouslyFormattedCitation" : "(Kozlenkova et al., 2014, p. 4)" }, "properties" : { "noteIndex" : 0 }, "schema" : "https://github.com/citation-style-language/schema/raw/master/csl-citation.json" }</w:instrText>
      </w:r>
      <w:r w:rsidR="008602E3">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(Kozlenkova et al., 2014, p. 4)</w:t>
      </w:r>
      <w:r w:rsidR="008602E3">
        <w:rPr>
          <w:rFonts w:ascii="Times New Roman" w:hAnsi="Times New Roman" w:cs="Times New Roman"/>
          <w:color w:val="000000" w:themeColor="text1"/>
        </w:rPr>
        <w:fldChar w:fldCharType="end"/>
      </w:r>
      <w:r w:rsidR="008602E3">
        <w:rPr>
          <w:rFonts w:ascii="Times New Roman" w:hAnsi="Times New Roman" w:cs="Times New Roman"/>
          <w:color w:val="000000" w:themeColor="text1"/>
        </w:rPr>
        <w:t>.</w:t>
      </w:r>
      <w:r w:rsidR="002A0284">
        <w:rPr>
          <w:rFonts w:ascii="Times New Roman" w:hAnsi="Times New Roman" w:cs="Times New Roman"/>
          <w:color w:val="000000" w:themeColor="text1"/>
        </w:rPr>
        <w:t xml:space="preserve"> </w:t>
      </w:r>
      <w:r w:rsidR="008009FF">
        <w:rPr>
          <w:rFonts w:ascii="Times New Roman" w:hAnsi="Times New Roman" w:cs="Times New Roman"/>
          <w:color w:val="000000" w:themeColor="text1"/>
        </w:rPr>
        <w:t xml:space="preserve">RBT suggests that the accumulation of VRIO resources would lead to a competitive advantage, which could persist over time. In contrast, </w:t>
      </w:r>
      <w:r w:rsidR="008009FF" w:rsidRPr="000A7343">
        <w:rPr>
          <w:rFonts w:ascii="Times New Roman" w:hAnsi="Times New Roman" w:cs="Times New Roman"/>
        </w:rPr>
        <w:t xml:space="preserve">ROT highlights that resource accumulation alone is insufficient.  Instead, the organization needs to structure, bundle, and leverage the resources in a synchronized approach </w:t>
      </w:r>
      <w:r w:rsidR="008009FF" w:rsidRPr="000A7343">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"id" : "ITEM-2",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"ITEM-2", "issue" : "May", "issued" : { "date-parts" : [ [ "2011" ] ] }, "page" : "57-75", "title" : "Strategic Entrepreneurship: Creating Value for Individuals, Organizations, and Society", "type" : "article-journal" }, "uris" : [ "http://www.mendeley.com/documents/?uuid=a440eb44-a14e-41a2-85e6-3af528235937" ] } ], "mendeley" : { "formattedCitation" : "(Hitt et al., 2011; Sirmon et al., 2011)", "plainTextFormattedCitation" : "(Hitt et al., 2011; Sirmon et al., 2011)", "previouslyFormattedCitation" : "(Hitt et al., 2011; Sirmon et al., 2011)" }, "properties" : { "noteIndex" : 0 }, "schema" : "https://github.com/citation-style-language/schema/raw/master/csl-citation.json" }</w:instrText>
      </w:r>
      <w:r w:rsidR="008009FF" w:rsidRPr="000A7343">
        <w:rPr>
          <w:rFonts w:ascii="Times New Roman" w:hAnsi="Times New Roman" w:cs="Times New Roman"/>
        </w:rPr>
        <w:fldChar w:fldCharType="separate"/>
      </w:r>
      <w:r w:rsidR="000E6ECE" w:rsidRPr="000E6ECE">
        <w:rPr>
          <w:rFonts w:ascii="Times New Roman" w:hAnsi="Times New Roman" w:cs="Times New Roman"/>
          <w:noProof/>
        </w:rPr>
        <w:t>(Hitt et al., 2011; Sirmon et al., 2011)</w:t>
      </w:r>
      <w:r w:rsidR="008009FF" w:rsidRPr="000A7343">
        <w:rPr>
          <w:rFonts w:ascii="Times New Roman" w:hAnsi="Times New Roman" w:cs="Times New Roman"/>
        </w:rPr>
        <w:fldChar w:fldCharType="end"/>
      </w:r>
      <w:r w:rsidR="008009FF" w:rsidRPr="000A7343">
        <w:rPr>
          <w:rFonts w:ascii="Times New Roman" w:hAnsi="Times New Roman" w:cs="Times New Roman"/>
        </w:rPr>
        <w:t xml:space="preserve">.  </w:t>
      </w:r>
      <w:r w:rsidR="00F337F5">
        <w:rPr>
          <w:rFonts w:ascii="Times New Roman" w:hAnsi="Times New Roman" w:cs="Times New Roman"/>
          <w:color w:val="000000" w:themeColor="text1"/>
        </w:rPr>
        <w:t>Moreover</w:t>
      </w:r>
      <w:r w:rsidR="00DA3148" w:rsidRPr="0068584C">
        <w:rPr>
          <w:rFonts w:ascii="Times New Roman" w:hAnsi="Times New Roman" w:cs="Times New Roman"/>
          <w:color w:val="000000" w:themeColor="text1"/>
        </w:rPr>
        <w:t xml:space="preserve">, </w:t>
      </w:r>
      <w:r w:rsidR="00974982">
        <w:rPr>
          <w:rFonts w:ascii="Times New Roman" w:hAnsi="Times New Roman" w:cs="Times New Roman"/>
          <w:color w:val="000000" w:themeColor="text1"/>
        </w:rPr>
        <w:t>ROT scholars</w:t>
      </w:r>
      <w:r w:rsidR="00FC17DF">
        <w:rPr>
          <w:rFonts w:ascii="Times New Roman" w:hAnsi="Times New Roman" w:cs="Times New Roman"/>
          <w:color w:val="000000" w:themeColor="text1"/>
        </w:rPr>
        <w:t xml:space="preserve"> have</w:t>
      </w:r>
      <w:r w:rsidR="00EE1FF6" w:rsidRPr="0068584C">
        <w:rPr>
          <w:rFonts w:ascii="Times New Roman" w:hAnsi="Times New Roman" w:cs="Times New Roman"/>
          <w:color w:val="000000" w:themeColor="text1"/>
        </w:rPr>
        <w:t xml:space="preserve"> </w:t>
      </w:r>
      <w:r w:rsidR="001B7747" w:rsidRPr="0068584C">
        <w:rPr>
          <w:rFonts w:ascii="Times New Roman" w:hAnsi="Times New Roman" w:cs="Times New Roman"/>
          <w:color w:val="000000" w:themeColor="text1"/>
        </w:rPr>
        <w:t>highlighted</w:t>
      </w:r>
      <w:r w:rsidR="00DA3148" w:rsidRPr="0068584C">
        <w:rPr>
          <w:rFonts w:ascii="Times New Roman" w:hAnsi="Times New Roman" w:cs="Times New Roman"/>
          <w:color w:val="000000" w:themeColor="text1"/>
        </w:rPr>
        <w:t xml:space="preserve"> the </w:t>
      </w:r>
      <w:r w:rsidR="00DA3148" w:rsidRPr="008C76D8">
        <w:rPr>
          <w:rFonts w:ascii="Times New Roman" w:hAnsi="Times New Roman" w:cs="Times New Roman"/>
          <w:color w:val="000000" w:themeColor="text1"/>
        </w:rPr>
        <w:t>temporary</w:t>
      </w:r>
      <w:r w:rsidR="00DA3148" w:rsidRPr="0068584C">
        <w:rPr>
          <w:rFonts w:ascii="Times New Roman" w:hAnsi="Times New Roman" w:cs="Times New Roman"/>
          <w:color w:val="000000" w:themeColor="text1"/>
        </w:rPr>
        <w:t xml:space="preserve"> nature of a competitive advantage. </w:t>
      </w:r>
      <w:r w:rsidR="00EE1FF6" w:rsidRPr="0068584C">
        <w:rPr>
          <w:rFonts w:ascii="Times New Roman" w:hAnsi="Times New Roman" w:cs="Times New Roman"/>
          <w:color w:val="000000" w:themeColor="text1"/>
        </w:rPr>
        <w:t>“A</w:t>
      </w:r>
      <w:r w:rsidR="00DA3148" w:rsidRPr="0068584C">
        <w:rPr>
          <w:rFonts w:ascii="Times New Roman" w:hAnsi="Times New Roman" w:cs="Times New Roman"/>
          <w:color w:val="000000" w:themeColor="text1"/>
        </w:rPr>
        <w:t xml:space="preserve">ll competitive advantages are temporary, </w:t>
      </w:r>
      <w:r w:rsidR="00DA3148" w:rsidRPr="0068584C">
        <w:rPr>
          <w:rFonts w:ascii="Times New Roman" w:hAnsi="Times New Roman" w:cs="Times New Roman"/>
          <w:color w:val="000000" w:themeColor="text1"/>
        </w:rPr>
        <w:lastRenderedPageBreak/>
        <w:t>meaning that firms must orchestrate their resources to implement strategies that help them achieve a series of temporary competitive advantages over time</w:t>
      </w:r>
      <w:r w:rsidR="00EE1FF6" w:rsidRPr="0068584C">
        <w:rPr>
          <w:rFonts w:ascii="Times New Roman" w:hAnsi="Times New Roman" w:cs="Times New Roman"/>
          <w:color w:val="000000" w:themeColor="text1"/>
        </w:rPr>
        <w:t>”</w:t>
      </w:r>
      <w:r w:rsidR="001E39E4">
        <w:rPr>
          <w:rFonts w:ascii="Times New Roman" w:hAnsi="Times New Roman" w:cs="Times New Roman"/>
          <w:color w:val="000000" w:themeColor="text1"/>
        </w:rPr>
        <w:t xml:space="preserve"> </w:t>
      </w:r>
      <w:r w:rsidR="001E39E4">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"locator" : "1400", "uris" : [ "http://www.mendeley.com/documents/?uuid=df01772e-ce13-438b-8f66-311820f46da2" ] } ], "mendeley" : { "formattedCitation" : "(Sirmon et al., 2011, p. 1400)", "plainTextFormattedCitation" : "(Sirmon et al., 2011, p. 1400)", "previouslyFormattedCitation" : "(Sirmon et al., 2011, p. 1400)" }, "properties" : { "noteIndex" : 0 }, "schema" : "https://github.com/citation-style-language/schema/raw/master/csl-citation.json" }</w:instrText>
      </w:r>
      <w:r w:rsidR="001E39E4">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(Sirmon et al., 2011, p. 1400)</w:t>
      </w:r>
      <w:r w:rsidR="001E39E4">
        <w:rPr>
          <w:rFonts w:ascii="Times New Roman" w:hAnsi="Times New Roman" w:cs="Times New Roman"/>
          <w:color w:val="000000" w:themeColor="text1"/>
        </w:rPr>
        <w:fldChar w:fldCharType="end"/>
      </w:r>
      <w:r w:rsidR="001E39E4">
        <w:rPr>
          <w:rFonts w:ascii="Times New Roman" w:hAnsi="Times New Roman" w:cs="Times New Roman"/>
          <w:color w:val="000000" w:themeColor="text1"/>
        </w:rPr>
        <w:t>.</w:t>
      </w:r>
      <w:r w:rsidR="00F337F5">
        <w:rPr>
          <w:rFonts w:ascii="Times New Roman" w:hAnsi="Times New Roman" w:cs="Times New Roman"/>
          <w:color w:val="000000" w:themeColor="text1"/>
        </w:rPr>
        <w:t xml:space="preserve"> </w:t>
      </w:r>
    </w:p>
    <w:p w14:paraId="4BE6F685" w14:textId="77777777" w:rsidR="00991F9D" w:rsidRPr="0068584C" w:rsidRDefault="00991F9D" w:rsidP="0035460B">
      <w:pPr>
        <w:spacing w:line="480" w:lineRule="auto"/>
        <w:rPr>
          <w:rFonts w:ascii="Times New Roman" w:hAnsi="Times New Roman" w:cs="Times New Roman"/>
          <w:b/>
          <w:color w:val="000000" w:themeColor="text1"/>
        </w:rPr>
      </w:pPr>
    </w:p>
    <w:p w14:paraId="4F5BBB38" w14:textId="3EAE0C9E" w:rsidR="00991F9D" w:rsidRPr="001B6FF7" w:rsidRDefault="00EE1FF6" w:rsidP="0035460B">
      <w:pPr>
        <w:spacing w:line="480" w:lineRule="auto"/>
        <w:rPr>
          <w:rFonts w:ascii="Times New Roman" w:hAnsi="Times New Roman" w:cs="Times New Roman"/>
          <w:i/>
          <w:color w:val="000000" w:themeColor="text1"/>
          <w:u w:val="single"/>
        </w:rPr>
      </w:pPr>
      <w:r w:rsidRPr="001B6FF7">
        <w:rPr>
          <w:rFonts w:ascii="Times New Roman" w:hAnsi="Times New Roman" w:cs="Times New Roman"/>
          <w:i/>
          <w:color w:val="000000" w:themeColor="text1"/>
          <w:u w:val="single"/>
        </w:rPr>
        <w:t xml:space="preserve">Organizational </w:t>
      </w:r>
      <w:r w:rsidR="00991F9D" w:rsidRPr="001B6FF7">
        <w:rPr>
          <w:rFonts w:ascii="Times New Roman" w:hAnsi="Times New Roman" w:cs="Times New Roman"/>
          <w:i/>
          <w:color w:val="000000" w:themeColor="text1"/>
          <w:u w:val="single"/>
        </w:rPr>
        <w:t>Performance</w:t>
      </w:r>
    </w:p>
    <w:p w14:paraId="4953B485" w14:textId="76BD45CD" w:rsidR="00EE1FF6" w:rsidRPr="0068584C" w:rsidRDefault="00EE1FF6"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Another key construct</w:t>
      </w:r>
      <w:r w:rsidR="006154E1" w:rsidRPr="0068584C">
        <w:rPr>
          <w:rFonts w:ascii="Times New Roman" w:hAnsi="Times New Roman" w:cs="Times New Roman"/>
          <w:color w:val="000000" w:themeColor="text1"/>
        </w:rPr>
        <w:t xml:space="preserve"> of resource management theory</w:t>
      </w:r>
      <w:r w:rsidRPr="0068584C">
        <w:rPr>
          <w:rFonts w:ascii="Times New Roman" w:hAnsi="Times New Roman" w:cs="Times New Roman"/>
          <w:color w:val="000000" w:themeColor="text1"/>
        </w:rPr>
        <w:t xml:space="preserve"> relates to organizational performance, </w:t>
      </w:r>
      <w:r w:rsidR="00B7719B" w:rsidRPr="0068584C">
        <w:rPr>
          <w:rFonts w:ascii="Times New Roman" w:hAnsi="Times New Roman" w:cs="Times New Roman"/>
          <w:color w:val="000000" w:themeColor="text1"/>
        </w:rPr>
        <w:t>which entails financial performance (profits, return on assets, return on investment, etc.), product/service market performance (sales, market share, etc.), and shareholder return (total shareholder return, economic value added, etc.)</w:t>
      </w:r>
      <w:r w:rsidR="00475C84"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"10.1177/0149206308330560", "ISBN" : "0149-2063", "ISSN" : "0149-2063", "PMID" : "296", "abstract" : "Richard, P. J., Devinney, T. M., Yip, G. S., &amp; Johnson, G. (2009). Measuring Organizational Performance: Towards Methodological Best Practice Journal of Management, Vol. 35(3), 718-804.", "author" : [ { "dropping-particle" : "", "family" : "Richard", "given" : "PJ J.", "non-dropping-particle" : "", "parse-names" : false, "suffix" : "" }, { "dropping-particle" : "", "family" : "Devinney", "given" : "T. M.", "non-dropping-particle" : "", "parse-names" : false, "suffix" : "" }, { "dropping-particle" : "", "family" : "Yip", "given" : "G", "non-dropping-particle" : "", "parse-names" : false, "suffix" : "" }, { "dropping-particle" : "", "family" : "Johnson", "given" : "G.", "non-dropping-particle" : "", "parse-names" : false, "suffix" : "" } ], "container-title" : "Journal of Management", "id" : "ITEM-1", "issue" : "3", "issued" : { "date-parts" : [ [ "2009" ] ] }, "page" : "718-804", "title" : "Measuring Organizational Performance: Towards Methodological Best Practice", "type" : "article-journal", "volume" : "35" }, "uris" : [ "http://www.mendeley.com/documents/?uuid=f35542e4-b5d9-4ccd-8beb-fb6f2b5bee7e" ] } ], "mendeley" : { "formattedCitation" : "(Richard, Devinney, Yip, &amp; Johnson, 2009)", "plainTextFormattedCitation" : "(Richard, Devinney, Yip, &amp; Johnson, 2009)", "previouslyFormattedCitation" : "(Richard, Devinney, Yip, &amp; Johnson, 2009)" }, "properties" : { "noteIndex" : 0 }, "schema" : "https://github.com/citation-style-language/schema/raw/master/csl-citation.json" }</w:instrText>
      </w:r>
      <w:r w:rsidR="00475C84"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(Richard, Devinney, Yip, &amp; Johnson, 2009)</w:t>
      </w:r>
      <w:r w:rsidR="00475C84" w:rsidRPr="0068584C">
        <w:rPr>
          <w:rFonts w:ascii="Times New Roman" w:hAnsi="Times New Roman" w:cs="Times New Roman"/>
          <w:color w:val="000000" w:themeColor="text1"/>
        </w:rPr>
        <w:fldChar w:fldCharType="end"/>
      </w:r>
      <w:r w:rsidR="00B7719B" w:rsidRPr="0068584C">
        <w:rPr>
          <w:rFonts w:ascii="Times New Roman" w:hAnsi="Times New Roman" w:cs="Times New Roman"/>
          <w:color w:val="000000" w:themeColor="text1"/>
        </w:rPr>
        <w:t>.</w:t>
      </w:r>
      <w:r w:rsidR="007D4699" w:rsidRPr="0068584C">
        <w:rPr>
          <w:rFonts w:ascii="Times New Roman" w:hAnsi="Times New Roman" w:cs="Times New Roman"/>
          <w:color w:val="000000" w:themeColor="text1"/>
        </w:rPr>
        <w:t xml:space="preserve"> </w:t>
      </w:r>
      <w:r w:rsidR="004975C0" w:rsidRPr="0068584C">
        <w:rPr>
          <w:rFonts w:ascii="Times New Roman" w:hAnsi="Times New Roman" w:cs="Times New Roman"/>
          <w:color w:val="000000" w:themeColor="text1"/>
        </w:rPr>
        <w:t>M</w:t>
      </w:r>
      <w:r w:rsidR="007D4699" w:rsidRPr="0068584C">
        <w:rPr>
          <w:rFonts w:ascii="Times New Roman" w:hAnsi="Times New Roman" w:cs="Times New Roman"/>
          <w:color w:val="000000" w:themeColor="text1"/>
        </w:rPr>
        <w:t xml:space="preserve">eta-analysis </w:t>
      </w:r>
      <w:r w:rsidR="004975C0" w:rsidRPr="0068584C">
        <w:rPr>
          <w:rFonts w:ascii="Times New Roman" w:hAnsi="Times New Roman" w:cs="Times New Roman"/>
          <w:color w:val="000000" w:themeColor="text1"/>
        </w:rPr>
        <w:t xml:space="preserve">research </w:t>
      </w:r>
      <w:r w:rsidR="007D4699" w:rsidRPr="0068584C">
        <w:rPr>
          <w:rFonts w:ascii="Times New Roman" w:hAnsi="Times New Roman" w:cs="Times New Roman"/>
          <w:color w:val="000000" w:themeColor="text1"/>
        </w:rPr>
        <w:t xml:space="preserve">has </w:t>
      </w:r>
      <w:r w:rsidR="004975C0" w:rsidRPr="0068584C">
        <w:rPr>
          <w:rFonts w:ascii="Times New Roman" w:hAnsi="Times New Roman" w:cs="Times New Roman"/>
          <w:color w:val="000000" w:themeColor="text1"/>
        </w:rPr>
        <w:t xml:space="preserve">synthesized prior empirical results and </w:t>
      </w:r>
      <w:r w:rsidR="007D4699" w:rsidRPr="0068584C">
        <w:rPr>
          <w:rFonts w:ascii="Times New Roman" w:hAnsi="Times New Roman" w:cs="Times New Roman"/>
          <w:color w:val="000000" w:themeColor="text1"/>
        </w:rPr>
        <w:t xml:space="preserve">verified the positive link between resource management and organizational performance </w:t>
      </w:r>
      <w:r w:rsidR="00B60CB1"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"10.1002/smj", "author" : [ { "dropping-particle" : "", "family" : "Crook", "given" : "T Russell", "non-dropping-particle" : "", "parse-names" : false, "suffix" : "" }, { "dropping-particle" : "", "family" : "Jr", "given" : "David J Ketchen", "non-dropping-particle" : "", "parse-names" : false, "suffix" : "" }, { "dropping-particle" : "", "family" : "Combs", "given" : "James G", "non-dropping-particle" : "", "parse-names" : false, "suffix" : "" }, { "dropping-particle" : "", "family" : "Todd", "given" : "Samuel Y", "non-dropping-particle" : "", "parse-names" : false, "suffix" : "" } ], "container-title" : "Strategic Management Journal", "id" : "ITEM-1", "issued" : { "date-parts" : [ [ "2008" ] ] }, "page" : "1141-1154", "title" : "Strategic Resources and Performance: A Meta-Analysis", "type" : "article-journal", "volume" : "29" }, "uris" : [ "http://www.mendeley.com/documents/?uuid=53bdedb7-95db-455e-88be-b29c2a8da8ef" ] } ], "mendeley" : { "formattedCitation" : "(Crook et al., 2008)", "plainTextFormattedCitation" : "(Crook et al., 2008)", "previouslyFormattedCitation" : "(Crook et al., 2008)" }, "properties" : { "noteIndex" : 0 }, "schema" : "https://github.com/citation-style-language/schema/raw/master/csl-citation.json" }</w:instrText>
      </w:r>
      <w:r w:rsidR="00B60CB1"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(Crook et al., 2008)</w:t>
      </w:r>
      <w:r w:rsidR="00B60CB1" w:rsidRPr="0068584C">
        <w:rPr>
          <w:rFonts w:ascii="Times New Roman" w:hAnsi="Times New Roman" w:cs="Times New Roman"/>
          <w:color w:val="000000" w:themeColor="text1"/>
        </w:rPr>
        <w:fldChar w:fldCharType="end"/>
      </w:r>
      <w:r w:rsidR="007D4699" w:rsidRPr="0068584C">
        <w:rPr>
          <w:rFonts w:ascii="Times New Roman" w:hAnsi="Times New Roman" w:cs="Times New Roman"/>
          <w:color w:val="000000" w:themeColor="text1"/>
        </w:rPr>
        <w:t>.</w:t>
      </w:r>
      <w:r w:rsidR="001F5E72" w:rsidRPr="0068584C">
        <w:rPr>
          <w:rFonts w:ascii="Times New Roman" w:hAnsi="Times New Roman" w:cs="Times New Roman"/>
          <w:color w:val="000000" w:themeColor="text1"/>
        </w:rPr>
        <w:t xml:space="preserve"> In the resource management theoretical frameworks, </w:t>
      </w:r>
      <w:r w:rsidR="008D1F9B" w:rsidRPr="0068584C">
        <w:rPr>
          <w:rFonts w:ascii="Times New Roman" w:hAnsi="Times New Roman" w:cs="Times New Roman"/>
          <w:color w:val="000000" w:themeColor="text1"/>
        </w:rPr>
        <w:t>higher</w:t>
      </w:r>
      <w:r w:rsidR="001F5E72" w:rsidRPr="0068584C">
        <w:rPr>
          <w:rFonts w:ascii="Times New Roman" w:hAnsi="Times New Roman" w:cs="Times New Roman"/>
          <w:color w:val="000000" w:themeColor="text1"/>
        </w:rPr>
        <w:t xml:space="preserve"> </w:t>
      </w:r>
      <w:r w:rsidR="00E812F0" w:rsidRPr="0068584C">
        <w:rPr>
          <w:rFonts w:ascii="Times New Roman" w:hAnsi="Times New Roman" w:cs="Times New Roman"/>
          <w:color w:val="000000" w:themeColor="text1"/>
        </w:rPr>
        <w:t xml:space="preserve">organizational performance </w:t>
      </w:r>
      <w:r w:rsidR="008D1F9B" w:rsidRPr="0068584C">
        <w:rPr>
          <w:rFonts w:ascii="Times New Roman" w:hAnsi="Times New Roman" w:cs="Times New Roman"/>
          <w:color w:val="000000" w:themeColor="text1"/>
        </w:rPr>
        <w:t xml:space="preserve">is </w:t>
      </w:r>
      <w:r w:rsidR="00E812F0" w:rsidRPr="0068584C">
        <w:rPr>
          <w:rFonts w:ascii="Times New Roman" w:hAnsi="Times New Roman" w:cs="Times New Roman"/>
          <w:color w:val="000000" w:themeColor="text1"/>
        </w:rPr>
        <w:t xml:space="preserve">resulting from the effective </w:t>
      </w:r>
      <w:r w:rsidR="001F5E72" w:rsidRPr="0068584C">
        <w:rPr>
          <w:rFonts w:ascii="Times New Roman" w:hAnsi="Times New Roman" w:cs="Times New Roman"/>
          <w:color w:val="000000" w:themeColor="text1"/>
        </w:rPr>
        <w:t xml:space="preserve">bundling of resources to form a competitive resource portfolio </w:t>
      </w:r>
      <w:r w:rsidR="00475C84"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"Wiklund", "given" : "Johan", "non-dropping-particle" : "", "parse-names" : false, "suffix" : "" }, { "dropping-particle" : "", "family" : "Shepherd", "given" : "Dean A", "non-dropping-particle" : "", "parse-names" : false, "suffix" : "" } ], "container-title" : "Entrepreneurship Theory and Practice", "id" : "ITEM-1", "issue" : "January", "issued" : { "date-parts" : [ [ "2009" ] ] }, "page" : "193-213", "title" : "The Effectiveness of Alliances and Acquisitions: The Role of Resource Combination Activities", "type" : "article-journal" }, "uris" : [ "http://www.mendeley.com/documents/?uuid=da6b6fe4-2a11-4c9a-a14d-17eee8bfc2fe" ] } ], "mendeley" : { "formattedCitation" : "(Wiklund &amp; Shepherd, 2009)", "plainTextFormattedCitation" : "(Wiklund &amp; Shepherd, 2009)", "previouslyFormattedCitation" : "(Wiklund &amp; Shepherd, 2009)" }, "properties" : { "noteIndex" : 0 }, "schema" : "https://github.com/citation-style-language/schema/raw/master/csl-citation.json" }</w:instrText>
      </w:r>
      <w:r w:rsidR="00475C84"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(Wiklund &amp; Shepherd, 2009)</w:t>
      </w:r>
      <w:r w:rsidR="00475C84" w:rsidRPr="0068584C">
        <w:rPr>
          <w:rFonts w:ascii="Times New Roman" w:hAnsi="Times New Roman" w:cs="Times New Roman"/>
          <w:color w:val="000000" w:themeColor="text1"/>
        </w:rPr>
        <w:fldChar w:fldCharType="end"/>
      </w:r>
      <w:r w:rsidR="0057519A" w:rsidRPr="0068584C">
        <w:rPr>
          <w:rFonts w:ascii="Times New Roman" w:hAnsi="Times New Roman" w:cs="Times New Roman"/>
          <w:color w:val="000000" w:themeColor="text1"/>
        </w:rPr>
        <w:t>. Researchers have characterized the competitive resource portfolio as determining the upper limit of an organization</w:t>
      </w:r>
      <w:r w:rsidR="008D1F9B" w:rsidRPr="0068584C">
        <w:rPr>
          <w:rFonts w:ascii="Times New Roman" w:hAnsi="Times New Roman" w:cs="Times New Roman"/>
          <w:color w:val="000000" w:themeColor="text1"/>
        </w:rPr>
        <w:t>’s value creation potential</w:t>
      </w:r>
      <w:r w:rsidR="0057519A" w:rsidRPr="0068584C">
        <w:rPr>
          <w:rFonts w:ascii="Times New Roman" w:hAnsi="Times New Roman" w:cs="Times New Roman"/>
          <w:color w:val="000000" w:themeColor="text1"/>
        </w:rPr>
        <w:t xml:space="preserve"> </w:t>
      </w:r>
      <w:r w:rsidR="00850548">
        <w:rPr>
          <w:rFonts w:ascii="Times New Roman" w:hAnsi="Times New Roman" w:cs="Times New Roman"/>
          <w:color w:val="000000" w:themeColor="text1"/>
        </w:rPr>
        <w:fldChar w:fldCharType="begin" w:fldLock="1"/>
      </w:r>
      <w:r w:rsidR="00C92A76">
        <w:rPr>
          <w:rFonts w:ascii="Times New Roman" w:hAnsi="Times New Roman" w:cs="Times New Roman"/>
          <w:color w:val="000000" w:themeColor="text1"/>
        </w:rPr>
        <w:instrText>ADDIN CSL_CITATION { "citationItems" : [ { "id" : "ITEM-1", "itemData" : { "author" : [ { "dropping-particle" : "", "family" : "Makadok", "given" : "Richard", "non-dropping-particle" : "", "parse-names" : false, "suffix" : "" } ], "container-title" : "Strategic Management Journal", "id" : "ITEM-1", "issued" : { "date-parts" : [ [ "2003" ] ] }, "page" : "1043-1055", "title" : "Doing the Right Thing and Knowing the Right Thing to Do: Why the Whole is Greater Than the Sum of the Parts", "type" : "article-journal", "volume" : "24" }, "uris" : [ "http://www.mendeley.com/documents/?uuid=a936f3f0-605e-497e-80c6-d8b2713463de" ] } ], "mendeley" : { "formattedCitation" : "(Makadok, 2003)", "plainTextFormattedCitation" : "(Makadok, 2003)", "previouslyFormattedCitation" : "(Makadok, 2003)" }, "properties" : { "noteIndex" : 0 }, "schema" : "https://github.com/citation-style-language/schema/raw/master/csl-citation.json" }</w:instrText>
      </w:r>
      <w:r w:rsidR="00850548">
        <w:rPr>
          <w:rFonts w:ascii="Times New Roman" w:hAnsi="Times New Roman" w:cs="Times New Roman"/>
          <w:color w:val="000000" w:themeColor="text1"/>
        </w:rPr>
        <w:fldChar w:fldCharType="separate"/>
      </w:r>
      <w:r w:rsidR="00850548" w:rsidRPr="00850548">
        <w:rPr>
          <w:rFonts w:ascii="Times New Roman" w:hAnsi="Times New Roman" w:cs="Times New Roman"/>
          <w:noProof/>
          <w:color w:val="000000" w:themeColor="text1"/>
        </w:rPr>
        <w:t>(Makadok, 2003)</w:t>
      </w:r>
      <w:r w:rsidR="00850548">
        <w:rPr>
          <w:rFonts w:ascii="Times New Roman" w:hAnsi="Times New Roman" w:cs="Times New Roman"/>
          <w:color w:val="000000" w:themeColor="text1"/>
        </w:rPr>
        <w:fldChar w:fldCharType="end"/>
      </w:r>
      <w:r w:rsidR="00850548">
        <w:rPr>
          <w:rFonts w:ascii="Times New Roman" w:hAnsi="Times New Roman" w:cs="Times New Roman"/>
          <w:color w:val="000000" w:themeColor="text1"/>
        </w:rPr>
        <w:t>.</w:t>
      </w:r>
    </w:p>
    <w:p w14:paraId="38454EEA" w14:textId="77777777" w:rsidR="00927AD1" w:rsidRPr="0068584C" w:rsidRDefault="00927AD1" w:rsidP="0035460B">
      <w:pPr>
        <w:spacing w:line="480" w:lineRule="auto"/>
        <w:rPr>
          <w:rFonts w:ascii="Times New Roman" w:hAnsi="Times New Roman" w:cs="Times New Roman"/>
        </w:rPr>
      </w:pPr>
    </w:p>
    <w:p w14:paraId="0CC88823" w14:textId="12220888" w:rsidR="00CC4C2C" w:rsidRPr="001B6FF7" w:rsidRDefault="00E75CB8" w:rsidP="001B6FF7">
      <w:pPr>
        <w:pStyle w:val="Heading3new"/>
      </w:pPr>
      <w:r w:rsidRPr="001B6FF7">
        <w:t xml:space="preserve">The </w:t>
      </w:r>
      <w:r w:rsidR="00CC4C2C" w:rsidRPr="001B6FF7">
        <w:t>Domain</w:t>
      </w:r>
      <w:r w:rsidRPr="001B6FF7">
        <w:t>s of</w:t>
      </w:r>
      <w:r w:rsidR="00E86596" w:rsidRPr="001B6FF7">
        <w:t xml:space="preserve"> RBT, DCT, </w:t>
      </w:r>
      <w:r w:rsidRPr="001B6FF7">
        <w:t xml:space="preserve">and </w:t>
      </w:r>
      <w:r w:rsidR="00E86596" w:rsidRPr="001B6FF7">
        <w:t>ROT</w:t>
      </w:r>
    </w:p>
    <w:p w14:paraId="40004595" w14:textId="6D1B8317" w:rsidR="00BF063A" w:rsidRPr="0068584C" w:rsidRDefault="003718EF" w:rsidP="0035460B">
      <w:pPr>
        <w:spacing w:line="480" w:lineRule="auto"/>
        <w:jc w:val="both"/>
        <w:rPr>
          <w:rFonts w:ascii="Times New Roman" w:hAnsi="Times New Roman" w:cs="Times New Roman"/>
        </w:rPr>
      </w:pPr>
      <w:r w:rsidRPr="0068584C">
        <w:rPr>
          <w:rFonts w:ascii="Times New Roman" w:hAnsi="Times New Roman" w:cs="Times New Roman"/>
        </w:rPr>
        <w:t>As part of the theory elaboration process, i</w:t>
      </w:r>
      <w:r w:rsidR="00CC4C2C" w:rsidRPr="0068584C">
        <w:rPr>
          <w:rFonts w:ascii="Times New Roman" w:hAnsi="Times New Roman" w:cs="Times New Roman"/>
        </w:rPr>
        <w:t>t is critical to define the setting and the circumstances where the theory can be applied</w:t>
      </w:r>
      <w:r w:rsidRPr="0068584C">
        <w:rPr>
          <w:rFonts w:ascii="Times New Roman" w:hAnsi="Times New Roman" w:cs="Times New Roman"/>
        </w:rPr>
        <w:t xml:space="preserve"> </w:t>
      </w:r>
      <w:r w:rsidR="00E016FA"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"ISBN" : "1515294811", "author" : [ { "dropping-particle" : "", "family" : "Wacker", "given" : "John G", "non-dropping-particle" : "", "parse-names" : false, "suffix" : "" } ], "container-title" : "Journal of Operations Management", "id" : "ITEM-1", "issue" : "4", "issued" : { "date-parts" : [ [ "1998" ] ] }, "page" : "361-385", "title" : "A definition of theory: research guidelines for different theory-building research methods in operations management", "type" : "article-journal", "volume" : "16" }, "uris" : [ "http://www.mendeley.com/documents/?uuid=00f61d23-9b83-4b25-9418-585af3e47d5a" ] } ], "mendeley" : { "formattedCitation" : "(Wacker, 1998)", "plainTextFormattedCitation" : "(Wacker, 1998)", "previouslyFormattedCitation" : "(Wacker, 1998)" }, "properties" : { "noteIndex" : 0 }, "schema" : "https://github.com/citation-style-language/schema/raw/master/csl-citation.json" }</w:instrText>
      </w:r>
      <w:r w:rsidR="00E016FA" w:rsidRPr="0068584C">
        <w:rPr>
          <w:rFonts w:ascii="Times New Roman" w:hAnsi="Times New Roman" w:cs="Times New Roman"/>
        </w:rPr>
        <w:fldChar w:fldCharType="separate"/>
      </w:r>
      <w:r w:rsidR="000E6ECE" w:rsidRPr="000E6ECE">
        <w:rPr>
          <w:rFonts w:ascii="Times New Roman" w:hAnsi="Times New Roman" w:cs="Times New Roman"/>
          <w:noProof/>
        </w:rPr>
        <w:t>(Wacker, 1998)</w:t>
      </w:r>
      <w:r w:rsidR="00E016FA" w:rsidRPr="0068584C">
        <w:rPr>
          <w:rFonts w:ascii="Times New Roman" w:hAnsi="Times New Roman" w:cs="Times New Roman"/>
        </w:rPr>
        <w:fldChar w:fldCharType="end"/>
      </w:r>
      <w:r w:rsidR="00E016FA" w:rsidRPr="0068584C">
        <w:rPr>
          <w:rFonts w:ascii="Times New Roman" w:hAnsi="Times New Roman" w:cs="Times New Roman"/>
        </w:rPr>
        <w:t>.</w:t>
      </w:r>
      <w:r w:rsidR="00BF063A" w:rsidRPr="0068584C">
        <w:rPr>
          <w:rFonts w:ascii="Times New Roman" w:hAnsi="Times New Roman" w:cs="Times New Roman"/>
        </w:rPr>
        <w:t xml:space="preserve"> </w:t>
      </w:r>
      <w:r w:rsidR="00DE6794" w:rsidRPr="0068584C">
        <w:rPr>
          <w:rFonts w:ascii="Times New Roman" w:hAnsi="Times New Roman" w:cs="Times New Roman"/>
        </w:rPr>
        <w:t xml:space="preserve">Where and when does the theory hold?  </w:t>
      </w:r>
      <w:r w:rsidR="00BF063A" w:rsidRPr="0068584C">
        <w:rPr>
          <w:rFonts w:ascii="Times New Roman" w:hAnsi="Times New Roman" w:cs="Times New Roman"/>
        </w:rPr>
        <w:t>By applying the Wacker (1998) procedure of good theory building, RBT and its components were analyzed thoroughly by Tate and Bals (2017). Thus, this section’s analysis will focus on the domain of DCT and subsequently ROT.</w:t>
      </w:r>
    </w:p>
    <w:p w14:paraId="3D051B6F" w14:textId="6365D218" w:rsidR="00607D66" w:rsidRPr="0068584C" w:rsidRDefault="008D7601" w:rsidP="0035460B">
      <w:pPr>
        <w:spacing w:line="480" w:lineRule="auto"/>
        <w:jc w:val="both"/>
        <w:rPr>
          <w:rFonts w:ascii="Times New Roman" w:hAnsi="Times New Roman" w:cs="Times New Roman"/>
          <w:color w:val="000000" w:themeColor="text1"/>
        </w:rPr>
      </w:pPr>
      <w:r>
        <w:rPr>
          <w:rFonts w:ascii="Times New Roman" w:hAnsi="Times New Roman" w:cs="Times New Roman"/>
        </w:rPr>
        <w:tab/>
      </w:r>
      <w:r w:rsidR="00C460FB" w:rsidRPr="0068584C">
        <w:rPr>
          <w:rFonts w:ascii="Times New Roman" w:hAnsi="Times New Roman" w:cs="Times New Roman"/>
        </w:rPr>
        <w:t xml:space="preserve">In contrast to RBT, DCT and ROT </w:t>
      </w:r>
      <w:r w:rsidR="004A0F6A">
        <w:rPr>
          <w:rFonts w:ascii="Times New Roman" w:hAnsi="Times New Roman" w:cs="Times New Roman"/>
        </w:rPr>
        <w:t>explain and predict</w:t>
      </w:r>
      <w:r w:rsidR="00C460FB" w:rsidRPr="0068584C">
        <w:rPr>
          <w:rFonts w:ascii="Times New Roman" w:hAnsi="Times New Roman" w:cs="Times New Roman"/>
        </w:rPr>
        <w:t xml:space="preserve"> the achievement of only a temporary competitive advantage. Both theories assume that over time, the competition will </w:t>
      </w:r>
      <w:r w:rsidR="00C460FB" w:rsidRPr="0068584C">
        <w:rPr>
          <w:rFonts w:ascii="Times New Roman" w:hAnsi="Times New Roman" w:cs="Times New Roman"/>
        </w:rPr>
        <w:lastRenderedPageBreak/>
        <w:t>catch up and equalize any temporary advantage, regardless of its resource characteristics</w:t>
      </w:r>
      <w:r w:rsidR="00087920">
        <w:rPr>
          <w:rFonts w:ascii="Times New Roman" w:hAnsi="Times New Roman" w:cs="Times New Roman"/>
        </w:rPr>
        <w:t xml:space="preserve"> </w:t>
      </w:r>
      <w:r w:rsidR="00087920">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"ITEM-1", "issued" : { "date-parts" : [ [ "2007" ] ] }, "page" : "1319-1350", "title" : "Explicating Dynamic Capabilities: The Nature and Microfoundations of (Sustainable) Enterprise Performance", "type" : "article-journal", "volume" : "28" }, "uris" : [ "http://www.mendeley.com/documents/?uuid=294c960e-6f43-40bf-808a-3028629ef748" ] }, { "id" : "ITEM-2", "itemData" : { "DOI" : "10.1002/smj", "abstract" : "Dynamic managerial capabilities focus on managers\u2019 resource-related decisions. Asset orches- tration, a central component of dynamic managerial capabilities and of resource management, highlights the importance of integrating (matching) resource investment and deployment deci- sions. Building on these recent theoretical advances, we examine the contingent nature of resource investment and deployment decisions. The results, based on a sample of banking firms, indicate that firm performance suffers when managers\u2019 investment decisions deviate from the norms of rivals for both human and physical capital. However, when deployment deci- sions support investment decisions, greater investment deviation, both high and low, generally enhances performance. Specifically, firm performance is optimized by making congruent resource investment and deployment decisions as opposed to maximizing or economizing either deci- sion independently. Therefore, resource management via asset orchestration is vital for superior performance.", "author" : [ { "dropping-particle" : "", "family" : "Sirmon", "given" : "David G", "non-dropping-particle" : "", "parse-names" : false, "suffix" : "" }, { "dropping-particle" : "", "family" : "Hitt", "given" : "Michael A", "non-dropping-particle" : "", "parse-names" : false, "suffix" : "" } ], "container-title" : "Strategic Management Journal", "id" : "ITEM-2", "issued" : { "date-parts" : [ [ "2009" ] ] }, "page" : "1375-1394", "title" : "CONTINGENCIES WITHIN DYNAMIC MANAGERIAL CAPABILITIES: INTERDEPENDENT EFFECTS OF RESOURCE INVESTMENT AND DEPLOYMENT ON FIRM PERFORMANCE", "type" : "article-journal", "volume" : "30" }, "uris" : [ "http://www.mendeley.com/documents/?uuid=a8dc1aa8-cdca-48bb-9e71-f38e92604266" ] } ], "mendeley" : { "formattedCitation" : "(Sirmon &amp; Hitt, 2009; Teece, 2007)", "plainTextFormattedCitation" : "(Sirmon &amp; Hitt, 2009; Teece, 2007)", "previouslyFormattedCitation" : "(Sirmon &amp; Hitt, 2009; Teece, 2007)" }, "properties" : { "noteIndex" : 0 }, "schema" : "https://github.com/citation-style-language/schema/raw/master/csl-citation.json" }</w:instrText>
      </w:r>
      <w:r w:rsidR="00087920">
        <w:rPr>
          <w:rFonts w:ascii="Times New Roman" w:hAnsi="Times New Roman" w:cs="Times New Roman"/>
        </w:rPr>
        <w:fldChar w:fldCharType="separate"/>
      </w:r>
      <w:r w:rsidR="000E6ECE" w:rsidRPr="000E6ECE">
        <w:rPr>
          <w:rFonts w:ascii="Times New Roman" w:hAnsi="Times New Roman" w:cs="Times New Roman"/>
          <w:noProof/>
        </w:rPr>
        <w:t>(Sirmon &amp; Hitt, 2009; Teece, 2007)</w:t>
      </w:r>
      <w:r w:rsidR="00087920">
        <w:rPr>
          <w:rFonts w:ascii="Times New Roman" w:hAnsi="Times New Roman" w:cs="Times New Roman"/>
        </w:rPr>
        <w:fldChar w:fldCharType="end"/>
      </w:r>
      <w:r w:rsidR="00C460FB" w:rsidRPr="0068584C">
        <w:rPr>
          <w:rFonts w:ascii="Times New Roman" w:hAnsi="Times New Roman" w:cs="Times New Roman"/>
        </w:rPr>
        <w:t>.</w:t>
      </w:r>
      <w:r w:rsidR="00DD108B" w:rsidRPr="0068584C">
        <w:rPr>
          <w:rFonts w:ascii="Times New Roman" w:hAnsi="Times New Roman" w:cs="Times New Roman"/>
        </w:rPr>
        <w:t xml:space="preserve"> T</w:t>
      </w:r>
      <w:r w:rsidR="00DC6381" w:rsidRPr="0068584C">
        <w:rPr>
          <w:rFonts w:ascii="Times New Roman" w:hAnsi="Times New Roman" w:cs="Times New Roman"/>
        </w:rPr>
        <w:t xml:space="preserve">he resources themselves will not provide a competitive advantage because they can be copied relatively easily </w:t>
      </w:r>
      <w:r w:rsidR="00DC6381"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"ITEM-1", "issued" : { "date-parts" : [ [ "2000" ] ] }, "page" : "1105-1121", "title" : "Dynamic Capabilities: What Are They?", "type" : "article-journal", "volume" : "21" }, "uris" : [ "http://www.mendeley.com/documents/?uuid=29651fe3-b2a9-482d-82cf-c139477ca50d" ] } ], "mendeley" : { "formattedCitation" : "(Eisenhardt &amp; Martin, 2000)", "plainTextFormattedCitation" : "(Eisenhardt &amp; Martin, 2000)", "previouslyFormattedCitation" : "(Eisenhardt &amp; Martin, 2000)" }, "properties" : { "noteIndex" : 0 }, "schema" : "https://github.com/citation-style-language/schema/raw/master/csl-citation.json" }</w:instrText>
      </w:r>
      <w:r w:rsidR="00DC6381" w:rsidRPr="0068584C">
        <w:rPr>
          <w:rFonts w:ascii="Times New Roman" w:hAnsi="Times New Roman" w:cs="Times New Roman"/>
        </w:rPr>
        <w:fldChar w:fldCharType="separate"/>
      </w:r>
      <w:r w:rsidR="000E6ECE" w:rsidRPr="000E6ECE">
        <w:rPr>
          <w:rFonts w:ascii="Times New Roman" w:hAnsi="Times New Roman" w:cs="Times New Roman"/>
          <w:noProof/>
        </w:rPr>
        <w:t>(Eisenhardt &amp; Martin, 2000)</w:t>
      </w:r>
      <w:r w:rsidR="00DC6381" w:rsidRPr="0068584C">
        <w:rPr>
          <w:rFonts w:ascii="Times New Roman" w:hAnsi="Times New Roman" w:cs="Times New Roman"/>
        </w:rPr>
        <w:fldChar w:fldCharType="end"/>
      </w:r>
      <w:r w:rsidR="00DC6381" w:rsidRPr="0068584C">
        <w:rPr>
          <w:rFonts w:ascii="Times New Roman" w:hAnsi="Times New Roman" w:cs="Times New Roman"/>
        </w:rPr>
        <w:t xml:space="preserve">.  </w:t>
      </w:r>
      <w:r w:rsidR="00292D4B" w:rsidRPr="0068584C">
        <w:rPr>
          <w:rFonts w:ascii="Times New Roman" w:hAnsi="Times New Roman" w:cs="Times New Roman"/>
        </w:rPr>
        <w:t>T</w:t>
      </w:r>
      <w:r w:rsidR="00DC6381" w:rsidRPr="0068584C">
        <w:rPr>
          <w:rFonts w:ascii="Times New Roman" w:hAnsi="Times New Roman" w:cs="Times New Roman"/>
        </w:rPr>
        <w:t xml:space="preserve">he theory of dynamic capabilities focuses on the unique </w:t>
      </w:r>
      <w:r w:rsidR="00DD108B" w:rsidRPr="0068584C">
        <w:rPr>
          <w:rFonts w:ascii="Times New Roman" w:hAnsi="Times New Roman" w:cs="Times New Roman"/>
        </w:rPr>
        <w:t>(re-)</w:t>
      </w:r>
      <w:r w:rsidR="00254903" w:rsidRPr="0068584C">
        <w:rPr>
          <w:rFonts w:ascii="Times New Roman" w:hAnsi="Times New Roman" w:cs="Times New Roman"/>
        </w:rPr>
        <w:t xml:space="preserve"> </w:t>
      </w:r>
      <w:r w:rsidR="00DC6381" w:rsidRPr="0068584C">
        <w:rPr>
          <w:rFonts w:ascii="Times New Roman" w:hAnsi="Times New Roman" w:cs="Times New Roman"/>
        </w:rPr>
        <w:t>configuration of resources, which is</w:t>
      </w:r>
      <w:r w:rsidR="00DD108B" w:rsidRPr="0068584C">
        <w:rPr>
          <w:rFonts w:ascii="Times New Roman" w:hAnsi="Times New Roman" w:cs="Times New Roman"/>
        </w:rPr>
        <w:t xml:space="preserve"> an organizational</w:t>
      </w:r>
      <w:r w:rsidR="00163B59" w:rsidRPr="0068584C">
        <w:rPr>
          <w:rFonts w:ascii="Times New Roman" w:hAnsi="Times New Roman" w:cs="Times New Roman"/>
        </w:rPr>
        <w:t xml:space="preserve"> </w:t>
      </w:r>
      <w:r w:rsidR="00DD108B" w:rsidRPr="0068584C">
        <w:rPr>
          <w:rFonts w:ascii="Times New Roman" w:hAnsi="Times New Roman" w:cs="Times New Roman"/>
        </w:rPr>
        <w:t>capability. Being tacit, it is</w:t>
      </w:r>
      <w:r w:rsidR="00DC6381" w:rsidRPr="0068584C">
        <w:rPr>
          <w:rFonts w:ascii="Times New Roman" w:hAnsi="Times New Roman" w:cs="Times New Roman"/>
        </w:rPr>
        <w:t xml:space="preserve"> rather inimitable and more </w:t>
      </w:r>
      <w:r w:rsidR="00DD108B" w:rsidRPr="0068584C">
        <w:rPr>
          <w:rFonts w:ascii="Times New Roman" w:hAnsi="Times New Roman" w:cs="Times New Roman"/>
        </w:rPr>
        <w:t>prote</w:t>
      </w:r>
      <w:r w:rsidR="00672820" w:rsidRPr="0068584C">
        <w:rPr>
          <w:rFonts w:ascii="Times New Roman" w:hAnsi="Times New Roman" w:cs="Times New Roman"/>
        </w:rPr>
        <w:t>c</w:t>
      </w:r>
      <w:r w:rsidR="00DD108B" w:rsidRPr="0068584C">
        <w:rPr>
          <w:rFonts w:ascii="Times New Roman" w:hAnsi="Times New Roman" w:cs="Times New Roman"/>
        </w:rPr>
        <w:t xml:space="preserve">table for a longer period of time, </w:t>
      </w:r>
      <w:r w:rsidR="00DC6381" w:rsidRPr="0068584C">
        <w:rPr>
          <w:rFonts w:ascii="Times New Roman" w:hAnsi="Times New Roman" w:cs="Times New Roman"/>
        </w:rPr>
        <w:t>leading to</w:t>
      </w:r>
      <w:r w:rsidR="00DD108B" w:rsidRPr="0068584C">
        <w:rPr>
          <w:rFonts w:ascii="Times New Roman" w:hAnsi="Times New Roman" w:cs="Times New Roman"/>
        </w:rPr>
        <w:t xml:space="preserve"> </w:t>
      </w:r>
      <w:r w:rsidR="00062508" w:rsidRPr="0068584C">
        <w:rPr>
          <w:rFonts w:ascii="Times New Roman" w:hAnsi="Times New Roman" w:cs="Times New Roman"/>
        </w:rPr>
        <w:t>a</w:t>
      </w:r>
      <w:r w:rsidR="00DC6381" w:rsidRPr="0068584C">
        <w:rPr>
          <w:rFonts w:ascii="Times New Roman" w:hAnsi="Times New Roman" w:cs="Times New Roman"/>
        </w:rPr>
        <w:t xml:space="preserve"> </w:t>
      </w:r>
      <w:r w:rsidR="00DD108B" w:rsidRPr="0068584C">
        <w:rPr>
          <w:rFonts w:ascii="Times New Roman" w:hAnsi="Times New Roman" w:cs="Times New Roman"/>
        </w:rPr>
        <w:t xml:space="preserve">temporary </w:t>
      </w:r>
      <w:r w:rsidR="00DC6381" w:rsidRPr="0068584C">
        <w:rPr>
          <w:rFonts w:ascii="Times New Roman" w:hAnsi="Times New Roman" w:cs="Times New Roman"/>
        </w:rPr>
        <w:t>competitive advantage</w:t>
      </w:r>
      <w:r w:rsidR="00FD7366">
        <w:rPr>
          <w:rFonts w:ascii="Times New Roman" w:hAnsi="Times New Roman" w:cs="Times New Roman"/>
        </w:rPr>
        <w:t xml:space="preserve"> </w:t>
      </w:r>
      <w:r w:rsidR="00AC71DA">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"ISSN" : "01432095", "PMID" : "20859841", "abstract" : "The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 "author" : [ { "dropping-particle" : "", "family" : "Teece", "given" : "David J", "non-dropping-particle" : "", "parse-names" : false, "suffix" : "" }, { "dropping-particle" : "", "family" : "Pisano", "given" : "Gary", "non-dropping-particle" : "", "parse-names" : false, "suffix" : "" }, { "dropping-particle" : "", "family" : "Shuen", "given" : "Amy", "non-dropping-particle" : "", "parse-names" : false, "suffix" : "" } ], "chapter-number" : "19", "container-title" : "Strategic Management Journal", "editor" : [ { "dropping-particle" : "", "family" : "Dosi", "given" : "Giovanni", "non-dropping-particle" : "", "parse-names" : false, "suffix" : "" }, { "dropping-particle" : "", "family" : "Nelson", "given" : "Richard R", "non-dropping-particle" : "", "parse-names" : false, "suffix" : "" }, { "dropping-particle" : "", "family" : "Winter", "given" : "Sidney G", "non-dropping-particle" : "", "parse-names" : false, "suffix" : "" } ], "id" : "ITEM-1", "issue" : "7", "issued" : { "date-parts" : [ [ "1997" ] ] }, "page" : "509-533", "publisher" : "John Wiley &amp; Sons", "title" : "Dynamic capabilities and strategic management", "type" : "article-journal", "volume" : "18" }, "uris" : [ "http://www.mendeley.com/documents/?uuid=02891bcf-d320-4c43-b905-18e5702c29c5" ] }, { "id" : "ITEM-2",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"ITEM-2", "issued" : { "date-parts" : [ [ "2007" ] ] }, "page" : "1319-1350", "title" : "Explicating Dynamic Capabilities: The Nature and Microfoundations of (Sustainable) Enterprise Performance", "type" : "article-journal", "volume" : "28" }, "uris" : [ "http://www.mendeley.com/documents/?uuid=294c960e-6f43-40bf-808a-3028629ef748" ] } ], "mendeley" : { "formattedCitation" : "(Teece, 2007; Teece et al., 1997)", "plainTextFormattedCitation" : "(Teece, 2007; Teece et al., 1997)", "previouslyFormattedCitation" : "(Teece, 2007; Teece et al., 1997)" }, "properties" : { "noteIndex" : 0 }, "schema" : "https://github.com/citation-style-language/schema/raw/master/csl-citation.json" }</w:instrText>
      </w:r>
      <w:r w:rsidR="00AC71DA">
        <w:rPr>
          <w:rFonts w:ascii="Times New Roman" w:hAnsi="Times New Roman" w:cs="Times New Roman"/>
        </w:rPr>
        <w:fldChar w:fldCharType="separate"/>
      </w:r>
      <w:r w:rsidR="000E6ECE" w:rsidRPr="000E6ECE">
        <w:rPr>
          <w:rFonts w:ascii="Times New Roman" w:hAnsi="Times New Roman" w:cs="Times New Roman"/>
          <w:noProof/>
        </w:rPr>
        <w:t>(Teece, 2007; Teece et al., 1997)</w:t>
      </w:r>
      <w:r w:rsidR="00AC71DA">
        <w:rPr>
          <w:rFonts w:ascii="Times New Roman" w:hAnsi="Times New Roman" w:cs="Times New Roman"/>
        </w:rPr>
        <w:fldChar w:fldCharType="end"/>
      </w:r>
      <w:r w:rsidR="00DC6381" w:rsidRPr="0068584C">
        <w:rPr>
          <w:rFonts w:ascii="Times New Roman" w:hAnsi="Times New Roman" w:cs="Times New Roman"/>
        </w:rPr>
        <w:t xml:space="preserve">. The sole possession of resources has become less important than the actual practices of </w:t>
      </w:r>
      <w:r w:rsidR="00DD108B" w:rsidRPr="0068584C">
        <w:rPr>
          <w:rFonts w:ascii="Times New Roman" w:hAnsi="Times New Roman" w:cs="Times New Roman"/>
        </w:rPr>
        <w:t>resource re-configuration</w:t>
      </w:r>
      <w:r w:rsidR="00E808F1">
        <w:rPr>
          <w:rFonts w:ascii="Times New Roman" w:hAnsi="Times New Roman" w:cs="Times New Roman"/>
        </w:rPr>
        <w:t xml:space="preserve"> </w:t>
      </w:r>
      <w:r w:rsidR="00E808F1">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"ITEM-1", "issued" : { "date-parts" : [ [ "2007" ] ] }, "page" : "1319-1350", "title" : "Explicating Dynamic Capabilities: The Nature and Microfoundations of (Sustainable) Enterprise Performance", "type" : "article-journal", "volume" : "28" }, "uris" : [ "http://www.mendeley.com/documents/?uuid=294c960e-6f43-40bf-808a-3028629ef748" ] } ], "mendeley" : { "formattedCitation" : "(Teece, 2007)", "plainTextFormattedCitation" : "(Teece, 2007)", "previouslyFormattedCitation" : "(Teece, 2007)" }, "properties" : { "noteIndex" : 0 }, "schema" : "https://github.com/citation-style-language/schema/raw/master/csl-citation.json" }</w:instrText>
      </w:r>
      <w:r w:rsidR="00E808F1">
        <w:rPr>
          <w:rFonts w:ascii="Times New Roman" w:hAnsi="Times New Roman" w:cs="Times New Roman"/>
        </w:rPr>
        <w:fldChar w:fldCharType="separate"/>
      </w:r>
      <w:r w:rsidR="000E6ECE" w:rsidRPr="000E6ECE">
        <w:rPr>
          <w:rFonts w:ascii="Times New Roman" w:hAnsi="Times New Roman" w:cs="Times New Roman"/>
          <w:noProof/>
        </w:rPr>
        <w:t>(Teece, 2007)</w:t>
      </w:r>
      <w:r w:rsidR="00E808F1">
        <w:rPr>
          <w:rFonts w:ascii="Times New Roman" w:hAnsi="Times New Roman" w:cs="Times New Roman"/>
        </w:rPr>
        <w:fldChar w:fldCharType="end"/>
      </w:r>
      <w:r w:rsidR="00DD108B" w:rsidRPr="0068584C">
        <w:rPr>
          <w:rFonts w:ascii="Times New Roman" w:hAnsi="Times New Roman" w:cs="Times New Roman"/>
        </w:rPr>
        <w:t xml:space="preserve"> and </w:t>
      </w:r>
      <w:r w:rsidR="00DC6381" w:rsidRPr="0068584C">
        <w:rPr>
          <w:rFonts w:ascii="Times New Roman" w:hAnsi="Times New Roman" w:cs="Times New Roman"/>
        </w:rPr>
        <w:t xml:space="preserve">resource exploitation </w:t>
      </w:r>
      <w:r w:rsidR="00DC6381"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"ITEM-1", "issue" : "3", "issued" : { "date-parts" : [ [ "2014" ] ] }, "page" : "6-15", "title" : "Resource Gaps and Resource Orchestration Shortfalls in Supply Chain Management: The Case of Product Recalls", "type" : "article-journal", "volume" : "50" }, "uris" : [ "http://www.mendeley.com/documents/?uuid=253c704b-7d13-4b31-9f44-27ec30152f71" ] } ], "mendeley" : { "formattedCitation" : "(Ketchen et al., 2014)", "plainTextFormattedCitation" : "(Ketchen et al., 2014)", "previouslyFormattedCitation" : "(Ketchen et al., 2014)" }, "properties" : { "noteIndex" : 0 }, "schema" : "https://github.com/citation-style-language/schema/raw/master/csl-citation.json" }</w:instrText>
      </w:r>
      <w:r w:rsidR="00DC6381" w:rsidRPr="0068584C">
        <w:rPr>
          <w:rFonts w:ascii="Times New Roman" w:hAnsi="Times New Roman" w:cs="Times New Roman"/>
        </w:rPr>
        <w:fldChar w:fldCharType="separate"/>
      </w:r>
      <w:r w:rsidR="000E6ECE" w:rsidRPr="000E6ECE">
        <w:rPr>
          <w:rFonts w:ascii="Times New Roman" w:hAnsi="Times New Roman" w:cs="Times New Roman"/>
          <w:noProof/>
        </w:rPr>
        <w:t>(Ketchen et al., 2014)</w:t>
      </w:r>
      <w:r w:rsidR="00DC6381" w:rsidRPr="0068584C">
        <w:rPr>
          <w:rFonts w:ascii="Times New Roman" w:hAnsi="Times New Roman" w:cs="Times New Roman"/>
        </w:rPr>
        <w:fldChar w:fldCharType="end"/>
      </w:r>
      <w:r w:rsidR="00DC6381" w:rsidRPr="0068584C">
        <w:rPr>
          <w:rFonts w:ascii="Times New Roman" w:hAnsi="Times New Roman" w:cs="Times New Roman"/>
        </w:rPr>
        <w:t>.</w:t>
      </w:r>
      <w:r w:rsidR="00607D66" w:rsidRPr="0068584C">
        <w:rPr>
          <w:rFonts w:ascii="Times New Roman" w:hAnsi="Times New Roman" w:cs="Times New Roman"/>
          <w:color w:val="000000" w:themeColor="text1"/>
        </w:rPr>
        <w:t xml:space="preserve"> </w:t>
      </w:r>
      <w:r w:rsidR="00162151" w:rsidRPr="0068584C">
        <w:rPr>
          <w:rFonts w:ascii="Times New Roman" w:hAnsi="Times New Roman" w:cs="Times New Roman"/>
          <w:color w:val="000000" w:themeColor="text1"/>
        </w:rPr>
        <w:t xml:space="preserve">Unlike RBT or ROT, </w:t>
      </w:r>
      <w:r w:rsidR="00607D66" w:rsidRPr="0068584C">
        <w:rPr>
          <w:rFonts w:ascii="Times New Roman" w:hAnsi="Times New Roman" w:cs="Times New Roman"/>
          <w:color w:val="000000" w:themeColor="text1"/>
        </w:rPr>
        <w:t>DCT has specified dynamic environments as part of its domain (</w:t>
      </w:r>
      <w:r w:rsidR="00607D66" w:rsidRPr="0068584C">
        <w:rPr>
          <w:rFonts w:ascii="Times New Roman" w:hAnsi="Times New Roman" w:cs="Times New Roman"/>
          <w:noProof/>
        </w:rPr>
        <w:t>Eisenhardt and Martin 2000</w:t>
      </w:r>
      <w:r w:rsidR="00607D66" w:rsidRPr="0068584C">
        <w:rPr>
          <w:rFonts w:ascii="Times New Roman" w:hAnsi="Times New Roman" w:cs="Times New Roman"/>
          <w:color w:val="000000" w:themeColor="text1"/>
        </w:rPr>
        <w:t xml:space="preserve">). </w:t>
      </w:r>
    </w:p>
    <w:p w14:paraId="5EFDE2D9" w14:textId="7EBB0481" w:rsidR="003F6E8D" w:rsidRPr="0068584C" w:rsidRDefault="008D7601" w:rsidP="0035460B">
      <w:pPr>
        <w:spacing w:line="480" w:lineRule="auto"/>
        <w:jc w:val="both"/>
        <w:rPr>
          <w:rFonts w:ascii="Times New Roman" w:hAnsi="Times New Roman" w:cs="Times New Roman"/>
        </w:rPr>
      </w:pPr>
      <w:r>
        <w:rPr>
          <w:rFonts w:ascii="Times New Roman" w:hAnsi="Times New Roman" w:cs="Times New Roman"/>
          <w:color w:val="000000" w:themeColor="text1"/>
        </w:rPr>
        <w:tab/>
      </w:r>
      <w:r w:rsidR="003F6E8D" w:rsidRPr="0068584C">
        <w:rPr>
          <w:rFonts w:ascii="Times New Roman" w:hAnsi="Times New Roman" w:cs="Times New Roman"/>
          <w:color w:val="000000" w:themeColor="text1"/>
        </w:rPr>
        <w:t xml:space="preserve">While RBT has characterized </w:t>
      </w:r>
      <w:r w:rsidR="00A21FE5" w:rsidRPr="0068584C">
        <w:rPr>
          <w:rFonts w:ascii="Times New Roman" w:hAnsi="Times New Roman" w:cs="Times New Roman"/>
          <w:color w:val="000000" w:themeColor="text1"/>
        </w:rPr>
        <w:t xml:space="preserve">relevant </w:t>
      </w:r>
      <w:r w:rsidR="003F6E8D" w:rsidRPr="0068584C">
        <w:rPr>
          <w:rFonts w:ascii="Times New Roman" w:hAnsi="Times New Roman" w:cs="Times New Roman"/>
          <w:color w:val="000000" w:themeColor="text1"/>
        </w:rPr>
        <w:t xml:space="preserve">resources </w:t>
      </w:r>
      <w:r w:rsidR="00A21FE5" w:rsidRPr="0068584C">
        <w:rPr>
          <w:rFonts w:ascii="Times New Roman" w:hAnsi="Times New Roman" w:cs="Times New Roman"/>
          <w:color w:val="000000" w:themeColor="text1"/>
        </w:rPr>
        <w:t xml:space="preserve">with </w:t>
      </w:r>
      <w:r w:rsidR="003F6E8D" w:rsidRPr="0068584C">
        <w:rPr>
          <w:rFonts w:ascii="Times New Roman" w:hAnsi="Times New Roman" w:cs="Times New Roman"/>
          <w:color w:val="000000" w:themeColor="text1"/>
        </w:rPr>
        <w:t xml:space="preserve">VRIO attributes, it has been relatively silent about HOW a firm can </w:t>
      </w:r>
      <w:r w:rsidR="00886088" w:rsidRPr="0068584C">
        <w:rPr>
          <w:rFonts w:ascii="Times New Roman" w:hAnsi="Times New Roman" w:cs="Times New Roman"/>
        </w:rPr>
        <w:t>gain</w:t>
      </w:r>
      <w:r w:rsidR="00412719" w:rsidRPr="0068584C">
        <w:rPr>
          <w:rFonts w:ascii="Times New Roman" w:hAnsi="Times New Roman" w:cs="Times New Roman"/>
        </w:rPr>
        <w:t xml:space="preserve"> </w:t>
      </w:r>
      <w:r w:rsidR="003F6E8D" w:rsidRPr="0068584C">
        <w:rPr>
          <w:rFonts w:ascii="Times New Roman" w:hAnsi="Times New Roman" w:cs="Times New Roman"/>
          <w:color w:val="000000" w:themeColor="text1"/>
        </w:rPr>
        <w:t>a competitive advantage</w:t>
      </w:r>
      <w:r w:rsidR="002B5837">
        <w:rPr>
          <w:rFonts w:ascii="Times New Roman" w:hAnsi="Times New Roman" w:cs="Times New Roman"/>
          <w:color w:val="000000" w:themeColor="text1"/>
        </w:rPr>
        <w:t xml:space="preserve"> </w:t>
      </w:r>
      <w:r w:rsidR="002B5837">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"ITEM-1", "issue" : "3", "issued" : { "date-parts" : [ [ "2014" ] ] }, "page" : "6-15", "title" : "Resource Gaps and Resource Orchestration Shortfalls in Supply Chain Management: The Case of Product Recalls", "type" : "article-journal", "volume" : "50" }, "uris" : [ "http://www.mendeley.com/documents/?uuid=253c704b-7d13-4b31-9f44-27ec30152f71" ] } ], "mendeley" : { "formattedCitation" : "(Ketchen et al., 2014)", "plainTextFormattedCitation" : "(Ketchen et al., 2014)", "previouslyFormattedCitation" : "(Ketchen et al., 2014)" }, "properties" : { "noteIndex" : 0 }, "schema" : "https://github.com/citation-style-language/schema/raw/master/csl-citation.json" }</w:instrText>
      </w:r>
      <w:r w:rsidR="002B5837">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(Ketchen et al., 2014)</w:t>
      </w:r>
      <w:r w:rsidR="002B5837">
        <w:rPr>
          <w:rFonts w:ascii="Times New Roman" w:hAnsi="Times New Roman" w:cs="Times New Roman"/>
          <w:color w:val="000000" w:themeColor="text1"/>
        </w:rPr>
        <w:fldChar w:fldCharType="end"/>
      </w:r>
      <w:r w:rsidR="003F6E8D" w:rsidRPr="0068584C">
        <w:rPr>
          <w:rFonts w:ascii="Times New Roman" w:hAnsi="Times New Roman" w:cs="Times New Roman"/>
          <w:color w:val="000000" w:themeColor="text1"/>
        </w:rPr>
        <w:t xml:space="preserve">. What are concrete practices to accumulate such resources (resource bundles)? </w:t>
      </w:r>
      <w:r w:rsidR="00AD4DD8" w:rsidRPr="0068584C">
        <w:rPr>
          <w:rFonts w:ascii="Times New Roman" w:hAnsi="Times New Roman" w:cs="Times New Roman"/>
        </w:rPr>
        <w:t xml:space="preserve">How should resources be utilized to achieve a competitive advantage?  </w:t>
      </w:r>
      <w:r w:rsidR="003F6E8D" w:rsidRPr="0068584C">
        <w:rPr>
          <w:rFonts w:ascii="Times New Roman" w:hAnsi="Times New Roman" w:cs="Times New Roman"/>
          <w:color w:val="000000" w:themeColor="text1"/>
        </w:rPr>
        <w:t>DCT and ROT attempt to provide a theoretical explanation</w:t>
      </w:r>
      <w:r w:rsidR="00B54FDB" w:rsidRPr="0068584C">
        <w:rPr>
          <w:rFonts w:ascii="Times New Roman" w:hAnsi="Times New Roman" w:cs="Times New Roman"/>
          <w:color w:val="000000" w:themeColor="text1"/>
        </w:rPr>
        <w:t xml:space="preserve"> and thereby have extended </w:t>
      </w:r>
      <w:r w:rsidR="00DB360F">
        <w:rPr>
          <w:rFonts w:ascii="Times New Roman" w:hAnsi="Times New Roman" w:cs="Times New Roman"/>
          <w:color w:val="000000" w:themeColor="text1"/>
        </w:rPr>
        <w:t>RBT’s theoretical</w:t>
      </w:r>
      <w:r w:rsidR="00DB360F" w:rsidRPr="0068584C">
        <w:rPr>
          <w:rFonts w:ascii="Times New Roman" w:hAnsi="Times New Roman" w:cs="Times New Roman"/>
          <w:color w:val="000000" w:themeColor="text1"/>
        </w:rPr>
        <w:t xml:space="preserve"> </w:t>
      </w:r>
      <w:r w:rsidR="00B54FDB" w:rsidRPr="0068584C">
        <w:rPr>
          <w:rFonts w:ascii="Times New Roman" w:hAnsi="Times New Roman" w:cs="Times New Roman"/>
          <w:color w:val="000000" w:themeColor="text1"/>
        </w:rPr>
        <w:t>domain</w:t>
      </w:r>
      <w:r w:rsidR="003F6E8D" w:rsidRPr="0068584C">
        <w:rPr>
          <w:rFonts w:ascii="Times New Roman" w:hAnsi="Times New Roman" w:cs="Times New Roman"/>
          <w:color w:val="000000" w:themeColor="text1"/>
        </w:rPr>
        <w:t>. DCT emphasizes that firms utilize dynamic capabilities to adapt to dynamically changing environments</w:t>
      </w:r>
      <w:r w:rsidR="00063D41">
        <w:rPr>
          <w:rFonts w:ascii="Times New Roman" w:hAnsi="Times New Roman" w:cs="Times New Roman"/>
          <w:color w:val="000000" w:themeColor="text1"/>
        </w:rPr>
        <w:t xml:space="preserve"> </w:t>
      </w:r>
      <w:r w:rsidR="00063D41">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"ISSN" : "01432095", "PMID" : "20859841", "abstract" : "The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 "author" : [ { "dropping-particle" : "", "family" : "Teece", "given" : "David J", "non-dropping-particle" : "", "parse-names" : false, "suffix" : "" }, { "dropping-particle" : "", "family" : "Pisano", "given" : "Gary", "non-dropping-particle" : "", "parse-names" : false, "suffix" : "" }, { "dropping-particle" : "", "family" : "Shuen", "given" : "Amy", "non-dropping-particle" : "", "parse-names" : false, "suffix" : "" } ], "chapter-number" : "19", "container-title" : "Strategic Management Journal", "editor" : [ { "dropping-particle" : "", "family" : "Dosi", "given" : "Giovanni", "non-dropping-particle" : "", "parse-names" : false, "suffix" : "" }, { "dropping-particle" : "", "family" : "Nelson", "given" : "Richard R", "non-dropping-particle" : "", "parse-names" : false, "suffix" : "" }, { "dropping-particle" : "", "family" : "Winter", "given" : "Sidney G", "non-dropping-particle" : "", "parse-names" : false, "suffix" : "" } ], "id" : "ITEM-1", "issue" : "7", "issued" : { "date-parts" : [ [ "1997" ] ] }, "page" : "509-533", "publisher" : "John Wiley &amp; Sons", "title" : "Dynamic capabilities and strategic management", "type" : "article-journal", "volume" : "18" }, "uris" : [ "http://www.mendeley.com/documents/?uuid=02891bcf-d320-4c43-b905-18e5702c29c5" ] } ], "mendeley" : { "formattedCitation" : "(Teece et al., 1997)", "plainTextFormattedCitation" : "(Teece et al., 1997)", "previouslyFormattedCitation" : "(Teece et al., 1997)" }, "properties" : { "noteIndex" : 0 }, "schema" : "https://github.com/citation-style-language/schema/raw/master/csl-citation.json" }</w:instrText>
      </w:r>
      <w:r w:rsidR="00063D41">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(Teece et al., 1997)</w:t>
      </w:r>
      <w:r w:rsidR="00063D41">
        <w:rPr>
          <w:rFonts w:ascii="Times New Roman" w:hAnsi="Times New Roman" w:cs="Times New Roman"/>
          <w:color w:val="000000" w:themeColor="text1"/>
        </w:rPr>
        <w:fldChar w:fldCharType="end"/>
      </w:r>
      <w:r w:rsidR="003F6E8D" w:rsidRPr="0068584C">
        <w:rPr>
          <w:rFonts w:ascii="Times New Roman" w:hAnsi="Times New Roman" w:cs="Times New Roman"/>
          <w:color w:val="000000" w:themeColor="text1"/>
        </w:rPr>
        <w:t xml:space="preserve">. Thus, </w:t>
      </w:r>
      <w:r w:rsidR="001F2D95" w:rsidRPr="0068584C">
        <w:rPr>
          <w:rFonts w:ascii="Times New Roman" w:hAnsi="Times New Roman" w:cs="Times New Roman"/>
          <w:color w:val="000000" w:themeColor="text1"/>
        </w:rPr>
        <w:t xml:space="preserve">the </w:t>
      </w:r>
      <w:r w:rsidR="003F6E8D" w:rsidRPr="0068584C">
        <w:rPr>
          <w:rFonts w:ascii="Times New Roman" w:hAnsi="Times New Roman" w:cs="Times New Roman"/>
          <w:color w:val="000000" w:themeColor="text1"/>
        </w:rPr>
        <w:t xml:space="preserve">dynamic capabilities </w:t>
      </w:r>
      <w:r w:rsidR="001F2D95" w:rsidRPr="0068584C">
        <w:rPr>
          <w:rFonts w:ascii="Times New Roman" w:hAnsi="Times New Roman" w:cs="Times New Roman"/>
          <w:color w:val="000000" w:themeColor="text1"/>
        </w:rPr>
        <w:t>entail</w:t>
      </w:r>
      <w:r w:rsidR="003F6E8D" w:rsidRPr="0068584C">
        <w:rPr>
          <w:rFonts w:ascii="Times New Roman" w:hAnsi="Times New Roman" w:cs="Times New Roman"/>
          <w:color w:val="000000" w:themeColor="text1"/>
        </w:rPr>
        <w:t xml:space="preserve"> that management integrates and continuously re-arranges (reconfigures) a dynamic set of internal and external resources. RDT describes how managers can achieve a competitive advantage (even) when confronted with contextual uncertainty and unpredictable changes in their environment.</w:t>
      </w:r>
    </w:p>
    <w:p w14:paraId="7E1236D2" w14:textId="67A8C47E" w:rsidR="006E2A86" w:rsidRPr="0068584C" w:rsidRDefault="008D7601" w:rsidP="0035460B">
      <w:pPr>
        <w:spacing w:line="480" w:lineRule="auto"/>
        <w:jc w:val="both"/>
        <w:rPr>
          <w:rFonts w:ascii="Times New Roman" w:hAnsi="Times New Roman" w:cs="Times New Roman"/>
          <w:color w:val="000000" w:themeColor="text1"/>
        </w:rPr>
      </w:pPr>
      <w:r>
        <w:rPr>
          <w:rFonts w:ascii="Times New Roman" w:hAnsi="Times New Roman" w:cs="Times New Roman"/>
        </w:rPr>
        <w:tab/>
      </w:r>
      <w:r w:rsidR="00412719" w:rsidRPr="0068584C">
        <w:rPr>
          <w:rFonts w:ascii="Times New Roman" w:hAnsi="Times New Roman" w:cs="Times New Roman"/>
        </w:rPr>
        <w:t xml:space="preserve">ROT provides additional details on the essential managerial practices. </w:t>
      </w:r>
      <w:r w:rsidR="004971F2" w:rsidRPr="0068584C">
        <w:rPr>
          <w:rFonts w:ascii="Times New Roman" w:hAnsi="Times New Roman" w:cs="Times New Roman"/>
        </w:rPr>
        <w:t xml:space="preserve">Learning how to acquire, bundle, and leverage the firm’s idiosyncratic resources is critical to achieving a competitive advantage </w:t>
      </w:r>
      <w:r w:rsidR="004971F2"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"container-title" : "Academy of Management Review", "id" : "ITEM-1", "issue" : "1", "issued" : { "date-parts" : [ [ "2007" ] ] }, "page" : "273-292", "title" : "Managing Firm Resources in Dynamic Environments to Create Value: Looking Inside the Black Box", "type" : "article-journal", "volume" : "32" }, "uris" : [ "http://www.mendeley.com/documents/?uuid=779ec5d8-7a83-40db-b3a1-b301ac00b320" ] } ], "mendeley" : { "formattedCitation" : "(Sirmon, Hitt, &amp; Ireland, 2007)", "plainTextFormattedCitation" : "(Sirmon, Hitt, &amp; Ireland, 2007)", "previouslyFormattedCitation" : "(Sirmon, Hitt, &amp; Ireland, 2007)" }, "properties" : { "noteIndex" : 0 }, "schema" : "https://github.com/citation-style-language/schema/raw/master/csl-citation.json" }</w:instrText>
      </w:r>
      <w:r w:rsidR="004971F2" w:rsidRPr="0068584C">
        <w:rPr>
          <w:rFonts w:ascii="Times New Roman" w:hAnsi="Times New Roman" w:cs="Times New Roman"/>
        </w:rPr>
        <w:fldChar w:fldCharType="separate"/>
      </w:r>
      <w:r w:rsidR="000E6ECE" w:rsidRPr="000E6ECE">
        <w:rPr>
          <w:rFonts w:ascii="Times New Roman" w:hAnsi="Times New Roman" w:cs="Times New Roman"/>
          <w:noProof/>
        </w:rPr>
        <w:t>(Sirmon, Hitt, &amp; Ireland, 2007)</w:t>
      </w:r>
      <w:r w:rsidR="004971F2" w:rsidRPr="0068584C">
        <w:rPr>
          <w:rFonts w:ascii="Times New Roman" w:hAnsi="Times New Roman" w:cs="Times New Roman"/>
        </w:rPr>
        <w:fldChar w:fldCharType="end"/>
      </w:r>
      <w:r w:rsidR="004971F2" w:rsidRPr="0068584C">
        <w:rPr>
          <w:rFonts w:ascii="Times New Roman" w:hAnsi="Times New Roman" w:cs="Times New Roman"/>
        </w:rPr>
        <w:t>.</w:t>
      </w:r>
      <w:r w:rsidR="00412719" w:rsidRPr="0068584C">
        <w:rPr>
          <w:rFonts w:ascii="Times New Roman" w:hAnsi="Times New Roman" w:cs="Times New Roman"/>
        </w:rPr>
        <w:t xml:space="preserve"> Hence, the ROT</w:t>
      </w:r>
      <w:r w:rsidR="004971F2" w:rsidRPr="0068584C">
        <w:rPr>
          <w:rFonts w:ascii="Times New Roman" w:hAnsi="Times New Roman" w:cs="Times New Roman"/>
        </w:rPr>
        <w:t xml:space="preserve"> </w:t>
      </w:r>
      <w:r w:rsidR="00412719" w:rsidRPr="0068584C">
        <w:rPr>
          <w:rFonts w:ascii="Times New Roman" w:hAnsi="Times New Roman" w:cs="Times New Roman"/>
          <w:color w:val="000000" w:themeColor="text1"/>
        </w:rPr>
        <w:t xml:space="preserve">domain encompasses </w:t>
      </w:r>
      <w:r w:rsidR="00412719" w:rsidRPr="0068584C">
        <w:rPr>
          <w:rFonts w:ascii="Times New Roman" w:hAnsi="Times New Roman" w:cs="Times New Roman"/>
          <w:color w:val="000000" w:themeColor="text1"/>
        </w:rPr>
        <w:lastRenderedPageBreak/>
        <w:t xml:space="preserve">the </w:t>
      </w:r>
      <w:r w:rsidR="004971F2" w:rsidRPr="0068584C">
        <w:rPr>
          <w:rFonts w:ascii="Times New Roman" w:hAnsi="Times New Roman" w:cs="Times New Roman"/>
          <w:color w:val="000000" w:themeColor="text1"/>
        </w:rPr>
        <w:t xml:space="preserve">necessary </w:t>
      </w:r>
      <w:r w:rsidR="00412719" w:rsidRPr="0068584C">
        <w:rPr>
          <w:rFonts w:ascii="Times New Roman" w:hAnsi="Times New Roman" w:cs="Times New Roman"/>
          <w:color w:val="000000" w:themeColor="text1"/>
        </w:rPr>
        <w:t>practices</w:t>
      </w:r>
      <w:r w:rsidR="004971F2" w:rsidRPr="0068584C">
        <w:rPr>
          <w:rFonts w:ascii="Times New Roman" w:hAnsi="Times New Roman" w:cs="Times New Roman"/>
          <w:color w:val="000000" w:themeColor="text1"/>
        </w:rPr>
        <w:t xml:space="preserve"> </w:t>
      </w:r>
      <w:r w:rsidR="00412719" w:rsidRPr="0068584C">
        <w:rPr>
          <w:rFonts w:ascii="Times New Roman" w:hAnsi="Times New Roman" w:cs="Times New Roman"/>
          <w:color w:val="000000" w:themeColor="text1"/>
        </w:rPr>
        <w:t>in contrast to</w:t>
      </w:r>
      <w:r w:rsidR="004971F2" w:rsidRPr="0068584C">
        <w:rPr>
          <w:rFonts w:ascii="Times New Roman" w:hAnsi="Times New Roman" w:cs="Times New Roman"/>
          <w:color w:val="000000" w:themeColor="text1"/>
        </w:rPr>
        <w:t xml:space="preserve"> the pure resource possession perspective of RBT. </w:t>
      </w:r>
      <w:r w:rsidR="00DC6381" w:rsidRPr="0068584C">
        <w:rPr>
          <w:rFonts w:ascii="Times New Roman" w:hAnsi="Times New Roman" w:cs="Times New Roman"/>
          <w:color w:val="000000" w:themeColor="text1"/>
        </w:rPr>
        <w:t xml:space="preserve">The ROT domain </w:t>
      </w:r>
      <w:r w:rsidR="000265EF" w:rsidRPr="0068584C">
        <w:rPr>
          <w:rFonts w:ascii="Times New Roman" w:hAnsi="Times New Roman" w:cs="Times New Roman"/>
          <w:color w:val="000000" w:themeColor="text1"/>
        </w:rPr>
        <w:t>encompasses</w:t>
      </w:r>
      <w:r w:rsidR="00DC6381" w:rsidRPr="0068584C">
        <w:rPr>
          <w:rFonts w:ascii="Times New Roman" w:hAnsi="Times New Roman" w:cs="Times New Roman"/>
          <w:color w:val="000000" w:themeColor="text1"/>
        </w:rPr>
        <w:t xml:space="preserve"> resources that are structured into resource portfolios</w:t>
      </w:r>
      <w:r w:rsidR="00FD5BCE" w:rsidRPr="0068584C">
        <w:rPr>
          <w:rFonts w:ascii="Times New Roman" w:hAnsi="Times New Roman" w:cs="Times New Roman"/>
          <w:color w:val="000000" w:themeColor="text1"/>
        </w:rPr>
        <w:t xml:space="preserve">. </w:t>
      </w:r>
      <w:r w:rsidR="00DC6381" w:rsidRPr="0068584C">
        <w:rPr>
          <w:rFonts w:ascii="Times New Roman" w:hAnsi="Times New Roman" w:cs="Times New Roman"/>
          <w:color w:val="000000" w:themeColor="text1"/>
        </w:rPr>
        <w:t xml:space="preserve"> </w:t>
      </w:r>
      <w:r w:rsidR="00FD5BCE" w:rsidRPr="0068584C">
        <w:rPr>
          <w:rFonts w:ascii="Times New Roman" w:hAnsi="Times New Roman" w:cs="Times New Roman"/>
          <w:color w:val="000000" w:themeColor="text1"/>
        </w:rPr>
        <w:t>T</w:t>
      </w:r>
      <w:r w:rsidR="00DC6381" w:rsidRPr="0068584C">
        <w:rPr>
          <w:rFonts w:ascii="Times New Roman" w:hAnsi="Times New Roman" w:cs="Times New Roman"/>
          <w:color w:val="000000" w:themeColor="text1"/>
        </w:rPr>
        <w:t xml:space="preserve">hose </w:t>
      </w:r>
      <w:r w:rsidR="000265EF" w:rsidRPr="0068584C">
        <w:rPr>
          <w:rFonts w:ascii="Times New Roman" w:hAnsi="Times New Roman" w:cs="Times New Roman"/>
          <w:color w:val="000000" w:themeColor="text1"/>
        </w:rPr>
        <w:t>portfolios (</w:t>
      </w:r>
      <w:r w:rsidR="00FD5BCE" w:rsidRPr="0068584C">
        <w:rPr>
          <w:rFonts w:ascii="Times New Roman" w:hAnsi="Times New Roman" w:cs="Times New Roman"/>
          <w:color w:val="000000" w:themeColor="text1"/>
        </w:rPr>
        <w:t>sets of resources) are</w:t>
      </w:r>
      <w:r w:rsidR="00DC6381" w:rsidRPr="0068584C">
        <w:rPr>
          <w:rFonts w:ascii="Times New Roman" w:hAnsi="Times New Roman" w:cs="Times New Roman"/>
          <w:color w:val="000000" w:themeColor="text1"/>
        </w:rPr>
        <w:t xml:space="preserve"> then bundled into capabilities (to gain a competitive advantage)</w:t>
      </w:r>
      <w:r w:rsidR="00FD5BCE" w:rsidRPr="0068584C">
        <w:rPr>
          <w:rFonts w:ascii="Times New Roman" w:hAnsi="Times New Roman" w:cs="Times New Roman"/>
          <w:color w:val="000000" w:themeColor="text1"/>
        </w:rPr>
        <w:t xml:space="preserve">, which </w:t>
      </w:r>
      <w:r w:rsidR="00002F2A" w:rsidRPr="0068584C">
        <w:rPr>
          <w:rFonts w:ascii="Times New Roman" w:hAnsi="Times New Roman" w:cs="Times New Roman"/>
          <w:color w:val="000000" w:themeColor="text1"/>
        </w:rPr>
        <w:t xml:space="preserve">eventually </w:t>
      </w:r>
      <w:r w:rsidR="00DC6381" w:rsidRPr="0068584C">
        <w:rPr>
          <w:rFonts w:ascii="Times New Roman" w:hAnsi="Times New Roman" w:cs="Times New Roman"/>
          <w:color w:val="000000" w:themeColor="text1"/>
        </w:rPr>
        <w:t xml:space="preserve">are leveraged in the market place. </w:t>
      </w:r>
      <w:r w:rsidR="0061338C" w:rsidRPr="0068584C">
        <w:rPr>
          <w:rFonts w:ascii="Times New Roman" w:hAnsi="Times New Roman" w:cs="Times New Roman"/>
          <w:color w:val="000000" w:themeColor="text1"/>
        </w:rPr>
        <w:t>As ROT emphasiz</w:t>
      </w:r>
      <w:r w:rsidR="00874042" w:rsidRPr="0068584C">
        <w:rPr>
          <w:rFonts w:ascii="Times New Roman" w:hAnsi="Times New Roman" w:cs="Times New Roman"/>
          <w:color w:val="000000" w:themeColor="text1"/>
        </w:rPr>
        <w:t xml:space="preserve">es the managerial </w:t>
      </w:r>
      <w:r w:rsidR="00002F2A" w:rsidRPr="0068584C">
        <w:rPr>
          <w:rFonts w:ascii="Times New Roman" w:hAnsi="Times New Roman" w:cs="Times New Roman"/>
          <w:color w:val="000000" w:themeColor="text1"/>
        </w:rPr>
        <w:t>practices</w:t>
      </w:r>
      <w:r w:rsidR="00874042" w:rsidRPr="0068584C">
        <w:rPr>
          <w:rFonts w:ascii="Times New Roman" w:hAnsi="Times New Roman" w:cs="Times New Roman"/>
          <w:color w:val="000000" w:themeColor="text1"/>
        </w:rPr>
        <w:t xml:space="preserve">, the ROT domain is not necessarily constrained to </w:t>
      </w:r>
      <w:r w:rsidR="00DC6381" w:rsidRPr="0068584C">
        <w:rPr>
          <w:rFonts w:ascii="Times New Roman" w:hAnsi="Times New Roman" w:cs="Times New Roman"/>
          <w:color w:val="000000" w:themeColor="text1"/>
        </w:rPr>
        <w:t>the VRIO-type resources of the RBT domain</w:t>
      </w:r>
      <w:r w:rsidR="00874042" w:rsidRPr="0068584C">
        <w:rPr>
          <w:rFonts w:ascii="Times New Roman" w:hAnsi="Times New Roman" w:cs="Times New Roman"/>
          <w:color w:val="000000" w:themeColor="text1"/>
        </w:rPr>
        <w:t xml:space="preserve"> (Sirmon et al. 2011).</w:t>
      </w:r>
      <w:r w:rsidR="005B28D2" w:rsidRPr="0068584C">
        <w:rPr>
          <w:rFonts w:ascii="Times New Roman" w:hAnsi="Times New Roman" w:cs="Times New Roman"/>
        </w:rPr>
        <w:t xml:space="preserve"> </w:t>
      </w:r>
      <w:r w:rsidR="00481FFA" w:rsidRPr="0068584C">
        <w:rPr>
          <w:rFonts w:ascii="Times New Roman" w:hAnsi="Times New Roman" w:cs="Times New Roman"/>
          <w:color w:val="000000" w:themeColor="text1"/>
        </w:rPr>
        <w:t>Contrary to DCT and RBT, h</w:t>
      </w:r>
      <w:r w:rsidR="00EF77F7" w:rsidRPr="0068584C">
        <w:rPr>
          <w:rFonts w:ascii="Times New Roman" w:hAnsi="Times New Roman" w:cs="Times New Roman"/>
          <w:color w:val="000000" w:themeColor="text1"/>
        </w:rPr>
        <w:t xml:space="preserve">owever, ROT specifies three new dimensions to consider (breadth, depth, and life cycle attributes) that provide additional precision to the theory (albeit limiting its generalizability). </w:t>
      </w:r>
      <w:r w:rsidR="006E2A86" w:rsidRPr="0068584C">
        <w:rPr>
          <w:rFonts w:ascii="Times New Roman" w:hAnsi="Times New Roman" w:cs="Times New Roman"/>
          <w:color w:val="000000" w:themeColor="text1"/>
        </w:rPr>
        <w:t>Resource orchestration is contingent upon the different life cycle</w:t>
      </w:r>
      <w:r w:rsidR="006D1D22" w:rsidRPr="0068584C">
        <w:rPr>
          <w:rFonts w:ascii="Times New Roman" w:hAnsi="Times New Roman" w:cs="Times New Roman"/>
          <w:color w:val="000000" w:themeColor="text1"/>
        </w:rPr>
        <w:t xml:space="preserve"> phases</w:t>
      </w:r>
      <w:r w:rsidR="006E2A86" w:rsidRPr="0068584C">
        <w:rPr>
          <w:rFonts w:ascii="Times New Roman" w:hAnsi="Times New Roman" w:cs="Times New Roman"/>
          <w:color w:val="000000" w:themeColor="text1"/>
        </w:rPr>
        <w:t xml:space="preserve">, the organization’s strategic breadth, and the depth </w:t>
      </w:r>
      <w:r w:rsidR="006D1D22" w:rsidRPr="0068584C">
        <w:rPr>
          <w:rFonts w:ascii="Times New Roman" w:hAnsi="Times New Roman" w:cs="Times New Roman"/>
          <w:color w:val="000000" w:themeColor="text1"/>
        </w:rPr>
        <w:t xml:space="preserve">in regards to </w:t>
      </w:r>
      <w:r w:rsidR="006E2A86" w:rsidRPr="0068584C">
        <w:rPr>
          <w:rFonts w:ascii="Times New Roman" w:hAnsi="Times New Roman" w:cs="Times New Roman"/>
          <w:color w:val="000000" w:themeColor="text1"/>
        </w:rPr>
        <w:t xml:space="preserve">the different </w:t>
      </w:r>
      <w:r w:rsidR="006D1D22" w:rsidRPr="0068584C">
        <w:rPr>
          <w:rFonts w:ascii="Times New Roman" w:hAnsi="Times New Roman" w:cs="Times New Roman"/>
          <w:color w:val="000000" w:themeColor="text1"/>
        </w:rPr>
        <w:t xml:space="preserve">organizational </w:t>
      </w:r>
      <w:r w:rsidR="006E2A86" w:rsidRPr="0068584C">
        <w:rPr>
          <w:rFonts w:ascii="Times New Roman" w:hAnsi="Times New Roman" w:cs="Times New Roman"/>
          <w:color w:val="000000" w:themeColor="text1"/>
        </w:rPr>
        <w:t>levels</w:t>
      </w:r>
      <w:r w:rsidR="006D1D22" w:rsidRPr="0068584C">
        <w:rPr>
          <w:rFonts w:ascii="Times New Roman" w:hAnsi="Times New Roman" w:cs="Times New Roman"/>
          <w:color w:val="000000" w:themeColor="text1"/>
        </w:rPr>
        <w:t>.</w:t>
      </w:r>
      <w:r w:rsidR="006E2A86" w:rsidRPr="0068584C">
        <w:rPr>
          <w:rFonts w:ascii="Times New Roman" w:hAnsi="Times New Roman" w:cs="Times New Roman"/>
          <w:color w:val="000000" w:themeColor="text1"/>
        </w:rPr>
        <w:t xml:space="preserve"> </w:t>
      </w:r>
      <w:r w:rsidR="006D1D22" w:rsidRPr="0068584C">
        <w:rPr>
          <w:rFonts w:ascii="Times New Roman" w:hAnsi="Times New Roman" w:cs="Times New Roman"/>
          <w:color w:val="000000" w:themeColor="text1"/>
        </w:rPr>
        <w:t xml:space="preserve"> </w:t>
      </w:r>
    </w:p>
    <w:p w14:paraId="1D3682E2" w14:textId="68D4E507" w:rsidR="00C72B18" w:rsidRPr="0068584C" w:rsidRDefault="00D830FB" w:rsidP="0035460B">
      <w:pPr>
        <w:spacing w:line="480" w:lineRule="auto"/>
        <w:jc w:val="both"/>
        <w:rPr>
          <w:rFonts w:ascii="Times New Roman" w:hAnsi="Times New Roman" w:cs="Times New Roman"/>
        </w:rPr>
      </w:pPr>
      <w:r>
        <w:rPr>
          <w:rFonts w:ascii="Times New Roman" w:hAnsi="Times New Roman" w:cs="Times New Roman"/>
        </w:rPr>
        <w:tab/>
      </w:r>
      <w:r w:rsidR="00C72B18" w:rsidRPr="0068584C">
        <w:rPr>
          <w:rFonts w:ascii="Times New Roman" w:hAnsi="Times New Roman" w:cs="Times New Roman"/>
        </w:rPr>
        <w:t xml:space="preserve">To achieve a </w:t>
      </w:r>
      <w:r w:rsidR="00E222F8">
        <w:rPr>
          <w:rFonts w:ascii="Times New Roman" w:hAnsi="Times New Roman" w:cs="Times New Roman"/>
        </w:rPr>
        <w:t xml:space="preserve">(temporary) </w:t>
      </w:r>
      <w:r w:rsidR="00C72B18" w:rsidRPr="0068584C">
        <w:rPr>
          <w:rFonts w:ascii="Times New Roman" w:hAnsi="Times New Roman" w:cs="Times New Roman"/>
        </w:rPr>
        <w:t>competitive advantage, ROT suggests to synchronize the</w:t>
      </w:r>
      <w:r w:rsidR="000A686D" w:rsidRPr="0068584C">
        <w:rPr>
          <w:rFonts w:ascii="Times New Roman" w:hAnsi="Times New Roman" w:cs="Times New Roman"/>
        </w:rPr>
        <w:t xml:space="preserve"> resource orchestration</w:t>
      </w:r>
      <w:r w:rsidR="00C72B18" w:rsidRPr="0068584C">
        <w:rPr>
          <w:rFonts w:ascii="Times New Roman" w:hAnsi="Times New Roman" w:cs="Times New Roman"/>
        </w:rPr>
        <w:t xml:space="preserve"> processes</w:t>
      </w:r>
      <w:r w:rsidR="00063D41">
        <w:rPr>
          <w:rFonts w:ascii="Times New Roman" w:hAnsi="Times New Roman" w:cs="Times New Roman"/>
        </w:rPr>
        <w:t xml:space="preserve"> </w:t>
      </w:r>
      <w:r w:rsidR="00063D41">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00063D41">
        <w:rPr>
          <w:rFonts w:ascii="Times New Roman" w:hAnsi="Times New Roman" w:cs="Times New Roman"/>
        </w:rPr>
        <w:fldChar w:fldCharType="separate"/>
      </w:r>
      <w:r w:rsidR="000E6ECE" w:rsidRPr="000E6ECE">
        <w:rPr>
          <w:rFonts w:ascii="Times New Roman" w:hAnsi="Times New Roman" w:cs="Times New Roman"/>
          <w:noProof/>
        </w:rPr>
        <w:t>(Sirmon et al., 2011)</w:t>
      </w:r>
      <w:r w:rsidR="00063D41">
        <w:rPr>
          <w:rFonts w:ascii="Times New Roman" w:hAnsi="Times New Roman" w:cs="Times New Roman"/>
        </w:rPr>
        <w:fldChar w:fldCharType="end"/>
      </w:r>
      <w:r w:rsidR="00063D41">
        <w:rPr>
          <w:rFonts w:ascii="Times New Roman" w:hAnsi="Times New Roman" w:cs="Times New Roman"/>
        </w:rPr>
        <w:t>.</w:t>
      </w:r>
      <w:r w:rsidR="00C72B18" w:rsidRPr="0068584C">
        <w:rPr>
          <w:rFonts w:ascii="Times New Roman" w:hAnsi="Times New Roman" w:cs="Times New Roman"/>
        </w:rPr>
        <w:t xml:space="preserve"> Thus, ROT goes beyond</w:t>
      </w:r>
      <w:r w:rsidR="00701ED6" w:rsidRPr="0068584C">
        <w:rPr>
          <w:rFonts w:ascii="Times New Roman" w:hAnsi="Times New Roman" w:cs="Times New Roman"/>
        </w:rPr>
        <w:t xml:space="preserve"> the domain of</w:t>
      </w:r>
      <w:r w:rsidR="00C72B18" w:rsidRPr="0068584C">
        <w:rPr>
          <w:rFonts w:ascii="Times New Roman" w:hAnsi="Times New Roman" w:cs="Times New Roman"/>
        </w:rPr>
        <w:t xml:space="preserve"> RBT. </w:t>
      </w:r>
      <w:r w:rsidR="00D4615F">
        <w:rPr>
          <w:rFonts w:ascii="Times New Roman" w:hAnsi="Times New Roman" w:cs="Times New Roman"/>
        </w:rPr>
        <w:fldChar w:fldCharType="begin"/>
      </w:r>
      <w:r w:rsidR="00D4615F">
        <w:rPr>
          <w:rFonts w:ascii="Times New Roman" w:hAnsi="Times New Roman" w:cs="Times New Roman"/>
        </w:rPr>
        <w:instrText xml:space="preserve"> REF _Ref357387940 \h </w:instrText>
      </w:r>
      <w:r w:rsidR="00D4615F">
        <w:rPr>
          <w:rFonts w:ascii="Times New Roman" w:hAnsi="Times New Roman" w:cs="Times New Roman"/>
        </w:rPr>
      </w:r>
      <w:r w:rsidR="00D4615F">
        <w:rPr>
          <w:rFonts w:ascii="Times New Roman" w:hAnsi="Times New Roman" w:cs="Times New Roman"/>
        </w:rPr>
        <w:fldChar w:fldCharType="separate"/>
      </w:r>
      <w:r w:rsidR="00C2793E">
        <w:t xml:space="preserve">Table </w:t>
      </w:r>
      <w:r w:rsidR="00C2793E">
        <w:rPr>
          <w:noProof/>
        </w:rPr>
        <w:t>5</w:t>
      </w:r>
      <w:r w:rsidR="00D4615F">
        <w:rPr>
          <w:rFonts w:ascii="Times New Roman" w:hAnsi="Times New Roman" w:cs="Times New Roman"/>
        </w:rPr>
        <w:fldChar w:fldCharType="end"/>
      </w:r>
      <w:r w:rsidR="00D4615F">
        <w:rPr>
          <w:rFonts w:ascii="Times New Roman" w:hAnsi="Times New Roman" w:cs="Times New Roman"/>
        </w:rPr>
        <w:t xml:space="preserve"> </w:t>
      </w:r>
      <w:r w:rsidR="00AF0B8D" w:rsidRPr="0068584C">
        <w:rPr>
          <w:rFonts w:ascii="Times New Roman" w:hAnsi="Times New Roman" w:cs="Times New Roman"/>
        </w:rPr>
        <w:t xml:space="preserve">summarizes some of the key </w:t>
      </w:r>
      <w:r w:rsidR="00226241" w:rsidRPr="0068584C">
        <w:rPr>
          <w:rFonts w:ascii="Times New Roman" w:hAnsi="Times New Roman" w:cs="Times New Roman"/>
        </w:rPr>
        <w:t xml:space="preserve">domain </w:t>
      </w:r>
      <w:r w:rsidR="00AF0B8D" w:rsidRPr="0068584C">
        <w:rPr>
          <w:rFonts w:ascii="Times New Roman" w:hAnsi="Times New Roman" w:cs="Times New Roman"/>
        </w:rPr>
        <w:t>differences of RBT, DCT, and ROT.</w:t>
      </w:r>
    </w:p>
    <w:p w14:paraId="0CB6000D" w14:textId="77777777" w:rsidR="00073317" w:rsidRPr="0068584C" w:rsidRDefault="00073317" w:rsidP="0035460B">
      <w:pPr>
        <w:spacing w:line="480" w:lineRule="auto"/>
        <w:rPr>
          <w:rFonts w:ascii="Times New Roman" w:hAnsi="Times New Roman" w:cs="Times New Roman"/>
        </w:rPr>
      </w:pPr>
    </w:p>
    <w:p w14:paraId="0F9A5A52" w14:textId="6A337AFC" w:rsidR="00F46E73" w:rsidRDefault="00F46E73" w:rsidP="00F46E73">
      <w:pPr>
        <w:pStyle w:val="Caption"/>
        <w:keepNext/>
      </w:pPr>
      <w:bookmarkStart w:id="56" w:name="_Toc358326841"/>
      <w:bookmarkStart w:id="57" w:name="_Ref357387940"/>
      <w:r>
        <w:t xml:space="preserve">Table </w:t>
      </w:r>
      <w:fldSimple w:instr=" SEQ Table \* ARABIC ">
        <w:r w:rsidR="00C2793E">
          <w:rPr>
            <w:noProof/>
          </w:rPr>
          <w:t>5</w:t>
        </w:r>
        <w:bookmarkEnd w:id="56"/>
      </w:fldSimple>
      <w:bookmarkEnd w:id="57"/>
    </w:p>
    <w:p w14:paraId="4823DB02" w14:textId="415B209F" w:rsidR="00582D1E" w:rsidRPr="008C76D8" w:rsidRDefault="00582D1E" w:rsidP="008C76D8">
      <w:pPr>
        <w:rPr>
          <w:rFonts w:ascii="Times New Roman" w:hAnsi="Times New Roman" w:cs="Times New Roman"/>
          <w:b/>
        </w:rPr>
      </w:pPr>
      <w:r w:rsidRPr="008C76D8">
        <w:rPr>
          <w:rFonts w:ascii="Times New Roman" w:hAnsi="Times New Roman" w:cs="Times New Roman"/>
          <w:b/>
        </w:rPr>
        <w:t>Compari</w:t>
      </w:r>
      <w:r w:rsidR="00B76642" w:rsidRPr="008C76D8">
        <w:rPr>
          <w:rFonts w:ascii="Times New Roman" w:hAnsi="Times New Roman" w:cs="Times New Roman"/>
          <w:b/>
        </w:rPr>
        <w:t>ng the Domains</w:t>
      </w:r>
      <w:r w:rsidRPr="008C76D8">
        <w:rPr>
          <w:rFonts w:ascii="Times New Roman" w:hAnsi="Times New Roman" w:cs="Times New Roman"/>
          <w:b/>
        </w:rPr>
        <w:t xml:space="preserve"> of RBT, DCT, and ROT</w:t>
      </w:r>
    </w:p>
    <w:tbl>
      <w:tblPr>
        <w:tblStyle w:val="TableGrid"/>
        <w:tblW w:w="0" w:type="auto"/>
        <w:tblLook w:val="04A0" w:firstRow="1" w:lastRow="0" w:firstColumn="1" w:lastColumn="0" w:noHBand="0" w:noVBand="1"/>
      </w:tblPr>
      <w:tblGrid>
        <w:gridCol w:w="2214"/>
        <w:gridCol w:w="2214"/>
        <w:gridCol w:w="2214"/>
        <w:gridCol w:w="2214"/>
      </w:tblGrid>
      <w:tr w:rsidR="00226241" w:rsidRPr="00645CD2" w14:paraId="2A673880" w14:textId="77777777" w:rsidTr="008C76D8">
        <w:tc>
          <w:tcPr>
            <w:tcW w:w="2214" w:type="dxa"/>
          </w:tcPr>
          <w:p w14:paraId="3D63675D" w14:textId="77777777" w:rsidR="005A1D93" w:rsidRDefault="005A1D93" w:rsidP="005A1D93">
            <w:pPr>
              <w:rPr>
                <w:rFonts w:ascii="Times New Roman" w:hAnsi="Times New Roman" w:cs="Times New Roman"/>
                <w:b/>
                <w:sz w:val="20"/>
              </w:rPr>
            </w:pPr>
          </w:p>
          <w:p w14:paraId="5665C8A6" w14:textId="489BAAD0" w:rsidR="00226241" w:rsidRPr="00645CD2" w:rsidRDefault="00226241" w:rsidP="005A1D93">
            <w:pPr>
              <w:rPr>
                <w:rFonts w:ascii="Times New Roman" w:hAnsi="Times New Roman" w:cs="Times New Roman"/>
                <w:b/>
                <w:sz w:val="20"/>
              </w:rPr>
            </w:pPr>
            <w:r w:rsidRPr="00645CD2">
              <w:rPr>
                <w:rFonts w:ascii="Times New Roman" w:hAnsi="Times New Roman" w:cs="Times New Roman"/>
                <w:b/>
                <w:sz w:val="20"/>
              </w:rPr>
              <w:t xml:space="preserve">Domain </w:t>
            </w:r>
            <w:r w:rsidR="0026675B" w:rsidRPr="00645CD2">
              <w:rPr>
                <w:rFonts w:ascii="Times New Roman" w:hAnsi="Times New Roman" w:cs="Times New Roman"/>
                <w:b/>
                <w:sz w:val="20"/>
              </w:rPr>
              <w:t>A</w:t>
            </w:r>
            <w:r w:rsidRPr="00645CD2">
              <w:rPr>
                <w:rFonts w:ascii="Times New Roman" w:hAnsi="Times New Roman" w:cs="Times New Roman"/>
                <w:b/>
                <w:sz w:val="20"/>
              </w:rPr>
              <w:t>spect</w:t>
            </w:r>
          </w:p>
        </w:tc>
        <w:tc>
          <w:tcPr>
            <w:tcW w:w="2214" w:type="dxa"/>
          </w:tcPr>
          <w:p w14:paraId="59BBF206" w14:textId="77777777" w:rsidR="003D7ED2" w:rsidRDefault="003D7ED2" w:rsidP="005A1D93">
            <w:pPr>
              <w:rPr>
                <w:rFonts w:ascii="Times New Roman" w:hAnsi="Times New Roman" w:cs="Times New Roman"/>
                <w:b/>
                <w:sz w:val="20"/>
              </w:rPr>
            </w:pPr>
          </w:p>
          <w:p w14:paraId="19CF71BB" w14:textId="02486F64" w:rsidR="00226241" w:rsidRPr="00645CD2" w:rsidRDefault="00226241" w:rsidP="005A1D93">
            <w:pPr>
              <w:rPr>
                <w:rFonts w:ascii="Times New Roman" w:hAnsi="Times New Roman" w:cs="Times New Roman"/>
                <w:b/>
                <w:sz w:val="20"/>
              </w:rPr>
            </w:pPr>
            <w:r w:rsidRPr="00645CD2">
              <w:rPr>
                <w:rFonts w:ascii="Times New Roman" w:hAnsi="Times New Roman" w:cs="Times New Roman"/>
                <w:b/>
                <w:sz w:val="20"/>
              </w:rPr>
              <w:t>RBT</w:t>
            </w:r>
          </w:p>
        </w:tc>
        <w:tc>
          <w:tcPr>
            <w:tcW w:w="2214" w:type="dxa"/>
          </w:tcPr>
          <w:p w14:paraId="4EE2A91F" w14:textId="77777777" w:rsidR="00A8388E" w:rsidRDefault="00A8388E" w:rsidP="005A1D93">
            <w:pPr>
              <w:rPr>
                <w:rFonts w:ascii="Times New Roman" w:hAnsi="Times New Roman" w:cs="Times New Roman"/>
                <w:b/>
                <w:sz w:val="20"/>
              </w:rPr>
            </w:pPr>
          </w:p>
          <w:p w14:paraId="464ADC37" w14:textId="2FE602BB" w:rsidR="00226241" w:rsidRPr="00645CD2" w:rsidRDefault="00226241" w:rsidP="005A1D93">
            <w:pPr>
              <w:rPr>
                <w:rFonts w:ascii="Times New Roman" w:eastAsiaTheme="majorEastAsia" w:hAnsi="Times New Roman" w:cs="Times New Roman"/>
                <w:b/>
                <w:bCs/>
                <w:color w:val="4F81BD" w:themeColor="accent1"/>
                <w:sz w:val="20"/>
                <w:szCs w:val="18"/>
              </w:rPr>
            </w:pPr>
            <w:r w:rsidRPr="00645CD2">
              <w:rPr>
                <w:rFonts w:ascii="Times New Roman" w:hAnsi="Times New Roman" w:cs="Times New Roman"/>
                <w:b/>
                <w:sz w:val="20"/>
              </w:rPr>
              <w:t>DCT</w:t>
            </w:r>
          </w:p>
        </w:tc>
        <w:tc>
          <w:tcPr>
            <w:tcW w:w="2214" w:type="dxa"/>
          </w:tcPr>
          <w:p w14:paraId="687EE393" w14:textId="77777777" w:rsidR="00A8388E" w:rsidRDefault="00A8388E" w:rsidP="005A1D93">
            <w:pPr>
              <w:rPr>
                <w:rFonts w:ascii="Times New Roman" w:hAnsi="Times New Roman" w:cs="Times New Roman"/>
                <w:b/>
                <w:sz w:val="20"/>
              </w:rPr>
            </w:pPr>
          </w:p>
          <w:p w14:paraId="40EEF62F" w14:textId="26038AA4" w:rsidR="00226241" w:rsidRPr="00645CD2" w:rsidRDefault="00226241" w:rsidP="005A1D93">
            <w:pPr>
              <w:rPr>
                <w:rFonts w:ascii="Times New Roman" w:eastAsiaTheme="majorEastAsia" w:hAnsi="Times New Roman" w:cs="Times New Roman"/>
                <w:b/>
                <w:bCs/>
                <w:color w:val="4F81BD" w:themeColor="accent1"/>
                <w:sz w:val="20"/>
                <w:szCs w:val="18"/>
              </w:rPr>
            </w:pPr>
            <w:r w:rsidRPr="00645CD2">
              <w:rPr>
                <w:rFonts w:ascii="Times New Roman" w:hAnsi="Times New Roman" w:cs="Times New Roman"/>
                <w:b/>
                <w:sz w:val="20"/>
              </w:rPr>
              <w:t>ROT</w:t>
            </w:r>
          </w:p>
        </w:tc>
      </w:tr>
      <w:tr w:rsidR="00BF55EF" w:rsidRPr="0002452F" w14:paraId="46FEDE2E" w14:textId="77777777" w:rsidTr="008C76D8">
        <w:tc>
          <w:tcPr>
            <w:tcW w:w="2214" w:type="dxa"/>
          </w:tcPr>
          <w:p w14:paraId="2E876FE8" w14:textId="77777777" w:rsidR="00977F02" w:rsidRDefault="00977F02" w:rsidP="0063512B">
            <w:pPr>
              <w:spacing w:line="360" w:lineRule="auto"/>
              <w:rPr>
                <w:rFonts w:ascii="Times New Roman" w:hAnsi="Times New Roman" w:cs="Times New Roman"/>
                <w:b/>
                <w:sz w:val="20"/>
              </w:rPr>
            </w:pPr>
          </w:p>
          <w:p w14:paraId="703E2E43" w14:textId="76CBC996" w:rsidR="00BF55EF" w:rsidRPr="00645CD2" w:rsidRDefault="00BF55EF" w:rsidP="0063512B">
            <w:pPr>
              <w:spacing w:line="360" w:lineRule="auto"/>
              <w:rPr>
                <w:rFonts w:ascii="Times New Roman" w:hAnsi="Times New Roman" w:cs="Times New Roman"/>
                <w:b/>
                <w:sz w:val="20"/>
              </w:rPr>
            </w:pPr>
            <w:r w:rsidRPr="00645CD2">
              <w:rPr>
                <w:rFonts w:ascii="Times New Roman" w:hAnsi="Times New Roman" w:cs="Times New Roman"/>
                <w:b/>
                <w:sz w:val="20"/>
              </w:rPr>
              <w:t>Strategic Focus</w:t>
            </w:r>
          </w:p>
        </w:tc>
        <w:tc>
          <w:tcPr>
            <w:tcW w:w="2214" w:type="dxa"/>
          </w:tcPr>
          <w:p w14:paraId="1C81BFCC" w14:textId="69111142" w:rsidR="00BF55EF" w:rsidRPr="0068584C" w:rsidRDefault="00BF55EF" w:rsidP="0063512B">
            <w:pPr>
              <w:spacing w:line="360" w:lineRule="auto"/>
              <w:rPr>
                <w:rFonts w:ascii="Times New Roman" w:hAnsi="Times New Roman" w:cs="Times New Roman"/>
                <w:sz w:val="20"/>
              </w:rPr>
            </w:pPr>
            <w:r w:rsidRPr="0068584C">
              <w:rPr>
                <w:rFonts w:ascii="Times New Roman" w:hAnsi="Times New Roman" w:cs="Times New Roman"/>
                <w:sz w:val="20"/>
              </w:rPr>
              <w:t>Resource Characteristics</w:t>
            </w:r>
            <w:r w:rsidR="00740794">
              <w:rPr>
                <w:rFonts w:ascii="Times New Roman" w:hAnsi="Times New Roman" w:cs="Times New Roman"/>
                <w:sz w:val="20"/>
              </w:rPr>
              <w:t xml:space="preserve"> (Attributes)</w:t>
            </w:r>
          </w:p>
        </w:tc>
        <w:tc>
          <w:tcPr>
            <w:tcW w:w="2214" w:type="dxa"/>
          </w:tcPr>
          <w:p w14:paraId="38A7A789" w14:textId="03018757" w:rsidR="00BF55EF" w:rsidRPr="0068584C" w:rsidRDefault="00BF55EF" w:rsidP="0063512B">
            <w:pPr>
              <w:spacing w:line="360" w:lineRule="auto"/>
              <w:rPr>
                <w:rFonts w:ascii="Times New Roman" w:hAnsi="Times New Roman" w:cs="Times New Roman"/>
                <w:sz w:val="20"/>
              </w:rPr>
            </w:pPr>
            <w:r w:rsidRPr="0068584C">
              <w:rPr>
                <w:rFonts w:ascii="Times New Roman" w:hAnsi="Times New Roman" w:cs="Times New Roman"/>
                <w:sz w:val="20"/>
              </w:rPr>
              <w:t>Adaptation to Environment</w:t>
            </w:r>
          </w:p>
        </w:tc>
        <w:tc>
          <w:tcPr>
            <w:tcW w:w="2214" w:type="dxa"/>
          </w:tcPr>
          <w:p w14:paraId="12D315FA" w14:textId="6CB1D438" w:rsidR="00BF55EF" w:rsidRPr="0068584C" w:rsidRDefault="00BF55EF" w:rsidP="0063512B">
            <w:pPr>
              <w:spacing w:line="360" w:lineRule="auto"/>
              <w:rPr>
                <w:rFonts w:ascii="Times New Roman" w:hAnsi="Times New Roman" w:cs="Times New Roman"/>
                <w:sz w:val="20"/>
              </w:rPr>
            </w:pPr>
            <w:r w:rsidRPr="0068584C">
              <w:rPr>
                <w:rFonts w:ascii="Times New Roman" w:hAnsi="Times New Roman" w:cs="Times New Roman"/>
                <w:sz w:val="20"/>
              </w:rPr>
              <w:t>Managerial Role (Management Practices)</w:t>
            </w:r>
          </w:p>
        </w:tc>
      </w:tr>
      <w:tr w:rsidR="00226241" w:rsidRPr="0002452F" w14:paraId="09A14B84" w14:textId="77777777" w:rsidTr="008C76D8">
        <w:tc>
          <w:tcPr>
            <w:tcW w:w="2214" w:type="dxa"/>
          </w:tcPr>
          <w:p w14:paraId="52AFA063" w14:textId="77777777" w:rsidR="004E7ED2" w:rsidRDefault="004E7ED2" w:rsidP="0063512B">
            <w:pPr>
              <w:spacing w:line="360" w:lineRule="auto"/>
              <w:rPr>
                <w:rFonts w:ascii="Times New Roman" w:hAnsi="Times New Roman" w:cs="Times New Roman"/>
                <w:b/>
                <w:sz w:val="20"/>
              </w:rPr>
            </w:pPr>
          </w:p>
          <w:p w14:paraId="54EF4EA8" w14:textId="57178403" w:rsidR="00226241" w:rsidRPr="00645CD2" w:rsidRDefault="00226241" w:rsidP="0063512B">
            <w:pPr>
              <w:spacing w:line="360" w:lineRule="auto"/>
              <w:rPr>
                <w:rFonts w:ascii="Times New Roman" w:hAnsi="Times New Roman" w:cs="Times New Roman"/>
                <w:b/>
                <w:sz w:val="20"/>
              </w:rPr>
            </w:pPr>
            <w:r w:rsidRPr="00645CD2">
              <w:rPr>
                <w:rFonts w:ascii="Times New Roman" w:hAnsi="Times New Roman" w:cs="Times New Roman"/>
                <w:b/>
                <w:sz w:val="20"/>
              </w:rPr>
              <w:t>Competitive Advantage Type</w:t>
            </w:r>
          </w:p>
        </w:tc>
        <w:tc>
          <w:tcPr>
            <w:tcW w:w="2214" w:type="dxa"/>
          </w:tcPr>
          <w:p w14:paraId="36A8DFB1" w14:textId="77777777" w:rsidR="004E7ED2" w:rsidRDefault="004E7ED2" w:rsidP="0063512B">
            <w:pPr>
              <w:spacing w:line="360" w:lineRule="auto"/>
              <w:rPr>
                <w:rFonts w:ascii="Times New Roman" w:hAnsi="Times New Roman" w:cs="Times New Roman"/>
                <w:sz w:val="20"/>
              </w:rPr>
            </w:pPr>
          </w:p>
          <w:p w14:paraId="7BA959CB" w14:textId="018380E1" w:rsidR="00226241" w:rsidRPr="0068584C" w:rsidRDefault="00226241" w:rsidP="0063512B">
            <w:pPr>
              <w:spacing w:line="360" w:lineRule="auto"/>
              <w:rPr>
                <w:rFonts w:ascii="Times New Roman" w:hAnsi="Times New Roman" w:cs="Times New Roman"/>
                <w:sz w:val="20"/>
              </w:rPr>
            </w:pPr>
            <w:r w:rsidRPr="0068584C">
              <w:rPr>
                <w:rFonts w:ascii="Times New Roman" w:hAnsi="Times New Roman" w:cs="Times New Roman"/>
                <w:sz w:val="20"/>
              </w:rPr>
              <w:t>Sustainable</w:t>
            </w:r>
          </w:p>
        </w:tc>
        <w:tc>
          <w:tcPr>
            <w:tcW w:w="2214" w:type="dxa"/>
          </w:tcPr>
          <w:p w14:paraId="079A4818" w14:textId="77777777" w:rsidR="004E7ED2" w:rsidRDefault="004E7ED2" w:rsidP="0063512B">
            <w:pPr>
              <w:spacing w:line="360" w:lineRule="auto"/>
              <w:rPr>
                <w:rFonts w:ascii="Times New Roman" w:hAnsi="Times New Roman" w:cs="Times New Roman"/>
                <w:sz w:val="20"/>
              </w:rPr>
            </w:pPr>
          </w:p>
          <w:p w14:paraId="2AE6CDFD" w14:textId="1DC1EC0B" w:rsidR="00226241" w:rsidRPr="0068584C" w:rsidRDefault="00226241" w:rsidP="0063512B">
            <w:pPr>
              <w:spacing w:line="360" w:lineRule="auto"/>
              <w:rPr>
                <w:rFonts w:ascii="Times New Roman" w:eastAsiaTheme="majorEastAsia" w:hAnsi="Times New Roman" w:cs="Times New Roman"/>
                <w:b/>
                <w:bCs/>
                <w:color w:val="4F81BD" w:themeColor="accent1"/>
                <w:sz w:val="20"/>
                <w:szCs w:val="18"/>
              </w:rPr>
            </w:pPr>
            <w:r w:rsidRPr="0068584C">
              <w:rPr>
                <w:rFonts w:ascii="Times New Roman" w:hAnsi="Times New Roman" w:cs="Times New Roman"/>
                <w:sz w:val="20"/>
              </w:rPr>
              <w:t>Temporary</w:t>
            </w:r>
          </w:p>
        </w:tc>
        <w:tc>
          <w:tcPr>
            <w:tcW w:w="2214" w:type="dxa"/>
          </w:tcPr>
          <w:p w14:paraId="44CC7C70" w14:textId="77777777" w:rsidR="004E7ED2" w:rsidRDefault="004E7ED2" w:rsidP="0063512B">
            <w:pPr>
              <w:spacing w:line="360" w:lineRule="auto"/>
              <w:rPr>
                <w:rFonts w:ascii="Times New Roman" w:hAnsi="Times New Roman" w:cs="Times New Roman"/>
                <w:sz w:val="20"/>
              </w:rPr>
            </w:pPr>
          </w:p>
          <w:p w14:paraId="73792585" w14:textId="09730D6E" w:rsidR="00226241" w:rsidRPr="0068584C" w:rsidRDefault="00226241" w:rsidP="0063512B">
            <w:pPr>
              <w:spacing w:line="360" w:lineRule="auto"/>
              <w:rPr>
                <w:rFonts w:ascii="Times New Roman" w:eastAsiaTheme="majorEastAsia" w:hAnsi="Times New Roman" w:cs="Times New Roman"/>
                <w:b/>
                <w:bCs/>
                <w:color w:val="4F81BD" w:themeColor="accent1"/>
                <w:sz w:val="20"/>
                <w:szCs w:val="18"/>
              </w:rPr>
            </w:pPr>
            <w:r w:rsidRPr="0068584C">
              <w:rPr>
                <w:rFonts w:ascii="Times New Roman" w:hAnsi="Times New Roman" w:cs="Times New Roman"/>
                <w:sz w:val="20"/>
              </w:rPr>
              <w:t>Temporary</w:t>
            </w:r>
          </w:p>
        </w:tc>
      </w:tr>
      <w:tr w:rsidR="00226241" w:rsidRPr="0002452F" w14:paraId="78A5471C" w14:textId="77777777" w:rsidTr="008C76D8">
        <w:tc>
          <w:tcPr>
            <w:tcW w:w="2214" w:type="dxa"/>
          </w:tcPr>
          <w:p w14:paraId="560AE295" w14:textId="77777777" w:rsidR="00580598" w:rsidRDefault="00580598" w:rsidP="0063512B">
            <w:pPr>
              <w:spacing w:line="360" w:lineRule="auto"/>
              <w:rPr>
                <w:rFonts w:ascii="Times New Roman" w:hAnsi="Times New Roman" w:cs="Times New Roman"/>
                <w:b/>
                <w:sz w:val="20"/>
              </w:rPr>
            </w:pPr>
          </w:p>
          <w:p w14:paraId="0BDAC586" w14:textId="1DD6DE36" w:rsidR="00226241" w:rsidRPr="00645CD2" w:rsidRDefault="00226241" w:rsidP="0063512B">
            <w:pPr>
              <w:spacing w:line="360" w:lineRule="auto"/>
              <w:rPr>
                <w:rFonts w:ascii="Times New Roman" w:hAnsi="Times New Roman" w:cs="Times New Roman"/>
                <w:b/>
                <w:sz w:val="20"/>
              </w:rPr>
            </w:pPr>
            <w:r w:rsidRPr="00645CD2">
              <w:rPr>
                <w:rFonts w:ascii="Times New Roman" w:hAnsi="Times New Roman" w:cs="Times New Roman"/>
                <w:b/>
                <w:sz w:val="20"/>
              </w:rPr>
              <w:t>Source of Competitive Advantage</w:t>
            </w:r>
          </w:p>
        </w:tc>
        <w:tc>
          <w:tcPr>
            <w:tcW w:w="2214" w:type="dxa"/>
          </w:tcPr>
          <w:p w14:paraId="7AA3603E" w14:textId="77777777" w:rsidR="00580598" w:rsidRDefault="00580598" w:rsidP="0063512B">
            <w:pPr>
              <w:spacing w:line="360" w:lineRule="auto"/>
              <w:rPr>
                <w:rFonts w:ascii="Times New Roman" w:hAnsi="Times New Roman" w:cs="Times New Roman"/>
                <w:sz w:val="20"/>
              </w:rPr>
            </w:pPr>
          </w:p>
          <w:p w14:paraId="62D84C7E" w14:textId="0BEC0CEA" w:rsidR="00226241" w:rsidRPr="0068584C" w:rsidRDefault="00BF55EF" w:rsidP="0063512B">
            <w:pPr>
              <w:spacing w:line="360" w:lineRule="auto"/>
              <w:rPr>
                <w:rFonts w:ascii="Times New Roman" w:hAnsi="Times New Roman" w:cs="Times New Roman"/>
                <w:sz w:val="20"/>
              </w:rPr>
            </w:pPr>
            <w:r w:rsidRPr="0068584C">
              <w:rPr>
                <w:rFonts w:ascii="Times New Roman" w:hAnsi="Times New Roman" w:cs="Times New Roman"/>
                <w:sz w:val="20"/>
              </w:rPr>
              <w:t>VRIO/VRIN R</w:t>
            </w:r>
            <w:r w:rsidR="00226241" w:rsidRPr="0068584C">
              <w:rPr>
                <w:rFonts w:ascii="Times New Roman" w:hAnsi="Times New Roman" w:cs="Times New Roman"/>
                <w:sz w:val="20"/>
              </w:rPr>
              <w:t>esources</w:t>
            </w:r>
          </w:p>
        </w:tc>
        <w:tc>
          <w:tcPr>
            <w:tcW w:w="2214" w:type="dxa"/>
          </w:tcPr>
          <w:p w14:paraId="68B01CDD" w14:textId="77777777" w:rsidR="00580598" w:rsidRDefault="00580598" w:rsidP="0063512B">
            <w:pPr>
              <w:spacing w:line="360" w:lineRule="auto"/>
              <w:rPr>
                <w:rFonts w:ascii="Times New Roman" w:hAnsi="Times New Roman" w:cs="Times New Roman"/>
                <w:sz w:val="20"/>
              </w:rPr>
            </w:pPr>
          </w:p>
          <w:p w14:paraId="1EFB5B10" w14:textId="6CB40F58" w:rsidR="00226241" w:rsidRPr="0068584C" w:rsidRDefault="00582D1E" w:rsidP="0063512B">
            <w:pPr>
              <w:spacing w:line="360" w:lineRule="auto"/>
              <w:rPr>
                <w:rFonts w:ascii="Times New Roman" w:eastAsiaTheme="majorEastAsia" w:hAnsi="Times New Roman" w:cs="Times New Roman"/>
                <w:b/>
                <w:bCs/>
                <w:color w:val="4F81BD" w:themeColor="accent1"/>
                <w:sz w:val="20"/>
                <w:szCs w:val="18"/>
              </w:rPr>
            </w:pPr>
            <w:r w:rsidRPr="0068584C">
              <w:rPr>
                <w:rFonts w:ascii="Times New Roman" w:hAnsi="Times New Roman" w:cs="Times New Roman"/>
                <w:sz w:val="20"/>
              </w:rPr>
              <w:t>Quick Adaptation</w:t>
            </w:r>
            <w:r w:rsidR="00BF55EF" w:rsidRPr="0068584C">
              <w:rPr>
                <w:rFonts w:ascii="Times New Roman" w:hAnsi="Times New Roman" w:cs="Times New Roman"/>
                <w:sz w:val="20"/>
              </w:rPr>
              <w:t xml:space="preserve"> to </w:t>
            </w:r>
            <w:r w:rsidRPr="0068584C">
              <w:rPr>
                <w:rFonts w:ascii="Times New Roman" w:hAnsi="Times New Roman" w:cs="Times New Roman"/>
                <w:sz w:val="20"/>
              </w:rPr>
              <w:t>E</w:t>
            </w:r>
            <w:r w:rsidR="00BF55EF" w:rsidRPr="0068584C">
              <w:rPr>
                <w:rFonts w:ascii="Times New Roman" w:hAnsi="Times New Roman" w:cs="Times New Roman"/>
                <w:sz w:val="20"/>
              </w:rPr>
              <w:t xml:space="preserve">nvironmental </w:t>
            </w:r>
            <w:r w:rsidRPr="0068584C">
              <w:rPr>
                <w:rFonts w:ascii="Times New Roman" w:hAnsi="Times New Roman" w:cs="Times New Roman"/>
                <w:sz w:val="20"/>
              </w:rPr>
              <w:t>C</w:t>
            </w:r>
            <w:r w:rsidR="00BF55EF" w:rsidRPr="0068584C">
              <w:rPr>
                <w:rFonts w:ascii="Times New Roman" w:hAnsi="Times New Roman" w:cs="Times New Roman"/>
                <w:sz w:val="20"/>
              </w:rPr>
              <w:t xml:space="preserve">hanges by </w:t>
            </w:r>
            <w:r w:rsidRPr="0068584C">
              <w:rPr>
                <w:rFonts w:ascii="Times New Roman" w:hAnsi="Times New Roman" w:cs="Times New Roman"/>
                <w:sz w:val="20"/>
              </w:rPr>
              <w:t>C</w:t>
            </w:r>
            <w:r w:rsidR="00BF55EF" w:rsidRPr="0068584C">
              <w:rPr>
                <w:rFonts w:ascii="Times New Roman" w:hAnsi="Times New Roman" w:cs="Times New Roman"/>
                <w:sz w:val="20"/>
              </w:rPr>
              <w:t xml:space="preserve">reating </w:t>
            </w:r>
            <w:r w:rsidRPr="0068584C">
              <w:rPr>
                <w:rFonts w:ascii="Times New Roman" w:hAnsi="Times New Roman" w:cs="Times New Roman"/>
                <w:sz w:val="20"/>
              </w:rPr>
              <w:t>U</w:t>
            </w:r>
            <w:r w:rsidR="00BF55EF" w:rsidRPr="0068584C">
              <w:rPr>
                <w:rFonts w:ascii="Times New Roman" w:hAnsi="Times New Roman" w:cs="Times New Roman"/>
                <w:sz w:val="20"/>
              </w:rPr>
              <w:t xml:space="preserve">nique </w:t>
            </w:r>
            <w:r w:rsidRPr="0068584C">
              <w:rPr>
                <w:rFonts w:ascii="Times New Roman" w:hAnsi="Times New Roman" w:cs="Times New Roman"/>
                <w:sz w:val="20"/>
              </w:rPr>
              <w:t>R</w:t>
            </w:r>
            <w:r w:rsidR="00BF55EF" w:rsidRPr="0068584C">
              <w:rPr>
                <w:rFonts w:ascii="Times New Roman" w:hAnsi="Times New Roman" w:cs="Times New Roman"/>
                <w:sz w:val="20"/>
              </w:rPr>
              <w:t xml:space="preserve">esource </w:t>
            </w:r>
            <w:r w:rsidRPr="0068584C">
              <w:rPr>
                <w:rFonts w:ascii="Times New Roman" w:hAnsi="Times New Roman" w:cs="Times New Roman"/>
                <w:sz w:val="20"/>
              </w:rPr>
              <w:t>C</w:t>
            </w:r>
            <w:r w:rsidR="00BF55EF" w:rsidRPr="0068584C">
              <w:rPr>
                <w:rFonts w:ascii="Times New Roman" w:hAnsi="Times New Roman" w:cs="Times New Roman"/>
                <w:sz w:val="20"/>
              </w:rPr>
              <w:t xml:space="preserve">onfigurations </w:t>
            </w:r>
          </w:p>
        </w:tc>
        <w:tc>
          <w:tcPr>
            <w:tcW w:w="2214" w:type="dxa"/>
          </w:tcPr>
          <w:p w14:paraId="6CB43F80" w14:textId="77777777" w:rsidR="004F6999" w:rsidRDefault="004F6999" w:rsidP="0063512B">
            <w:pPr>
              <w:spacing w:line="360" w:lineRule="auto"/>
              <w:rPr>
                <w:rFonts w:ascii="Times New Roman" w:hAnsi="Times New Roman" w:cs="Times New Roman"/>
                <w:sz w:val="20"/>
              </w:rPr>
            </w:pPr>
          </w:p>
          <w:p w14:paraId="2BE12DC2" w14:textId="738CAF08" w:rsidR="00226241" w:rsidRPr="0068584C" w:rsidRDefault="0091677C" w:rsidP="0063512B">
            <w:pPr>
              <w:spacing w:line="360" w:lineRule="auto"/>
              <w:rPr>
                <w:rFonts w:ascii="Times New Roman" w:eastAsiaTheme="majorEastAsia" w:hAnsi="Times New Roman" w:cs="Times New Roman"/>
                <w:b/>
                <w:bCs/>
                <w:color w:val="4F81BD" w:themeColor="accent1"/>
                <w:sz w:val="20"/>
                <w:szCs w:val="18"/>
              </w:rPr>
            </w:pPr>
            <w:r w:rsidRPr="0068584C">
              <w:rPr>
                <w:rFonts w:ascii="Times New Roman" w:hAnsi="Times New Roman" w:cs="Times New Roman"/>
                <w:sz w:val="20"/>
              </w:rPr>
              <w:t>Optimal S</w:t>
            </w:r>
            <w:r w:rsidR="00BF55EF" w:rsidRPr="0068584C">
              <w:rPr>
                <w:rFonts w:ascii="Times New Roman" w:hAnsi="Times New Roman" w:cs="Times New Roman"/>
                <w:sz w:val="20"/>
              </w:rPr>
              <w:t>ynchroniz</w:t>
            </w:r>
            <w:r w:rsidRPr="0068584C">
              <w:rPr>
                <w:rFonts w:ascii="Times New Roman" w:hAnsi="Times New Roman" w:cs="Times New Roman"/>
                <w:sz w:val="20"/>
              </w:rPr>
              <w:t>ation of</w:t>
            </w:r>
            <w:r w:rsidR="00BF55EF" w:rsidRPr="0068584C">
              <w:rPr>
                <w:rFonts w:ascii="Times New Roman" w:hAnsi="Times New Roman" w:cs="Times New Roman"/>
                <w:sz w:val="20"/>
              </w:rPr>
              <w:t xml:space="preserve"> </w:t>
            </w:r>
            <w:r w:rsidRPr="0068584C">
              <w:rPr>
                <w:rFonts w:ascii="Times New Roman" w:hAnsi="Times New Roman" w:cs="Times New Roman"/>
                <w:sz w:val="20"/>
              </w:rPr>
              <w:t>the S</w:t>
            </w:r>
            <w:r w:rsidR="00BF55EF" w:rsidRPr="0068584C">
              <w:rPr>
                <w:rFonts w:ascii="Times New Roman" w:hAnsi="Times New Roman" w:cs="Times New Roman"/>
                <w:sz w:val="20"/>
              </w:rPr>
              <w:t xml:space="preserve">tructuring, </w:t>
            </w:r>
            <w:r w:rsidRPr="0068584C">
              <w:rPr>
                <w:rFonts w:ascii="Times New Roman" w:hAnsi="Times New Roman" w:cs="Times New Roman"/>
                <w:sz w:val="20"/>
              </w:rPr>
              <w:t>B</w:t>
            </w:r>
            <w:r w:rsidR="00BF55EF" w:rsidRPr="0068584C">
              <w:rPr>
                <w:rFonts w:ascii="Times New Roman" w:hAnsi="Times New Roman" w:cs="Times New Roman"/>
                <w:sz w:val="20"/>
              </w:rPr>
              <w:t xml:space="preserve">undling, and </w:t>
            </w:r>
            <w:r w:rsidRPr="0068584C">
              <w:rPr>
                <w:rFonts w:ascii="Times New Roman" w:hAnsi="Times New Roman" w:cs="Times New Roman"/>
                <w:sz w:val="20"/>
              </w:rPr>
              <w:t>L</w:t>
            </w:r>
            <w:r w:rsidR="00BF55EF" w:rsidRPr="0068584C">
              <w:rPr>
                <w:rFonts w:ascii="Times New Roman" w:hAnsi="Times New Roman" w:cs="Times New Roman"/>
                <w:sz w:val="20"/>
              </w:rPr>
              <w:t xml:space="preserve">everaging </w:t>
            </w:r>
            <w:r w:rsidR="003C3A04">
              <w:rPr>
                <w:rFonts w:ascii="Times New Roman" w:hAnsi="Times New Roman" w:cs="Times New Roman"/>
                <w:sz w:val="20"/>
              </w:rPr>
              <w:t>Sub-</w:t>
            </w:r>
            <w:r w:rsidRPr="0068584C">
              <w:rPr>
                <w:rFonts w:ascii="Times New Roman" w:hAnsi="Times New Roman" w:cs="Times New Roman"/>
                <w:sz w:val="20"/>
              </w:rPr>
              <w:t>P</w:t>
            </w:r>
            <w:r w:rsidR="00BF55EF" w:rsidRPr="0068584C">
              <w:rPr>
                <w:rFonts w:ascii="Times New Roman" w:hAnsi="Times New Roman" w:cs="Times New Roman"/>
                <w:sz w:val="20"/>
              </w:rPr>
              <w:t>rocesses</w:t>
            </w:r>
          </w:p>
        </w:tc>
      </w:tr>
    </w:tbl>
    <w:p w14:paraId="4510E97D" w14:textId="77777777" w:rsidR="00AF0B8D" w:rsidRPr="0068584C" w:rsidRDefault="00AF0B8D" w:rsidP="0035460B">
      <w:pPr>
        <w:spacing w:line="480" w:lineRule="auto"/>
        <w:rPr>
          <w:rFonts w:ascii="Times New Roman" w:hAnsi="Times New Roman" w:cs="Times New Roman"/>
        </w:rPr>
      </w:pPr>
    </w:p>
    <w:p w14:paraId="0D18D5A3" w14:textId="1F7DB5EF" w:rsidR="00CC4C2C" w:rsidRPr="0068584C" w:rsidRDefault="00665245" w:rsidP="001B6FF7">
      <w:pPr>
        <w:pStyle w:val="Heading3new"/>
      </w:pPr>
      <w:r w:rsidRPr="0068584C">
        <w:t>The</w:t>
      </w:r>
      <w:r w:rsidR="00E2474E" w:rsidRPr="0068584C">
        <w:t xml:space="preserve"> </w:t>
      </w:r>
      <w:r w:rsidR="00613E45">
        <w:t>R</w:t>
      </w:r>
      <w:r w:rsidR="00E2474E" w:rsidRPr="0068584C">
        <w:t>elationships</w:t>
      </w:r>
      <w:r w:rsidR="00600FB8" w:rsidRPr="0068584C">
        <w:t xml:space="preserve"> </w:t>
      </w:r>
      <w:r w:rsidR="009B13DD" w:rsidRPr="0068584C">
        <w:t xml:space="preserve">of </w:t>
      </w:r>
      <w:r w:rsidR="00600FB8" w:rsidRPr="0068584C">
        <w:t xml:space="preserve">RBT, DCT, </w:t>
      </w:r>
      <w:r w:rsidR="009B13DD" w:rsidRPr="0068584C">
        <w:t xml:space="preserve">and </w:t>
      </w:r>
      <w:r w:rsidR="00600FB8" w:rsidRPr="0068584C">
        <w:t>ROT</w:t>
      </w:r>
    </w:p>
    <w:p w14:paraId="3E0AD2B3" w14:textId="46BD284B" w:rsidR="00BA3C0F" w:rsidRPr="0068584C" w:rsidRDefault="00C96F6B" w:rsidP="0035460B">
      <w:pPr>
        <w:spacing w:line="480" w:lineRule="auto"/>
        <w:jc w:val="both"/>
        <w:rPr>
          <w:rFonts w:ascii="Times New Roman" w:hAnsi="Times New Roman" w:cs="Times New Roman"/>
        </w:rPr>
      </w:pPr>
      <w:r w:rsidRPr="0068584C">
        <w:rPr>
          <w:rFonts w:ascii="Times New Roman" w:hAnsi="Times New Roman" w:cs="Times New Roman"/>
        </w:rPr>
        <w:t xml:space="preserve">In this section, the logical connection of </w:t>
      </w:r>
      <w:r w:rsidR="00445F36" w:rsidRPr="0068584C">
        <w:rPr>
          <w:rFonts w:ascii="Times New Roman" w:hAnsi="Times New Roman" w:cs="Times New Roman"/>
        </w:rPr>
        <w:t>construct</w:t>
      </w:r>
      <w:r w:rsidRPr="0068584C">
        <w:rPr>
          <w:rFonts w:ascii="Times New Roman" w:hAnsi="Times New Roman" w:cs="Times New Roman"/>
        </w:rPr>
        <w:t xml:space="preserve">s to others will be explained. The internal consistency of theory is demonstrated by addressing the questions of how and why constructs are related or unrelated </w:t>
      </w:r>
      <w:r w:rsidR="002A37F8"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"ISBN" : "1515294811", "author" : [ { "dropping-particle" : "", "family" : "Wacker", "given" : "John G", "non-dropping-particle" : "", "parse-names" : false, "suffix" : "" } ], "container-title" : "Journal of Operations Management", "id" : "ITEM-1", "issue" : "4", "issued" : { "date-parts" : [ [ "1998" ] ] }, "page" : "361-385", "title" : "A definition of theory: research guidelines for different theory-building research methods in operations management", "type" : "article-journal", "volume" : "16" }, "uris" : [ "http://www.mendeley.com/documents/?uuid=00f61d23-9b83-4b25-9418-585af3e47d5a" ] } ], "mendeley" : { "formattedCitation" : "(Wacker, 1998)", "plainTextFormattedCitation" : "(Wacker, 1998)", "previouslyFormattedCitation" : "(Wacker, 1998)" }, "properties" : { "noteIndex" : 0 }, "schema" : "https://github.com/citation-style-language/schema/raw/master/csl-citation.json" }</w:instrText>
      </w:r>
      <w:r w:rsidR="002A37F8" w:rsidRPr="0068584C">
        <w:rPr>
          <w:rFonts w:ascii="Times New Roman" w:hAnsi="Times New Roman" w:cs="Times New Roman"/>
        </w:rPr>
        <w:fldChar w:fldCharType="separate"/>
      </w:r>
      <w:r w:rsidR="000E6ECE" w:rsidRPr="000E6ECE">
        <w:rPr>
          <w:rFonts w:ascii="Times New Roman" w:hAnsi="Times New Roman" w:cs="Times New Roman"/>
          <w:noProof/>
        </w:rPr>
        <w:t>(Wacker, 1998)</w:t>
      </w:r>
      <w:r w:rsidR="002A37F8" w:rsidRPr="0068584C">
        <w:rPr>
          <w:rFonts w:ascii="Times New Roman" w:hAnsi="Times New Roman" w:cs="Times New Roman"/>
        </w:rPr>
        <w:fldChar w:fldCharType="end"/>
      </w:r>
      <w:r w:rsidR="002A37F8" w:rsidRPr="0068584C">
        <w:rPr>
          <w:rFonts w:ascii="Times New Roman" w:hAnsi="Times New Roman" w:cs="Times New Roman"/>
        </w:rPr>
        <w:t>.</w:t>
      </w:r>
      <w:r w:rsidR="00F70150" w:rsidRPr="0068584C">
        <w:rPr>
          <w:rFonts w:ascii="Times New Roman" w:hAnsi="Times New Roman" w:cs="Times New Roman"/>
        </w:rPr>
        <w:t xml:space="preserve"> While reviewing the literature, t</w:t>
      </w:r>
      <w:r w:rsidR="00413C4F" w:rsidRPr="0068584C">
        <w:rPr>
          <w:rFonts w:ascii="Times New Roman" w:hAnsi="Times New Roman" w:cs="Times New Roman"/>
        </w:rPr>
        <w:t>he Wacker</w:t>
      </w:r>
      <w:r w:rsidR="00F70150" w:rsidRPr="0068584C">
        <w:rPr>
          <w:rFonts w:ascii="Times New Roman" w:hAnsi="Times New Roman" w:cs="Times New Roman"/>
        </w:rPr>
        <w:t xml:space="preserve"> (1998)</w:t>
      </w:r>
      <w:r w:rsidR="00413C4F" w:rsidRPr="0068584C">
        <w:rPr>
          <w:rFonts w:ascii="Times New Roman" w:hAnsi="Times New Roman" w:cs="Times New Roman"/>
        </w:rPr>
        <w:t xml:space="preserve"> procedure </w:t>
      </w:r>
      <w:r w:rsidR="003A4EC1" w:rsidRPr="0068584C">
        <w:rPr>
          <w:rFonts w:ascii="Times New Roman" w:hAnsi="Times New Roman" w:cs="Times New Roman"/>
        </w:rPr>
        <w:t xml:space="preserve">has </w:t>
      </w:r>
      <w:r w:rsidR="00413C4F" w:rsidRPr="0068584C">
        <w:rPr>
          <w:rFonts w:ascii="Times New Roman" w:hAnsi="Times New Roman" w:cs="Times New Roman"/>
        </w:rPr>
        <w:t xml:space="preserve">been </w:t>
      </w:r>
      <w:r w:rsidR="00F70150" w:rsidRPr="0068584C">
        <w:rPr>
          <w:rFonts w:ascii="Times New Roman" w:hAnsi="Times New Roman" w:cs="Times New Roman"/>
        </w:rPr>
        <w:t xml:space="preserve">applied </w:t>
      </w:r>
      <w:r w:rsidR="00413C4F" w:rsidRPr="0068584C">
        <w:rPr>
          <w:rFonts w:ascii="Times New Roman" w:hAnsi="Times New Roman" w:cs="Times New Roman"/>
        </w:rPr>
        <w:t xml:space="preserve">to decide which relationships among </w:t>
      </w:r>
      <w:r w:rsidR="000F7AB4" w:rsidRPr="0068584C">
        <w:rPr>
          <w:rFonts w:ascii="Times New Roman" w:hAnsi="Times New Roman" w:cs="Times New Roman"/>
        </w:rPr>
        <w:t>construct</w:t>
      </w:r>
      <w:r w:rsidR="00413C4F" w:rsidRPr="0068584C">
        <w:rPr>
          <w:rFonts w:ascii="Times New Roman" w:hAnsi="Times New Roman" w:cs="Times New Roman"/>
        </w:rPr>
        <w:t xml:space="preserve">s are important </w:t>
      </w:r>
      <w:r w:rsidR="00F70150" w:rsidRPr="0068584C">
        <w:rPr>
          <w:rFonts w:ascii="Times New Roman" w:hAnsi="Times New Roman" w:cs="Times New Roman"/>
        </w:rPr>
        <w:t>and to compare the three theoretical frameworks of RBT, DCT, and ROT</w:t>
      </w:r>
      <w:r w:rsidR="00413C4F" w:rsidRPr="0068584C">
        <w:rPr>
          <w:rFonts w:ascii="Times New Roman" w:hAnsi="Times New Roman" w:cs="Times New Roman"/>
        </w:rPr>
        <w:t xml:space="preserve">. </w:t>
      </w:r>
    </w:p>
    <w:p w14:paraId="3A629FE0" w14:textId="61BFAC92" w:rsidR="00EF2BEE" w:rsidRPr="0068584C" w:rsidRDefault="0006269F" w:rsidP="0035460B">
      <w:pPr>
        <w:spacing w:line="480" w:lineRule="auto"/>
        <w:jc w:val="both"/>
        <w:rPr>
          <w:rFonts w:ascii="Times New Roman" w:hAnsi="Times New Roman" w:cs="Times New Roman"/>
          <w:color w:val="000000" w:themeColor="text1"/>
        </w:rPr>
      </w:pPr>
      <w:r>
        <w:rPr>
          <w:rFonts w:ascii="Times New Roman" w:hAnsi="Times New Roman" w:cs="Times New Roman"/>
        </w:rPr>
        <w:tab/>
      </w:r>
      <w:r w:rsidR="00EF2BEE" w:rsidRPr="0068584C">
        <w:rPr>
          <w:rFonts w:ascii="Times New Roman" w:hAnsi="Times New Roman" w:cs="Times New Roman"/>
        </w:rPr>
        <w:t xml:space="preserve">RBT emphasizes the organization’s own ability to utilize and leverage resources to create </w:t>
      </w:r>
      <w:r w:rsidR="00B92DAE">
        <w:rPr>
          <w:rFonts w:ascii="Times New Roman" w:hAnsi="Times New Roman" w:cs="Times New Roman"/>
        </w:rPr>
        <w:t xml:space="preserve">unique </w:t>
      </w:r>
      <w:r w:rsidR="00EF2BEE" w:rsidRPr="0068584C">
        <w:rPr>
          <w:rFonts w:ascii="Times New Roman" w:hAnsi="Times New Roman" w:cs="Times New Roman"/>
        </w:rPr>
        <w:t xml:space="preserve">capabilities </w:t>
      </w:r>
      <w:r w:rsidR="00BF6138" w:rsidRPr="0068584C">
        <w:rPr>
          <w:rFonts w:ascii="Times New Roman" w:hAnsi="Times New Roman" w:cs="Times New Roman"/>
        </w:rPr>
        <w:t xml:space="preserve">and develop a competitive advantage </w:t>
      </w:r>
      <w:r w:rsidR="00EF2BEE" w:rsidRPr="0068584C">
        <w:rPr>
          <w:rFonts w:ascii="Times New Roman" w:hAnsi="Times New Roman" w:cs="Times New Roman"/>
        </w:rPr>
        <w:t xml:space="preserve">rather than being (passively) impacted by </w:t>
      </w:r>
      <w:r w:rsidR="00EF2BEE" w:rsidRPr="0068584C">
        <w:rPr>
          <w:rFonts w:ascii="Times New Roman" w:hAnsi="Times New Roman" w:cs="Times New Roman"/>
          <w:color w:val="000000" w:themeColor="text1"/>
        </w:rPr>
        <w:t>external market factors</w:t>
      </w:r>
      <w:r w:rsidR="00DF78C2" w:rsidRPr="0068584C">
        <w:rPr>
          <w:rFonts w:ascii="Times New Roman" w:hAnsi="Times New Roman" w:cs="Times New Roman"/>
          <w:color w:val="000000" w:themeColor="text1"/>
        </w:rPr>
        <w:t xml:space="preserve"> </w:t>
      </w:r>
      <w:r w:rsidR="00490771"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"ISSN" : "00178012", "PMID" : "20887720", "abstract" : "In the early 1980s, GTE was positioned to become a major player in the information technology industry. NEC was much smaller and had no experience as an operating telecommunications company. Today NEC is among the top five companies in telecommunications, semiconductors, and mainframes. GTE has become essentially a telephone company with a position in defense and lighting products. What happened? NEC built and nurtured a group of core competencies. GTE, on the other hand, couldn't agree on which competencies to base its strategy. It organized itself around strategic business units, which by nature underinvest in core competencies, imprison resources, and bind innovation. A company's competitiveness derives from its core competencies and core products (the tangible results of core competencies). Core competence is the collective learning in the organization, especially the capacity to coordinate diverse production skills and integrate streams of technologies. It is also a commitment to working across organizational boundaries. Organizing around core competencies requires a radical change in corporate organization. The first step requires identifying core competencies, which meet these three requirements: they provide potential access to a wide variety of markets, make a contribution to the customer benefits of the product, and are difficult for competitors to imitate. The next step is to redesign the architecture of the company and provide an impetus for learning from alliances and a focus for internal development. Management should ask: How long could we preserve our competitiveness if we did not control this core competence? How central is this core competence to customer benefits? What opportunities would be foreclosed if we lost this competence? INSET: Vickers Learns the Value of Stratetic Architecture. ABSTRACT FROM PUBLISHER", "author" : [ { "dropping-particle" : "", "family" : "Prahalad", "given" : "C K", "non-dropping-particle" : "", "parse-names" : false, "suffix" : "" }, { "dropping-particle" : "", "family" : "Hamel", "given" : "Gary", "non-dropping-particle" : "", "parse-names" : false, "suffix" : "" }, { "dropping-particle" : "", "family" : "June", "given" : "M A Y", "non-dropping-particle" : "", "parse-names" : false, "suffix" : "" } ], "container-title" : "Harvard Business Review", "editor" : [ { "dropping-particle" : "", "family" : "Hahn", "given" : "Dietger", "non-dropping-particle" : "", "parse-names" : false, "suffix" : "" }, { "dropping-particle" : "", "family" : "Taylor", "given" : "Bernard", "non-dropping-particle" : "", "parse-names" : false, "suffix" : "" } ], "id" : "ITEM-1", "issue" : "3", "issued" : { "date-parts" : [ [ "1990" ] ] }, "page" : "79-91", "publisher" : "Springer", "title" : "The Core Competence of the Corporation", "type" : "article-journal", "volume" : "68" }, "uris" : [ "http://www.mendeley.com/documents/?uuid=21d48ed0-4a69-4c50-95ae-bfb7c17f292d" ] } ], "mendeley" : { "formattedCitation" : "(Prahalad, Hamel, &amp; June, 1990)", "plainTextFormattedCitation" : "(Prahalad, Hamel, &amp; June, 1990)", "previouslyFormattedCitation" : "(Prahalad, Hamel, &amp; June, 1990)" }, "properties" : { "noteIndex" : 0 }, "schema" : "https://github.com/citation-style-language/schema/raw/master/csl-citation.json" }</w:instrText>
      </w:r>
      <w:r w:rsidR="00490771"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(Prahalad, Hamel, &amp; June, 1990)</w:t>
      </w:r>
      <w:r w:rsidR="00490771" w:rsidRPr="0068584C">
        <w:rPr>
          <w:rFonts w:ascii="Times New Roman" w:hAnsi="Times New Roman" w:cs="Times New Roman"/>
          <w:color w:val="000000" w:themeColor="text1"/>
        </w:rPr>
        <w:fldChar w:fldCharType="end"/>
      </w:r>
      <w:r w:rsidR="00EF2BEE" w:rsidRPr="0068584C">
        <w:rPr>
          <w:rFonts w:ascii="Times New Roman" w:hAnsi="Times New Roman" w:cs="Times New Roman"/>
          <w:color w:val="000000" w:themeColor="text1"/>
        </w:rPr>
        <w:t xml:space="preserve">. </w:t>
      </w:r>
      <w:r w:rsidR="008301F4" w:rsidRPr="0068584C">
        <w:rPr>
          <w:rFonts w:ascii="Times New Roman" w:hAnsi="Times New Roman" w:cs="Times New Roman"/>
          <w:color w:val="000000" w:themeColor="text1"/>
        </w:rPr>
        <w:t xml:space="preserve">Hence, RBT posits that </w:t>
      </w:r>
      <w:r w:rsidR="00022E38" w:rsidRPr="0068584C">
        <w:rPr>
          <w:rFonts w:ascii="Times New Roman" w:hAnsi="Times New Roman" w:cs="Times New Roman"/>
          <w:color w:val="000000" w:themeColor="text1"/>
        </w:rPr>
        <w:t xml:space="preserve">the </w:t>
      </w:r>
      <w:r w:rsidR="00EF2BEE" w:rsidRPr="0068584C">
        <w:rPr>
          <w:rFonts w:ascii="Times New Roman" w:hAnsi="Times New Roman" w:cs="Times New Roman"/>
          <w:color w:val="000000" w:themeColor="text1"/>
        </w:rPr>
        <w:t>organization’s resource</w:t>
      </w:r>
      <w:r w:rsidR="00022E38" w:rsidRPr="0068584C">
        <w:rPr>
          <w:rFonts w:ascii="Times New Roman" w:hAnsi="Times New Roman" w:cs="Times New Roman"/>
          <w:color w:val="000000" w:themeColor="text1"/>
        </w:rPr>
        <w:t xml:space="preserve"> portfolio</w:t>
      </w:r>
      <w:r w:rsidR="00EF2BEE" w:rsidRPr="0068584C">
        <w:rPr>
          <w:rFonts w:ascii="Times New Roman" w:hAnsi="Times New Roman" w:cs="Times New Roman"/>
          <w:color w:val="000000" w:themeColor="text1"/>
        </w:rPr>
        <w:t xml:space="preserve"> </w:t>
      </w:r>
      <w:r w:rsidR="001D5180" w:rsidRPr="0068584C">
        <w:rPr>
          <w:rFonts w:ascii="Times New Roman" w:hAnsi="Times New Roman" w:cs="Times New Roman"/>
          <w:color w:val="000000" w:themeColor="text1"/>
        </w:rPr>
        <w:t>determines</w:t>
      </w:r>
      <w:r w:rsidR="00022E38" w:rsidRPr="0068584C">
        <w:rPr>
          <w:rFonts w:ascii="Times New Roman" w:hAnsi="Times New Roman" w:cs="Times New Roman"/>
          <w:color w:val="000000" w:themeColor="text1"/>
        </w:rPr>
        <w:t xml:space="preserve"> its</w:t>
      </w:r>
      <w:r w:rsidR="00541312" w:rsidRPr="0068584C">
        <w:rPr>
          <w:rFonts w:ascii="Times New Roman" w:hAnsi="Times New Roman" w:cs="Times New Roman"/>
          <w:color w:val="000000" w:themeColor="text1"/>
        </w:rPr>
        <w:t xml:space="preserve"> strategic opportunities and </w:t>
      </w:r>
      <w:r w:rsidR="00022E38" w:rsidRPr="0068584C">
        <w:rPr>
          <w:rFonts w:ascii="Times New Roman" w:hAnsi="Times New Roman" w:cs="Times New Roman"/>
          <w:color w:val="000000" w:themeColor="text1"/>
        </w:rPr>
        <w:t xml:space="preserve">thus </w:t>
      </w:r>
      <w:r w:rsidR="007B77D7" w:rsidRPr="0068584C">
        <w:rPr>
          <w:rFonts w:ascii="Times New Roman" w:hAnsi="Times New Roman" w:cs="Times New Roman"/>
          <w:color w:val="000000" w:themeColor="text1"/>
        </w:rPr>
        <w:t xml:space="preserve">has </w:t>
      </w:r>
      <w:r w:rsidR="00022E38" w:rsidRPr="0068584C">
        <w:rPr>
          <w:rFonts w:ascii="Times New Roman" w:hAnsi="Times New Roman" w:cs="Times New Roman"/>
          <w:color w:val="000000" w:themeColor="text1"/>
        </w:rPr>
        <w:t xml:space="preserve">an impact on </w:t>
      </w:r>
      <w:r w:rsidR="008301F4" w:rsidRPr="0068584C">
        <w:rPr>
          <w:rFonts w:ascii="Times New Roman" w:hAnsi="Times New Roman" w:cs="Times New Roman"/>
          <w:color w:val="000000" w:themeColor="text1"/>
        </w:rPr>
        <w:t>organizational</w:t>
      </w:r>
      <w:r w:rsidR="00EF2BEE" w:rsidRPr="0068584C">
        <w:rPr>
          <w:rFonts w:ascii="Times New Roman" w:hAnsi="Times New Roman" w:cs="Times New Roman"/>
          <w:color w:val="000000" w:themeColor="text1"/>
        </w:rPr>
        <w:t xml:space="preserve"> performance </w:t>
      </w:r>
      <w:r w:rsidR="00346EAB"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"10.1002/smj.4250050207", "ISBN" : "01432095", "ISSN" : "1097-0266", "PMID" : "19064477", "author" : [ { "dropping-particle" : "", "family" : "Wernerfelt", "given" : "Birger", "non-dropping-particle" : "", "parse-names" : false, "suffix" : "" } ], "container-title" : "Journal of Strategic Management", "id" : "ITEM-1", "issue" : "June 1982", "issued" : { "date-parts" : [ [ "1984" ] ] }, "page" : "171-180", "title" : "A Resource-based View of the Firm", "type" : "article-journal", "volume" : "5" }, "uris" : [ "http://www.mendeley.com/documents/?uuid=bffef9c3-a050-40c2-9af7-c7a98f164e2e" ] } ], "mendeley" : { "formattedCitation" : "(Wernerfelt, 1984)", "plainTextFormattedCitation" : "(Wernerfelt, 1984)", "previouslyFormattedCitation" : "(Wernerfelt, 1984)" }, "properties" : { "noteIndex" : 0 }, "schema" : "https://github.com/citation-style-language/schema/raw/master/csl-citation.json" }</w:instrText>
      </w:r>
      <w:r w:rsidR="00346EAB"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(Wernerfelt, 1984)</w:t>
      </w:r>
      <w:r w:rsidR="00346EAB" w:rsidRPr="0068584C">
        <w:rPr>
          <w:rFonts w:ascii="Times New Roman" w:hAnsi="Times New Roman" w:cs="Times New Roman"/>
          <w:color w:val="000000" w:themeColor="text1"/>
        </w:rPr>
        <w:fldChar w:fldCharType="end"/>
      </w:r>
      <w:r w:rsidR="00346EAB" w:rsidRPr="0068584C">
        <w:rPr>
          <w:rFonts w:ascii="Times New Roman" w:hAnsi="Times New Roman" w:cs="Times New Roman"/>
          <w:color w:val="000000" w:themeColor="text1"/>
        </w:rPr>
        <w:t xml:space="preserve">. </w:t>
      </w:r>
      <w:r w:rsidR="00541312" w:rsidRPr="0068584C">
        <w:rPr>
          <w:rFonts w:ascii="Times New Roman" w:hAnsi="Times New Roman" w:cs="Times New Roman"/>
          <w:color w:val="000000" w:themeColor="text1"/>
        </w:rPr>
        <w:t>The organizational r</w:t>
      </w:r>
      <w:r w:rsidR="00EF2BEE" w:rsidRPr="0068584C">
        <w:rPr>
          <w:rFonts w:ascii="Times New Roman" w:hAnsi="Times New Roman" w:cs="Times New Roman"/>
          <w:color w:val="000000" w:themeColor="text1"/>
        </w:rPr>
        <w:t xml:space="preserve">esource </w:t>
      </w:r>
      <w:r w:rsidR="00541312" w:rsidRPr="0068584C">
        <w:rPr>
          <w:rFonts w:ascii="Times New Roman" w:hAnsi="Times New Roman" w:cs="Times New Roman"/>
          <w:color w:val="000000" w:themeColor="text1"/>
        </w:rPr>
        <w:t>portfolio</w:t>
      </w:r>
      <w:r w:rsidR="00EF2BEE" w:rsidRPr="0068584C">
        <w:rPr>
          <w:rFonts w:ascii="Times New Roman" w:hAnsi="Times New Roman" w:cs="Times New Roman"/>
          <w:color w:val="000000" w:themeColor="text1"/>
        </w:rPr>
        <w:t xml:space="preserve"> can </w:t>
      </w:r>
      <w:r w:rsidR="00541312" w:rsidRPr="0068584C">
        <w:rPr>
          <w:rFonts w:ascii="Times New Roman" w:hAnsi="Times New Roman" w:cs="Times New Roman"/>
          <w:color w:val="000000" w:themeColor="text1"/>
        </w:rPr>
        <w:t>serve as a barrie</w:t>
      </w:r>
      <w:r w:rsidR="00022E38" w:rsidRPr="0068584C">
        <w:rPr>
          <w:rFonts w:ascii="Times New Roman" w:hAnsi="Times New Roman" w:cs="Times New Roman"/>
          <w:color w:val="000000" w:themeColor="text1"/>
        </w:rPr>
        <w:t>r</w:t>
      </w:r>
      <w:r w:rsidR="00EF2BEE" w:rsidRPr="0068584C">
        <w:rPr>
          <w:rFonts w:ascii="Times New Roman" w:hAnsi="Times New Roman" w:cs="Times New Roman"/>
          <w:color w:val="000000" w:themeColor="text1"/>
        </w:rPr>
        <w:t xml:space="preserve"> to entry and thereby </w:t>
      </w:r>
      <w:r w:rsidR="00541312" w:rsidRPr="0068584C">
        <w:rPr>
          <w:rFonts w:ascii="Times New Roman" w:hAnsi="Times New Roman" w:cs="Times New Roman"/>
          <w:color w:val="000000" w:themeColor="text1"/>
        </w:rPr>
        <w:t xml:space="preserve">substantially </w:t>
      </w:r>
      <w:r w:rsidR="00EF2BEE" w:rsidRPr="0068584C">
        <w:rPr>
          <w:rFonts w:ascii="Times New Roman" w:hAnsi="Times New Roman" w:cs="Times New Roman"/>
          <w:color w:val="000000" w:themeColor="text1"/>
        </w:rPr>
        <w:t>influence the competitive situation</w:t>
      </w:r>
      <w:r w:rsidR="00346EAB" w:rsidRPr="0068584C">
        <w:rPr>
          <w:rFonts w:ascii="Times New Roman" w:hAnsi="Times New Roman" w:cs="Times New Roman"/>
          <w:color w:val="000000" w:themeColor="text1"/>
        </w:rPr>
        <w:t xml:space="preserve"> </w:t>
      </w:r>
      <w:r w:rsidR="00346EAB"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"10.1016/j.jom.2007.02.010", "author" : [ { "dropping-particle" : "", "family" : "Vivek", "given" : "Shiri D", "non-dropping-particle" : "", "parse-names" : false, "suffix" : "" }, { "dropping-particle" : "", "family" : "Banwet", "given" : "D K", "non-dropping-particle" : "", "parse-names" : false, "suffix" : "" }, { "dropping-particle" : "", "family" : "Shankar", "given" : "Ravi", "non-dropping-particle" : "", "parse-names" : false, "suffix" : "" } ], "container-title" : "Journal of Operations Management", "id" : "ITEM-1", "issued" : { "date-parts" : [ [ "2008" ] ] }, "page" : "180-197", "title" : "Analysis of interactions among core, transaction and relationship-specific investments: The case of offshoring", "type" : "article-journal", "volume" : "26" }, "uris" : [ "http://www.mendeley.com/documents/?uuid=4b29a84d-9bd4-4d9d-a457-a2050af66c45" ] } ], "mendeley" : { "formattedCitation" : "(Vivek, Banwet, &amp; Shankar, 2008)", "plainTextFormattedCitation" : "(Vivek, Banwet, &amp; Shankar, 2008)", "previouslyFormattedCitation" : "(Vivek, Banwet, &amp; Shankar, 2008)" }, "properties" : { "noteIndex" : 0 }, "schema" : "https://github.com/citation-style-language/schema/raw/master/csl-citation.json" }</w:instrText>
      </w:r>
      <w:r w:rsidR="00346EAB"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(Vivek, Banwet, &amp; Shankar, 2008)</w:t>
      </w:r>
      <w:r w:rsidR="00346EAB" w:rsidRPr="0068584C">
        <w:rPr>
          <w:rFonts w:ascii="Times New Roman" w:hAnsi="Times New Roman" w:cs="Times New Roman"/>
          <w:color w:val="000000" w:themeColor="text1"/>
        </w:rPr>
        <w:fldChar w:fldCharType="end"/>
      </w:r>
      <w:r w:rsidR="00346EAB" w:rsidRPr="0068584C">
        <w:rPr>
          <w:rFonts w:ascii="Times New Roman" w:hAnsi="Times New Roman" w:cs="Times New Roman"/>
          <w:color w:val="000000" w:themeColor="text1"/>
        </w:rPr>
        <w:t>.</w:t>
      </w:r>
      <w:r w:rsidR="00EF2BEE" w:rsidRPr="0068584C">
        <w:rPr>
          <w:rFonts w:ascii="Times New Roman" w:hAnsi="Times New Roman" w:cs="Times New Roman"/>
          <w:color w:val="000000" w:themeColor="text1"/>
        </w:rPr>
        <w:t xml:space="preserve"> </w:t>
      </w:r>
      <w:r w:rsidR="001B5636">
        <w:rPr>
          <w:rFonts w:ascii="Times New Roman" w:hAnsi="Times New Roman" w:cs="Times New Roman"/>
          <w:color w:val="000000" w:themeColor="text1"/>
        </w:rPr>
        <w:t>Exploiting</w:t>
      </w:r>
      <w:r w:rsidR="00706B0F" w:rsidRPr="0068584C">
        <w:rPr>
          <w:rFonts w:ascii="Times New Roman" w:hAnsi="Times New Roman" w:cs="Times New Roman"/>
          <w:color w:val="000000" w:themeColor="text1"/>
        </w:rPr>
        <w:t xml:space="preserve"> a competitive advantage can enhance organizational performance.</w:t>
      </w:r>
      <w:r w:rsidR="00022E38" w:rsidRPr="0068584C">
        <w:rPr>
          <w:rFonts w:ascii="Times New Roman" w:hAnsi="Times New Roman" w:cs="Times New Roman"/>
          <w:color w:val="000000" w:themeColor="text1"/>
        </w:rPr>
        <w:t xml:space="preserve"> In</w:t>
      </w:r>
      <w:r w:rsidR="00022E38" w:rsidRPr="0068584C">
        <w:rPr>
          <w:rFonts w:ascii="Times New Roman" w:hAnsi="Times New Roman" w:cs="Times New Roman"/>
        </w:rPr>
        <w:t xml:space="preserve"> summary, RBT posits that a portfolio of strategic resources with VRIO attributes can lead to a competitive advantage, which can result in higher organizational </w:t>
      </w:r>
      <w:r w:rsidR="00022E38" w:rsidRPr="0068584C">
        <w:rPr>
          <w:rFonts w:ascii="Times New Roman" w:hAnsi="Times New Roman" w:cs="Times New Roman"/>
          <w:color w:val="000000" w:themeColor="text1"/>
        </w:rPr>
        <w:t>performance.</w:t>
      </w:r>
    </w:p>
    <w:p w14:paraId="11BD3283" w14:textId="114C4963" w:rsidR="00024E9A" w:rsidRPr="0068584C" w:rsidRDefault="0006269F"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706B0F" w:rsidRPr="0068584C">
        <w:rPr>
          <w:rFonts w:ascii="Times New Roman" w:hAnsi="Times New Roman" w:cs="Times New Roman"/>
          <w:color w:val="000000" w:themeColor="text1"/>
        </w:rPr>
        <w:t>DCT</w:t>
      </w:r>
      <w:r w:rsidR="00024E9A" w:rsidRPr="0068584C">
        <w:rPr>
          <w:rFonts w:ascii="Times New Roman" w:hAnsi="Times New Roman" w:cs="Times New Roman"/>
          <w:color w:val="000000" w:themeColor="text1"/>
        </w:rPr>
        <w:t xml:space="preserve"> </w:t>
      </w:r>
      <w:r w:rsidR="00DB2690" w:rsidRPr="0068584C">
        <w:rPr>
          <w:rFonts w:ascii="Times New Roman" w:hAnsi="Times New Roman" w:cs="Times New Roman"/>
          <w:color w:val="000000" w:themeColor="text1"/>
        </w:rPr>
        <w:t xml:space="preserve">emphasizes the managerial role of </w:t>
      </w:r>
      <w:r w:rsidR="00D52504" w:rsidRPr="0068584C">
        <w:rPr>
          <w:rFonts w:ascii="Times New Roman" w:hAnsi="Times New Roman" w:cs="Times New Roman"/>
          <w:color w:val="000000" w:themeColor="text1"/>
        </w:rPr>
        <w:t>(re-)</w:t>
      </w:r>
      <w:r w:rsidR="00DB2690" w:rsidRPr="0068584C">
        <w:rPr>
          <w:rFonts w:ascii="Times New Roman" w:hAnsi="Times New Roman" w:cs="Times New Roman"/>
          <w:color w:val="000000" w:themeColor="text1"/>
        </w:rPr>
        <w:t xml:space="preserve">combining </w:t>
      </w:r>
      <w:r w:rsidR="00024E9A" w:rsidRPr="0068584C">
        <w:rPr>
          <w:rFonts w:ascii="Times New Roman" w:hAnsi="Times New Roman" w:cs="Times New Roman"/>
          <w:color w:val="000000" w:themeColor="text1"/>
        </w:rPr>
        <w:t xml:space="preserve">resources as a fundamental activity </w:t>
      </w:r>
      <w:r w:rsidR="00DB2690" w:rsidRPr="0068584C">
        <w:rPr>
          <w:rFonts w:ascii="Times New Roman" w:hAnsi="Times New Roman" w:cs="Times New Roman"/>
          <w:color w:val="000000" w:themeColor="text1"/>
        </w:rPr>
        <w:t xml:space="preserve">to enhance organizational competitiveness </w:t>
      </w:r>
      <w:r w:rsidR="00024E9A" w:rsidRPr="0068584C">
        <w:rPr>
          <w:rFonts w:ascii="Times New Roman" w:hAnsi="Times New Roman" w:cs="Times New Roman"/>
          <w:color w:val="000000" w:themeColor="text1"/>
        </w:rPr>
        <w:t xml:space="preserve">(Sirmon, Hitt, and Ireland, 2007). According to the dynamic capabilities theory, firms gain a competitive advantage by building new resource configurations (Eisenhardt and Martin, 2000). </w:t>
      </w:r>
      <w:r w:rsidR="002F4BE8" w:rsidRPr="0068584C">
        <w:rPr>
          <w:rFonts w:ascii="Times New Roman" w:hAnsi="Times New Roman" w:cs="Times New Roman"/>
          <w:color w:val="000000" w:themeColor="text1"/>
        </w:rPr>
        <w:t>DCT</w:t>
      </w:r>
      <w:r w:rsidR="00024E9A" w:rsidRPr="0068584C">
        <w:rPr>
          <w:rFonts w:ascii="Times New Roman" w:hAnsi="Times New Roman" w:cs="Times New Roman"/>
          <w:color w:val="000000" w:themeColor="text1"/>
        </w:rPr>
        <w:t xml:space="preserve"> predicts that </w:t>
      </w:r>
      <w:r w:rsidR="002F4BE8" w:rsidRPr="0068584C">
        <w:rPr>
          <w:rFonts w:ascii="Times New Roman" w:hAnsi="Times New Roman" w:cs="Times New Roman"/>
          <w:color w:val="000000" w:themeColor="text1"/>
        </w:rPr>
        <w:t xml:space="preserve">resource </w:t>
      </w:r>
      <w:r w:rsidR="00024E9A" w:rsidRPr="0068584C">
        <w:rPr>
          <w:rFonts w:ascii="Times New Roman" w:hAnsi="Times New Roman" w:cs="Times New Roman"/>
          <w:color w:val="000000" w:themeColor="text1"/>
        </w:rPr>
        <w:t xml:space="preserve">re-deployment or modification can lead to an at least temporal advantage compared to other firms (Teece, Pisano, and Shuen, 1997). Specifically, “flexible strategies to coordinate and redeploy resources” </w:t>
      </w:r>
      <w:r w:rsidR="00241449"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"Yalcinkaya", "given" : "Goksel", "non-dropping-particle" : "", "parse-names" : false, "suffix" : "" }, { "dropping-particle" : "", "family" : "Calantone", "given" : "Roger J", "non-dropping-particle" : "", "parse-names" : false, "suffix" : "" }, { "dropping-particle" : "", "family" : "Griffith", "given" : "David A", "non-dropping-particle" : "", "parse-names" : false, "suffix" : "" } ], "container-title" : "Journal of International Marketing", "id" : "ITEM-1", "issue" : "4", "issued" : { "date-parts" : [ [ "2007" ] ] }, "page" : "63-93", "title" : "An Examination of Exploration and Exploitation Capabilities: Implications for Product Innovation and Market", "type" : "article-journal", "volume" : "15" }, "uris" : [ "http://www.mendeley.com/documents/?uuid=d7041920-acd2-4c98-942d-4ebdbd848a53" ] } ], "mendeley" : { "formattedCitation" : "(Yalcinkaya, Calantone, &amp; Griffith, 2007)", "plainTextFormattedCitation" : "(Yalcinkaya, Calantone, &amp; Griffith, 2007)", "previouslyFormattedCitation" : "(Yalcinkaya, Calantone, &amp; Griffith, 2007)" }, "properties" : { "noteIndex" : 0 }, "schema" : "https://github.com/citation-style-language/schema/raw/master/csl-citation.json" }</w:instrText>
      </w:r>
      <w:r w:rsidR="00241449"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(Yalcinkaya, Calantone, &amp; Griffith, 2007)</w:t>
      </w:r>
      <w:r w:rsidR="00241449" w:rsidRPr="0068584C">
        <w:rPr>
          <w:rFonts w:ascii="Times New Roman" w:hAnsi="Times New Roman" w:cs="Times New Roman"/>
          <w:color w:val="000000" w:themeColor="text1"/>
        </w:rPr>
        <w:fldChar w:fldCharType="end"/>
      </w:r>
      <w:r w:rsidR="00241449" w:rsidRPr="0068584C">
        <w:rPr>
          <w:rFonts w:ascii="Times New Roman" w:hAnsi="Times New Roman" w:cs="Times New Roman"/>
          <w:color w:val="000000" w:themeColor="text1"/>
        </w:rPr>
        <w:t xml:space="preserve"> </w:t>
      </w:r>
      <w:r w:rsidR="006603C8" w:rsidRPr="0068584C">
        <w:rPr>
          <w:rFonts w:ascii="Times New Roman" w:hAnsi="Times New Roman" w:cs="Times New Roman"/>
          <w:color w:val="000000" w:themeColor="text1"/>
        </w:rPr>
        <w:t>can improve the organization’s competitiveness</w:t>
      </w:r>
      <w:r w:rsidR="00024E9A" w:rsidRPr="0068584C">
        <w:rPr>
          <w:rFonts w:ascii="Times New Roman" w:hAnsi="Times New Roman" w:cs="Times New Roman"/>
          <w:color w:val="000000" w:themeColor="text1"/>
        </w:rPr>
        <w:t xml:space="preserve">.   </w:t>
      </w:r>
    </w:p>
    <w:p w14:paraId="5A50ACA6" w14:textId="6BFEEB87" w:rsidR="00927AD1" w:rsidRDefault="0006269F" w:rsidP="0035460B">
      <w:pPr>
        <w:spacing w:line="480" w:lineRule="auto"/>
        <w:jc w:val="both"/>
        <w:rPr>
          <w:rFonts w:ascii="Times New Roman" w:hAnsi="Times New Roman" w:cs="Times New Roman"/>
        </w:rPr>
      </w:pPr>
      <w:r>
        <w:rPr>
          <w:rFonts w:ascii="Times New Roman" w:hAnsi="Times New Roman" w:cs="Times New Roman"/>
        </w:rPr>
        <w:lastRenderedPageBreak/>
        <w:tab/>
      </w:r>
      <w:r w:rsidR="00165122">
        <w:rPr>
          <w:rFonts w:ascii="Times New Roman" w:hAnsi="Times New Roman" w:cs="Times New Roman"/>
        </w:rPr>
        <w:t>In conclusion</w:t>
      </w:r>
      <w:r w:rsidR="00E14674" w:rsidRPr="0068584C">
        <w:rPr>
          <w:rFonts w:ascii="Times New Roman" w:hAnsi="Times New Roman" w:cs="Times New Roman"/>
        </w:rPr>
        <w:t xml:space="preserve">, </w:t>
      </w:r>
      <w:r w:rsidR="00842B25" w:rsidRPr="0068584C">
        <w:rPr>
          <w:rFonts w:ascii="Times New Roman" w:hAnsi="Times New Roman" w:cs="Times New Roman"/>
        </w:rPr>
        <w:t>RBT, DCT, and ROT all attempt to predict firm performance. While RBT emphasizes resource characteristics</w:t>
      </w:r>
      <w:r w:rsidR="00E14674" w:rsidRPr="0068584C">
        <w:rPr>
          <w:rFonts w:ascii="Times New Roman" w:hAnsi="Times New Roman" w:cs="Times New Roman"/>
        </w:rPr>
        <w:t xml:space="preserve"> (VRIO attributes)</w:t>
      </w:r>
      <w:r w:rsidR="00842B25" w:rsidRPr="0068584C">
        <w:rPr>
          <w:rFonts w:ascii="Times New Roman" w:hAnsi="Times New Roman" w:cs="Times New Roman"/>
        </w:rPr>
        <w:t xml:space="preserve"> and corresponding resource strategies, DCT and ROT </w:t>
      </w:r>
      <w:r w:rsidR="005D3E81" w:rsidRPr="0068584C">
        <w:rPr>
          <w:rFonts w:ascii="Times New Roman" w:hAnsi="Times New Roman" w:cs="Times New Roman"/>
        </w:rPr>
        <w:t xml:space="preserve">both </w:t>
      </w:r>
      <w:r w:rsidR="00842B25" w:rsidRPr="0068584C">
        <w:rPr>
          <w:rFonts w:ascii="Times New Roman" w:hAnsi="Times New Roman" w:cs="Times New Roman"/>
        </w:rPr>
        <w:t xml:space="preserve">focus </w:t>
      </w:r>
      <w:r w:rsidR="005D3E81" w:rsidRPr="0068584C">
        <w:rPr>
          <w:rFonts w:ascii="Times New Roman" w:hAnsi="Times New Roman" w:cs="Times New Roman"/>
        </w:rPr>
        <w:t xml:space="preserve">more </w:t>
      </w:r>
      <w:r w:rsidR="00842B25" w:rsidRPr="0068584C">
        <w:rPr>
          <w:rFonts w:ascii="Times New Roman" w:hAnsi="Times New Roman" w:cs="Times New Roman"/>
        </w:rPr>
        <w:t xml:space="preserve">on organizational practices. When the focal organization is more successful in implementing effective resource management </w:t>
      </w:r>
      <w:r w:rsidR="00E14674" w:rsidRPr="0068584C">
        <w:rPr>
          <w:rFonts w:ascii="Times New Roman" w:hAnsi="Times New Roman" w:cs="Times New Roman"/>
        </w:rPr>
        <w:t xml:space="preserve">practices </w:t>
      </w:r>
      <w:r w:rsidR="00842B25" w:rsidRPr="0068584C">
        <w:rPr>
          <w:rFonts w:ascii="Times New Roman" w:hAnsi="Times New Roman" w:cs="Times New Roman"/>
        </w:rPr>
        <w:t xml:space="preserve">(orchestration or re-configuration), then it </w:t>
      </w:r>
      <w:r w:rsidR="006603C8" w:rsidRPr="0068584C">
        <w:rPr>
          <w:rFonts w:ascii="Times New Roman" w:hAnsi="Times New Roman" w:cs="Times New Roman"/>
        </w:rPr>
        <w:t>should be able to</w:t>
      </w:r>
      <w:r w:rsidR="00842B25" w:rsidRPr="0068584C">
        <w:rPr>
          <w:rFonts w:ascii="Times New Roman" w:hAnsi="Times New Roman" w:cs="Times New Roman"/>
        </w:rPr>
        <w:t xml:space="preserve"> </w:t>
      </w:r>
      <w:r w:rsidR="002B7106" w:rsidRPr="0068584C">
        <w:rPr>
          <w:rFonts w:ascii="Times New Roman" w:hAnsi="Times New Roman" w:cs="Times New Roman"/>
        </w:rPr>
        <w:t>experience</w:t>
      </w:r>
      <w:r w:rsidR="00842B25" w:rsidRPr="0068584C">
        <w:rPr>
          <w:rFonts w:ascii="Times New Roman" w:hAnsi="Times New Roman" w:cs="Times New Roman"/>
        </w:rPr>
        <w:t xml:space="preserve"> a competitive advantage</w:t>
      </w:r>
      <w:r w:rsidR="00BF6436" w:rsidRPr="0068584C">
        <w:rPr>
          <w:rFonts w:ascii="Times New Roman" w:hAnsi="Times New Roman" w:cs="Times New Roman"/>
        </w:rPr>
        <w:t xml:space="preserve"> </w:t>
      </w:r>
      <w:r w:rsidR="00BF6436"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"Hoopes", "given" : "DG", "non-dropping-particle" : "", "parse-names" : false, "suffix" : "" }, { "dropping-particle" : "", "family" : "Postrel", "given" : "Steven", "non-dropping-particle" : "", "parse-names" : false, "suffix" : "" } ], "container-title" : "Strategic Management Journal", "id" : "ITEM-1", "issue" : "March 1997", "issued" : { "date-parts" : [ [ "1999" ] ] }, "page" : "837-865", "title" : "Shared knowledge,\u201cglitches,\u201d and product development performance", "type" : "article-journal", "volume" : "865" }, "uris" : [ "http://www.mendeley.com/documents/?uuid=be2359f5-585f-4968-9d06-6deaf8f3af81" ] } ], "mendeley" : { "formattedCitation" : "(Hoopes &amp; Postrel, 1999)", "plainTextFormattedCitation" : "(Hoopes &amp; Postrel, 1999)", "previouslyFormattedCitation" : "(Hoopes &amp; Postrel, 1999)" }, "properties" : { "noteIndex" : 0 }, "schema" : "https://github.com/citation-style-language/schema/raw/master/csl-citation.json" }</w:instrText>
      </w:r>
      <w:r w:rsidR="00BF6436" w:rsidRPr="0068584C">
        <w:rPr>
          <w:rFonts w:ascii="Times New Roman" w:hAnsi="Times New Roman" w:cs="Times New Roman"/>
        </w:rPr>
        <w:fldChar w:fldCharType="separate"/>
      </w:r>
      <w:r w:rsidR="000E6ECE" w:rsidRPr="000E6ECE">
        <w:rPr>
          <w:rFonts w:ascii="Times New Roman" w:hAnsi="Times New Roman" w:cs="Times New Roman"/>
          <w:noProof/>
        </w:rPr>
        <w:t>(Hoopes &amp; Postrel, 1999)</w:t>
      </w:r>
      <w:r w:rsidR="00BF6436" w:rsidRPr="0068584C">
        <w:rPr>
          <w:rFonts w:ascii="Times New Roman" w:hAnsi="Times New Roman" w:cs="Times New Roman"/>
        </w:rPr>
        <w:fldChar w:fldCharType="end"/>
      </w:r>
      <w:r w:rsidR="00842B25" w:rsidRPr="0068584C">
        <w:rPr>
          <w:rFonts w:ascii="Times New Roman" w:hAnsi="Times New Roman" w:cs="Times New Roman"/>
        </w:rPr>
        <w:t>.</w:t>
      </w:r>
      <w:r w:rsidR="006603C8" w:rsidRPr="0068584C">
        <w:rPr>
          <w:rFonts w:ascii="Times New Roman" w:hAnsi="Times New Roman" w:cs="Times New Roman"/>
        </w:rPr>
        <w:t xml:space="preserve"> </w:t>
      </w:r>
      <w:r w:rsidR="00E14674" w:rsidRPr="0068584C">
        <w:rPr>
          <w:rFonts w:ascii="Times New Roman" w:hAnsi="Times New Roman" w:cs="Times New Roman"/>
        </w:rPr>
        <w:t xml:space="preserve">According to DCT, </w:t>
      </w:r>
      <w:r w:rsidR="005D3E81" w:rsidRPr="0068584C">
        <w:rPr>
          <w:rFonts w:ascii="Times New Roman" w:hAnsi="Times New Roman" w:cs="Times New Roman"/>
        </w:rPr>
        <w:t xml:space="preserve">the </w:t>
      </w:r>
      <w:r w:rsidR="00B97227" w:rsidRPr="0068584C">
        <w:rPr>
          <w:rFonts w:ascii="Times New Roman" w:hAnsi="Times New Roman" w:cs="Times New Roman"/>
        </w:rPr>
        <w:t>effective resource (re-</w:t>
      </w:r>
      <w:r w:rsidR="005D3E81" w:rsidRPr="0068584C">
        <w:rPr>
          <w:rFonts w:ascii="Times New Roman" w:hAnsi="Times New Roman" w:cs="Times New Roman"/>
        </w:rPr>
        <w:t>)</w:t>
      </w:r>
      <w:r w:rsidR="00165122">
        <w:rPr>
          <w:rFonts w:ascii="Times New Roman" w:hAnsi="Times New Roman" w:cs="Times New Roman"/>
        </w:rPr>
        <w:t xml:space="preserve"> </w:t>
      </w:r>
      <w:r w:rsidR="00B97227" w:rsidRPr="0068584C">
        <w:rPr>
          <w:rFonts w:ascii="Times New Roman" w:hAnsi="Times New Roman" w:cs="Times New Roman"/>
        </w:rPr>
        <w:t xml:space="preserve">configuration would enable the focal organization to better adapt when facing dynamic environmental changes and thereby create a competitive advantage </w:t>
      </w:r>
      <w:r w:rsidR="00B97227"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"ISSN" : "01432095", "PMID" : "10927828", "abstract" : "Defining ordinary or 'zero-level' capabilities as those that permit a firm to 'make a living' in the short term, one can define dynamic capabilities as those that operate to extend, modify or create ordinary capabilities. Logically, one can then proceed to elaborate a hierarchy of higher-order capabilities. However, it is argued here that the strategic substance of capabilities involves patterning of activity, and that costly investments are typically v required to create and sustain such patterning-for example, in product development. Firms can accomplish change without reliance on dynamic capability, by means here termed 'ad hoc problem solving.' Whether higher-order capabilities arc created or not depends on the costs and benefits of the investments relative to ad hoc problem solving, and so does the 'level of the game' at which strategic competition effectively occurs. Copyright (C) 2003 John Wiley Sons, Ltd.", "author" : [ { "dropping-particle" : "", "family" : "Winter", "given" : "Sidney G.", "non-dropping-particle" : "", "parse-names" : false, "suffix" : "" } ], "container-title" : "Strategic Management Journal", "id" : "ITEM-1", "issue" : "10", "issued" : { "date-parts" : [ [ "2003" ] ] }, "page" : "991-995", "title" : "Understanding dynamic capabilities", "type" : "article-journal", "volume" : "24" }, "uris" : [ "http://www.mendeley.com/documents/?uuid=a59a74fc-c20a-4859-8419-2f5b254681b7" ] } ], "mendeley" : { "formattedCitation" : "(Winter, 2003)", "plainTextFormattedCitation" : "(Winter, 2003)", "previouslyFormattedCitation" : "(Winter, 2003)" }, "properties" : { "noteIndex" : 0 }, "schema" : "https://github.com/citation-style-language/schema/raw/master/csl-citation.json" }</w:instrText>
      </w:r>
      <w:r w:rsidR="00B97227" w:rsidRPr="0068584C">
        <w:rPr>
          <w:rFonts w:ascii="Times New Roman" w:hAnsi="Times New Roman" w:cs="Times New Roman"/>
        </w:rPr>
        <w:fldChar w:fldCharType="separate"/>
      </w:r>
      <w:r w:rsidR="000E6ECE" w:rsidRPr="000E6ECE">
        <w:rPr>
          <w:rFonts w:ascii="Times New Roman" w:hAnsi="Times New Roman" w:cs="Times New Roman"/>
          <w:noProof/>
        </w:rPr>
        <w:t>(Winter, 2003)</w:t>
      </w:r>
      <w:r w:rsidR="00B97227" w:rsidRPr="0068584C">
        <w:rPr>
          <w:rFonts w:ascii="Times New Roman" w:hAnsi="Times New Roman" w:cs="Times New Roman"/>
        </w:rPr>
        <w:fldChar w:fldCharType="end"/>
      </w:r>
      <w:r w:rsidR="00B97227" w:rsidRPr="0068584C">
        <w:rPr>
          <w:rFonts w:ascii="Times New Roman" w:hAnsi="Times New Roman" w:cs="Times New Roman"/>
        </w:rPr>
        <w:t xml:space="preserve">. In this way, resource management can substantially influence the performance of an organization </w:t>
      </w:r>
      <w:r w:rsidR="00B97227"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"Wiklund", "given" : "Johan", "non-dropping-particle" : "", "parse-names" : false, "suffix" : "" }, { "dropping-particle" : "", "family" : "Shepherd", "given" : "Dean", "non-dropping-particle" : "", "parse-names" : false, "suffix" : "" } ], "container-title" : "Strategic Management Journal", "id" : "ITEM-1", "issued" : { "date-parts" : [ [ "2003" ] ] }, "page" : "1307-1314", "title" : "Knowledge-Based Resources, Entrepreneurial Orientation, and the Performance of Small and Medium-Sized Businesses", "type" : "article-journal", "volume" : "24" }, "uris" : [ "http://www.mendeley.com/documents/?uuid=c0927bc8-e0b4-483a-8342-a9a4ed75a37b" ] } ], "mendeley" : { "formattedCitation" : "(Wiklund &amp; Shepherd, 2003)", "plainTextFormattedCitation" : "(Wiklund &amp; Shepherd, 2003)", "previouslyFormattedCitation" : "(Wiklund &amp; Shepherd, 2003)" }, "properties" : { "noteIndex" : 0 }, "schema" : "https://github.com/citation-style-language/schema/raw/master/csl-citation.json" }</w:instrText>
      </w:r>
      <w:r w:rsidR="00B97227" w:rsidRPr="0068584C">
        <w:rPr>
          <w:rFonts w:ascii="Times New Roman" w:hAnsi="Times New Roman" w:cs="Times New Roman"/>
        </w:rPr>
        <w:fldChar w:fldCharType="separate"/>
      </w:r>
      <w:r w:rsidR="000E6ECE" w:rsidRPr="000E6ECE">
        <w:rPr>
          <w:rFonts w:ascii="Times New Roman" w:hAnsi="Times New Roman" w:cs="Times New Roman"/>
          <w:noProof/>
        </w:rPr>
        <w:t>(Wiklund &amp; Shepherd, 2003)</w:t>
      </w:r>
      <w:r w:rsidR="00B97227" w:rsidRPr="0068584C">
        <w:rPr>
          <w:rFonts w:ascii="Times New Roman" w:hAnsi="Times New Roman" w:cs="Times New Roman"/>
        </w:rPr>
        <w:fldChar w:fldCharType="end"/>
      </w:r>
      <w:r w:rsidR="00B97227" w:rsidRPr="0068584C">
        <w:rPr>
          <w:rFonts w:ascii="Times New Roman" w:hAnsi="Times New Roman" w:cs="Times New Roman"/>
        </w:rPr>
        <w:t>.</w:t>
      </w:r>
      <w:r w:rsidR="007915CA">
        <w:rPr>
          <w:rFonts w:ascii="Times New Roman" w:hAnsi="Times New Roman" w:cs="Times New Roman"/>
          <w:color w:val="000000" w:themeColor="text1"/>
        </w:rPr>
        <w:t xml:space="preserve"> </w:t>
      </w:r>
      <w:r w:rsidR="006A39D1" w:rsidRPr="0068584C">
        <w:rPr>
          <w:rFonts w:ascii="Times New Roman" w:hAnsi="Times New Roman" w:cs="Times New Roman"/>
          <w:color w:val="000000" w:themeColor="text1"/>
        </w:rPr>
        <w:t>E</w:t>
      </w:r>
      <w:r w:rsidR="00661D90" w:rsidRPr="0068584C">
        <w:rPr>
          <w:rFonts w:ascii="Times New Roman" w:hAnsi="Times New Roman" w:cs="Times New Roman"/>
        </w:rPr>
        <w:t>xisting research on DCT</w:t>
      </w:r>
      <w:r w:rsidR="006A39D1" w:rsidRPr="0068584C">
        <w:rPr>
          <w:rFonts w:ascii="Times New Roman" w:hAnsi="Times New Roman" w:cs="Times New Roman"/>
        </w:rPr>
        <w:t xml:space="preserve"> and </w:t>
      </w:r>
      <w:r w:rsidR="00661D90" w:rsidRPr="0068584C">
        <w:rPr>
          <w:rFonts w:ascii="Times New Roman" w:hAnsi="Times New Roman" w:cs="Times New Roman"/>
        </w:rPr>
        <w:t xml:space="preserve">ROT has </w:t>
      </w:r>
      <w:r w:rsidR="006A39D1" w:rsidRPr="0068584C">
        <w:rPr>
          <w:rFonts w:ascii="Times New Roman" w:hAnsi="Times New Roman" w:cs="Times New Roman"/>
        </w:rPr>
        <w:t xml:space="preserve">explained a </w:t>
      </w:r>
      <w:r w:rsidR="001169D1" w:rsidRPr="0068584C">
        <w:rPr>
          <w:rFonts w:ascii="Times New Roman" w:hAnsi="Times New Roman" w:cs="Times New Roman"/>
        </w:rPr>
        <w:t xml:space="preserve">performance impact of </w:t>
      </w:r>
      <w:r w:rsidR="006A39D1" w:rsidRPr="0068584C">
        <w:rPr>
          <w:rFonts w:ascii="Times New Roman" w:hAnsi="Times New Roman" w:cs="Times New Roman"/>
        </w:rPr>
        <w:t>resource m</w:t>
      </w:r>
      <w:r w:rsidR="001169D1" w:rsidRPr="0068584C">
        <w:rPr>
          <w:rFonts w:ascii="Times New Roman" w:hAnsi="Times New Roman" w:cs="Times New Roman"/>
        </w:rPr>
        <w:t>anagement</w:t>
      </w:r>
      <w:r w:rsidR="00661D90" w:rsidRPr="0068584C">
        <w:rPr>
          <w:rFonts w:ascii="Times New Roman" w:hAnsi="Times New Roman" w:cs="Times New Roman"/>
        </w:rPr>
        <w:t xml:space="preserve"> </w:t>
      </w:r>
      <w:r w:rsidR="006A39D1" w:rsidRPr="0068584C">
        <w:rPr>
          <w:rFonts w:ascii="Times New Roman" w:hAnsi="Times New Roman" w:cs="Times New Roman"/>
        </w:rPr>
        <w:t>on the basis of effective</w:t>
      </w:r>
      <w:r w:rsidR="00661D90" w:rsidRPr="0068584C">
        <w:rPr>
          <w:rFonts w:ascii="Times New Roman" w:hAnsi="Times New Roman" w:cs="Times New Roman"/>
        </w:rPr>
        <w:t xml:space="preserve"> configuration and/or orchestration of company-internal resources. </w:t>
      </w:r>
      <w:r w:rsidR="003F01DD" w:rsidRPr="0068584C">
        <w:rPr>
          <w:rFonts w:ascii="Times New Roman" w:hAnsi="Times New Roman" w:cs="Times New Roman"/>
        </w:rPr>
        <w:t>Hence,</w:t>
      </w:r>
      <w:r w:rsidR="00661D90" w:rsidRPr="0068584C">
        <w:rPr>
          <w:rFonts w:ascii="Times New Roman" w:hAnsi="Times New Roman" w:cs="Times New Roman"/>
        </w:rPr>
        <w:t xml:space="preserve"> the </w:t>
      </w:r>
      <w:r w:rsidR="003F01DD" w:rsidRPr="0068584C">
        <w:rPr>
          <w:rFonts w:ascii="Times New Roman" w:hAnsi="Times New Roman" w:cs="Times New Roman"/>
        </w:rPr>
        <w:t xml:space="preserve">appropriate </w:t>
      </w:r>
      <w:r w:rsidR="00661D90" w:rsidRPr="0068584C">
        <w:rPr>
          <w:rFonts w:ascii="Times New Roman" w:hAnsi="Times New Roman" w:cs="Times New Roman"/>
        </w:rPr>
        <w:t xml:space="preserve">re-configuration and coordination of </w:t>
      </w:r>
      <w:r w:rsidR="003F01DD" w:rsidRPr="0068584C">
        <w:rPr>
          <w:rFonts w:ascii="Times New Roman" w:hAnsi="Times New Roman" w:cs="Times New Roman"/>
        </w:rPr>
        <w:t>internal</w:t>
      </w:r>
      <w:r w:rsidR="00661D90" w:rsidRPr="0068584C">
        <w:rPr>
          <w:rFonts w:ascii="Times New Roman" w:hAnsi="Times New Roman" w:cs="Times New Roman"/>
        </w:rPr>
        <w:t xml:space="preserve"> resources</w:t>
      </w:r>
      <w:r w:rsidR="003F01DD" w:rsidRPr="0068584C">
        <w:rPr>
          <w:rFonts w:ascii="Times New Roman" w:hAnsi="Times New Roman" w:cs="Times New Roman"/>
        </w:rPr>
        <w:t xml:space="preserve"> has been linked to a competitive advantage</w:t>
      </w:r>
      <w:r w:rsidR="00661D90" w:rsidRPr="0068584C">
        <w:rPr>
          <w:rFonts w:ascii="Times New Roman" w:hAnsi="Times New Roman" w:cs="Times New Roman"/>
        </w:rPr>
        <w:t xml:space="preserve">. </w:t>
      </w:r>
    </w:p>
    <w:p w14:paraId="2B064F2A" w14:textId="77777777" w:rsidR="000E2ED1" w:rsidRPr="0068584C" w:rsidRDefault="000E2ED1" w:rsidP="0035460B">
      <w:pPr>
        <w:spacing w:line="480" w:lineRule="auto"/>
        <w:rPr>
          <w:rFonts w:ascii="Times New Roman" w:hAnsi="Times New Roman" w:cs="Times New Roman"/>
        </w:rPr>
      </w:pPr>
    </w:p>
    <w:p w14:paraId="5ADCB095" w14:textId="65E5D14E" w:rsidR="00E2474E" w:rsidRPr="0068584C" w:rsidRDefault="00665245" w:rsidP="007D34B9">
      <w:pPr>
        <w:pStyle w:val="Heading3new"/>
      </w:pPr>
      <w:r w:rsidRPr="0068584C">
        <w:t>Predictions</w:t>
      </w:r>
      <w:r w:rsidR="00253676" w:rsidRPr="0068584C">
        <w:t xml:space="preserve"> </w:t>
      </w:r>
      <w:r w:rsidR="00F536C6" w:rsidRPr="0068584C">
        <w:t xml:space="preserve">of </w:t>
      </w:r>
      <w:r w:rsidR="00253676" w:rsidRPr="0068584C">
        <w:t xml:space="preserve">RBT, DCT, </w:t>
      </w:r>
      <w:r w:rsidR="00F536C6" w:rsidRPr="0068584C">
        <w:t xml:space="preserve">and </w:t>
      </w:r>
      <w:r w:rsidR="00253676" w:rsidRPr="0068584C">
        <w:t>ROT</w:t>
      </w:r>
    </w:p>
    <w:p w14:paraId="28A70832" w14:textId="1BAF199A" w:rsidR="000E4F73" w:rsidRDefault="000E4F73" w:rsidP="0035460B">
      <w:pPr>
        <w:spacing w:line="480" w:lineRule="auto"/>
        <w:jc w:val="both"/>
        <w:rPr>
          <w:rFonts w:ascii="Times New Roman" w:hAnsi="Times New Roman" w:cs="Times New Roman"/>
        </w:rPr>
      </w:pPr>
      <w:r w:rsidRPr="0068584C">
        <w:rPr>
          <w:rFonts w:ascii="Times New Roman" w:hAnsi="Times New Roman" w:cs="Times New Roman"/>
        </w:rPr>
        <w:t>For RBT, DCT, and ROT, the portfolio of resources is instrumental in achieving a competitive advantage. But the suggested mechanism is different</w:t>
      </w:r>
      <w:r w:rsidR="00C5006C" w:rsidRPr="0068584C">
        <w:rPr>
          <w:rFonts w:ascii="Times New Roman" w:hAnsi="Times New Roman" w:cs="Times New Roman"/>
        </w:rPr>
        <w:t xml:space="preserve"> in detail</w:t>
      </w:r>
      <w:r w:rsidRPr="0068584C">
        <w:rPr>
          <w:rFonts w:ascii="Times New Roman" w:hAnsi="Times New Roman" w:cs="Times New Roman"/>
        </w:rPr>
        <w:t xml:space="preserve"> for each theoretical lens.</w:t>
      </w:r>
      <w:r w:rsidR="00F85C9C" w:rsidRPr="0068584C">
        <w:rPr>
          <w:rFonts w:ascii="Times New Roman" w:hAnsi="Times New Roman" w:cs="Times New Roman"/>
        </w:rPr>
        <w:t xml:space="preserve"> For </w:t>
      </w:r>
      <w:r w:rsidR="00C5006C" w:rsidRPr="0068584C">
        <w:rPr>
          <w:rFonts w:ascii="Times New Roman" w:hAnsi="Times New Roman" w:cs="Times New Roman"/>
        </w:rPr>
        <w:t>RBT</w:t>
      </w:r>
      <w:r w:rsidR="00F85C9C" w:rsidRPr="0068584C">
        <w:rPr>
          <w:rFonts w:ascii="Times New Roman" w:hAnsi="Times New Roman" w:cs="Times New Roman"/>
        </w:rPr>
        <w:t xml:space="preserve">, resource characteristics are </w:t>
      </w:r>
      <w:r w:rsidR="009B08C4">
        <w:rPr>
          <w:rFonts w:ascii="Times New Roman" w:hAnsi="Times New Roman" w:cs="Times New Roman"/>
        </w:rPr>
        <w:t>essentially</w:t>
      </w:r>
      <w:r w:rsidR="00F85C9C" w:rsidRPr="0068584C">
        <w:rPr>
          <w:rFonts w:ascii="Times New Roman" w:hAnsi="Times New Roman" w:cs="Times New Roman"/>
        </w:rPr>
        <w:t xml:space="preserve"> predicting performance differentials. For the latter</w:t>
      </w:r>
      <w:r w:rsidR="00C5006C" w:rsidRPr="0068584C">
        <w:rPr>
          <w:rFonts w:ascii="Times New Roman" w:hAnsi="Times New Roman" w:cs="Times New Roman"/>
        </w:rPr>
        <w:t xml:space="preserve"> two lenses</w:t>
      </w:r>
      <w:r w:rsidR="00F85C9C" w:rsidRPr="0068584C">
        <w:rPr>
          <w:rFonts w:ascii="Times New Roman" w:hAnsi="Times New Roman" w:cs="Times New Roman"/>
        </w:rPr>
        <w:t>, however, managerial practices of coordination, integration, (re-)</w:t>
      </w:r>
      <w:r w:rsidR="002A1BC1" w:rsidRPr="0068584C">
        <w:rPr>
          <w:rFonts w:ascii="Times New Roman" w:hAnsi="Times New Roman" w:cs="Times New Roman"/>
        </w:rPr>
        <w:t xml:space="preserve"> </w:t>
      </w:r>
      <w:r w:rsidR="00F85C9C" w:rsidRPr="0068584C">
        <w:rPr>
          <w:rFonts w:ascii="Times New Roman" w:hAnsi="Times New Roman" w:cs="Times New Roman"/>
        </w:rPr>
        <w:t>configuration, or orchestration of resources play a decisive mediating role</w:t>
      </w:r>
      <w:r w:rsidR="00B04E7E" w:rsidRPr="0068584C">
        <w:rPr>
          <w:rFonts w:ascii="Times New Roman" w:hAnsi="Times New Roman" w:cs="Times New Roman"/>
        </w:rPr>
        <w:t xml:space="preserve"> </w:t>
      </w:r>
      <w:r w:rsidR="00B04E7E"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"Wiklund", "given" : "Johan", "non-dropping-particle" : "", "parse-names" : false, "suffix" : "" }, { "dropping-particle" : "", "family" : "Shepherd", "given" : "Dean A", "non-dropping-particle" : "", "parse-names" : false, "suffix" : "" } ], "container-title" : "Entrepreneurship Theory and Practice", "id" : "ITEM-1", "issue" : "January", "issued" : { "date-parts" : [ [ "2009" ] ] }, "page" : "193-213", "title" : "The Effectiveness of Alliances and Acquisitions: The Role of Resource Combination Activities", "type" : "article-journal" }, "uris" : [ "http://www.mendeley.com/documents/?uuid=da6b6fe4-2a11-4c9a-a14d-17eee8bfc2fe" ] } ], "mendeley" : { "formattedCitation" : "(Wiklund &amp; Shepherd, 2009)", "plainTextFormattedCitation" : "(Wiklund &amp; Shepherd, 2009)", "previouslyFormattedCitation" : "(Wiklund &amp; Shepherd, 2009)" }, "properties" : { "noteIndex" : 0 }, "schema" : "https://github.com/citation-style-language/schema/raw/master/csl-citation.json" }</w:instrText>
      </w:r>
      <w:r w:rsidR="00B04E7E" w:rsidRPr="0068584C">
        <w:rPr>
          <w:rFonts w:ascii="Times New Roman" w:hAnsi="Times New Roman" w:cs="Times New Roman"/>
        </w:rPr>
        <w:fldChar w:fldCharType="separate"/>
      </w:r>
      <w:r w:rsidR="000E6ECE" w:rsidRPr="000E6ECE">
        <w:rPr>
          <w:rFonts w:ascii="Times New Roman" w:hAnsi="Times New Roman" w:cs="Times New Roman"/>
          <w:noProof/>
        </w:rPr>
        <w:t>(Wiklund &amp; Shepherd, 2009)</w:t>
      </w:r>
      <w:r w:rsidR="00B04E7E" w:rsidRPr="0068584C">
        <w:rPr>
          <w:rFonts w:ascii="Times New Roman" w:hAnsi="Times New Roman" w:cs="Times New Roman"/>
        </w:rPr>
        <w:fldChar w:fldCharType="end"/>
      </w:r>
      <w:r w:rsidR="00B04E7E" w:rsidRPr="0068584C">
        <w:rPr>
          <w:rFonts w:ascii="Times New Roman" w:hAnsi="Times New Roman" w:cs="Times New Roman"/>
        </w:rPr>
        <w:t>.</w:t>
      </w:r>
      <w:r w:rsidR="001710AF" w:rsidRPr="0068584C">
        <w:rPr>
          <w:rFonts w:ascii="Times New Roman" w:hAnsi="Times New Roman" w:cs="Times New Roman"/>
        </w:rPr>
        <w:t xml:space="preserve"> </w:t>
      </w:r>
      <w:r w:rsidR="00F85C9C" w:rsidRPr="0068584C">
        <w:rPr>
          <w:rFonts w:ascii="Times New Roman" w:hAnsi="Times New Roman" w:cs="Times New Roman"/>
        </w:rPr>
        <w:t xml:space="preserve">Such practices can be understood as organizational capabilities that demonstrate similar characteristics (VRIO) as the </w:t>
      </w:r>
      <w:r w:rsidR="004C09C8" w:rsidRPr="0068584C">
        <w:rPr>
          <w:rFonts w:ascii="Times New Roman" w:hAnsi="Times New Roman" w:cs="Times New Roman"/>
        </w:rPr>
        <w:t>underlying</w:t>
      </w:r>
      <w:r w:rsidR="00F85C9C" w:rsidRPr="0068584C">
        <w:rPr>
          <w:rFonts w:ascii="Times New Roman" w:hAnsi="Times New Roman" w:cs="Times New Roman"/>
        </w:rPr>
        <w:t xml:space="preserve"> resources</w:t>
      </w:r>
      <w:r w:rsidR="00831661">
        <w:rPr>
          <w:rFonts w:ascii="Times New Roman" w:hAnsi="Times New Roman" w:cs="Times New Roman"/>
        </w:rPr>
        <w:t xml:space="preserve"> of RBT. Those practices</w:t>
      </w:r>
      <w:r w:rsidR="00F85C9C" w:rsidRPr="0068584C">
        <w:rPr>
          <w:rFonts w:ascii="Times New Roman" w:hAnsi="Times New Roman" w:cs="Times New Roman"/>
        </w:rPr>
        <w:t xml:space="preserve"> are typically valuable, rare, difficult to imitate, and require an appropriate structure (organization or governance model) to be </w:t>
      </w:r>
      <w:r w:rsidR="00F85C9C" w:rsidRPr="0068584C">
        <w:rPr>
          <w:rFonts w:ascii="Times New Roman" w:hAnsi="Times New Roman" w:cs="Times New Roman"/>
        </w:rPr>
        <w:lastRenderedPageBreak/>
        <w:t>effective.</w:t>
      </w:r>
      <w:r w:rsidR="00A94B79" w:rsidRPr="0068584C">
        <w:rPr>
          <w:rFonts w:ascii="Times New Roman" w:hAnsi="Times New Roman" w:cs="Times New Roman"/>
        </w:rPr>
        <w:t xml:space="preserve"> In essence, such managerial practices </w:t>
      </w:r>
      <w:r w:rsidR="000621D7">
        <w:rPr>
          <w:rFonts w:ascii="Times New Roman" w:hAnsi="Times New Roman" w:cs="Times New Roman"/>
        </w:rPr>
        <w:t>(</w:t>
      </w:r>
      <w:r w:rsidR="00A94B79" w:rsidRPr="0068584C">
        <w:rPr>
          <w:rFonts w:ascii="Times New Roman" w:hAnsi="Times New Roman" w:cs="Times New Roman"/>
        </w:rPr>
        <w:t>resource management capabilities</w:t>
      </w:r>
      <w:r w:rsidR="000621D7">
        <w:rPr>
          <w:rFonts w:ascii="Times New Roman" w:hAnsi="Times New Roman" w:cs="Times New Roman"/>
        </w:rPr>
        <w:t>)</w:t>
      </w:r>
      <w:r w:rsidR="00A94B79" w:rsidRPr="0068584C">
        <w:rPr>
          <w:rFonts w:ascii="Times New Roman" w:hAnsi="Times New Roman" w:cs="Times New Roman"/>
        </w:rPr>
        <w:t xml:space="preserve"> are highly tacit resources themselves.</w:t>
      </w:r>
    </w:p>
    <w:p w14:paraId="16058C73" w14:textId="7DE36D78" w:rsidR="005B3D22" w:rsidRPr="0068584C" w:rsidRDefault="0006269F" w:rsidP="0035460B">
      <w:pPr>
        <w:spacing w:line="480" w:lineRule="auto"/>
        <w:jc w:val="both"/>
        <w:rPr>
          <w:rFonts w:ascii="Times New Roman" w:hAnsi="Times New Roman" w:cs="Times New Roman"/>
        </w:rPr>
      </w:pPr>
      <w:r>
        <w:rPr>
          <w:rFonts w:ascii="Times New Roman" w:hAnsi="Times New Roman" w:cs="Times New Roman"/>
        </w:rPr>
        <w:tab/>
      </w:r>
      <w:r w:rsidR="0002219A">
        <w:rPr>
          <w:rFonts w:ascii="Times New Roman" w:hAnsi="Times New Roman" w:cs="Times New Roman"/>
        </w:rPr>
        <w:fldChar w:fldCharType="begin"/>
      </w:r>
      <w:r w:rsidR="0002219A">
        <w:rPr>
          <w:rFonts w:ascii="Times New Roman" w:hAnsi="Times New Roman" w:cs="Times New Roman"/>
        </w:rPr>
        <w:instrText xml:space="preserve"> REF _Ref357388268 \h </w:instrText>
      </w:r>
      <w:r w:rsidR="0002219A">
        <w:rPr>
          <w:rFonts w:ascii="Times New Roman" w:hAnsi="Times New Roman" w:cs="Times New Roman"/>
        </w:rPr>
      </w:r>
      <w:r w:rsidR="0002219A">
        <w:rPr>
          <w:rFonts w:ascii="Times New Roman" w:hAnsi="Times New Roman" w:cs="Times New Roman"/>
        </w:rPr>
        <w:fldChar w:fldCharType="separate"/>
      </w:r>
      <w:r w:rsidR="00C2793E">
        <w:t xml:space="preserve">Figure </w:t>
      </w:r>
      <w:r w:rsidR="00C2793E">
        <w:rPr>
          <w:noProof/>
        </w:rPr>
        <w:t>2</w:t>
      </w:r>
      <w:r w:rsidR="0002219A">
        <w:rPr>
          <w:rFonts w:ascii="Times New Roman" w:hAnsi="Times New Roman" w:cs="Times New Roman"/>
        </w:rPr>
        <w:fldChar w:fldCharType="end"/>
      </w:r>
      <w:r w:rsidR="0002219A">
        <w:rPr>
          <w:rFonts w:ascii="Times New Roman" w:hAnsi="Times New Roman" w:cs="Times New Roman"/>
        </w:rPr>
        <w:t xml:space="preserve"> </w:t>
      </w:r>
      <w:r w:rsidR="00A84777" w:rsidRPr="000A7343">
        <w:rPr>
          <w:rFonts w:ascii="Times New Roman" w:hAnsi="Times New Roman" w:cs="Times New Roman"/>
        </w:rPr>
        <w:t>illustrates the predictions of RBT, DCT, and ROT. According to RBT, a portfolio of VRIO resources can lead to a competitive advantage, which then can result in higher performance. However, ROT and DCT postulate that an additional mediator plays a decisive role. Either the managerial practices of resource (re-) configuration (DCT) or resource orchestration (ROT) are essential in influencing the performan</w:t>
      </w:r>
      <w:r w:rsidR="00E80D09">
        <w:rPr>
          <w:rFonts w:ascii="Times New Roman" w:hAnsi="Times New Roman" w:cs="Times New Roman"/>
        </w:rPr>
        <w:t>ce impact of resources (</w:t>
      </w:r>
      <w:r w:rsidR="00E80D09">
        <w:rPr>
          <w:rFonts w:ascii="Times New Roman" w:hAnsi="Times New Roman" w:cs="Times New Roman"/>
        </w:rPr>
        <w:fldChar w:fldCharType="begin"/>
      </w:r>
      <w:r w:rsidR="00E80D09">
        <w:rPr>
          <w:rFonts w:ascii="Times New Roman" w:hAnsi="Times New Roman" w:cs="Times New Roman"/>
        </w:rPr>
        <w:instrText xml:space="preserve"> REF _Ref357388268 \h </w:instrText>
      </w:r>
      <w:r w:rsidR="00E80D09">
        <w:rPr>
          <w:rFonts w:ascii="Times New Roman" w:hAnsi="Times New Roman" w:cs="Times New Roman"/>
        </w:rPr>
      </w:r>
      <w:r w:rsidR="00E80D09">
        <w:rPr>
          <w:rFonts w:ascii="Times New Roman" w:hAnsi="Times New Roman" w:cs="Times New Roman"/>
        </w:rPr>
        <w:fldChar w:fldCharType="separate"/>
      </w:r>
      <w:r w:rsidR="00C2793E">
        <w:t xml:space="preserve">Figure </w:t>
      </w:r>
      <w:r w:rsidR="00C2793E">
        <w:rPr>
          <w:noProof/>
        </w:rPr>
        <w:t>2</w:t>
      </w:r>
      <w:r w:rsidR="00E80D09">
        <w:rPr>
          <w:rFonts w:ascii="Times New Roman" w:hAnsi="Times New Roman" w:cs="Times New Roman"/>
        </w:rPr>
        <w:fldChar w:fldCharType="end"/>
      </w:r>
      <w:r w:rsidR="00A84777" w:rsidRPr="000A7343">
        <w:rPr>
          <w:rFonts w:ascii="Times New Roman" w:hAnsi="Times New Roman" w:cs="Times New Roman"/>
        </w:rPr>
        <w:t>).</w:t>
      </w:r>
      <w:r w:rsidR="00A84777">
        <w:rPr>
          <w:rFonts w:ascii="Times New Roman" w:hAnsi="Times New Roman" w:cs="Times New Roman"/>
        </w:rPr>
        <w:t xml:space="preserve"> </w:t>
      </w:r>
      <w:r w:rsidR="000621D7">
        <w:rPr>
          <w:rFonts w:ascii="Times New Roman" w:hAnsi="Times New Roman" w:cs="Times New Roman"/>
        </w:rPr>
        <w:t>In</w:t>
      </w:r>
      <w:r w:rsidR="005B3D22" w:rsidRPr="0068584C">
        <w:rPr>
          <w:rFonts w:ascii="Times New Roman" w:hAnsi="Times New Roman" w:cs="Times New Roman"/>
        </w:rPr>
        <w:t xml:space="preserve"> the context of innovation processes</w:t>
      </w:r>
      <w:r w:rsidR="00277D1F">
        <w:rPr>
          <w:rFonts w:ascii="Times New Roman" w:hAnsi="Times New Roman" w:cs="Times New Roman"/>
        </w:rPr>
        <w:t>, for</w:t>
      </w:r>
      <w:r w:rsidR="0071141D" w:rsidRPr="0068584C">
        <w:rPr>
          <w:rFonts w:ascii="Times New Roman" w:hAnsi="Times New Roman" w:cs="Times New Roman"/>
        </w:rPr>
        <w:t xml:space="preserve"> example</w:t>
      </w:r>
      <w:r w:rsidR="005B3D22" w:rsidRPr="0068584C">
        <w:rPr>
          <w:rFonts w:ascii="Times New Roman" w:hAnsi="Times New Roman" w:cs="Times New Roman"/>
        </w:rPr>
        <w:t xml:space="preserve">, DCT would suggest that building </w:t>
      </w:r>
      <w:r w:rsidR="000B6DCE" w:rsidRPr="0068584C">
        <w:rPr>
          <w:rFonts w:ascii="Times New Roman" w:hAnsi="Times New Roman" w:cs="Times New Roman"/>
        </w:rPr>
        <w:t xml:space="preserve">appropriate resource management </w:t>
      </w:r>
      <w:r w:rsidR="005B3D22" w:rsidRPr="0068584C">
        <w:rPr>
          <w:rFonts w:ascii="Times New Roman" w:hAnsi="Times New Roman" w:cs="Times New Roman"/>
        </w:rPr>
        <w:t>capabilities</w:t>
      </w:r>
      <w:r w:rsidR="000B6DCE" w:rsidRPr="0068584C">
        <w:rPr>
          <w:rFonts w:ascii="Times New Roman" w:hAnsi="Times New Roman" w:cs="Times New Roman"/>
        </w:rPr>
        <w:t xml:space="preserve"> and adapting them to the dynamically changing environment</w:t>
      </w:r>
      <w:r w:rsidR="005B3D22" w:rsidRPr="0068584C">
        <w:rPr>
          <w:rFonts w:ascii="Times New Roman" w:hAnsi="Times New Roman" w:cs="Times New Roman"/>
        </w:rPr>
        <w:t xml:space="preserve"> </w:t>
      </w:r>
      <w:r w:rsidR="0009715B" w:rsidRPr="0068584C">
        <w:rPr>
          <w:rFonts w:ascii="Times New Roman" w:hAnsi="Times New Roman" w:cs="Times New Roman"/>
        </w:rPr>
        <w:t>would</w:t>
      </w:r>
      <w:r w:rsidR="005B3D22" w:rsidRPr="0068584C">
        <w:rPr>
          <w:rFonts w:ascii="Times New Roman" w:hAnsi="Times New Roman" w:cs="Times New Roman"/>
        </w:rPr>
        <w:t xml:space="preserve"> </w:t>
      </w:r>
      <w:r w:rsidR="0071141D" w:rsidRPr="0068584C">
        <w:rPr>
          <w:rFonts w:ascii="Times New Roman" w:hAnsi="Times New Roman" w:cs="Times New Roman"/>
        </w:rPr>
        <w:t>lead to better</w:t>
      </w:r>
      <w:r w:rsidR="005B3D22" w:rsidRPr="0068584C">
        <w:rPr>
          <w:rFonts w:ascii="Times New Roman" w:hAnsi="Times New Roman" w:cs="Times New Roman"/>
        </w:rPr>
        <w:t xml:space="preserve"> innovation </w:t>
      </w:r>
      <w:r w:rsidR="0071141D" w:rsidRPr="0068584C">
        <w:rPr>
          <w:rFonts w:ascii="Times New Roman" w:hAnsi="Times New Roman" w:cs="Times New Roman"/>
        </w:rPr>
        <w:t xml:space="preserve">outcomes </w:t>
      </w:r>
      <w:r w:rsidR="005B3D22" w:rsidRPr="0068584C">
        <w:rPr>
          <w:rFonts w:ascii="Times New Roman" w:hAnsi="Times New Roman" w:cs="Times New Roman"/>
        </w:rPr>
        <w:t xml:space="preserve">and ultimately </w:t>
      </w:r>
      <w:r w:rsidR="00E974C7" w:rsidRPr="0068584C">
        <w:rPr>
          <w:rFonts w:ascii="Times New Roman" w:hAnsi="Times New Roman" w:cs="Times New Roman"/>
        </w:rPr>
        <w:t xml:space="preserve">result </w:t>
      </w:r>
      <w:r w:rsidR="005B3D22" w:rsidRPr="0068584C">
        <w:rPr>
          <w:rFonts w:ascii="Times New Roman" w:hAnsi="Times New Roman" w:cs="Times New Roman"/>
        </w:rPr>
        <w:t xml:space="preserve">in a competitive advantage </w:t>
      </w:r>
      <w:r w:rsidR="005F3078"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"Grant", "given" : "Robert M", "non-dropping-particle" : "", "parse-names" : false, "suffix" : "" } ], "container-title" : "California Management Review", "id" : "ITEM-1", "issue" : "3", "issued" : { "date-parts" : [ [ "1991" ] ] }, "page" : "114-135", "title" : "The Resource-Based Theory of Competitive Advantage: Implications for Strategy Formulation", "type" : "article-journal", "volume" : "33" }, "uris" : [ "http://www.mendeley.com/documents/?uuid=f0d4b4cd-d1b3-4338-8872-ea73f15f0ba6" ] }, { "id" : "ITEM-2", "itemData" : { "author" : [ { "dropping-particle" : "", "family" : "Hoopes", "given" : "DG", "non-dropping-particle" : "", "parse-names" : false, "suffix" : "" }, { "dropping-particle" : "", "family" : "Postrel", "given" : "Steven", "non-dropping-particle" : "", "parse-names" : false, "suffix" : "" } ], "container-title" : "Strategic Management Journal", "id" : "ITEM-2", "issue" : "March 1997", "issued" : { "date-parts" : [ [ "1999" ] ] }, "page" : "837-865", "title" : "Shared knowledge,\u201cglitches,\u201d and product development performance", "type" : "article-journal", "volume" : "865" }, "uris" : [ "http://www.mendeley.com/documents/?uuid=be2359f5-585f-4968-9d06-6deaf8f3af81" ] } ], "mendeley" : { "formattedCitation" : "(Grant, 1991; Hoopes &amp; Postrel, 1999)", "plainTextFormattedCitation" : "(Grant, 1991; Hoopes &amp; Postrel, 1999)", "previouslyFormattedCitation" : "(Grant, 1991; Hoopes &amp; Postrel, 1999)" }, "properties" : { "noteIndex" : 0 }, "schema" : "https://github.com/citation-style-language/schema/raw/master/csl-citation.json" }</w:instrText>
      </w:r>
      <w:r w:rsidR="005F3078" w:rsidRPr="0068584C">
        <w:rPr>
          <w:rFonts w:ascii="Times New Roman" w:hAnsi="Times New Roman" w:cs="Times New Roman"/>
        </w:rPr>
        <w:fldChar w:fldCharType="separate"/>
      </w:r>
      <w:r w:rsidR="000E6ECE" w:rsidRPr="000E6ECE">
        <w:rPr>
          <w:rFonts w:ascii="Times New Roman" w:hAnsi="Times New Roman" w:cs="Times New Roman"/>
          <w:noProof/>
        </w:rPr>
        <w:t>(Grant, 1991; Hoopes &amp; Postrel, 1999)</w:t>
      </w:r>
      <w:r w:rsidR="005F3078" w:rsidRPr="0068584C">
        <w:rPr>
          <w:rFonts w:ascii="Times New Roman" w:hAnsi="Times New Roman" w:cs="Times New Roman"/>
        </w:rPr>
        <w:fldChar w:fldCharType="end"/>
      </w:r>
      <w:r w:rsidR="005B3D22" w:rsidRPr="0068584C">
        <w:rPr>
          <w:rFonts w:ascii="Times New Roman" w:hAnsi="Times New Roman" w:cs="Times New Roman"/>
        </w:rPr>
        <w:t xml:space="preserve">. Accordingly, </w:t>
      </w:r>
      <w:r w:rsidR="009106A6" w:rsidRPr="0068584C">
        <w:rPr>
          <w:rFonts w:ascii="Times New Roman" w:hAnsi="Times New Roman" w:cs="Times New Roman"/>
        </w:rPr>
        <w:t xml:space="preserve">an organization that continuously </w:t>
      </w:r>
      <w:r w:rsidR="005B3D22" w:rsidRPr="0068584C">
        <w:rPr>
          <w:rFonts w:ascii="Times New Roman" w:hAnsi="Times New Roman" w:cs="Times New Roman"/>
        </w:rPr>
        <w:t>shape</w:t>
      </w:r>
      <w:r w:rsidR="009106A6" w:rsidRPr="0068584C">
        <w:rPr>
          <w:rFonts w:ascii="Times New Roman" w:hAnsi="Times New Roman" w:cs="Times New Roman"/>
        </w:rPr>
        <w:t>s and adapts</w:t>
      </w:r>
      <w:r w:rsidR="005B3D22" w:rsidRPr="0068584C">
        <w:rPr>
          <w:rFonts w:ascii="Times New Roman" w:hAnsi="Times New Roman" w:cs="Times New Roman"/>
        </w:rPr>
        <w:t xml:space="preserve"> </w:t>
      </w:r>
      <w:r w:rsidR="009106A6" w:rsidRPr="0068584C">
        <w:rPr>
          <w:rFonts w:ascii="Times New Roman" w:hAnsi="Times New Roman" w:cs="Times New Roman"/>
        </w:rPr>
        <w:t xml:space="preserve">their </w:t>
      </w:r>
      <w:r w:rsidR="005B3D22" w:rsidRPr="0068584C">
        <w:rPr>
          <w:rFonts w:ascii="Times New Roman" w:hAnsi="Times New Roman" w:cs="Times New Roman"/>
        </w:rPr>
        <w:t>essential resource configurations</w:t>
      </w:r>
      <w:r w:rsidR="00E974C7" w:rsidRPr="0068584C">
        <w:rPr>
          <w:rFonts w:ascii="Times New Roman" w:hAnsi="Times New Roman" w:cs="Times New Roman"/>
        </w:rPr>
        <w:t xml:space="preserve"> (portfolio)</w:t>
      </w:r>
      <w:r w:rsidR="005B3D22" w:rsidRPr="0068584C">
        <w:rPr>
          <w:rFonts w:ascii="Times New Roman" w:hAnsi="Times New Roman" w:cs="Times New Roman"/>
        </w:rPr>
        <w:t xml:space="preserve"> </w:t>
      </w:r>
      <w:r w:rsidR="009106A6" w:rsidRPr="0068584C">
        <w:rPr>
          <w:rFonts w:ascii="Times New Roman" w:hAnsi="Times New Roman" w:cs="Times New Roman"/>
        </w:rPr>
        <w:t>would achieve</w:t>
      </w:r>
      <w:r w:rsidR="005B3D22" w:rsidRPr="0068584C">
        <w:rPr>
          <w:rFonts w:ascii="Times New Roman" w:hAnsi="Times New Roman" w:cs="Times New Roman"/>
        </w:rPr>
        <w:t xml:space="preserve"> competitive benefits</w:t>
      </w:r>
      <w:r w:rsidR="009106A6" w:rsidRPr="0068584C">
        <w:rPr>
          <w:rFonts w:ascii="Times New Roman" w:hAnsi="Times New Roman" w:cs="Times New Roman"/>
        </w:rPr>
        <w:t xml:space="preserve"> and higher organizational performance</w:t>
      </w:r>
      <w:r w:rsidR="00B04E7E" w:rsidRPr="0068584C">
        <w:rPr>
          <w:rFonts w:ascii="Times New Roman" w:hAnsi="Times New Roman" w:cs="Times New Roman"/>
        </w:rPr>
        <w:t xml:space="preserve"> </w:t>
      </w:r>
      <w:r w:rsidR="00B04E7E"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"10.1002/smj.183", "author" : [ { "dropping-particle" : "", "family" : "Yli-Renko", "given" : "Helena", "non-dropping-particle" : "", "parse-names" : false, "suffix" : "" }, { "dropping-particle" : "", "family" : "Autio", "given" : "Erkko", "non-dropping-particle" : "", "parse-names" : false, "suffix" : "" }, { "dropping-particle" : "", "family" : "Sapienza", "given" : "Harry J", "non-dropping-particle" : "", "parse-names" : false, "suffix" : "" } ], "container-title" : "Strategic Management Journal", "id" : "ITEM-1", "issued" : { "date-parts" : [ [ "2001" ] ] }, "page" : "587-613", "title" : "Social Capital, Knowledge Acquisition, and Knowledge Exploitation in Young Technoloy-Based Firms", "type" : "article-journal", "volume" : "22" }, "uris" : [ "http://www.mendeley.com/documents/?uuid=ba706702-8dac-4b4c-8174-90774cac7c6c" ] } ], "mendeley" : { "formattedCitation" : "(Yli-Renko et al., 2001)", "plainTextFormattedCitation" : "(Yli-Renko et al., 2001)", "previouslyFormattedCitation" : "(Yli-Renko et al., 2001)" }, "properties" : { "noteIndex" : 0 }, "schema" : "https://github.com/citation-style-language/schema/raw/master/csl-citation.json" }</w:instrText>
      </w:r>
      <w:r w:rsidR="00B04E7E" w:rsidRPr="0068584C">
        <w:rPr>
          <w:rFonts w:ascii="Times New Roman" w:hAnsi="Times New Roman" w:cs="Times New Roman"/>
        </w:rPr>
        <w:fldChar w:fldCharType="separate"/>
      </w:r>
      <w:r w:rsidR="000E6ECE" w:rsidRPr="000E6ECE">
        <w:rPr>
          <w:rFonts w:ascii="Times New Roman" w:hAnsi="Times New Roman" w:cs="Times New Roman"/>
          <w:noProof/>
        </w:rPr>
        <w:t>(Yli-Renko et al., 2001)</w:t>
      </w:r>
      <w:r w:rsidR="00B04E7E" w:rsidRPr="0068584C">
        <w:rPr>
          <w:rFonts w:ascii="Times New Roman" w:hAnsi="Times New Roman" w:cs="Times New Roman"/>
        </w:rPr>
        <w:fldChar w:fldCharType="end"/>
      </w:r>
      <w:r w:rsidR="00B04E7E" w:rsidRPr="0068584C">
        <w:rPr>
          <w:rFonts w:ascii="Times New Roman" w:hAnsi="Times New Roman" w:cs="Times New Roman"/>
        </w:rPr>
        <w:t>.</w:t>
      </w:r>
      <w:r w:rsidR="000B107E" w:rsidRPr="0068584C">
        <w:rPr>
          <w:rFonts w:ascii="Times New Roman" w:hAnsi="Times New Roman" w:cs="Times New Roman"/>
        </w:rPr>
        <w:t xml:space="preserve"> </w:t>
      </w:r>
      <w:r w:rsidR="00466C31">
        <w:rPr>
          <w:rFonts w:ascii="Times New Roman" w:hAnsi="Times New Roman" w:cs="Times New Roman"/>
        </w:rPr>
        <w:t>Likewise, effective resource orchestration practices would lead to a temporary competitive advantage.</w:t>
      </w:r>
    </w:p>
    <w:p w14:paraId="4C08661C" w14:textId="77777777" w:rsidR="007C126B" w:rsidRPr="0068584C" w:rsidRDefault="007C126B" w:rsidP="0035460B">
      <w:pPr>
        <w:spacing w:line="480" w:lineRule="auto"/>
        <w:rPr>
          <w:rFonts w:ascii="Times New Roman" w:hAnsi="Times New Roman" w:cs="Times New Roman"/>
        </w:rPr>
      </w:pPr>
    </w:p>
    <w:p w14:paraId="51E6D8CA" w14:textId="0EA88EDC" w:rsidR="005E51E3" w:rsidRPr="0068584C" w:rsidRDefault="005E51E3" w:rsidP="0035460B">
      <w:pPr>
        <w:spacing w:line="480" w:lineRule="auto"/>
        <w:rPr>
          <w:rFonts w:ascii="Times New Roman" w:hAnsi="Times New Roman" w:cs="Times New Roman"/>
        </w:rPr>
      </w:pPr>
      <w:r w:rsidRPr="0068584C">
        <w:rPr>
          <w:rFonts w:ascii="Times New Roman" w:hAnsi="Times New Roman" w:cs="Times New Roman"/>
          <w:noProof/>
        </w:rPr>
        <w:lastRenderedPageBreak/>
        <w:drawing>
          <wp:inline distT="0" distB="0" distL="0" distR="0" wp14:anchorId="50B67CB9" wp14:editId="26F62A85">
            <wp:extent cx="5486400" cy="382108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821085"/>
                    </a:xfrm>
                    <a:prstGeom prst="rect">
                      <a:avLst/>
                    </a:prstGeom>
                    <a:noFill/>
                    <a:ln>
                      <a:noFill/>
                    </a:ln>
                  </pic:spPr>
                </pic:pic>
              </a:graphicData>
            </a:graphic>
          </wp:inline>
        </w:drawing>
      </w:r>
    </w:p>
    <w:p w14:paraId="00DD87D6" w14:textId="3A167ADD" w:rsidR="00EF5EDA" w:rsidRPr="0092013B" w:rsidRDefault="0092013B" w:rsidP="0092013B">
      <w:pPr>
        <w:pStyle w:val="Caption"/>
        <w:keepNext/>
      </w:pPr>
      <w:bookmarkStart w:id="58" w:name="_Ref357388268"/>
      <w:bookmarkStart w:id="59" w:name="_Toc358326876"/>
      <w:r>
        <w:t xml:space="preserve">Figure </w:t>
      </w:r>
      <w:fldSimple w:instr=" SEQ Figure \* ARABIC ">
        <w:r w:rsidR="00C2793E">
          <w:rPr>
            <w:noProof/>
          </w:rPr>
          <w:t>2</w:t>
        </w:r>
      </w:fldSimple>
      <w:bookmarkEnd w:id="58"/>
      <w:r>
        <w:t xml:space="preserve"> - </w:t>
      </w:r>
      <w:r w:rsidR="001D5BC9">
        <w:rPr>
          <w:rFonts w:cs="Times New Roman"/>
          <w:bCs w:val="0"/>
        </w:rPr>
        <w:t>C</w:t>
      </w:r>
      <w:r w:rsidR="000F7AB4" w:rsidRPr="0068584C">
        <w:rPr>
          <w:rFonts w:cs="Times New Roman"/>
          <w:bCs w:val="0"/>
        </w:rPr>
        <w:t>onstruct</w:t>
      </w:r>
      <w:r w:rsidR="0050384D" w:rsidRPr="0068584C">
        <w:rPr>
          <w:rFonts w:cs="Times New Roman"/>
          <w:bCs w:val="0"/>
        </w:rPr>
        <w:t xml:space="preserve">s, </w:t>
      </w:r>
      <w:r w:rsidR="001D5BC9">
        <w:rPr>
          <w:rFonts w:cs="Times New Roman"/>
          <w:bCs w:val="0"/>
        </w:rPr>
        <w:t>Domain, Relationships, and P</w:t>
      </w:r>
      <w:r w:rsidR="0050384D" w:rsidRPr="0068584C">
        <w:rPr>
          <w:rFonts w:cs="Times New Roman"/>
          <w:bCs w:val="0"/>
        </w:rPr>
        <w:t xml:space="preserve">redictions of RBT, </w:t>
      </w:r>
      <w:r w:rsidR="00EB2FE9" w:rsidRPr="0068584C">
        <w:rPr>
          <w:rFonts w:cs="Times New Roman"/>
          <w:bCs w:val="0"/>
        </w:rPr>
        <w:t xml:space="preserve">DCT, and </w:t>
      </w:r>
      <w:r w:rsidR="0050384D" w:rsidRPr="0068584C">
        <w:rPr>
          <w:rFonts w:cs="Times New Roman"/>
          <w:bCs w:val="0"/>
        </w:rPr>
        <w:t>ROT</w:t>
      </w:r>
      <w:bookmarkEnd w:id="59"/>
    </w:p>
    <w:p w14:paraId="33F0C9B9" w14:textId="77777777" w:rsidR="00850F25" w:rsidRPr="0068584C" w:rsidRDefault="00850F25" w:rsidP="0035460B">
      <w:pPr>
        <w:spacing w:line="480" w:lineRule="auto"/>
        <w:rPr>
          <w:rFonts w:ascii="Times New Roman" w:hAnsi="Times New Roman" w:cs="Times New Roman"/>
        </w:rPr>
      </w:pPr>
    </w:p>
    <w:p w14:paraId="1E716730" w14:textId="279A699D" w:rsidR="007C126B" w:rsidRPr="0068584C" w:rsidRDefault="00AB2212" w:rsidP="00EE1D96">
      <w:pPr>
        <w:pStyle w:val="Heading2"/>
      </w:pPr>
      <w:bookmarkStart w:id="60" w:name="_Toc357382418"/>
      <w:bookmarkStart w:id="61" w:name="_Toc357383264"/>
      <w:bookmarkStart w:id="62" w:name="_Toc358326735"/>
      <w:r w:rsidRPr="00D3563D">
        <w:t>Toward a Theory of SCRO</w:t>
      </w:r>
      <w:bookmarkEnd w:id="60"/>
      <w:bookmarkEnd w:id="61"/>
      <w:bookmarkEnd w:id="62"/>
      <w:r w:rsidRPr="00D3563D">
        <w:t xml:space="preserve"> </w:t>
      </w:r>
    </w:p>
    <w:p w14:paraId="598A52C9" w14:textId="7976A8B8" w:rsidR="0083086C" w:rsidRPr="0068584C" w:rsidRDefault="00465435"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The</w:t>
      </w:r>
      <w:r w:rsidR="0083086C" w:rsidRPr="0068584C">
        <w:rPr>
          <w:rFonts w:ascii="Times New Roman" w:hAnsi="Times New Roman" w:cs="Times New Roman"/>
          <w:color w:val="000000" w:themeColor="text1"/>
        </w:rPr>
        <w:t xml:space="preserve"> possession of strategic resources does not automatically lead to a competitive advantage. “What a firm does with its resources is </w:t>
      </w:r>
      <w:r w:rsidR="00721718" w:rsidRPr="0068584C">
        <w:rPr>
          <w:rFonts w:ascii="Times New Roman" w:hAnsi="Times New Roman" w:cs="Times New Roman"/>
          <w:color w:val="000000" w:themeColor="text1"/>
        </w:rPr>
        <w:t xml:space="preserve">at least </w:t>
      </w:r>
      <w:r w:rsidR="0083086C" w:rsidRPr="0068584C">
        <w:rPr>
          <w:rFonts w:ascii="Times New Roman" w:hAnsi="Times New Roman" w:cs="Times New Roman"/>
          <w:color w:val="000000" w:themeColor="text1"/>
        </w:rPr>
        <w:t xml:space="preserve">as important as </w:t>
      </w:r>
      <w:r w:rsidR="00CE6056" w:rsidRPr="0068584C">
        <w:rPr>
          <w:rFonts w:ascii="Times New Roman" w:hAnsi="Times New Roman" w:cs="Times New Roman"/>
          <w:color w:val="000000" w:themeColor="text1"/>
        </w:rPr>
        <w:t>which</w:t>
      </w:r>
      <w:r w:rsidR="00721718" w:rsidRPr="0068584C">
        <w:rPr>
          <w:rFonts w:ascii="Times New Roman" w:hAnsi="Times New Roman" w:cs="Times New Roman"/>
          <w:color w:val="000000" w:themeColor="text1"/>
        </w:rPr>
        <w:t xml:space="preserve"> </w:t>
      </w:r>
      <w:r w:rsidR="0083086C" w:rsidRPr="0068584C">
        <w:rPr>
          <w:rFonts w:ascii="Times New Roman" w:hAnsi="Times New Roman" w:cs="Times New Roman"/>
          <w:color w:val="000000" w:themeColor="text1"/>
        </w:rPr>
        <w:t>resources it possesses”</w:t>
      </w:r>
      <w:r w:rsidR="005F2BA9">
        <w:rPr>
          <w:rFonts w:ascii="Times New Roman" w:hAnsi="Times New Roman" w:cs="Times New Roman"/>
          <w:color w:val="000000" w:themeColor="text1"/>
        </w:rPr>
        <w:t xml:space="preserve"> </w:t>
      </w:r>
      <w:r w:rsidR="005F2BA9">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"10.1002/smj.432", "ISBN" : "0143-2095", "ISSN" : "01432095", "PMID" : "224999817", "abstract" : "This paper argues that the gap between the theoretical utility and the practical utility of the resource-based view (RBV) may be narrowed by operationalizing the theory more consistently with Penrose's original framework. The operationalization proposed here is a twofold approach. First, the RBV may be enhanced by the explicit recognition of Penrose's two classes of resources, namely, administrative resources and productive resources. This distinction suggests a focus on the administrative decisions of managers that lead to economic performance. Second, we argue that the RBV is a theory about extraordinary performers or outliers-not averages. Therefore, the statistical methods used in applying the theory must account for individual firm differences, and not be based on means, which statistically neutralize firm differences. We propose a novel Bayesian hierarchical methodology to examine the relationship between administrative decisions and economic performance over time. We develop and explain a measure of competitive advantage that goes beyond comparisons of economic performance. This Bayesian methodology allows us to make meaningful probability statements about specific, individual firms and the effects of the administrative decisions examined in this study. Copyright (C) 2004 John Wiley Sons, Ltd.", "author" : [ { "dropping-particle" : "", "family" : "Hansen", "given" : "Mark H.", "non-dropping-particle" : "", "parse-names" : false, "suffix" : "" }, { "dropping-particle" : "", "family" : "Perry", "given" : "Lee T.", "non-dropping-particle" : "", "parse-names" : false, "suffix" : "" }, { "dropping-particle" : "", "family" : "Reese", "given" : "C. Shane", "non-dropping-particle" : "", "parse-names" : false, "suffix" : "" } ], "container-title" : "Strategic Management Journal", "id" : "ITEM-1", "issue" : "13", "issued" : { "date-parts" : [ [ "2004" ] ] }, "page" : "1279-1295", "title" : "A bayesian operationalization of the resource-based view", "type" : "article-journal", "volume" : "25" }, "locator" : "1280", "uris" : [ "http://www.mendeley.com/documents/?uuid=b0b4c3ef-b3ac-4072-be8e-93437ab2c851" ] } ], "mendeley" : { "formattedCitation" : "(Hansen et al., 2004, p. 1280)", "plainTextFormattedCitation" : "(Hansen et al., 2004, p. 1280)", "previouslyFormattedCitation" : "(Hansen et al., 2004, p. 1280)" }, "properties" : { "noteIndex" : 0 }, "schema" : "https://github.com/citation-style-language/schema/raw/master/csl-citation.json" }</w:instrText>
      </w:r>
      <w:r w:rsidR="005F2BA9">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(Hansen et al., 2004, p. 1280)</w:t>
      </w:r>
      <w:r w:rsidR="005F2BA9">
        <w:rPr>
          <w:rFonts w:ascii="Times New Roman" w:hAnsi="Times New Roman" w:cs="Times New Roman"/>
          <w:color w:val="000000" w:themeColor="text1"/>
        </w:rPr>
        <w:fldChar w:fldCharType="end"/>
      </w:r>
      <w:r w:rsidR="005F2BA9">
        <w:rPr>
          <w:rFonts w:ascii="Times New Roman" w:hAnsi="Times New Roman" w:cs="Times New Roman"/>
          <w:color w:val="000000" w:themeColor="text1"/>
        </w:rPr>
        <w:t>.</w:t>
      </w:r>
      <w:r w:rsidR="0083086C" w:rsidRPr="0068584C">
        <w:rPr>
          <w:rFonts w:ascii="Times New Roman" w:hAnsi="Times New Roman" w:cs="Times New Roman"/>
          <w:color w:val="000000" w:themeColor="text1"/>
        </w:rPr>
        <w:t xml:space="preserve"> These resources must be orchestrated efficiently and effectively </w:t>
      </w:r>
      <w:r w:rsidR="001F2CC2" w:rsidRPr="0068584C">
        <w:rPr>
          <w:rFonts w:ascii="Times New Roman" w:hAnsi="Times New Roman" w:cs="Times New Roman"/>
          <w:color w:val="000000" w:themeColor="text1"/>
        </w:rPr>
        <w:t>so that organizations might</w:t>
      </w:r>
      <w:r w:rsidR="0083086C" w:rsidRPr="0068584C">
        <w:rPr>
          <w:rFonts w:ascii="Times New Roman" w:hAnsi="Times New Roman" w:cs="Times New Roman"/>
          <w:color w:val="000000" w:themeColor="text1"/>
        </w:rPr>
        <w:t xml:space="preserve"> achieve superior </w:t>
      </w:r>
      <w:r w:rsidR="0083086C" w:rsidRPr="0082206E">
        <w:rPr>
          <w:rFonts w:ascii="Times New Roman" w:hAnsi="Times New Roman" w:cs="Times New Roman"/>
          <w:color w:val="000000" w:themeColor="text1"/>
        </w:rPr>
        <w:t xml:space="preserve">performance </w:t>
      </w:r>
      <w:r w:rsidR="00C9112A" w:rsidRPr="0082206E">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"container-title" : "Academy of Management Review", "id" : "ITEM-1", "issue" : "1", "issued" : { "date-parts" : [ [ "2007" ] ] }, "page" : "273-292", "title" : "Managing Firm Resources in Dynamic Environments to Create Value: Looking Inside the Black Box", "type" : "article-journal", "volume" : "32" }, "uris" : [ "http://www.mendeley.com/documents/?uuid=779ec5d8-7a83-40db-b3a1-b301ac00b320" ] } ], "mendeley" : { "formattedCitation" : "(Sirmon et al., 2007)", "plainTextFormattedCitation" : "(Sirmon et al., 2007)", "previouslyFormattedCitation" : "(Sirmon et al., 2007)" }, "properties" : { "noteIndex" : 0 }, "schema" : "https://github.com/citation-style-language/schema/raw/master/csl-citation.json" }</w:instrText>
      </w:r>
      <w:r w:rsidR="00C9112A" w:rsidRPr="0082206E">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(Sirmon et al., 2007)</w:t>
      </w:r>
      <w:r w:rsidR="00C9112A" w:rsidRPr="0082206E">
        <w:rPr>
          <w:rFonts w:ascii="Times New Roman" w:hAnsi="Times New Roman" w:cs="Times New Roman"/>
          <w:color w:val="000000" w:themeColor="text1"/>
        </w:rPr>
        <w:fldChar w:fldCharType="end"/>
      </w:r>
      <w:r w:rsidR="0083086C" w:rsidRPr="0082206E">
        <w:rPr>
          <w:rFonts w:ascii="Times New Roman" w:hAnsi="Times New Roman" w:cs="Times New Roman"/>
          <w:color w:val="000000" w:themeColor="text1"/>
        </w:rPr>
        <w:t xml:space="preserve">. </w:t>
      </w:r>
      <w:r w:rsidR="0082206E" w:rsidRPr="0082206E">
        <w:rPr>
          <w:rFonts w:ascii="Times New Roman" w:hAnsi="Times New Roman" w:cs="Times New Roman"/>
          <w:color w:val="000000" w:themeColor="text1"/>
        </w:rPr>
        <w:t>H</w:t>
      </w:r>
      <w:r w:rsidR="008D133A" w:rsidRPr="00D3563D">
        <w:rPr>
          <w:rFonts w:ascii="Times New Roman" w:hAnsi="Times New Roman" w:cs="Times New Roman"/>
          <w:color w:val="000000" w:themeColor="text1"/>
        </w:rPr>
        <w:t>owever,</w:t>
      </w:r>
      <w:r w:rsidR="0083086C" w:rsidRPr="00D3563D">
        <w:rPr>
          <w:rFonts w:ascii="Times New Roman" w:hAnsi="Times New Roman" w:cs="Times New Roman"/>
          <w:color w:val="000000" w:themeColor="text1"/>
        </w:rPr>
        <w:t xml:space="preserve"> the deployment of resources tends to be idiosyncratic and highly contextualized </w:t>
      </w:r>
      <w:r w:rsidR="009227FF" w:rsidRPr="00D3563D">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"10.1016/S0149-2063(03)00086-2", "author" : [ { "dropping-particle" : "", "family" : "Ireland", "given" : "R Duane", "non-dropping-particle" : "", "parse-names" : false, "suffix" : "" }, { "dropping-particle" : "", "family" : "Hitt", "given" : "Michael A", "non-dropping-particle" : "", "parse-names" : false, "suffix" : "" }, { "dropping-particle" : "", "family" : "Sirmon", "given" : "David G", "non-dropping-particle" : "", "parse-names" : false, "suffix" : "" } ], "container-title" : "Journal of Management", "id" : "ITEM-1", "issue" : "6", "issued" : { "date-parts" : [ [ "2003" ] ] }, "page" : "963-989", "title" : "A Model of Strategic Entrepreneurship: The Construct and its Dimensions", "type" : "article-journal", "volume" : "29" }, "uris" : [ "http://www.mendeley.com/documents/?uuid=f41d1862-52f4-467f-be9c-44bc3dd5a91d" ] } ], "mendeley" : { "formattedCitation" : "(Ireland, Hitt, &amp; Sirmon, 2003)", "plainTextFormattedCitation" : "(Ireland, Hitt, &amp; Sirmon, 2003)", "previouslyFormattedCitation" : "(Ireland, Hitt, &amp; Sirmon, 2003)" }, "properties" : { "noteIndex" : 0 }, "schema" : "https://github.com/citation-style-language/schema/raw/master/csl-citation.json" }</w:instrText>
      </w:r>
      <w:r w:rsidR="009227FF" w:rsidRPr="00D3563D">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(Ireland, Hitt, &amp; Sirmon, 2003)</w:t>
      </w:r>
      <w:r w:rsidR="009227FF" w:rsidRPr="00D3563D">
        <w:rPr>
          <w:rFonts w:ascii="Times New Roman" w:hAnsi="Times New Roman" w:cs="Times New Roman"/>
          <w:color w:val="000000" w:themeColor="text1"/>
        </w:rPr>
        <w:fldChar w:fldCharType="end"/>
      </w:r>
      <w:r w:rsidR="009227FF" w:rsidRPr="00D3563D">
        <w:rPr>
          <w:rFonts w:ascii="Times New Roman" w:hAnsi="Times New Roman" w:cs="Times New Roman"/>
          <w:color w:val="000000" w:themeColor="text1"/>
        </w:rPr>
        <w:t xml:space="preserve"> </w:t>
      </w:r>
      <w:r w:rsidR="0083086C" w:rsidRPr="00D3563D">
        <w:rPr>
          <w:rFonts w:ascii="Times New Roman" w:hAnsi="Times New Roman" w:cs="Times New Roman"/>
          <w:color w:val="000000" w:themeColor="text1"/>
        </w:rPr>
        <w:t>depending on situational factors and managerial interpretations and perspectives</w:t>
      </w:r>
      <w:r w:rsidR="00583231" w:rsidRPr="00D3563D">
        <w:rPr>
          <w:rFonts w:ascii="Times New Roman" w:hAnsi="Times New Roman" w:cs="Times New Roman"/>
          <w:color w:val="000000" w:themeColor="text1"/>
        </w:rPr>
        <w:t xml:space="preserve"> </w:t>
      </w:r>
      <w:r w:rsidR="00583231" w:rsidRPr="00D3563D">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"container-title" : "Academy of Management Review", "id" : "ITEM-1", "issue" : "1", "issued" : { "date-parts" : [ [ "2007" ] ] }, "page" : "273-292", "title" : "Managing Firm Resources in Dynamic Environments to Create Value: Looking Inside the Black Box", "type" : "article-journal", "volume" : "32" }, "uris" : [ "http://www.mendeley.com/documents/?uuid=779ec5d8-7a83-40db-b3a1-b301ac00b320" ] } ], "mendeley" : { "formattedCitation" : "(Sirmon et al., 2007)", "plainTextFormattedCitation" : "(Sirmon et al., 2007)", "previouslyFormattedCitation" : "(Sirmon et al., 2007)" }, "properties" : { "noteIndex" : 0 }, "schema" : "https://github.com/citation-style-language/schema/raw/master/csl-citation.json" }</w:instrText>
      </w:r>
      <w:r w:rsidR="00583231" w:rsidRPr="00D3563D">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(Sirmon et al., 2007)</w:t>
      </w:r>
      <w:r w:rsidR="00583231" w:rsidRPr="00D3563D">
        <w:rPr>
          <w:rFonts w:ascii="Times New Roman" w:hAnsi="Times New Roman" w:cs="Times New Roman"/>
          <w:color w:val="000000" w:themeColor="text1"/>
        </w:rPr>
        <w:fldChar w:fldCharType="end"/>
      </w:r>
      <w:r w:rsidR="00583231" w:rsidRPr="00D3563D">
        <w:rPr>
          <w:rFonts w:ascii="Times New Roman" w:hAnsi="Times New Roman" w:cs="Times New Roman"/>
          <w:color w:val="000000" w:themeColor="text1"/>
        </w:rPr>
        <w:t>.</w:t>
      </w:r>
      <w:r w:rsidR="0083086C" w:rsidRPr="0082206E">
        <w:rPr>
          <w:rFonts w:ascii="Times New Roman" w:hAnsi="Times New Roman" w:cs="Times New Roman"/>
          <w:color w:val="000000" w:themeColor="text1"/>
        </w:rPr>
        <w:t xml:space="preserve"> </w:t>
      </w:r>
      <w:r w:rsidR="0082206E" w:rsidRPr="0082206E">
        <w:rPr>
          <w:rFonts w:ascii="Times New Roman" w:hAnsi="Times New Roman" w:cs="Times New Roman"/>
          <w:color w:val="000000" w:themeColor="text1"/>
        </w:rPr>
        <w:t xml:space="preserve">Hence, effective resource management necessitates </w:t>
      </w:r>
      <w:r w:rsidR="00665245" w:rsidRPr="0082206E">
        <w:rPr>
          <w:rFonts w:ascii="Times New Roman" w:hAnsi="Times New Roman" w:cs="Times New Roman"/>
          <w:color w:val="000000" w:themeColor="text1"/>
        </w:rPr>
        <w:t>considering</w:t>
      </w:r>
      <w:r w:rsidR="0082206E">
        <w:rPr>
          <w:rFonts w:ascii="Times New Roman" w:hAnsi="Times New Roman" w:cs="Times New Roman"/>
          <w:color w:val="000000" w:themeColor="text1"/>
        </w:rPr>
        <w:t xml:space="preserve"> environmental implications. </w:t>
      </w:r>
      <w:r w:rsidR="00A80E9E" w:rsidRPr="0068584C">
        <w:rPr>
          <w:rFonts w:ascii="Times New Roman" w:hAnsi="Times New Roman" w:cs="Times New Roman"/>
          <w:color w:val="000000" w:themeColor="text1"/>
        </w:rPr>
        <w:t>E</w:t>
      </w:r>
      <w:r w:rsidR="0083086C" w:rsidRPr="0068584C">
        <w:rPr>
          <w:rFonts w:ascii="Times New Roman" w:hAnsi="Times New Roman" w:cs="Times New Roman"/>
          <w:color w:val="000000" w:themeColor="text1"/>
        </w:rPr>
        <w:t>xtending the logic of RBT, supply chains</w:t>
      </w:r>
      <w:r w:rsidR="00C30D64" w:rsidRPr="007B6F9A">
        <w:rPr>
          <w:rFonts w:ascii="Times New Roman" w:hAnsi="Times New Roman" w:cs="Times New Roman"/>
          <w:color w:val="000000" w:themeColor="text1"/>
        </w:rPr>
        <w:t xml:space="preserve"> could be characterized</w:t>
      </w:r>
      <w:r w:rsidR="0083086C" w:rsidRPr="0068584C">
        <w:rPr>
          <w:rFonts w:ascii="Times New Roman" w:hAnsi="Times New Roman" w:cs="Times New Roman"/>
          <w:color w:val="000000" w:themeColor="text1"/>
        </w:rPr>
        <w:t xml:space="preserve"> as bundles of tangible and intangible resources</w:t>
      </w:r>
      <w:r w:rsidR="00E27F41" w:rsidRPr="0068584C">
        <w:rPr>
          <w:rFonts w:ascii="Times New Roman" w:hAnsi="Times New Roman" w:cs="Times New Roman"/>
          <w:color w:val="000000" w:themeColor="text1"/>
        </w:rPr>
        <w:t xml:space="preserve"> </w:t>
      </w:r>
      <w:r w:rsidR="009227FF"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"10.1016/S0149-2063(03)00086-2", "author" : [ { "dropping-particle" : "", "family" : "Ireland", "given" : "R Duane", "non-dropping-particle" : "", "parse-names" : false, "suffix" : "" }, { "dropping-particle" : "", "family" : "Hitt", "given" : "Michael A", "non-dropping-particle" : "", "parse-names" : false, "suffix" : "" }, { "dropping-particle" : "", "family" : "Sirmon", "given" : "David G", "non-dropping-particle" : "", "parse-names" : false, "suffix" : "" } ], "container-title" : "Journal of Management", "id" : "ITEM-1", "issue" : "6", "issued" : { "date-parts" : [ [ "2003" ] ] }, "page" : "963-989", "title" : "A Model of Strategic Entrepreneurship: The Construct and its Dimensions", "type" : "article-journal", "volume" : "29" }, "uris" : [ "http://www.mendeley.com/documents/?uuid=f41d1862-52f4-467f-be9c-44bc3dd5a91d" ] }, { "id" : "ITEM-2", "itemData" : { "DOI" : "10.1016/j.jom.2008.09.006", "ISBN" : "0272-6963", "ISSN" : "02726963", "abstract" : "Today's marketplace is characterized by intense competitive pressures as well as high levels of turbulence and uncertainty. Organizations require agility in their supply chains to provide superior value as well as to manage disruption risks and ensure uninterrupted service to customers. Thus the cultivation of agility is approached as a risk management initiative that enables a firm to respond rapidly to marketplace changes, as well as anticipated and actual disruptions in the supply chain. Agility is of value for both risk mitigation and response. This research investigates the impact of two cultural antecedents, market orientation and learning orientation, and three organizational practices, all aimed at augmenting the supply chain agility of a firm. A firm's supply chain agility (FSCA) is defined as the capability of the firm, both internally and in conjunction with its key suppliers and customers, to adapt or respond in a speedy manner to marketplace changes as well as to potential and actual disruptions, contributing to the agility of the extended supply chain. The two cultural antecedents of market and learning orientations are posited to affect the organizational practices of internal integration, external integration with key suppliers and customers, and external flexibility, and eventually impact the firm's supply chain agility. The external flexibility elements considered are volume and mix flexibility. In addition, the specific organizational characteristics and practices exhibited by firms with high levels of supply chain agility are also investigated. Through the use of the structural equation modeling technique, partial least squares (PLS), it is shown that strong linkages exist among the cultural antecedents, the three organizational practices considered, and the firm's supply chain agility. All three organizational practices, internal integration, external integration with key suppliers and customers, and external flexibility are shown to have significant positive impact on the firm's supply chain agility. Market orientation is shown to significantly impact both internal and external supply chain integration, along with the two elements of external flexibility. Learning orientation, on the other hand, is shown to have a strong and direct influence only on the level of internal integration. Firms with high levels of external integration are also shown to have high levels of internal integration, consistent with past research. Internal and\u2026", "author" : [ { "dropping-particle" : "", "family" : "Braunscheidel", "given" : "Michael J.", "non-dropping-particle" : "", "parse-names" : false, "suffix" : "" }, { "dropping-particle" : "", "family" : "Suresh", "given" : "Nallan C.", "non-dropping-particle" : "", "parse-names" : false, "suffix" : "" } ], "container-title" : "Journal of Operations Management", "id" : "ITEM-2", "issue" : "2", "issued" : { "date-parts" : [ [ "2009" ] ] }, "page" : "119-140", "title" : "The organizational antecedents of a firm's supply chain agility for risk mitigation and response", "type" : "article-journal", "volume" : "27" }, "uris" : [ "http://www.mendeley.com/documents/?uuid=013e2033-e54c-48b4-adbd-6360ab740c26" ] } ], "mendeley" : { "formattedCitation" : "(Braunscheidel &amp; Suresh, 2009; Ireland et al., 2003)", "plainTextFormattedCitation" : "(Braunscheidel &amp; Suresh, 2009; Ireland et al., 2003)", "previouslyFormattedCitation" : "(Braunscheidel &amp; Suresh, 2009; Ireland et al., 2003)" }, "properties" : { "noteIndex" : 0 }, "schema" : "https://github.com/citation-style-language/schema/raw/master/csl-citation.json" }</w:instrText>
      </w:r>
      <w:r w:rsidR="009227FF"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 xml:space="preserve">(Braunscheidel &amp; Suresh, 2009; Ireland et al., </w:t>
      </w:r>
      <w:r w:rsidR="000E6ECE" w:rsidRPr="000E6ECE">
        <w:rPr>
          <w:rFonts w:ascii="Times New Roman" w:hAnsi="Times New Roman" w:cs="Times New Roman"/>
          <w:noProof/>
          <w:color w:val="000000" w:themeColor="text1"/>
        </w:rPr>
        <w:lastRenderedPageBreak/>
        <w:t>2003)</w:t>
      </w:r>
      <w:r w:rsidR="009227FF" w:rsidRPr="0068584C">
        <w:rPr>
          <w:rFonts w:ascii="Times New Roman" w:hAnsi="Times New Roman" w:cs="Times New Roman"/>
          <w:color w:val="000000" w:themeColor="text1"/>
        </w:rPr>
        <w:fldChar w:fldCharType="end"/>
      </w:r>
      <w:r w:rsidR="0083086C" w:rsidRPr="0068584C">
        <w:rPr>
          <w:rFonts w:ascii="Times New Roman" w:hAnsi="Times New Roman" w:cs="Times New Roman"/>
          <w:color w:val="000000" w:themeColor="text1"/>
        </w:rPr>
        <w:t>. Due to higher resource management complexity of resource integration from external sources, organizations need to develop and understand a systematic approach to resource management</w:t>
      </w:r>
      <w:r w:rsidR="000D56C3" w:rsidRPr="0068584C">
        <w:rPr>
          <w:rFonts w:ascii="Times New Roman" w:hAnsi="Times New Roman" w:cs="Times New Roman"/>
          <w:color w:val="000000" w:themeColor="text1"/>
        </w:rPr>
        <w:t xml:space="preserve"> </w:t>
      </w:r>
      <w:r w:rsidR="000D56C3"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"Wiklund", "given" : "Johan", "non-dropping-particle" : "", "parse-names" : false, "suffix" : "" }, { "dropping-particle" : "", "family" : "Shepherd", "given" : "Dean A", "non-dropping-particle" : "", "parse-names" : false, "suffix" : "" } ], "container-title" : "Entrepreneurship Theory and Practice", "id" : "ITEM-1", "issue" : "January", "issued" : { "date-parts" : [ [ "2009" ] ] }, "page" : "193-213", "title" : "The Effectiveness of Alliances and Acquisitions: The Role of Resource Combination Activities", "type" : "article-journal" }, "uris" : [ "http://www.mendeley.com/documents/?uuid=da6b6fe4-2a11-4c9a-a14d-17eee8bfc2fe" ] } ], "mendeley" : { "formattedCitation" : "(Wiklund &amp; Shepherd, 2009)", "plainTextFormattedCitation" : "(Wiklund &amp; Shepherd, 2009)", "previouslyFormattedCitation" : "(Wiklund &amp; Shepherd, 2009)" }, "properties" : { "noteIndex" : 0 }, "schema" : "https://github.com/citation-style-language/schema/raw/master/csl-citation.json" }</w:instrText>
      </w:r>
      <w:r w:rsidR="000D56C3"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(Wiklund &amp; Shepherd, 2009)</w:t>
      </w:r>
      <w:r w:rsidR="000D56C3" w:rsidRPr="0068584C">
        <w:rPr>
          <w:rFonts w:ascii="Times New Roman" w:hAnsi="Times New Roman" w:cs="Times New Roman"/>
          <w:color w:val="000000" w:themeColor="text1"/>
        </w:rPr>
        <w:fldChar w:fldCharType="end"/>
      </w:r>
      <w:r w:rsidR="0083086C" w:rsidRPr="0068584C">
        <w:rPr>
          <w:rFonts w:ascii="Times New Roman" w:hAnsi="Times New Roman" w:cs="Times New Roman"/>
          <w:color w:val="000000" w:themeColor="text1"/>
        </w:rPr>
        <w:t xml:space="preserve">, which </w:t>
      </w:r>
      <w:r w:rsidR="00E5028E" w:rsidRPr="0068584C">
        <w:rPr>
          <w:rFonts w:ascii="Times New Roman" w:hAnsi="Times New Roman" w:cs="Times New Roman"/>
          <w:color w:val="000000" w:themeColor="text1"/>
        </w:rPr>
        <w:t xml:space="preserve">can be </w:t>
      </w:r>
      <w:r w:rsidR="0083086C" w:rsidRPr="0068584C">
        <w:rPr>
          <w:rFonts w:ascii="Times New Roman" w:hAnsi="Times New Roman" w:cs="Times New Roman"/>
          <w:color w:val="000000" w:themeColor="text1"/>
        </w:rPr>
        <w:t>described as supply chain resource orchestration (SCRO)</w:t>
      </w:r>
      <w:r w:rsidR="000D56C3" w:rsidRPr="0068584C">
        <w:rPr>
          <w:rFonts w:ascii="Times New Roman" w:hAnsi="Times New Roman" w:cs="Times New Roman"/>
          <w:color w:val="000000" w:themeColor="text1"/>
        </w:rPr>
        <w:t xml:space="preserve"> </w:t>
      </w:r>
      <w:r w:rsidR="000D56C3"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"10.1002/sej.1227", "author" : [ { "dropping-particle" : "", "family" : "Baert", "given" : "Caroline", "non-dropping-particle" : "", "parse-names" : false, "suffix" : "" }, { "dropping-particle" : "", "family" : "Meuleman", "given" : "Miguel", "non-dropping-particle" : "", "parse-names" : false, "suffix" : "" }, { "dropping-particle" : "", "family" : "Debruyne", "given" : "Marion", "non-dropping-particle" : "", "parse-names" : false, "suffix" : "" }, { "dropping-particle" : "", "family" : "Wright", "given" : "Mike", "non-dropping-particle" : "", "parse-names" : false, "suffix" : "" } ], "container-title" : "Strategic Entrepreneurship Journal", "id" : "ITEM-1", "issued" : { "date-parts" : [ [ "2016" ] ] }, "page" : "346-370", "title" : "PORTFOLIO ENTREPRENEURSHIP AND RESOURCE ORCHESTRATION", "type" : "article-journal", "volume" : "10" }, "uris" : [ "http://www.mendeley.com/documents/?uuid=f0907ead-c14c-4c97-80e2-d3a4c9840688" ] } ], "mendeley" : { "formattedCitation" : "(Baert et al., 2016)", "plainTextFormattedCitation" : "(Baert et al., 2016)", "previouslyFormattedCitation" : "(Baert et al., 2016)" }, "properties" : { "noteIndex" : 0 }, "schema" : "https://github.com/citation-style-language/schema/raw/master/csl-citation.json" }</w:instrText>
      </w:r>
      <w:r w:rsidR="000D56C3"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(Baert et al., 2016)</w:t>
      </w:r>
      <w:r w:rsidR="000D56C3" w:rsidRPr="0068584C">
        <w:rPr>
          <w:rFonts w:ascii="Times New Roman" w:hAnsi="Times New Roman" w:cs="Times New Roman"/>
          <w:color w:val="000000" w:themeColor="text1"/>
        </w:rPr>
        <w:fldChar w:fldCharType="end"/>
      </w:r>
      <w:r w:rsidR="000D56C3" w:rsidRPr="0068584C">
        <w:rPr>
          <w:rFonts w:ascii="Times New Roman" w:hAnsi="Times New Roman" w:cs="Times New Roman"/>
          <w:color w:val="000000" w:themeColor="text1"/>
        </w:rPr>
        <w:t>.</w:t>
      </w:r>
      <w:r w:rsidR="003D4523" w:rsidRPr="0068584C">
        <w:rPr>
          <w:rFonts w:ascii="Times New Roman" w:hAnsi="Times New Roman" w:cs="Times New Roman"/>
          <w:color w:val="000000" w:themeColor="text1"/>
        </w:rPr>
        <w:t xml:space="preserve"> </w:t>
      </w:r>
      <w:r w:rsidR="0083086C" w:rsidRPr="0068584C">
        <w:rPr>
          <w:rFonts w:ascii="Times New Roman" w:hAnsi="Times New Roman" w:cs="Times New Roman"/>
          <w:color w:val="000000" w:themeColor="text1"/>
        </w:rPr>
        <w:t>Recall that SCRO is effectively managing the external resource inflow into the organization including the resource acquisition, integration</w:t>
      </w:r>
      <w:r w:rsidR="00BC3180" w:rsidRPr="0068584C">
        <w:rPr>
          <w:rFonts w:ascii="Times New Roman" w:hAnsi="Times New Roman" w:cs="Times New Roman"/>
          <w:color w:val="000000" w:themeColor="text1"/>
        </w:rPr>
        <w:t>,</w:t>
      </w:r>
      <w:r w:rsidR="0083086C" w:rsidRPr="0068584C">
        <w:rPr>
          <w:rFonts w:ascii="Times New Roman" w:hAnsi="Times New Roman" w:cs="Times New Roman"/>
          <w:color w:val="000000" w:themeColor="text1"/>
        </w:rPr>
        <w:t xml:space="preserve"> and exploitation processes. </w:t>
      </w:r>
    </w:p>
    <w:p w14:paraId="32BFE852" w14:textId="58338637" w:rsidR="00F940FF" w:rsidRPr="0068584C" w:rsidRDefault="0006269F"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5A74F5">
        <w:rPr>
          <w:rFonts w:ascii="Times New Roman" w:hAnsi="Times New Roman" w:cs="Times New Roman"/>
          <w:color w:val="000000" w:themeColor="text1"/>
        </w:rPr>
        <w:t>I</w:t>
      </w:r>
      <w:r w:rsidR="0083086C" w:rsidRPr="0068584C">
        <w:rPr>
          <w:rFonts w:ascii="Times New Roman" w:hAnsi="Times New Roman" w:cs="Times New Roman"/>
          <w:color w:val="000000" w:themeColor="text1"/>
        </w:rPr>
        <w:t xml:space="preserve">nnovative and well-performing organizations require an effective process to identify, acquire, integrate, and exploit the </w:t>
      </w:r>
      <w:r w:rsidR="001D391F" w:rsidRPr="0068584C">
        <w:rPr>
          <w:rFonts w:ascii="Times New Roman" w:hAnsi="Times New Roman" w:cs="Times New Roman"/>
          <w:color w:val="000000" w:themeColor="text1"/>
        </w:rPr>
        <w:t xml:space="preserve">appropriate </w:t>
      </w:r>
      <w:r w:rsidR="0083086C" w:rsidRPr="0068584C">
        <w:rPr>
          <w:rFonts w:ascii="Times New Roman" w:hAnsi="Times New Roman" w:cs="Times New Roman"/>
          <w:color w:val="000000" w:themeColor="text1"/>
        </w:rPr>
        <w:t>external resources to establish a competitive resource portfolio</w:t>
      </w:r>
      <w:r w:rsidR="00E7581C" w:rsidRPr="0068584C">
        <w:rPr>
          <w:rFonts w:ascii="Times New Roman" w:hAnsi="Times New Roman" w:cs="Times New Roman"/>
          <w:color w:val="000000" w:themeColor="text1"/>
        </w:rPr>
        <w:t xml:space="preserve"> </w:t>
      </w:r>
      <w:r w:rsidR="00BD4DD5"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"10.1111/jscm.12055", "ISBN" : "1523-2409", "ISSN" : "1745493X", "abstract" : "We highlight key contributions from the special topic forum (STF) articles and detail findings from a survey of researchers interested in the role of resources on supply chain functioning and management. We assert that the STF articles have closed important gaps between what needed to be known and is now known about how and when resources aid supply chains. However, the survey findings suggest that researchers who invoke theories of resources need to be more precise in their theoretical exposition and that future research needs to focus more heavily on the role of resources not just within, but also beyond a firm's boundaries (i.e., interfirm), and how those resources aid supply chains. The survey findings also suggest that future supply chain studies should focus more on investigating contingency relationships, and \u201cfitting\u201d research designs to address the specific research question of interest. Broadly speaking, we conclude that resources within and across firm boundaries are vital to supply chain functioning and management, but that as research evolves, new insights might be best characterized by studies that take stock of critical contingencies.", "author" : [ { "dropping-particle" : "", "family" : "Crook", "given" : "T. Russell", "non-dropping-particle" : "", "parse-names" : false, "suffix" : "" }, { "dropping-particle" : "", "family" : "Esper", "given" : "Terry L.", "non-dropping-particle" : "", "parse-names" : false, "suffix" : "" } ], "container-title" : "Journal of Supply Chain Management", "id" : "ITEM-1", "issue" : "3", "issued" : { "date-parts" : [ [ "2014" ] ] }, "page" : "94-97", "title" : "Do Resources Aid in Supply Chain Functioning and Management? Yes, But More (and More Precise) Research is Needed", "type" : "article-journal", "volume" : "50" }, "uris" : [ "http://www.mendeley.com/documents/?uuid=ffa79fbc-359a-441c-bb62-d948795f562a" ] } ], "mendeley" : { "formattedCitation" : "(Crook &amp; Esper, 2014)", "plainTextFormattedCitation" : "(Crook &amp; Esper, 2014)", "previouslyFormattedCitation" : "(Crook &amp; Esper, 2014)" }, "properties" : { "noteIndex" : 0 }, "schema" : "https://github.com/citation-style-language/schema/raw/master/csl-citation.json" }</w:instrText>
      </w:r>
      <w:r w:rsidR="00BD4DD5"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(Crook &amp; Esper, 2014)</w:t>
      </w:r>
      <w:r w:rsidR="00BD4DD5" w:rsidRPr="0068584C">
        <w:rPr>
          <w:rFonts w:ascii="Times New Roman" w:hAnsi="Times New Roman" w:cs="Times New Roman"/>
          <w:color w:val="000000" w:themeColor="text1"/>
        </w:rPr>
        <w:fldChar w:fldCharType="end"/>
      </w:r>
      <w:r w:rsidR="0083086C" w:rsidRPr="0068584C">
        <w:rPr>
          <w:rFonts w:ascii="Times New Roman" w:hAnsi="Times New Roman" w:cs="Times New Roman"/>
          <w:color w:val="000000" w:themeColor="text1"/>
        </w:rPr>
        <w:t>. This</w:t>
      </w:r>
      <w:r w:rsidR="00EF3386" w:rsidRPr="0068584C">
        <w:rPr>
          <w:rFonts w:ascii="Times New Roman" w:hAnsi="Times New Roman" w:cs="Times New Roman"/>
          <w:color w:val="000000" w:themeColor="text1"/>
        </w:rPr>
        <w:t xml:space="preserve"> necessity</w:t>
      </w:r>
      <w:r w:rsidR="0083086C" w:rsidRPr="0068584C">
        <w:rPr>
          <w:rFonts w:ascii="Times New Roman" w:hAnsi="Times New Roman" w:cs="Times New Roman"/>
          <w:color w:val="000000" w:themeColor="text1"/>
        </w:rPr>
        <w:t xml:space="preserve"> relates well to the core of SCRO because, in essence, SCRO can be </w:t>
      </w:r>
      <w:r w:rsidR="005A74F5">
        <w:rPr>
          <w:rFonts w:ascii="Times New Roman" w:hAnsi="Times New Roman" w:cs="Times New Roman"/>
          <w:color w:val="000000" w:themeColor="text1"/>
        </w:rPr>
        <w:t>characterized</w:t>
      </w:r>
      <w:r w:rsidR="005A74F5" w:rsidRPr="0068584C">
        <w:rPr>
          <w:rFonts w:ascii="Times New Roman" w:hAnsi="Times New Roman" w:cs="Times New Roman"/>
          <w:color w:val="000000" w:themeColor="text1"/>
        </w:rPr>
        <w:t xml:space="preserve"> </w:t>
      </w:r>
      <w:r w:rsidR="0083086C" w:rsidRPr="0068584C">
        <w:rPr>
          <w:rFonts w:ascii="Times New Roman" w:hAnsi="Times New Roman" w:cs="Times New Roman"/>
          <w:color w:val="000000" w:themeColor="text1"/>
        </w:rPr>
        <w:t xml:space="preserve">by the following essential attributes. First, SCRO describes a systematic approach </w:t>
      </w:r>
      <w:r w:rsidR="00B317A4" w:rsidRPr="0068584C">
        <w:rPr>
          <w:rFonts w:ascii="Times New Roman" w:hAnsi="Times New Roman" w:cs="Times New Roman"/>
          <w:color w:val="000000" w:themeColor="text1"/>
        </w:rPr>
        <w:t xml:space="preserve">to </w:t>
      </w:r>
      <w:r w:rsidR="0083086C" w:rsidRPr="0068584C">
        <w:rPr>
          <w:rFonts w:ascii="Times New Roman" w:hAnsi="Times New Roman" w:cs="Times New Roman"/>
          <w:color w:val="000000" w:themeColor="text1"/>
        </w:rPr>
        <w:t>managing essential supply chain resources for the organization. This involves the synchronized structuring, bundling, and leveraging of internal and external resources to gain a competitive advantage.</w:t>
      </w:r>
    </w:p>
    <w:p w14:paraId="383DE947" w14:textId="77777777" w:rsidR="00C365F7" w:rsidRPr="0068584C" w:rsidRDefault="00C365F7" w:rsidP="0035460B">
      <w:pPr>
        <w:spacing w:line="480" w:lineRule="auto"/>
        <w:jc w:val="both"/>
        <w:rPr>
          <w:rFonts w:ascii="Times New Roman" w:hAnsi="Times New Roman" w:cs="Times New Roman"/>
          <w:b/>
        </w:rPr>
      </w:pPr>
    </w:p>
    <w:p w14:paraId="1AF90C1A" w14:textId="23DEBBFA" w:rsidR="008A72E9" w:rsidRPr="0068584C" w:rsidRDefault="000F7AB4" w:rsidP="003310D7">
      <w:pPr>
        <w:pStyle w:val="Heading3new"/>
      </w:pPr>
      <w:r w:rsidRPr="0068584C">
        <w:t>Construct</w:t>
      </w:r>
      <w:r w:rsidR="00AB2212" w:rsidRPr="0068584C">
        <w:t xml:space="preserve"> </w:t>
      </w:r>
      <w:r w:rsidR="00685585" w:rsidRPr="0068584C">
        <w:t>Definitions</w:t>
      </w:r>
      <w:r w:rsidR="00594D00" w:rsidRPr="0068584C">
        <w:t xml:space="preserve"> </w:t>
      </w:r>
      <w:r w:rsidR="001F3290" w:rsidRPr="0068584C">
        <w:t xml:space="preserve">in </w:t>
      </w:r>
      <w:r w:rsidR="00594D00" w:rsidRPr="0068584C">
        <w:t>SCRO</w:t>
      </w:r>
    </w:p>
    <w:p w14:paraId="03CBE43B" w14:textId="59510790" w:rsidR="00F77786" w:rsidRPr="0068584C" w:rsidRDefault="008A72E9" w:rsidP="0035460B">
      <w:pPr>
        <w:spacing w:line="480" w:lineRule="auto"/>
        <w:jc w:val="both"/>
        <w:rPr>
          <w:rFonts w:ascii="Times New Roman" w:hAnsi="Times New Roman" w:cs="Times New Roman"/>
        </w:rPr>
      </w:pPr>
      <w:r w:rsidRPr="0068584C">
        <w:rPr>
          <w:rFonts w:ascii="Times New Roman" w:hAnsi="Times New Roman" w:cs="Times New Roman"/>
        </w:rPr>
        <w:t xml:space="preserve">In this section, the main constructs of the SCRO framework are introduced. </w:t>
      </w:r>
      <w:r w:rsidR="004F3538">
        <w:rPr>
          <w:rFonts w:ascii="Times New Roman" w:hAnsi="Times New Roman" w:cs="Times New Roman"/>
        </w:rPr>
        <w:t>S</w:t>
      </w:r>
      <w:r w:rsidR="00F77786" w:rsidRPr="0068584C">
        <w:rPr>
          <w:rFonts w:ascii="Times New Roman" w:hAnsi="Times New Roman" w:cs="Times New Roman"/>
        </w:rPr>
        <w:t xml:space="preserve">upply chain resource orchestration </w:t>
      </w:r>
      <w:r w:rsidR="00AE7282" w:rsidRPr="0068584C">
        <w:rPr>
          <w:rFonts w:ascii="Times New Roman" w:hAnsi="Times New Roman" w:cs="Times New Roman"/>
        </w:rPr>
        <w:t>is</w:t>
      </w:r>
      <w:r w:rsidR="00F77786" w:rsidRPr="0068584C">
        <w:rPr>
          <w:rFonts w:ascii="Times New Roman" w:hAnsi="Times New Roman" w:cs="Times New Roman"/>
        </w:rPr>
        <w:t xml:space="preserve"> analyzed in terms of essential theory components and contrasted to RBT, DCT, and ROT. From a</w:t>
      </w:r>
      <w:r w:rsidR="00F940FF" w:rsidRPr="0068584C">
        <w:rPr>
          <w:rFonts w:ascii="Times New Roman" w:hAnsi="Times New Roman" w:cs="Times New Roman"/>
        </w:rPr>
        <w:t>n</w:t>
      </w:r>
      <w:r w:rsidR="00F77786" w:rsidRPr="0068584C">
        <w:rPr>
          <w:rFonts w:ascii="Times New Roman" w:hAnsi="Times New Roman" w:cs="Times New Roman"/>
        </w:rPr>
        <w:t xml:space="preserve"> SCRO perspective, it is necessary to differentiate between internal and external resources. In general, resources are tangible and intangible assets </w:t>
      </w:r>
      <w:r w:rsidR="00F77786"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"10.1007/s11747-013-0336-7", "ISBN" : "0092-0703", "ISSN" : "00920703", "PMID" : "93922470", "abstract" : "The use of resource-based theory (RBT) in marketing research has increased by more than 500% in the past decade, which suggests its importance as a framework for explaining and predicting competitive advantages and performance outcomes. This article provides a comprehensive review of RBT, including a contemporary definitional foundation for relevant terms and assumptions and a synthesis of empirical findings from marketing literature. This multidimensional analysis of RBT also evaluates extant marketing research according to four perspectives: the marketing domains that use RBT, the characteristics and uses of market-based resources that differentiate it from other research contexts, the extension of RBT to the \"marketing exchange\" as a unit of analysis, and the connection of RBT to related theories. This analysis also reveals some common pitfalls associated with prior research, offers tentative guidelines on how to improve the use of RBT in marketing, and suggests research directions to advance the theorization and empirical testing of RBT in the future.", "author" : [ { "dropping-particle" : "V.", "family" : "Kozlenkova", "given" : "Irina", "non-dropping-particle" : "", "parse-names" : false, "suffix" : "" }, { "dropping-particle" : "", "family" : "Samaha", "given" : "Stephen A.", "non-dropping-particle" : "", "parse-names" : false, "suffix" : "" }, { "dropping-particle" : "", "family" : "Palmatier", "given" : "Robert W.", "non-dropping-particle" : "", "parse-names" : false, "suffix" : "" } ], "container-title" : "Journal of the Academy of Marketing Science", "id" : "ITEM-1", "issue" : "1", "issued" : { "date-parts" : [ [ "2014" ] ] }, "page" : "1-21", "title" : "Resource-based theory in marketing", "type" : "article-journal", "volume" : "42" }, "uris" : [ "http://www.mendeley.com/documents/?uuid=b3b7f208-9a95-411f-b4eb-7ce3493019c4" ] } ], "mendeley" : { "formattedCitation" : "(Kozlenkova et al., 2014)", "plainTextFormattedCitation" : "(Kozlenkova et al., 2014)", "previouslyFormattedCitation" : "(Kozlenkova et al., 2014)" }, "properties" : { "noteIndex" : 0 }, "schema" : "https://github.com/citation-style-language/schema/raw/master/csl-citation.json" }</w:instrText>
      </w:r>
      <w:r w:rsidR="00F77786" w:rsidRPr="0068584C">
        <w:rPr>
          <w:rFonts w:ascii="Times New Roman" w:hAnsi="Times New Roman" w:cs="Times New Roman"/>
        </w:rPr>
        <w:fldChar w:fldCharType="separate"/>
      </w:r>
      <w:r w:rsidR="000E6ECE" w:rsidRPr="000E6ECE">
        <w:rPr>
          <w:rFonts w:ascii="Times New Roman" w:hAnsi="Times New Roman" w:cs="Times New Roman"/>
          <w:noProof/>
        </w:rPr>
        <w:t>(Kozlenkova et al., 2014)</w:t>
      </w:r>
      <w:r w:rsidR="00F77786" w:rsidRPr="0068584C">
        <w:rPr>
          <w:rFonts w:ascii="Times New Roman" w:hAnsi="Times New Roman" w:cs="Times New Roman"/>
        </w:rPr>
        <w:fldChar w:fldCharType="end"/>
      </w:r>
      <w:r w:rsidR="00F77786" w:rsidRPr="0068584C">
        <w:rPr>
          <w:rFonts w:ascii="Times New Roman" w:hAnsi="Times New Roman" w:cs="Times New Roman"/>
        </w:rPr>
        <w:t xml:space="preserve"> </w:t>
      </w:r>
      <w:r w:rsidR="004F3538">
        <w:rPr>
          <w:rFonts w:ascii="Times New Roman" w:hAnsi="Times New Roman" w:cs="Times New Roman"/>
        </w:rPr>
        <w:t>and</w:t>
      </w:r>
      <w:r w:rsidR="00F77786" w:rsidRPr="0068584C">
        <w:rPr>
          <w:rFonts w:ascii="Times New Roman" w:hAnsi="Times New Roman" w:cs="Times New Roman"/>
        </w:rPr>
        <w:t xml:space="preserve"> can include “capabilities, organizational processes, firm attributes, information, knowledge, etc.”</w:t>
      </w:r>
      <w:r w:rsidR="00512554" w:rsidRPr="0068584C">
        <w:rPr>
          <w:rFonts w:ascii="Times New Roman" w:hAnsi="Times New Roman" w:cs="Times New Roman"/>
        </w:rPr>
        <w:t xml:space="preserve"> </w:t>
      </w:r>
      <w:r w:rsidR="00FC5E86">
        <w:rPr>
          <w:rFonts w:ascii="Times New Roman" w:hAnsi="Times New Roman" w:cs="Times New Roman"/>
        </w:rPr>
        <w:t xml:space="preserve"> </w:t>
      </w:r>
      <w:r w:rsidR="00FC5E86">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"10.1007/s11747-007-0063-z", "author" : [ { "dropping-particle" : "", "family" : "Madhavaram", "given" : "Sreedhar", "non-dropping-particle" : "", "parse-names" : false, "suffix" : "" }, { "dropping-particle" : "", "family" : "Hunt", "given" : "Shelby D", "non-dropping-particle" : "", "parse-names" : false, "suffix" : "" } ], "container-title" : "Journal of the Academy of Marketing Science", "id" : "ITEM-1", "issued" : { "date-parts" : [ [ "2008" ] ] }, "page" : "67-82", "title" : "The service-dominant logic and a hierarchy of operant resources: developing masterful operant resources and implications for marketing strategy", "type" : "article-journal", "volume" : "36" }, "locator" : "67", "uris" : [ "http://www.mendeley.com/documents/?uuid=2ee5ab0f-d7cc-465e-b506-cb7624f39a0c" ] } ], "mendeley" : { "formattedCitation" : "(Madhavaram &amp; Hunt, 2008, p. 67)", "plainTextFormattedCitation" : "(Madhavaram &amp; Hunt, 2008, p. 67)", "previouslyFormattedCitation" : "(Madhavaram &amp; Hunt, 2008, p. 67)" }, "properties" : { "noteIndex" : 0 }, "schema" : "https://github.com/citation-style-language/schema/raw/master/csl-citation.json" }</w:instrText>
      </w:r>
      <w:r w:rsidR="00FC5E86">
        <w:rPr>
          <w:rFonts w:ascii="Times New Roman" w:hAnsi="Times New Roman" w:cs="Times New Roman"/>
        </w:rPr>
        <w:fldChar w:fldCharType="separate"/>
      </w:r>
      <w:r w:rsidR="000E6ECE" w:rsidRPr="000E6ECE">
        <w:rPr>
          <w:rFonts w:ascii="Times New Roman" w:hAnsi="Times New Roman" w:cs="Times New Roman"/>
          <w:noProof/>
        </w:rPr>
        <w:t>(Madhavaram &amp; Hunt, 2008, p. 67)</w:t>
      </w:r>
      <w:r w:rsidR="00FC5E86">
        <w:rPr>
          <w:rFonts w:ascii="Times New Roman" w:hAnsi="Times New Roman" w:cs="Times New Roman"/>
        </w:rPr>
        <w:fldChar w:fldCharType="end"/>
      </w:r>
      <w:r w:rsidR="00FC5E86">
        <w:rPr>
          <w:rFonts w:ascii="Times New Roman" w:hAnsi="Times New Roman" w:cs="Times New Roman"/>
        </w:rPr>
        <w:t>.</w:t>
      </w:r>
      <w:r w:rsidR="00F77786" w:rsidRPr="0068584C">
        <w:rPr>
          <w:rFonts w:ascii="Times New Roman" w:hAnsi="Times New Roman" w:cs="Times New Roman"/>
        </w:rPr>
        <w:t xml:space="preserve"> </w:t>
      </w:r>
      <w:r w:rsidR="00FC5E86">
        <w:rPr>
          <w:rFonts w:ascii="Times New Roman" w:hAnsi="Times New Roman" w:cs="Times New Roman"/>
        </w:rPr>
        <w:t>Importantly, a SCRO</w:t>
      </w:r>
      <w:r w:rsidR="00F77786" w:rsidRPr="0068584C">
        <w:rPr>
          <w:rFonts w:ascii="Times New Roman" w:hAnsi="Times New Roman" w:cs="Times New Roman"/>
        </w:rPr>
        <w:t xml:space="preserve"> resource portfolio includes both internal firm and external supply chain resources (accessible to the focal organization)</w:t>
      </w:r>
      <w:r w:rsidR="00000C4C" w:rsidRPr="0068584C">
        <w:rPr>
          <w:rFonts w:ascii="Times New Roman" w:hAnsi="Times New Roman" w:cs="Times New Roman"/>
        </w:rPr>
        <w:t xml:space="preserve"> </w:t>
      </w:r>
      <w:r w:rsidR="00000C4C"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"10.1017/CBO9781107415324.004", "ISBN" : "9788578110796", "ISSN" : "1098-6596", "PMID" : "25246403", "author" : [ { "dropping-particle" : "", "family" : "Allred", "given" : "Brent B", "non-dropping-particle" : "", "parse-names" : false, "suffix" : "" }, { "dropping-particle" : "", "family" : "Swan", "given" : "K. Scott", "non-dropping-particle" : "", "parse-names" : false, "suffix" : "" } ], "container-title" : "Journal of Product Innovation Management", "id" : "ITEM-1", "issue" : "6", "issued" : { "date-parts" : [ [ "2014" ] ] }, "page" : "1146-1166", "title" : "Process Technology Sourcing and the Innovation Context", "type" : "article-journal", "volume" : "31" }, "uris" : [ "http://www.mendeley.com/documents/?uuid=fd0bb0b5-08d1-4753-b997-8bd4e1082a0f" ] } ], "mendeley" : { "formattedCitation" : "(Allred &amp; Swan, 2014)", "plainTextFormattedCitation" : "(Allred &amp; Swan, 2014)", "previouslyFormattedCitation" : "(Allred &amp; Swan, 2014)" }, "properties" : { "noteIndex" : 0 }, "schema" : "https://github.com/citation-style-language/schema/raw/master/csl-citation.json" }</w:instrText>
      </w:r>
      <w:r w:rsidR="00000C4C" w:rsidRPr="0068584C">
        <w:rPr>
          <w:rFonts w:ascii="Times New Roman" w:hAnsi="Times New Roman" w:cs="Times New Roman"/>
        </w:rPr>
        <w:fldChar w:fldCharType="separate"/>
      </w:r>
      <w:r w:rsidR="000E6ECE" w:rsidRPr="000E6ECE">
        <w:rPr>
          <w:rFonts w:ascii="Times New Roman" w:hAnsi="Times New Roman" w:cs="Times New Roman"/>
          <w:noProof/>
        </w:rPr>
        <w:t>(Allred &amp; Swan, 2014)</w:t>
      </w:r>
      <w:r w:rsidR="00000C4C" w:rsidRPr="0068584C">
        <w:rPr>
          <w:rFonts w:ascii="Times New Roman" w:hAnsi="Times New Roman" w:cs="Times New Roman"/>
        </w:rPr>
        <w:fldChar w:fldCharType="end"/>
      </w:r>
      <w:r w:rsidR="00F77786" w:rsidRPr="0068584C">
        <w:rPr>
          <w:rFonts w:ascii="Times New Roman" w:hAnsi="Times New Roman" w:cs="Times New Roman"/>
        </w:rPr>
        <w:t>.</w:t>
      </w:r>
    </w:p>
    <w:p w14:paraId="43AC5986" w14:textId="6D1390EB" w:rsidR="00F77786" w:rsidRPr="0068584C" w:rsidRDefault="00242061" w:rsidP="0035460B">
      <w:pPr>
        <w:spacing w:line="480" w:lineRule="auto"/>
        <w:jc w:val="both"/>
        <w:rPr>
          <w:rFonts w:ascii="Times New Roman" w:hAnsi="Times New Roman" w:cs="Times New Roman"/>
        </w:rPr>
      </w:pPr>
      <w:r>
        <w:rPr>
          <w:rFonts w:ascii="Times New Roman" w:hAnsi="Times New Roman" w:cs="Times New Roman"/>
        </w:rPr>
        <w:lastRenderedPageBreak/>
        <w:tab/>
      </w:r>
      <w:r w:rsidR="009F42B4">
        <w:rPr>
          <w:rFonts w:ascii="Times New Roman" w:hAnsi="Times New Roman" w:cs="Times New Roman"/>
        </w:rPr>
        <w:t xml:space="preserve">While </w:t>
      </w:r>
      <w:r w:rsidR="00F77786" w:rsidRPr="0068584C">
        <w:rPr>
          <w:rFonts w:ascii="Times New Roman" w:hAnsi="Times New Roman" w:cs="Times New Roman"/>
        </w:rPr>
        <w:t>RBT, DCT, and ROT</w:t>
      </w:r>
      <w:r w:rsidR="004E0210" w:rsidRPr="0068584C">
        <w:rPr>
          <w:rFonts w:ascii="Times New Roman" w:hAnsi="Times New Roman" w:cs="Times New Roman"/>
        </w:rPr>
        <w:t xml:space="preserve"> mainly</w:t>
      </w:r>
      <w:r w:rsidR="00AE7282" w:rsidRPr="0068584C">
        <w:rPr>
          <w:rFonts w:ascii="Times New Roman" w:hAnsi="Times New Roman" w:cs="Times New Roman"/>
        </w:rPr>
        <w:t xml:space="preserve"> treat</w:t>
      </w:r>
      <w:r w:rsidR="00F77786" w:rsidRPr="0068584C">
        <w:rPr>
          <w:rFonts w:ascii="Times New Roman" w:hAnsi="Times New Roman" w:cs="Times New Roman"/>
        </w:rPr>
        <w:t xml:space="preserve"> resources </w:t>
      </w:r>
      <w:r w:rsidR="00AE7282" w:rsidRPr="0068584C">
        <w:rPr>
          <w:rFonts w:ascii="Times New Roman" w:hAnsi="Times New Roman" w:cs="Times New Roman"/>
        </w:rPr>
        <w:t xml:space="preserve">as internal and </w:t>
      </w:r>
      <w:r w:rsidR="00F77786" w:rsidRPr="0068584C">
        <w:rPr>
          <w:rFonts w:ascii="Times New Roman" w:hAnsi="Times New Roman" w:cs="Times New Roman"/>
        </w:rPr>
        <w:t xml:space="preserve">fully controlled by the focal organization </w:t>
      </w:r>
      <w:r w:rsidR="003E06C0">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003E06C0">
        <w:rPr>
          <w:rFonts w:ascii="Times New Roman" w:hAnsi="Times New Roman" w:cs="Times New Roman"/>
        </w:rPr>
        <w:fldChar w:fldCharType="separate"/>
      </w:r>
      <w:r w:rsidR="000E6ECE" w:rsidRPr="000E6ECE">
        <w:rPr>
          <w:rFonts w:ascii="Times New Roman" w:hAnsi="Times New Roman" w:cs="Times New Roman"/>
          <w:noProof/>
        </w:rPr>
        <w:t>(Sirmon et al., 2011)</w:t>
      </w:r>
      <w:r w:rsidR="003E06C0">
        <w:rPr>
          <w:rFonts w:ascii="Times New Roman" w:hAnsi="Times New Roman" w:cs="Times New Roman"/>
        </w:rPr>
        <w:fldChar w:fldCharType="end"/>
      </w:r>
      <w:r w:rsidR="009F42B4">
        <w:rPr>
          <w:rFonts w:ascii="Times New Roman" w:hAnsi="Times New Roman" w:cs="Times New Roman"/>
        </w:rPr>
        <w:t>,</w:t>
      </w:r>
      <w:r w:rsidR="00F77786" w:rsidRPr="0068584C">
        <w:rPr>
          <w:rFonts w:ascii="Times New Roman" w:hAnsi="Times New Roman" w:cs="Times New Roman"/>
        </w:rPr>
        <w:t xml:space="preserve"> </w:t>
      </w:r>
      <w:r w:rsidR="006F68C0" w:rsidRPr="0068584C">
        <w:rPr>
          <w:rFonts w:ascii="Times New Roman" w:hAnsi="Times New Roman" w:cs="Times New Roman"/>
        </w:rPr>
        <w:t>there</w:t>
      </w:r>
      <w:r w:rsidR="00AE7282" w:rsidRPr="0068584C">
        <w:rPr>
          <w:rFonts w:ascii="Times New Roman" w:hAnsi="Times New Roman" w:cs="Times New Roman"/>
        </w:rPr>
        <w:t xml:space="preserve"> are </w:t>
      </w:r>
      <w:r w:rsidR="00524D23">
        <w:rPr>
          <w:rFonts w:ascii="Times New Roman" w:hAnsi="Times New Roman" w:cs="Times New Roman"/>
        </w:rPr>
        <w:t>relevant</w:t>
      </w:r>
      <w:r w:rsidR="00AE7282" w:rsidRPr="0068584C">
        <w:rPr>
          <w:rFonts w:ascii="Times New Roman" w:hAnsi="Times New Roman" w:cs="Times New Roman"/>
        </w:rPr>
        <w:t>, e</w:t>
      </w:r>
      <w:r w:rsidR="00F77786" w:rsidRPr="0068584C">
        <w:rPr>
          <w:rFonts w:ascii="Times New Roman" w:hAnsi="Times New Roman" w:cs="Times New Roman"/>
        </w:rPr>
        <w:t xml:space="preserve">xternal </w:t>
      </w:r>
      <w:r w:rsidR="006F68C0" w:rsidRPr="0068584C">
        <w:rPr>
          <w:rFonts w:ascii="Times New Roman" w:hAnsi="Times New Roman" w:cs="Times New Roman"/>
        </w:rPr>
        <w:t>resources that</w:t>
      </w:r>
      <w:r w:rsidR="00AE7282" w:rsidRPr="0068584C">
        <w:rPr>
          <w:rFonts w:ascii="Times New Roman" w:hAnsi="Times New Roman" w:cs="Times New Roman"/>
        </w:rPr>
        <w:t xml:space="preserve"> </w:t>
      </w:r>
      <w:r w:rsidR="00F77786" w:rsidRPr="0068584C">
        <w:rPr>
          <w:rFonts w:ascii="Times New Roman" w:hAnsi="Times New Roman" w:cs="Times New Roman"/>
        </w:rPr>
        <w:t xml:space="preserve">are not fully controlled by the focal firm but </w:t>
      </w:r>
      <w:r w:rsidR="008E2AB0" w:rsidRPr="0068584C">
        <w:rPr>
          <w:rFonts w:ascii="Times New Roman" w:hAnsi="Times New Roman" w:cs="Times New Roman"/>
        </w:rPr>
        <w:t xml:space="preserve">are </w:t>
      </w:r>
      <w:r w:rsidR="00F77786" w:rsidRPr="0068584C">
        <w:rPr>
          <w:rFonts w:ascii="Times New Roman" w:hAnsi="Times New Roman" w:cs="Times New Roman"/>
        </w:rPr>
        <w:t>acquired from external organizations</w:t>
      </w:r>
      <w:r w:rsidR="00102A76">
        <w:rPr>
          <w:rFonts w:ascii="Times New Roman" w:hAnsi="Times New Roman" w:cs="Times New Roman"/>
        </w:rPr>
        <w:t xml:space="preserve"> </w:t>
      </w:r>
      <w:r w:rsidR="00102A76">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"ITEM-1", "issue" : "3", "issued" : { "date-parts" : [ [ "2014" ] ] }, "page" : "6-15", "title" : "Resource Gaps and Resource Orchestration Shortfalls in Supply Chain Management: The Case of Product Recalls", "type" : "article-journal", "volume" : "50" }, "uris" : [ "http://www.mendeley.com/documents/?uuid=253c704b-7d13-4b31-9f44-27ec30152f71" ] } ], "mendeley" : { "formattedCitation" : "(Ketchen et al., 2014)", "plainTextFormattedCitation" : "(Ketchen et al., 2014)", "previouslyFormattedCitation" : "(Ketchen et al., 2014)" }, "properties" : { "noteIndex" : 0 }, "schema" : "https://github.com/citation-style-language/schema/raw/master/csl-citation.json" }</w:instrText>
      </w:r>
      <w:r w:rsidR="00102A76">
        <w:rPr>
          <w:rFonts w:ascii="Times New Roman" w:hAnsi="Times New Roman" w:cs="Times New Roman"/>
        </w:rPr>
        <w:fldChar w:fldCharType="separate"/>
      </w:r>
      <w:r w:rsidR="000E6ECE" w:rsidRPr="000E6ECE">
        <w:rPr>
          <w:rFonts w:ascii="Times New Roman" w:hAnsi="Times New Roman" w:cs="Times New Roman"/>
          <w:noProof/>
        </w:rPr>
        <w:t>(Ketchen et al., 2014)</w:t>
      </w:r>
      <w:r w:rsidR="00102A76">
        <w:rPr>
          <w:rFonts w:ascii="Times New Roman" w:hAnsi="Times New Roman" w:cs="Times New Roman"/>
        </w:rPr>
        <w:fldChar w:fldCharType="end"/>
      </w:r>
      <w:r w:rsidR="00F77786" w:rsidRPr="0068584C">
        <w:rPr>
          <w:rFonts w:ascii="Times New Roman" w:hAnsi="Times New Roman" w:cs="Times New Roman"/>
        </w:rPr>
        <w:t>. Supply chain resource orchestration</w:t>
      </w:r>
      <w:r w:rsidR="004E0210" w:rsidRPr="0068584C">
        <w:rPr>
          <w:rFonts w:ascii="Times New Roman" w:hAnsi="Times New Roman" w:cs="Times New Roman"/>
        </w:rPr>
        <w:t xml:space="preserve"> considers the external processes that lead to services and products being acquired, and those processes can be considered as </w:t>
      </w:r>
      <w:r w:rsidR="003E06C0">
        <w:rPr>
          <w:rFonts w:ascii="Times New Roman" w:hAnsi="Times New Roman" w:cs="Times New Roman"/>
        </w:rPr>
        <w:t xml:space="preserve">a </w:t>
      </w:r>
      <w:r w:rsidR="004E0210" w:rsidRPr="0068584C">
        <w:rPr>
          <w:rFonts w:ascii="Times New Roman" w:hAnsi="Times New Roman" w:cs="Times New Roman"/>
        </w:rPr>
        <w:t xml:space="preserve">critical </w:t>
      </w:r>
      <w:r w:rsidR="003E06C0">
        <w:rPr>
          <w:rFonts w:ascii="Times New Roman" w:hAnsi="Times New Roman" w:cs="Times New Roman"/>
        </w:rPr>
        <w:t>capability</w:t>
      </w:r>
      <w:r w:rsidR="003E06C0" w:rsidRPr="0068584C">
        <w:rPr>
          <w:rFonts w:ascii="Times New Roman" w:hAnsi="Times New Roman" w:cs="Times New Roman"/>
        </w:rPr>
        <w:t xml:space="preserve"> </w:t>
      </w:r>
      <w:r w:rsidR="004E0210" w:rsidRPr="0068584C">
        <w:rPr>
          <w:rFonts w:ascii="Times New Roman" w:hAnsi="Times New Roman" w:cs="Times New Roman"/>
        </w:rPr>
        <w:t>themselves</w:t>
      </w:r>
      <w:r w:rsidR="00524D23">
        <w:rPr>
          <w:rFonts w:ascii="Times New Roman" w:hAnsi="Times New Roman" w:cs="Times New Roman"/>
        </w:rPr>
        <w:t xml:space="preserve"> </w:t>
      </w:r>
      <w:r w:rsidR="003E06C0">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"ITEM-1", "issued" : { "date-parts" : [ [ "2000" ] ] }, "page" : "1105-1121", "title" : "Dynamic Capabilities: What Are They?", "type" : "article-journal", "volume" : "21" }, "uris" : [ "http://www.mendeley.com/documents/?uuid=29651fe3-b2a9-482d-82cf-c139477ca50d" ] } ], "mendeley" : { "formattedCitation" : "(Eisenhardt &amp; Martin, 2000)", "plainTextFormattedCitation" : "(Eisenhardt &amp; Martin, 2000)", "previouslyFormattedCitation" : "(Eisenhardt &amp; Martin, 2000)" }, "properties" : { "noteIndex" : 0 }, "schema" : "https://github.com/citation-style-language/schema/raw/master/csl-citation.json" }</w:instrText>
      </w:r>
      <w:r w:rsidR="003E06C0">
        <w:rPr>
          <w:rFonts w:ascii="Times New Roman" w:hAnsi="Times New Roman" w:cs="Times New Roman"/>
        </w:rPr>
        <w:fldChar w:fldCharType="separate"/>
      </w:r>
      <w:r w:rsidR="000E6ECE" w:rsidRPr="000E6ECE">
        <w:rPr>
          <w:rFonts w:ascii="Times New Roman" w:hAnsi="Times New Roman" w:cs="Times New Roman"/>
          <w:noProof/>
        </w:rPr>
        <w:t>(Eisenhardt &amp; Martin, 2000)</w:t>
      </w:r>
      <w:r w:rsidR="003E06C0">
        <w:rPr>
          <w:rFonts w:ascii="Times New Roman" w:hAnsi="Times New Roman" w:cs="Times New Roman"/>
        </w:rPr>
        <w:fldChar w:fldCharType="end"/>
      </w:r>
      <w:r w:rsidR="003E06C0">
        <w:rPr>
          <w:rFonts w:ascii="Times New Roman" w:hAnsi="Times New Roman" w:cs="Times New Roman"/>
        </w:rPr>
        <w:t xml:space="preserve">. </w:t>
      </w:r>
      <w:r w:rsidR="004E0210" w:rsidRPr="0068584C">
        <w:rPr>
          <w:rFonts w:ascii="Times New Roman" w:hAnsi="Times New Roman" w:cs="Times New Roman"/>
        </w:rPr>
        <w:t xml:space="preserve">SCRO </w:t>
      </w:r>
      <w:r w:rsidR="00F77786" w:rsidRPr="0068584C">
        <w:rPr>
          <w:rFonts w:ascii="Times New Roman" w:hAnsi="Times New Roman" w:cs="Times New Roman"/>
        </w:rPr>
        <w:t>is characterized by an effective resource integration, which means a blending of external with existing internal resources</w:t>
      </w:r>
      <w:r w:rsidR="00677F18">
        <w:rPr>
          <w:rFonts w:ascii="Times New Roman" w:hAnsi="Times New Roman" w:cs="Times New Roman"/>
        </w:rPr>
        <w:t xml:space="preserve"> </w:t>
      </w:r>
      <w:r w:rsidR="00677F18">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"10.1016/j.jom.2005.09.003", "ISSN" : "02726963", "author" : [ { "dropping-particle" : "", "family" : "Das", "given" : "Ajay", "non-dropping-particle" : "", "parse-names" : false, "suffix" : "" }, { "dropping-particle" : "", "family" : "Narasimhan", "given" : "Ram", "non-dropping-particle" : "", "parse-names" : false, "suffix" : "" }, { "dropping-particle" : "", "family" : "Talluri", "given" : "Srinivas", "non-dropping-particle" : "", "parse-names" : false, "suffix" : "" } ], "container-title" : "Journal of Operations Management", "id" : "ITEM-1", "issue" : "5", "issued" : { "date-parts" : [ [ "2006" ] ] }, "page" : "563-582", "title" : "Supplier integration\u2014Finding an optimal configuration", "type" : "article-journal", "volume" : "24" }, "uris" : [ "http://www.mendeley.com/documents/?uuid=002925d9-cd83-4376-b097-8cc00c116b95" ] } ], "mendeley" : { "formattedCitation" : "(Das, Narasimhan, &amp; Talluri, 2006)", "plainTextFormattedCitation" : "(Das, Narasimhan, &amp; Talluri, 2006)", "previouslyFormattedCitation" : "(Das, Narasimhan, &amp; Talluri, 2006)" }, "properties" : { "noteIndex" : 0 }, "schema" : "https://github.com/citation-style-language/schema/raw/master/csl-citation.json" }</w:instrText>
      </w:r>
      <w:r w:rsidR="00677F18">
        <w:rPr>
          <w:rFonts w:ascii="Times New Roman" w:hAnsi="Times New Roman" w:cs="Times New Roman"/>
        </w:rPr>
        <w:fldChar w:fldCharType="separate"/>
      </w:r>
      <w:r w:rsidR="000E6ECE" w:rsidRPr="000E6ECE">
        <w:rPr>
          <w:rFonts w:ascii="Times New Roman" w:hAnsi="Times New Roman" w:cs="Times New Roman"/>
          <w:noProof/>
        </w:rPr>
        <w:t>(Das, Narasimhan, &amp; Talluri, 2006)</w:t>
      </w:r>
      <w:r w:rsidR="00677F18">
        <w:rPr>
          <w:rFonts w:ascii="Times New Roman" w:hAnsi="Times New Roman" w:cs="Times New Roman"/>
        </w:rPr>
        <w:fldChar w:fldCharType="end"/>
      </w:r>
      <w:r w:rsidR="00532AF8">
        <w:rPr>
          <w:rFonts w:ascii="Times New Roman" w:hAnsi="Times New Roman" w:cs="Times New Roman"/>
        </w:rPr>
        <w:t>.</w:t>
      </w:r>
      <w:r w:rsidR="00325D2E">
        <w:rPr>
          <w:rFonts w:ascii="Times New Roman" w:hAnsi="Times New Roman" w:cs="Times New Roman"/>
        </w:rPr>
        <w:t xml:space="preserve"> </w:t>
      </w:r>
      <w:r w:rsidR="00D37CB3" w:rsidRPr="0068584C">
        <w:rPr>
          <w:rFonts w:ascii="Times New Roman" w:hAnsi="Times New Roman" w:cs="Times New Roman"/>
        </w:rPr>
        <w:t xml:space="preserve">Organizations require such </w:t>
      </w:r>
      <w:r w:rsidR="00F77786" w:rsidRPr="0068584C">
        <w:rPr>
          <w:rFonts w:ascii="Times New Roman" w:hAnsi="Times New Roman" w:cs="Times New Roman"/>
        </w:rPr>
        <w:t xml:space="preserve">coordination practices </w:t>
      </w:r>
      <w:r w:rsidR="00D37CB3" w:rsidRPr="0068584C">
        <w:rPr>
          <w:rFonts w:ascii="Times New Roman" w:hAnsi="Times New Roman" w:cs="Times New Roman"/>
        </w:rPr>
        <w:t>to thrive</w:t>
      </w:r>
      <w:r w:rsidR="00F77786" w:rsidRPr="0068584C">
        <w:rPr>
          <w:rFonts w:ascii="Times New Roman" w:hAnsi="Times New Roman" w:cs="Times New Roman"/>
        </w:rPr>
        <w:t>.</w:t>
      </w:r>
    </w:p>
    <w:p w14:paraId="285FB85F" w14:textId="3043A4FC" w:rsidR="00085F44" w:rsidRPr="0068584C" w:rsidRDefault="00242061" w:rsidP="0035460B">
      <w:pPr>
        <w:spacing w:line="480" w:lineRule="auto"/>
        <w:jc w:val="both"/>
        <w:rPr>
          <w:rFonts w:ascii="Times New Roman" w:hAnsi="Times New Roman" w:cs="Times New Roman"/>
        </w:rPr>
      </w:pPr>
      <w:r>
        <w:rPr>
          <w:rFonts w:ascii="Times New Roman" w:hAnsi="Times New Roman" w:cs="Times New Roman"/>
        </w:rPr>
        <w:tab/>
      </w:r>
      <w:r w:rsidR="001A5A90">
        <w:rPr>
          <w:rFonts w:ascii="Times New Roman" w:hAnsi="Times New Roman" w:cs="Times New Roman"/>
        </w:rPr>
        <w:t xml:space="preserve">Since SCRO is based on ROT, the </w:t>
      </w:r>
      <w:r w:rsidR="00085F44" w:rsidRPr="0068584C">
        <w:rPr>
          <w:rFonts w:ascii="Times New Roman" w:hAnsi="Times New Roman" w:cs="Times New Roman"/>
        </w:rPr>
        <w:t xml:space="preserve">new SCRO framework </w:t>
      </w:r>
      <w:r w:rsidR="005D44E9">
        <w:rPr>
          <w:rFonts w:ascii="Times New Roman" w:hAnsi="Times New Roman" w:cs="Times New Roman"/>
        </w:rPr>
        <w:t>entails</w:t>
      </w:r>
      <w:r w:rsidR="00085F44" w:rsidRPr="0068584C">
        <w:rPr>
          <w:rFonts w:ascii="Times New Roman" w:hAnsi="Times New Roman" w:cs="Times New Roman"/>
        </w:rPr>
        <w:t xml:space="preserve"> the resource orchestration terminology </w:t>
      </w:r>
      <w:r w:rsidR="005D44E9">
        <w:rPr>
          <w:rFonts w:ascii="Times New Roman" w:hAnsi="Times New Roman" w:cs="Times New Roman"/>
        </w:rPr>
        <w:t>of</w:t>
      </w:r>
      <w:r w:rsidR="00085F44" w:rsidRPr="0068584C">
        <w:rPr>
          <w:rFonts w:ascii="Times New Roman" w:hAnsi="Times New Roman" w:cs="Times New Roman"/>
        </w:rPr>
        <w:t xml:space="preserve"> </w:t>
      </w:r>
      <w:r w:rsidR="00D44B7B">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"ITEM-1", "issue" : "May", "issued" : { "date-parts" : [ [ "2011" ] ] }, "page" : "57-75", "title" : "Strategic Entrepreneurship: Creating Value for Individuals, Organizations, and Society", "type" : "article-journal" }, "locator" : "64", "uris" : [ "http://www.mendeley.com/documents/?uuid=a440eb44-a14e-41a2-85e6-3af528235937" ] } ], "mendeley" : { "formattedCitation" : "(Hitt et al., 2011, p. 64)", "plainTextFormattedCitation" : "(Hitt et al., 2011, p. 64)", "previouslyFormattedCitation" : "(Hitt et al., 2011, p. 64)" }, "properties" : { "noteIndex" : 0 }, "schema" : "https://github.com/citation-style-language/schema/raw/master/csl-citation.json" }</w:instrText>
      </w:r>
      <w:r w:rsidR="00D44B7B">
        <w:rPr>
          <w:rFonts w:ascii="Times New Roman" w:hAnsi="Times New Roman" w:cs="Times New Roman"/>
        </w:rPr>
        <w:fldChar w:fldCharType="separate"/>
      </w:r>
      <w:r w:rsidR="000E6ECE" w:rsidRPr="000E6ECE">
        <w:rPr>
          <w:rFonts w:ascii="Times New Roman" w:hAnsi="Times New Roman" w:cs="Times New Roman"/>
          <w:noProof/>
        </w:rPr>
        <w:t>(Hitt et al., 2011, p. 64)</w:t>
      </w:r>
      <w:r w:rsidR="00D44B7B">
        <w:rPr>
          <w:rFonts w:ascii="Times New Roman" w:hAnsi="Times New Roman" w:cs="Times New Roman"/>
        </w:rPr>
        <w:fldChar w:fldCharType="end"/>
      </w:r>
      <w:r w:rsidR="00085F44" w:rsidRPr="0068584C">
        <w:rPr>
          <w:rFonts w:ascii="Times New Roman" w:hAnsi="Times New Roman" w:cs="Times New Roman"/>
        </w:rPr>
        <w:t>, who define structuring as acquiring, accumulating, and divesting essential supply chain resources from external constituents. Accordingly, bundling relates to integrating external (SC) resources and blending them with in-house internal resources to enhance innovation processes. Thereby, bundling involves stabilizing existing capabilities, enriching existing organizational capabilities with complementary external resources, and pioneering new capabilities within the organization. Hitt et al. (2011) define leveraging as the exploitation of the newly formed, blended capabilities</w:t>
      </w:r>
      <w:r w:rsidR="00083516">
        <w:rPr>
          <w:rFonts w:ascii="Times New Roman" w:hAnsi="Times New Roman" w:cs="Times New Roman"/>
        </w:rPr>
        <w:t>. Such practices encompass the capability configuration and deployment according to market needs. Within the innovation literature, scholars have noted the criticality of</w:t>
      </w:r>
      <w:r w:rsidR="00C7113C">
        <w:rPr>
          <w:rFonts w:ascii="Times New Roman" w:hAnsi="Times New Roman" w:cs="Times New Roman"/>
        </w:rPr>
        <w:t xml:space="preserve"> leveraging</w:t>
      </w:r>
      <w:r w:rsidR="00083516">
        <w:rPr>
          <w:rFonts w:ascii="Times New Roman" w:hAnsi="Times New Roman" w:cs="Times New Roman"/>
        </w:rPr>
        <w:t xml:space="preserve"> processes </w:t>
      </w:r>
      <w:r w:rsidR="00486C33">
        <w:rPr>
          <w:rFonts w:ascii="Times New Roman" w:hAnsi="Times New Roman" w:cs="Times New Roman"/>
        </w:rPr>
        <w:t>to successfully conclude the utilization of resources</w:t>
      </w:r>
      <w:r w:rsidR="009866F6">
        <w:rPr>
          <w:rFonts w:ascii="Times New Roman" w:hAnsi="Times New Roman" w:cs="Times New Roman"/>
        </w:rPr>
        <w:t xml:space="preserve"> from supply chain partners</w:t>
      </w:r>
      <w:r w:rsidR="00486C33">
        <w:rPr>
          <w:rFonts w:ascii="Times New Roman" w:hAnsi="Times New Roman" w:cs="Times New Roman"/>
        </w:rPr>
        <w:t xml:space="preserve"> </w:t>
      </w:r>
      <w:r w:rsidR="009866F6">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"10.1111/jpim.12125", "ISBN" : "1540-5885", "ISSN" : "07376782", "PMID" : "96425016", "abstract" : "This paper reviews research on open innovation that considers how and why firms commercialize external sources of innovations. It examines both the \"outside-in\" and \"coupled\" modes of open innovation. From an analysis of prior research on how firms leverage external sources of innovation, it suggests a four-phase model in which a linear process - (1) obtaining, (2) integrating, and (3) commercializing external innovations - is combined with (4) interaction between the firm and its collaborators. This model is used to classify papers taken from the top 25 innovation journals, complemented by highly cited work beyond those journals. A review of 291 open innovation-related publications from these sources shows that the majority of these articles indeed address elements of this inbound open innovation process model. Specifically, it finds that researchers have front-loaded their examination of the leveraging process, with an emphasis on obtaining innovations from external sources. However, there is a relative dearth of research related to integrating and commercializing these innovations. Research on obtaining innovations includes searching, enabling, filtering, and acquiring - each category with its own specific set of mechanisms and conditions. Integrating innovations has been mostly studied from an absorptive capacity perspective, with less attention given to the impact of competencies and culture (including \"not invented here\"). Commercializing innovations puts the most emphasis on how external innovations create value rather than how firms capture value from those innovations. Finally, the interaction phase considers both feedback for the linear process and reciprocal innovation processes such as cocreation, network collaboration, and community innovation. This review and synthesis suggests several gaps in prior research. One is a tendency to ignore the importance of business models, despite their central role in distinguishing open innovation from earlier research on interorganizational collaboration in innovation. Another gap is a tendency in open innovation to use \"innovation\" in a way inconsistent with earlier definitions in innovation management. The paper concludes with recommendations for future research that include examining the end-to-end innovation commercialization process, and studying the moderators and limits of leveraging external sources of innovation. \u00a9 2013 Product Development &amp; Management Association.", "author" : [ { "dropping-particle" : "", "family" : "West", "given" : "Joel", "non-dropping-particle" : "", "parse-names" : false, "suffix" : "" }, { "dropping-particle" : "", "family" : "Bogers", "given" : "Marcel", "non-dropping-particle" : "", "parse-names" : false, "suffix" : "" } ], "container-title" : "Journal of Product Innovation Management", "id" : "ITEM-1", "issue" : "4", "issued" : { "date-parts" : [ [ "2014" ] ] }, "page" : "814-831", "title" : "Leveraging External Sources of Innovation: A Review of Research on Open Innovation", "type" : "article-journal", "volume" : "31" }, "uris" : [ "http://www.mendeley.com/documents/?uuid=681826f7-c487-4065-9f0a-99f927a8cd7b" ] } ], "mendeley" : { "formattedCitation" : "(West &amp; Bogers, 2014)", "plainTextFormattedCitation" : "(West &amp; Bogers, 2014)", "previouslyFormattedCitation" : "(West &amp; Bogers, 2014)" }, "properties" : { "noteIndex" : 0 }, "schema" : "https://github.com/citation-style-language/schema/raw/master/csl-citation.json" }</w:instrText>
      </w:r>
      <w:r w:rsidR="009866F6">
        <w:rPr>
          <w:rFonts w:ascii="Times New Roman" w:hAnsi="Times New Roman" w:cs="Times New Roman"/>
        </w:rPr>
        <w:fldChar w:fldCharType="separate"/>
      </w:r>
      <w:r w:rsidR="000E6ECE" w:rsidRPr="000E6ECE">
        <w:rPr>
          <w:rFonts w:ascii="Times New Roman" w:hAnsi="Times New Roman" w:cs="Times New Roman"/>
          <w:noProof/>
        </w:rPr>
        <w:t>(West &amp; Bogers, 2014)</w:t>
      </w:r>
      <w:r w:rsidR="009866F6">
        <w:rPr>
          <w:rFonts w:ascii="Times New Roman" w:hAnsi="Times New Roman" w:cs="Times New Roman"/>
        </w:rPr>
        <w:fldChar w:fldCharType="end"/>
      </w:r>
      <w:r w:rsidR="00486C33">
        <w:rPr>
          <w:rFonts w:ascii="Times New Roman" w:hAnsi="Times New Roman" w:cs="Times New Roman"/>
        </w:rPr>
        <w:t xml:space="preserve">.  </w:t>
      </w:r>
      <w:r w:rsidR="00085F44" w:rsidRPr="0068584C">
        <w:rPr>
          <w:rFonts w:ascii="Times New Roman" w:hAnsi="Times New Roman" w:cs="Times New Roman"/>
        </w:rPr>
        <w:t xml:space="preserve">. </w:t>
      </w:r>
    </w:p>
    <w:p w14:paraId="799FB3E2" w14:textId="48EAD101" w:rsidR="003123A5" w:rsidRPr="0068584C" w:rsidRDefault="00242061" w:rsidP="0035460B">
      <w:pPr>
        <w:spacing w:line="480" w:lineRule="auto"/>
        <w:jc w:val="both"/>
        <w:rPr>
          <w:rFonts w:ascii="Times New Roman" w:hAnsi="Times New Roman" w:cs="Times New Roman"/>
        </w:rPr>
      </w:pPr>
      <w:r>
        <w:rPr>
          <w:rFonts w:ascii="Times New Roman" w:hAnsi="Times New Roman" w:cs="Times New Roman"/>
        </w:rPr>
        <w:tab/>
      </w:r>
      <w:r w:rsidR="00A502E7" w:rsidRPr="0068584C">
        <w:rPr>
          <w:rFonts w:ascii="Times New Roman" w:hAnsi="Times New Roman" w:cs="Times New Roman"/>
        </w:rPr>
        <w:t xml:space="preserve">Organizational culture is another important concept to consider. </w:t>
      </w:r>
      <w:r w:rsidR="00F77786" w:rsidRPr="0068584C">
        <w:rPr>
          <w:rFonts w:ascii="Times New Roman" w:hAnsi="Times New Roman" w:cs="Times New Roman"/>
        </w:rPr>
        <w:t>The effectiveness of supply chain resource orchestration depend</w:t>
      </w:r>
      <w:r w:rsidR="00A65975" w:rsidRPr="0068584C">
        <w:rPr>
          <w:rFonts w:ascii="Times New Roman" w:hAnsi="Times New Roman" w:cs="Times New Roman"/>
        </w:rPr>
        <w:t>s</w:t>
      </w:r>
      <w:r w:rsidR="00F77786" w:rsidRPr="0068584C">
        <w:rPr>
          <w:rFonts w:ascii="Times New Roman" w:hAnsi="Times New Roman" w:cs="Times New Roman"/>
        </w:rPr>
        <w:t xml:space="preserve"> upon establishing a firm-wide understanding and acceptance of </w:t>
      </w:r>
      <w:r w:rsidR="00C278B5">
        <w:rPr>
          <w:rFonts w:ascii="Times New Roman" w:hAnsi="Times New Roman" w:cs="Times New Roman"/>
        </w:rPr>
        <w:t xml:space="preserve">a </w:t>
      </w:r>
      <w:r w:rsidR="00F77786" w:rsidRPr="0068584C">
        <w:rPr>
          <w:rFonts w:ascii="Times New Roman" w:hAnsi="Times New Roman" w:cs="Times New Roman"/>
        </w:rPr>
        <w:t>common purpose to make such coordination more effective</w:t>
      </w:r>
      <w:r w:rsidR="00835C16" w:rsidRPr="0068584C">
        <w:rPr>
          <w:rFonts w:ascii="Times New Roman" w:hAnsi="Times New Roman" w:cs="Times New Roman"/>
        </w:rPr>
        <w:t xml:space="preserve"> (Braunscheidel and Suresh 2009)</w:t>
      </w:r>
      <w:r w:rsidR="00F77786" w:rsidRPr="0068584C">
        <w:rPr>
          <w:rFonts w:ascii="Times New Roman" w:hAnsi="Times New Roman" w:cs="Times New Roman"/>
        </w:rPr>
        <w:t xml:space="preserve">. This relates to two aspects. First, SCRO needs to be aligned with the overarching </w:t>
      </w:r>
      <w:r w:rsidR="00F77786" w:rsidRPr="0068584C">
        <w:rPr>
          <w:rFonts w:ascii="Times New Roman" w:hAnsi="Times New Roman" w:cs="Times New Roman"/>
        </w:rPr>
        <w:lastRenderedPageBreak/>
        <w:t>corporate strategy (e.g., including innovation and financial targets). Second, cultural aspects influence the performance outcomes of orchestration decision-making</w:t>
      </w:r>
      <w:r w:rsidR="00D83668" w:rsidRPr="0068584C">
        <w:rPr>
          <w:rFonts w:ascii="Times New Roman" w:hAnsi="Times New Roman" w:cs="Times New Roman"/>
        </w:rPr>
        <w:t xml:space="preserve"> (Knudsen et al. 2011)</w:t>
      </w:r>
      <w:r w:rsidR="00F77786" w:rsidRPr="0068584C">
        <w:rPr>
          <w:rFonts w:ascii="Times New Roman" w:hAnsi="Times New Roman" w:cs="Times New Roman"/>
        </w:rPr>
        <w:t xml:space="preserve">. </w:t>
      </w:r>
      <w:r w:rsidR="00C278B5">
        <w:rPr>
          <w:rFonts w:ascii="Times New Roman" w:hAnsi="Times New Roman" w:cs="Times New Roman"/>
          <w:color w:val="000000" w:themeColor="text1"/>
        </w:rPr>
        <w:t>O</w:t>
      </w:r>
      <w:r w:rsidR="007B0664" w:rsidRPr="0068584C">
        <w:rPr>
          <w:rFonts w:ascii="Times New Roman" w:hAnsi="Times New Roman" w:cs="Times New Roman"/>
          <w:color w:val="000000" w:themeColor="text1"/>
        </w:rPr>
        <w:t>rganizational culture is influencing the performance outcomes of resource management practices.</w:t>
      </w:r>
      <w:r w:rsidR="007B0664" w:rsidRPr="0068584C">
        <w:rPr>
          <w:rFonts w:ascii="Times New Roman" w:hAnsi="Times New Roman" w:cs="Times New Roman"/>
        </w:rPr>
        <w:t xml:space="preserve"> Organizational culture has been described as a “system of shared values” </w:t>
      </w:r>
      <w:r w:rsidR="003A03F1"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"10.1016/S0149-2063(03)00086-2", "author" : [ { "dropping-particle" : "", "family" : "Ireland", "given" : "R Duane", "non-dropping-particle" : "", "parse-names" : false, "suffix" : "" }, { "dropping-particle" : "", "family" : "Hitt", "given" : "Michael A", "non-dropping-particle" : "", "parse-names" : false, "suffix" : "" }, { "dropping-particle" : "", "family" : "Sirmon", "given" : "David G", "non-dropping-particle" : "", "parse-names" : false, "suffix" : "" } ], "container-title" : "Journal of Management", "id" : "ITEM-1", "issue" : "6", "issued" : { "date-parts" : [ [ "2003" ] ] }, "page" : "963-989", "title" : "A Model of Strategic Entrepreneurship: The Construct and its Dimensions", "type" : "article-journal", "volume" : "29" }, "uris" : [ "http://www.mendeley.com/documents/?uuid=f41d1862-52f4-467f-be9c-44bc3dd5a91d" ] } ], "mendeley" : { "formattedCitation" : "(Ireland et al., 2003)", "plainTextFormattedCitation" : "(Ireland et al., 2003)", "previouslyFormattedCitation" : "(Ireland et al., 2003)" }, "properties" : { "noteIndex" : 0 }, "schema" : "https://github.com/citation-style-language/schema/raw/master/csl-citation.json" }</w:instrText>
      </w:r>
      <w:r w:rsidR="003A03F1" w:rsidRPr="0068584C">
        <w:rPr>
          <w:rFonts w:ascii="Times New Roman" w:hAnsi="Times New Roman" w:cs="Times New Roman"/>
        </w:rPr>
        <w:fldChar w:fldCharType="separate"/>
      </w:r>
      <w:r w:rsidR="000E6ECE" w:rsidRPr="000E6ECE">
        <w:rPr>
          <w:rFonts w:ascii="Times New Roman" w:hAnsi="Times New Roman" w:cs="Times New Roman"/>
          <w:noProof/>
        </w:rPr>
        <w:t>(Ireland et al., 2003)</w:t>
      </w:r>
      <w:r w:rsidR="003A03F1" w:rsidRPr="0068584C">
        <w:rPr>
          <w:rFonts w:ascii="Times New Roman" w:hAnsi="Times New Roman" w:cs="Times New Roman"/>
        </w:rPr>
        <w:fldChar w:fldCharType="end"/>
      </w:r>
      <w:r w:rsidR="003A03F1" w:rsidRPr="0068584C">
        <w:rPr>
          <w:rFonts w:ascii="Times New Roman" w:hAnsi="Times New Roman" w:cs="Times New Roman"/>
        </w:rPr>
        <w:t xml:space="preserve"> </w:t>
      </w:r>
      <w:r w:rsidR="007B0664" w:rsidRPr="0068584C">
        <w:rPr>
          <w:rFonts w:ascii="Times New Roman" w:hAnsi="Times New Roman" w:cs="Times New Roman"/>
        </w:rPr>
        <w:t>and can be structured in three layers of values, norms, and artifacts</w:t>
      </w:r>
      <w:r w:rsidR="0024397C" w:rsidRPr="0068584C">
        <w:rPr>
          <w:rFonts w:ascii="Times New Roman" w:hAnsi="Times New Roman" w:cs="Times New Roman"/>
        </w:rPr>
        <w:t xml:space="preserve"> </w:t>
      </w:r>
      <w:r w:rsidR="004C7A11">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"Hock", "given" : "Marianne", "non-dropping-particle" : "", "parse-names" : false, "suffix" : "" }, { "dropping-particle" : "", "family" : "Clauss", "given" : "Thomas", "non-dropping-particle" : "", "parse-names" : false, "suffix" : "" }, { "dropping-particle" : "", "family" : "Schulz", "given" : "Esther", "non-dropping-particle" : "", "parse-names" : false, "suffix" : "" } ], "container-title" : "R&amp;D Management", "id" : "ITEM-1", "issue" : "3", "issued" : { "date-parts" : [ [ "2015" ] ] }, "page" : "433-450", "title" : "The impact of organizational culture on a firm\u2019s capability to innovate the business model", "type" : "article-journal", "volume" : "46" }, "uris" : [ "http://www.mendeley.com/documents/?uuid=bb7f1f4e-d9e1-4db6-a472-974c56333912" ] } ], "mendeley" : { "formattedCitation" : "(Hock, Clauss, &amp; Schulz, 2015)", "plainTextFormattedCitation" : "(Hock, Clauss, &amp; Schulz, 2015)", "previouslyFormattedCitation" : "(Hock, Clauss, &amp; Schulz, 2015)" }, "properties" : { "noteIndex" : 0 }, "schema" : "https://github.com/citation-style-language/schema/raw/master/csl-citation.json" }</w:instrText>
      </w:r>
      <w:r w:rsidR="004C7A11">
        <w:rPr>
          <w:rFonts w:ascii="Times New Roman" w:hAnsi="Times New Roman" w:cs="Times New Roman"/>
        </w:rPr>
        <w:fldChar w:fldCharType="separate"/>
      </w:r>
      <w:r w:rsidR="000E6ECE" w:rsidRPr="000E6ECE">
        <w:rPr>
          <w:rFonts w:ascii="Times New Roman" w:hAnsi="Times New Roman" w:cs="Times New Roman"/>
          <w:noProof/>
        </w:rPr>
        <w:t>(Hock, Clauss, &amp; Schulz, 2015)</w:t>
      </w:r>
      <w:r w:rsidR="004C7A11">
        <w:rPr>
          <w:rFonts w:ascii="Times New Roman" w:hAnsi="Times New Roman" w:cs="Times New Roman"/>
        </w:rPr>
        <w:fldChar w:fldCharType="end"/>
      </w:r>
      <w:r w:rsidR="004C7A11">
        <w:rPr>
          <w:rFonts w:ascii="Times New Roman" w:hAnsi="Times New Roman" w:cs="Times New Roman"/>
        </w:rPr>
        <w:t>.</w:t>
      </w:r>
      <w:r w:rsidR="007B0664" w:rsidRPr="0068584C">
        <w:rPr>
          <w:rFonts w:ascii="Times New Roman" w:hAnsi="Times New Roman" w:cs="Times New Roman"/>
        </w:rPr>
        <w:t xml:space="preserve"> </w:t>
      </w:r>
      <w:r w:rsidR="00C278B5">
        <w:rPr>
          <w:rFonts w:ascii="Times New Roman" w:hAnsi="Times New Roman" w:cs="Times New Roman"/>
        </w:rPr>
        <w:t>D</w:t>
      </w:r>
      <w:r w:rsidR="007B0664" w:rsidRPr="0068584C">
        <w:rPr>
          <w:rFonts w:ascii="Times New Roman" w:hAnsi="Times New Roman" w:cs="Times New Roman"/>
        </w:rPr>
        <w:t>eeply rooted (and sometimes subconscious) values and beliefs of the organization</w:t>
      </w:r>
      <w:r w:rsidR="00C278B5">
        <w:rPr>
          <w:rFonts w:ascii="Times New Roman" w:hAnsi="Times New Roman" w:cs="Times New Roman"/>
        </w:rPr>
        <w:t xml:space="preserve"> are its cultural foundation</w:t>
      </w:r>
      <w:r w:rsidR="007B0664" w:rsidRPr="0068584C">
        <w:rPr>
          <w:rFonts w:ascii="Times New Roman" w:hAnsi="Times New Roman" w:cs="Times New Roman"/>
        </w:rPr>
        <w:t>. They are invisible but “very influential and refer to the organization’s ideology and philosophy”</w:t>
      </w:r>
      <w:r w:rsidR="00972B46" w:rsidRPr="0068584C">
        <w:rPr>
          <w:rFonts w:ascii="Times New Roman" w:hAnsi="Times New Roman" w:cs="Times New Roman"/>
        </w:rPr>
        <w:t xml:space="preserve"> </w:t>
      </w:r>
      <w:r w:rsidR="00972B46"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"Hock", "given" : "Marianne", "non-dropping-particle" : "", "parse-names" : false, "suffix" : "" }, { "dropping-particle" : "", "family" : "Clauss", "given" : "Thomas", "non-dropping-particle" : "", "parse-names" : false, "suffix" : "" }, { "dropping-particle" : "", "family" : "Schulz", "given" : "Esther", "non-dropping-particle" : "", "parse-names" : false, "suffix" : "" } ], "container-title" : "R&amp;D Management", "id" : "ITEM-1", "issue" : "3", "issued" : { "date-parts" : [ [ "2015" ] ] }, "page" : "433-450", "title" : "The impact of organizational culture on a firm\u2019s capability to innovate the business model", "type" : "article-journal", "volume" : "46" }, "uris" : [ "http://www.mendeley.com/documents/?uuid=bb7f1f4e-d9e1-4db6-a472-974c56333912" ] } ], "mendeley" : { "formattedCitation" : "(Hock et al., 2015)", "plainTextFormattedCitation" : "(Hock et al., 2015)", "previouslyFormattedCitation" : "(Hock et al., 2015)" }, "properties" : { "noteIndex" : 0 }, "schema" : "https://github.com/citation-style-language/schema/raw/master/csl-citation.json" }</w:instrText>
      </w:r>
      <w:r w:rsidR="00972B46" w:rsidRPr="0068584C">
        <w:rPr>
          <w:rFonts w:ascii="Times New Roman" w:hAnsi="Times New Roman" w:cs="Times New Roman"/>
        </w:rPr>
        <w:fldChar w:fldCharType="separate"/>
      </w:r>
      <w:r w:rsidR="000E6ECE" w:rsidRPr="000E6ECE">
        <w:rPr>
          <w:rFonts w:ascii="Times New Roman" w:hAnsi="Times New Roman" w:cs="Times New Roman"/>
          <w:noProof/>
        </w:rPr>
        <w:t>(Hock et al., 2015)</w:t>
      </w:r>
      <w:r w:rsidR="00972B46" w:rsidRPr="0068584C">
        <w:rPr>
          <w:rFonts w:ascii="Times New Roman" w:hAnsi="Times New Roman" w:cs="Times New Roman"/>
        </w:rPr>
        <w:fldChar w:fldCharType="end"/>
      </w:r>
      <w:r w:rsidR="007B0664" w:rsidRPr="0068584C">
        <w:rPr>
          <w:rFonts w:ascii="Times New Roman" w:hAnsi="Times New Roman" w:cs="Times New Roman"/>
        </w:rPr>
        <w:t xml:space="preserve">. The second layer consists of organizational norms (behavioral expectations). Finally, the third layer relates to artifacts, which are visualizing the underlying values in organizational symbols. For the SCRO framework, organizational culture plays a decisive role, which will be explained in the subsequent sections. </w:t>
      </w:r>
    </w:p>
    <w:p w14:paraId="357B44FB" w14:textId="77777777" w:rsidR="007B0664" w:rsidRPr="0068584C" w:rsidRDefault="007B0664" w:rsidP="0035460B">
      <w:pPr>
        <w:spacing w:line="480" w:lineRule="auto"/>
        <w:rPr>
          <w:rFonts w:ascii="Times New Roman" w:hAnsi="Times New Roman" w:cs="Times New Roman"/>
        </w:rPr>
      </w:pPr>
    </w:p>
    <w:p w14:paraId="338EF6C8" w14:textId="71DB9BD4" w:rsidR="005313E0" w:rsidRPr="0068584C" w:rsidRDefault="00685585" w:rsidP="00F53780">
      <w:pPr>
        <w:pStyle w:val="Heading3new"/>
      </w:pPr>
      <w:r w:rsidRPr="00F53780">
        <w:t xml:space="preserve">Toward a Broader </w:t>
      </w:r>
      <w:r w:rsidR="00380955" w:rsidRPr="00F53780">
        <w:t>Domain</w:t>
      </w:r>
      <w:r w:rsidR="00594D00" w:rsidRPr="00F53780">
        <w:t xml:space="preserve"> </w:t>
      </w:r>
      <w:r w:rsidR="001F3290" w:rsidRPr="00F53780">
        <w:t xml:space="preserve">in </w:t>
      </w:r>
      <w:r w:rsidR="00594D00" w:rsidRPr="00F53780">
        <w:t>SCRO</w:t>
      </w:r>
    </w:p>
    <w:p w14:paraId="6D800982" w14:textId="586D03BA" w:rsidR="005313E0" w:rsidRPr="0068584C" w:rsidRDefault="005313E0" w:rsidP="0035460B">
      <w:pPr>
        <w:spacing w:line="480" w:lineRule="auto"/>
        <w:jc w:val="both"/>
        <w:rPr>
          <w:rFonts w:ascii="Times New Roman" w:hAnsi="Times New Roman" w:cs="Times New Roman"/>
        </w:rPr>
      </w:pPr>
      <w:r w:rsidRPr="0068584C">
        <w:rPr>
          <w:rFonts w:ascii="Times New Roman" w:hAnsi="Times New Roman" w:cs="Times New Roman"/>
        </w:rPr>
        <w:t>Where and when does the new emerging SCRO theoretical framework hold in comparison to RBT, DCT, and ROT? This section describe</w:t>
      </w:r>
      <w:r w:rsidR="00E220AD" w:rsidRPr="0068584C">
        <w:rPr>
          <w:rFonts w:ascii="Times New Roman" w:hAnsi="Times New Roman" w:cs="Times New Roman"/>
        </w:rPr>
        <w:t>s</w:t>
      </w:r>
      <w:r w:rsidRPr="0068584C">
        <w:rPr>
          <w:rFonts w:ascii="Times New Roman" w:hAnsi="Times New Roman" w:cs="Times New Roman"/>
        </w:rPr>
        <w:t xml:space="preserve"> how SCRO is extending ROT to a broader domain</w:t>
      </w:r>
      <w:r w:rsidR="006C6A8B">
        <w:rPr>
          <w:rFonts w:ascii="Times New Roman" w:hAnsi="Times New Roman" w:cs="Times New Roman"/>
        </w:rPr>
        <w:t xml:space="preserve"> </w:t>
      </w:r>
      <w:r w:rsidR="006C6A8B">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"ISBN" : "1515294811", "author" : [ { "dropping-particle" : "", "family" : "Wacker", "given" : "John G", "non-dropping-particle" : "", "parse-names" : false, "suffix" : "" } ], "container-title" : "Journal of Operations Management", "id" : "ITEM-1", "issue" : "4", "issued" : { "date-parts" : [ [ "1998" ] ] }, "page" : "361-385", "title" : "A definition of theory: research guidelines for different theory-building research methods in operations management", "type" : "article-journal", "volume" : "16" }, "uris" : [ "http://www.mendeley.com/documents/?uuid=00f61d23-9b83-4b25-9418-585af3e47d5a" ] } ], "mendeley" : { "formattedCitation" : "(Wacker, 1998)", "plainTextFormattedCitation" : "(Wacker, 1998)", "previouslyFormattedCitation" : "(Wacker, 1998)" }, "properties" : { "noteIndex" : 0 }, "schema" : "https://github.com/citation-style-language/schema/raw/master/csl-citation.json" }</w:instrText>
      </w:r>
      <w:r w:rsidR="006C6A8B">
        <w:rPr>
          <w:rFonts w:ascii="Times New Roman" w:hAnsi="Times New Roman" w:cs="Times New Roman"/>
        </w:rPr>
        <w:fldChar w:fldCharType="separate"/>
      </w:r>
      <w:r w:rsidR="000E6ECE" w:rsidRPr="000E6ECE">
        <w:rPr>
          <w:rFonts w:ascii="Times New Roman" w:hAnsi="Times New Roman" w:cs="Times New Roman"/>
          <w:noProof/>
        </w:rPr>
        <w:t>(Wacker, 1998)</w:t>
      </w:r>
      <w:r w:rsidR="006C6A8B">
        <w:rPr>
          <w:rFonts w:ascii="Times New Roman" w:hAnsi="Times New Roman" w:cs="Times New Roman"/>
        </w:rPr>
        <w:fldChar w:fldCharType="end"/>
      </w:r>
      <w:r w:rsidRPr="0068584C">
        <w:rPr>
          <w:rFonts w:ascii="Times New Roman" w:hAnsi="Times New Roman" w:cs="Times New Roman"/>
        </w:rPr>
        <w:t>.</w:t>
      </w:r>
      <w:r w:rsidR="00611B8F">
        <w:rPr>
          <w:rFonts w:ascii="Times New Roman" w:hAnsi="Times New Roman" w:cs="Times New Roman"/>
        </w:rPr>
        <w:t xml:space="preserve"> </w:t>
      </w:r>
      <w:r w:rsidR="001C74C7" w:rsidRPr="0068584C">
        <w:rPr>
          <w:rFonts w:ascii="Times New Roman" w:hAnsi="Times New Roman" w:cs="Times New Roman"/>
        </w:rPr>
        <w:t>To date</w:t>
      </w:r>
      <w:r w:rsidRPr="0068584C">
        <w:rPr>
          <w:rFonts w:ascii="Times New Roman" w:hAnsi="Times New Roman" w:cs="Times New Roman"/>
        </w:rPr>
        <w:t xml:space="preserve">, </w:t>
      </w:r>
      <w:r w:rsidR="00611B8F">
        <w:rPr>
          <w:rFonts w:ascii="Times New Roman" w:hAnsi="Times New Roman" w:cs="Times New Roman"/>
        </w:rPr>
        <w:t>resource</w:t>
      </w:r>
      <w:r w:rsidRPr="0068584C">
        <w:rPr>
          <w:rFonts w:ascii="Times New Roman" w:hAnsi="Times New Roman" w:cs="Times New Roman"/>
        </w:rPr>
        <w:t xml:space="preserve"> management literature has </w:t>
      </w:r>
      <w:r w:rsidR="001C74C7" w:rsidRPr="0068584C">
        <w:rPr>
          <w:rFonts w:ascii="Times New Roman" w:hAnsi="Times New Roman" w:cs="Times New Roman"/>
        </w:rPr>
        <w:t xml:space="preserve">primarily </w:t>
      </w:r>
      <w:r w:rsidRPr="0068584C">
        <w:rPr>
          <w:rFonts w:ascii="Times New Roman" w:hAnsi="Times New Roman" w:cs="Times New Roman"/>
        </w:rPr>
        <w:t xml:space="preserve">emphasized the configuration and/or orchestration of company-internal resources. However, the theoretical domain of </w:t>
      </w:r>
      <w:r w:rsidR="00436A7E">
        <w:rPr>
          <w:rFonts w:ascii="Times New Roman" w:hAnsi="Times New Roman" w:cs="Times New Roman"/>
        </w:rPr>
        <w:t>ROT</w:t>
      </w:r>
      <w:r w:rsidRPr="0068584C">
        <w:rPr>
          <w:rFonts w:ascii="Times New Roman" w:hAnsi="Times New Roman" w:cs="Times New Roman"/>
        </w:rPr>
        <w:t xml:space="preserve"> can be expanded when investigating the </w:t>
      </w:r>
      <w:r w:rsidR="00E815DD" w:rsidRPr="0068584C">
        <w:rPr>
          <w:rFonts w:ascii="Times New Roman" w:hAnsi="Times New Roman" w:cs="Times New Roman"/>
        </w:rPr>
        <w:t>orchestra</w:t>
      </w:r>
      <w:r w:rsidRPr="0068584C">
        <w:rPr>
          <w:rFonts w:ascii="Times New Roman" w:hAnsi="Times New Roman" w:cs="Times New Roman"/>
        </w:rPr>
        <w:t xml:space="preserve">tion of relevant resources of the supply chain. When an organization effectively manages the resource inflow from its supply chain and its subsequent integration and exploitation, then </w:t>
      </w:r>
      <w:r w:rsidR="0033697A" w:rsidRPr="0068584C">
        <w:rPr>
          <w:rFonts w:ascii="Times New Roman" w:hAnsi="Times New Roman" w:cs="Times New Roman"/>
        </w:rPr>
        <w:t xml:space="preserve">this </w:t>
      </w:r>
      <w:r w:rsidRPr="0068584C">
        <w:rPr>
          <w:rFonts w:ascii="Times New Roman" w:hAnsi="Times New Roman" w:cs="Times New Roman"/>
        </w:rPr>
        <w:t xml:space="preserve">should </w:t>
      </w:r>
      <w:r w:rsidR="0033697A" w:rsidRPr="0068584C">
        <w:rPr>
          <w:rFonts w:ascii="Times New Roman" w:hAnsi="Times New Roman" w:cs="Times New Roman"/>
        </w:rPr>
        <w:t>affect the</w:t>
      </w:r>
      <w:r w:rsidRPr="0068584C">
        <w:rPr>
          <w:rFonts w:ascii="Times New Roman" w:hAnsi="Times New Roman" w:cs="Times New Roman"/>
        </w:rPr>
        <w:t xml:space="preserve"> competitive </w:t>
      </w:r>
      <w:r w:rsidR="0033697A" w:rsidRPr="0068584C">
        <w:rPr>
          <w:rFonts w:ascii="Times New Roman" w:hAnsi="Times New Roman" w:cs="Times New Roman"/>
        </w:rPr>
        <w:t xml:space="preserve">position </w:t>
      </w:r>
      <w:r w:rsidR="00A713D2"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"10.1002/smj", "author" : [ { "dropping-particle" : "", "family" : "Wang", "given" : "Lihua", "non-dropping-particle" : "", "parse-names" : false, "suffix" : "" }, { "dropping-particle" : "", "family" : "Zajac", "given" : "Edward J", "non-dropping-particle" : "", "parse-names" : false, "suffix" : "" } ], "container-title" : "Strategic Management Journal", "id" : "ITEM-1", "issued" : { "date-parts" : [ [ "2007" ] ] }, "page" : "1291-1317", "title" : "Alliance Or Acquisition? A Dyadic Perspective On Interfirm Resource Combinations", "type" : "article-journal", "volume" : "28" }, "uris" : [ "http://www.mendeley.com/documents/?uuid=6d2eea59-6a4b-4bb5-9707-80b72e2fc686" ] }, { "id" : "ITEM-2", "itemData" : { "author" : [ { "dropping-particle" : "", "family" : "Wiklund", "given" : "Johan", "non-dropping-particle" : "", "parse-names" : false, "suffix" : "" }, { "dropping-particle" : "", "family" : "Shepherd", "given" : "Dean A", "non-dropping-particle" : "", "parse-names" : false, "suffix" : "" } ], "container-title" : "Entrepreneurship Theory and Practice", "id" : "ITEM-2", "issue" : "January", "issued" : { "date-parts" : [ [ "2009" ] ] }, "page" : "193-213", "title" : "The Effectiveness of Alliances and Acquisitions: The Role of Resource Combination Activities", "type" : "article-journal" }, "uris" : [ "http://www.mendeley.com/documents/?uuid=da6b6fe4-2a11-4c9a-a14d-17eee8bfc2fe" ] } ], "mendeley" : { "formattedCitation" : "(Wang &amp; Zajac, 2007; Wiklund &amp; Shepherd, 2009)", "plainTextFormattedCitation" : "(Wang &amp; Zajac, 2007; Wiklund &amp; Shepherd, 2009)", "previouslyFormattedCitation" : "(Wang &amp; Zajac, 2007; Wiklund &amp; Shepherd, 2009)" }, "properties" : { "noteIndex" : 0 }, "schema" : "https://github.com/citation-style-language/schema/raw/master/csl-citation.json" }</w:instrText>
      </w:r>
      <w:r w:rsidR="00A713D2" w:rsidRPr="0068584C">
        <w:rPr>
          <w:rFonts w:ascii="Times New Roman" w:hAnsi="Times New Roman" w:cs="Times New Roman"/>
        </w:rPr>
        <w:fldChar w:fldCharType="separate"/>
      </w:r>
      <w:r w:rsidR="000E6ECE" w:rsidRPr="000E6ECE">
        <w:rPr>
          <w:rFonts w:ascii="Times New Roman" w:hAnsi="Times New Roman" w:cs="Times New Roman"/>
          <w:noProof/>
        </w:rPr>
        <w:t>(Wang &amp; Zajac, 2007; Wiklund &amp; Shepherd, 2009)</w:t>
      </w:r>
      <w:r w:rsidR="00A713D2" w:rsidRPr="0068584C">
        <w:rPr>
          <w:rFonts w:ascii="Times New Roman" w:hAnsi="Times New Roman" w:cs="Times New Roman"/>
        </w:rPr>
        <w:fldChar w:fldCharType="end"/>
      </w:r>
      <w:r w:rsidRPr="0068584C">
        <w:rPr>
          <w:rFonts w:ascii="Times New Roman" w:hAnsi="Times New Roman" w:cs="Times New Roman"/>
        </w:rPr>
        <w:t xml:space="preserve">. In this way, the resource-based theoretical domain </w:t>
      </w:r>
      <w:r w:rsidR="00BE3ECA" w:rsidRPr="0068584C">
        <w:rPr>
          <w:rFonts w:ascii="Times New Roman" w:hAnsi="Times New Roman" w:cs="Times New Roman"/>
        </w:rPr>
        <w:t xml:space="preserve">can be </w:t>
      </w:r>
      <w:r w:rsidRPr="0068584C">
        <w:rPr>
          <w:rFonts w:ascii="Times New Roman" w:hAnsi="Times New Roman" w:cs="Times New Roman"/>
        </w:rPr>
        <w:t xml:space="preserve">extended to encompass </w:t>
      </w:r>
      <w:r w:rsidR="004D4716" w:rsidRPr="0068584C">
        <w:rPr>
          <w:rFonts w:ascii="Times New Roman" w:hAnsi="Times New Roman" w:cs="Times New Roman"/>
        </w:rPr>
        <w:t xml:space="preserve">the </w:t>
      </w:r>
      <w:r w:rsidRPr="0068584C">
        <w:rPr>
          <w:rFonts w:ascii="Times New Roman" w:hAnsi="Times New Roman" w:cs="Times New Roman"/>
        </w:rPr>
        <w:t xml:space="preserve">supply chain resource </w:t>
      </w:r>
      <w:r w:rsidR="004D4716" w:rsidRPr="0068584C">
        <w:rPr>
          <w:rFonts w:ascii="Times New Roman" w:hAnsi="Times New Roman" w:cs="Times New Roman"/>
        </w:rPr>
        <w:t>orchestration phenomenon</w:t>
      </w:r>
      <w:r w:rsidRPr="0068584C">
        <w:rPr>
          <w:rFonts w:ascii="Times New Roman" w:hAnsi="Times New Roman" w:cs="Times New Roman"/>
        </w:rPr>
        <w:t xml:space="preserve">. SCRO </w:t>
      </w:r>
      <w:r w:rsidR="005D5816" w:rsidRPr="0068584C">
        <w:rPr>
          <w:rFonts w:ascii="Times New Roman" w:hAnsi="Times New Roman" w:cs="Times New Roman"/>
        </w:rPr>
        <w:t>relies on</w:t>
      </w:r>
      <w:r w:rsidRPr="0068584C">
        <w:rPr>
          <w:rFonts w:ascii="Times New Roman" w:hAnsi="Times New Roman" w:cs="Times New Roman"/>
        </w:rPr>
        <w:t xml:space="preserve"> the </w:t>
      </w:r>
      <w:r w:rsidR="00602D04" w:rsidRPr="0068584C">
        <w:rPr>
          <w:rFonts w:ascii="Times New Roman" w:hAnsi="Times New Roman" w:cs="Times New Roman"/>
        </w:rPr>
        <w:t xml:space="preserve">assessment </w:t>
      </w:r>
      <w:r w:rsidR="007B305D" w:rsidRPr="0068584C">
        <w:rPr>
          <w:rFonts w:ascii="Times New Roman" w:hAnsi="Times New Roman" w:cs="Times New Roman"/>
        </w:rPr>
        <w:t xml:space="preserve">of </w:t>
      </w:r>
      <w:r w:rsidRPr="0068584C">
        <w:rPr>
          <w:rFonts w:ascii="Times New Roman" w:hAnsi="Times New Roman" w:cs="Times New Roman"/>
        </w:rPr>
        <w:t xml:space="preserve">whether internal or external resources are more </w:t>
      </w:r>
      <w:r w:rsidR="00602D04" w:rsidRPr="0068584C">
        <w:rPr>
          <w:rFonts w:ascii="Times New Roman" w:hAnsi="Times New Roman" w:cs="Times New Roman"/>
        </w:rPr>
        <w:lastRenderedPageBreak/>
        <w:t xml:space="preserve">beneficial </w:t>
      </w:r>
      <w:r w:rsidRPr="0068584C">
        <w:rPr>
          <w:rFonts w:ascii="Times New Roman" w:hAnsi="Times New Roman" w:cs="Times New Roman"/>
        </w:rPr>
        <w:t xml:space="preserve">to </w:t>
      </w:r>
      <w:r w:rsidR="00602D04" w:rsidRPr="0068584C">
        <w:rPr>
          <w:rFonts w:ascii="Times New Roman" w:hAnsi="Times New Roman" w:cs="Times New Roman"/>
        </w:rPr>
        <w:t xml:space="preserve">use </w:t>
      </w:r>
      <w:r w:rsidRPr="0068584C">
        <w:rPr>
          <w:rFonts w:ascii="Times New Roman" w:hAnsi="Times New Roman" w:cs="Times New Roman"/>
        </w:rPr>
        <w:t xml:space="preserve">for a </w:t>
      </w:r>
      <w:r w:rsidR="00602D04" w:rsidRPr="0068584C">
        <w:rPr>
          <w:rFonts w:ascii="Times New Roman" w:hAnsi="Times New Roman" w:cs="Times New Roman"/>
        </w:rPr>
        <w:t xml:space="preserve">specific </w:t>
      </w:r>
      <w:r w:rsidRPr="0068584C">
        <w:rPr>
          <w:rFonts w:ascii="Times New Roman" w:hAnsi="Times New Roman" w:cs="Times New Roman"/>
        </w:rPr>
        <w:t>innovation process</w:t>
      </w:r>
      <w:r w:rsidR="001B7EFF">
        <w:rPr>
          <w:rFonts w:ascii="Times New Roman" w:hAnsi="Times New Roman" w:cs="Times New Roman"/>
        </w:rPr>
        <w:t xml:space="preserve"> (</w:t>
      </w:r>
      <w:r w:rsidRPr="0068584C">
        <w:rPr>
          <w:rFonts w:ascii="Times New Roman" w:hAnsi="Times New Roman" w:cs="Times New Roman"/>
        </w:rPr>
        <w:t>make or buy decision</w:t>
      </w:r>
      <w:r w:rsidR="001B7EFF">
        <w:rPr>
          <w:rFonts w:ascii="Times New Roman" w:hAnsi="Times New Roman" w:cs="Times New Roman"/>
        </w:rPr>
        <w:t xml:space="preserve">) </w:t>
      </w:r>
      <w:r w:rsidR="00BC63B8">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"10.1111/j.1745-493X.2010.03210.x", "ISBN" : "1745-493X", "ISSN" : "15232409 (ISSN)", "abstract" : "This article examines the relevance of several prominent theoretical perspectives in strategic management for supply chain management. The resource-based view of the firm, transaction cost economics, organization learning theory and social capital are reviewed for their applicability to important research questions in supply chain management. The work includes a discussion of some common strategic management research methods that can be useful in supply chain management research. The paper concludes that the research in strategic management and supply chain management are complementary and that both fields could benefit from more integration of the work from both. \u00a9 2011 Institute for Supply Management, Inc.\u2122.", "author" : [ { "dropping-particle" : "", "family" : "Hitt", "given" : "Michael A", "non-dropping-particle" : "", "parse-names" : false, "suffix" : "" } ], "container-title" : "Journal of Supply Chain Management", "id" : "ITEM-1", "issue" : "1", "issued" : { "date-parts" : [ [ "2011" ] ] }, "page" : "9-13", "title" : "Relevance of strategic management theory and research for supply chain management", "type" : "article-journal", "volume" : "47" }, "uris" : [ "http://www.mendeley.com/documents/?uuid=41a00fed-258f-4e34-862f-a505930975cf" ] } ], "mendeley" : { "formattedCitation" : "(Hitt, 2011)", "plainTextFormattedCitation" : "(Hitt, 2011)", "previouslyFormattedCitation" : "(Hitt, 2011)" }, "properties" : { "noteIndex" : 0 }, "schema" : "https://github.com/citation-style-language/schema/raw/master/csl-citation.json" }</w:instrText>
      </w:r>
      <w:r w:rsidR="00BC63B8">
        <w:rPr>
          <w:rFonts w:ascii="Times New Roman" w:hAnsi="Times New Roman" w:cs="Times New Roman"/>
        </w:rPr>
        <w:fldChar w:fldCharType="separate"/>
      </w:r>
      <w:r w:rsidR="000E6ECE" w:rsidRPr="000E6ECE">
        <w:rPr>
          <w:rFonts w:ascii="Times New Roman" w:hAnsi="Times New Roman" w:cs="Times New Roman"/>
          <w:noProof/>
        </w:rPr>
        <w:t>(Hitt, 2011)</w:t>
      </w:r>
      <w:r w:rsidR="00BC63B8">
        <w:rPr>
          <w:rFonts w:ascii="Times New Roman" w:hAnsi="Times New Roman" w:cs="Times New Roman"/>
        </w:rPr>
        <w:fldChar w:fldCharType="end"/>
      </w:r>
      <w:r w:rsidR="004C7A11">
        <w:rPr>
          <w:rFonts w:ascii="Times New Roman" w:hAnsi="Times New Roman" w:cs="Times New Roman"/>
        </w:rPr>
        <w:t>.</w:t>
      </w:r>
      <w:r w:rsidR="00BC63B8">
        <w:rPr>
          <w:rFonts w:ascii="Times New Roman" w:hAnsi="Times New Roman" w:cs="Times New Roman"/>
        </w:rPr>
        <w:t xml:space="preserve"> </w:t>
      </w:r>
      <w:r w:rsidRPr="0068584C">
        <w:rPr>
          <w:rFonts w:ascii="Times New Roman" w:hAnsi="Times New Roman" w:cs="Times New Roman"/>
        </w:rPr>
        <w:t xml:space="preserve">When SCRO is done effectively, an optimal resource mix </w:t>
      </w:r>
      <w:r w:rsidR="00BE3ECA" w:rsidRPr="0068584C">
        <w:rPr>
          <w:rFonts w:ascii="Times New Roman" w:hAnsi="Times New Roman" w:cs="Times New Roman"/>
        </w:rPr>
        <w:t>can be</w:t>
      </w:r>
      <w:r w:rsidRPr="0068584C">
        <w:rPr>
          <w:rFonts w:ascii="Times New Roman" w:hAnsi="Times New Roman" w:cs="Times New Roman"/>
        </w:rPr>
        <w:t xml:space="preserve"> orchestrated and commercialized by the focal organization</w:t>
      </w:r>
      <w:r w:rsidR="00D05AAC">
        <w:rPr>
          <w:rFonts w:ascii="Times New Roman" w:hAnsi="Times New Roman" w:cs="Times New Roman"/>
        </w:rPr>
        <w:t>.</w:t>
      </w:r>
      <w:r w:rsidRPr="0068584C">
        <w:rPr>
          <w:rFonts w:ascii="Times New Roman" w:hAnsi="Times New Roman" w:cs="Times New Roman"/>
        </w:rPr>
        <w:t xml:space="preserve"> </w:t>
      </w:r>
    </w:p>
    <w:p w14:paraId="47A78892" w14:textId="6934E802" w:rsidR="005313E0" w:rsidRPr="0068584C" w:rsidRDefault="00242061" w:rsidP="0035460B">
      <w:pPr>
        <w:spacing w:line="480" w:lineRule="auto"/>
        <w:jc w:val="both"/>
        <w:rPr>
          <w:rFonts w:ascii="Times New Roman" w:hAnsi="Times New Roman" w:cs="Times New Roman"/>
        </w:rPr>
      </w:pPr>
      <w:r>
        <w:rPr>
          <w:rFonts w:ascii="Times New Roman" w:hAnsi="Times New Roman" w:cs="Times New Roman"/>
        </w:rPr>
        <w:tab/>
      </w:r>
      <w:r w:rsidR="005D23FF" w:rsidRPr="0068584C">
        <w:rPr>
          <w:rFonts w:ascii="Times New Roman" w:hAnsi="Times New Roman" w:cs="Times New Roman"/>
        </w:rPr>
        <w:t>S</w:t>
      </w:r>
      <w:r w:rsidR="00313505" w:rsidRPr="0068584C">
        <w:rPr>
          <w:rFonts w:ascii="Times New Roman" w:hAnsi="Times New Roman" w:cs="Times New Roman"/>
        </w:rPr>
        <w:t xml:space="preserve">cholars have observed that the </w:t>
      </w:r>
      <w:r w:rsidR="005313E0" w:rsidRPr="0068584C">
        <w:rPr>
          <w:rFonts w:ascii="Times New Roman" w:hAnsi="Times New Roman" w:cs="Times New Roman"/>
        </w:rPr>
        <w:t>locus of innovation has shifted</w:t>
      </w:r>
      <w:r w:rsidR="00224A4E" w:rsidRPr="0068584C">
        <w:rPr>
          <w:rFonts w:ascii="Times New Roman" w:hAnsi="Times New Roman" w:cs="Times New Roman"/>
        </w:rPr>
        <w:t xml:space="preserve"> in many industries</w:t>
      </w:r>
      <w:r w:rsidR="001E6BEF" w:rsidRPr="0068584C">
        <w:rPr>
          <w:rFonts w:ascii="Times New Roman" w:hAnsi="Times New Roman" w:cs="Times New Roman"/>
        </w:rPr>
        <w:t xml:space="preserve"> from the organization to a supply network</w:t>
      </w:r>
      <w:r w:rsidR="005D23FF" w:rsidRPr="0068584C">
        <w:rPr>
          <w:rFonts w:ascii="Times New Roman" w:hAnsi="Times New Roman" w:cs="Times New Roman"/>
        </w:rPr>
        <w:t xml:space="preserve"> </w:t>
      </w:r>
      <w:r w:rsidR="005D23FF"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"10.2307/2393988", "ISBN" : "0001-8392", "ISSN" : "0001-8392", "PMID" : "9606053202", "abstract" : "We argue in this paper that when the knowledge base of an industry is both complex and expanding and the sources of expertise are widely dispersed, the locus of innovation will be found in networks of learning, rather than in individual firms. The large-scale reliance on interorganizational collaborations in the biotechnology industry reflects a fundamental and pervasive concern with access to knowledge. We develop a network approach to organizational learning and derive firm-level, longitudinal hypotheses that link research and development alliances, experience with managing interfirm relationships, network position, rates of growth, and portfolios of collaborative activities. We test these hypotheses on a sample of dedicated biotechnology firms in the years 1990-1994. Results from pooled, within-firm, time series analyses support a learning view and have broad implications for future theoretical and empirical research on organizational networks and strategic alliances..", "author" : [ { "dropping-particle" : "", "family" : "Powell", "given" : "Walter W", "non-dropping-particle" : "", "parse-names" : false, "suffix" : "" }, { "dropping-particle" : "", "family" : "Koput", "given" : "Kenneth W", "non-dropping-particle" : "", "parse-names" : false, "suffix" : "" }, { "dropping-particle" : "", "family" : "Smith-Doerr", "given" : "Laurel", "non-dropping-particle" : "", "parse-names" : false, "suffix" : "" } ], "container-title" : "Administrative Science Quarterly", "id" : "ITEM-1", "issue" : "1", "issued" : { "date-parts" : [ [ "1996" ] ] }, "page" : "116-145", "title" : "Interorganizational Collaboration and the Locus of Innovation: Networks of Learning in Biotechnology", "type" : "article-journal", "volume" : "41" }, "uris" : [ "http://www.mendeley.com/documents/?uuid=a25d483b-654f-40c5-ab47-3e2db887d3ee" ] }, { "id" : "ITEM-2", "itemData" : { "author" : [ { "dropping-particle" : "", "family" : "Hoopes", "given" : "DG", "non-dropping-particle" : "", "parse-names" : false, "suffix" : "" }, { "dropping-particle" : "", "family" : "Postrel", "given" : "Steven", "non-dropping-particle" : "", "parse-names" : false, "suffix" : "" } ], "container-title" : "Strategic Management Journal", "id" : "ITEM-2", "issue" : "March 1997", "issued" : { "date-parts" : [ [ "1999" ] ] }, "page" : "837-865", "title" : "Shared knowledge,\u201cglitches,\u201d and product development performance", "type" : "article-journal", "volume" : "865" }, "uris" : [ "http://www.mendeley.com/documents/?uuid=be2359f5-585f-4968-9d06-6deaf8f3af81" ] } ], "mendeley" : { "formattedCitation" : "(Hoopes &amp; Postrel, 1999; Powell, Koput, &amp; Smith-Doerr, 1996)", "plainTextFormattedCitation" : "(Hoopes &amp; Postrel, 1999; Powell, Koput, &amp; Smith-Doerr, 1996)", "previouslyFormattedCitation" : "(Hoopes &amp; Postrel, 1999; Powell, Koput, &amp; Smith-Doerr, 1996)" }, "properties" : { "noteIndex" : 0 }, "schema" : "https://github.com/citation-style-language/schema/raw/master/csl-citation.json" }</w:instrText>
      </w:r>
      <w:r w:rsidR="005D23FF" w:rsidRPr="0068584C">
        <w:rPr>
          <w:rFonts w:ascii="Times New Roman" w:hAnsi="Times New Roman" w:cs="Times New Roman"/>
        </w:rPr>
        <w:fldChar w:fldCharType="separate"/>
      </w:r>
      <w:r w:rsidR="000E6ECE" w:rsidRPr="000E6ECE">
        <w:rPr>
          <w:rFonts w:ascii="Times New Roman" w:hAnsi="Times New Roman" w:cs="Times New Roman"/>
          <w:noProof/>
        </w:rPr>
        <w:t>(Hoopes &amp; Postrel, 1999; Powell, Koput, &amp; Smith-Doerr, 1996)</w:t>
      </w:r>
      <w:r w:rsidR="005D23FF" w:rsidRPr="0068584C">
        <w:rPr>
          <w:rFonts w:ascii="Times New Roman" w:hAnsi="Times New Roman" w:cs="Times New Roman"/>
        </w:rPr>
        <w:fldChar w:fldCharType="end"/>
      </w:r>
      <w:r w:rsidR="005D23FF" w:rsidRPr="0068584C">
        <w:rPr>
          <w:rFonts w:ascii="Times New Roman" w:hAnsi="Times New Roman" w:cs="Times New Roman"/>
        </w:rPr>
        <w:t>.</w:t>
      </w:r>
      <w:r w:rsidR="00DA0E40" w:rsidRPr="0068584C">
        <w:rPr>
          <w:rFonts w:ascii="Times New Roman" w:hAnsi="Times New Roman" w:cs="Times New Roman"/>
        </w:rPr>
        <w:t xml:space="preserve"> </w:t>
      </w:r>
      <w:r w:rsidR="001E6BEF" w:rsidRPr="0068584C">
        <w:rPr>
          <w:rFonts w:ascii="Times New Roman" w:hAnsi="Times New Roman" w:cs="Times New Roman"/>
        </w:rPr>
        <w:t xml:space="preserve">Due to this shift, </w:t>
      </w:r>
      <w:r w:rsidR="005313E0" w:rsidRPr="0068584C">
        <w:rPr>
          <w:rFonts w:ascii="Times New Roman" w:hAnsi="Times New Roman" w:cs="Times New Roman"/>
        </w:rPr>
        <w:t>resources provided by external suppliers</w:t>
      </w:r>
      <w:r w:rsidR="001E6BEF" w:rsidRPr="0068584C">
        <w:rPr>
          <w:rFonts w:ascii="Times New Roman" w:hAnsi="Times New Roman" w:cs="Times New Roman"/>
        </w:rPr>
        <w:t xml:space="preserve"> have become more important</w:t>
      </w:r>
      <w:r w:rsidR="005313E0" w:rsidRPr="0068584C">
        <w:rPr>
          <w:rFonts w:ascii="Times New Roman" w:hAnsi="Times New Roman" w:cs="Times New Roman"/>
        </w:rPr>
        <w:t xml:space="preserve">. Consequently, the theoretical resource management domain needs to accommodate for this </w:t>
      </w:r>
      <w:r w:rsidR="00A94BA5" w:rsidRPr="0068584C">
        <w:rPr>
          <w:rFonts w:ascii="Times New Roman" w:hAnsi="Times New Roman" w:cs="Times New Roman"/>
        </w:rPr>
        <w:t xml:space="preserve">changing </w:t>
      </w:r>
      <w:r w:rsidR="005313E0" w:rsidRPr="0068584C">
        <w:rPr>
          <w:rFonts w:ascii="Times New Roman" w:hAnsi="Times New Roman" w:cs="Times New Roman"/>
        </w:rPr>
        <w:t xml:space="preserve">phenomenon. There is a need to broaden the scope of resource management theory beyond its current theoretical space to consider the origin of resources, external stakeholders, and implications of organizational culture. Hence, with this study, the resource management theory </w:t>
      </w:r>
      <w:r w:rsidR="004E0F34" w:rsidRPr="0068584C">
        <w:rPr>
          <w:rFonts w:ascii="Times New Roman" w:hAnsi="Times New Roman" w:cs="Times New Roman"/>
        </w:rPr>
        <w:t xml:space="preserve">is </w:t>
      </w:r>
      <w:r w:rsidR="005313E0" w:rsidRPr="0068584C">
        <w:rPr>
          <w:rFonts w:ascii="Times New Roman" w:hAnsi="Times New Roman" w:cs="Times New Roman"/>
        </w:rPr>
        <w:t xml:space="preserve">expanded </w:t>
      </w:r>
      <w:r w:rsidR="004E0F34" w:rsidRPr="0068584C">
        <w:rPr>
          <w:rFonts w:ascii="Times New Roman" w:hAnsi="Times New Roman" w:cs="Times New Roman"/>
        </w:rPr>
        <w:t xml:space="preserve">below </w:t>
      </w:r>
      <w:r w:rsidR="005313E0" w:rsidRPr="0068584C">
        <w:rPr>
          <w:rFonts w:ascii="Times New Roman" w:hAnsi="Times New Roman" w:cs="Times New Roman"/>
        </w:rPr>
        <w:t xml:space="preserve">in terms of three major </w:t>
      </w:r>
      <w:r w:rsidR="007A03C0" w:rsidRPr="0068584C">
        <w:rPr>
          <w:rFonts w:ascii="Times New Roman" w:hAnsi="Times New Roman" w:cs="Times New Roman"/>
        </w:rPr>
        <w:t>tasks</w:t>
      </w:r>
      <w:r w:rsidR="005313E0" w:rsidRPr="0068584C">
        <w:rPr>
          <w:rFonts w:ascii="Times New Roman" w:hAnsi="Times New Roman" w:cs="Times New Roman"/>
        </w:rPr>
        <w:t>:</w:t>
      </w:r>
    </w:p>
    <w:p w14:paraId="012F2834" w14:textId="77777777" w:rsidR="005313E0" w:rsidRPr="0068584C" w:rsidRDefault="005313E0" w:rsidP="0035460B">
      <w:pPr>
        <w:spacing w:line="480" w:lineRule="auto"/>
        <w:rPr>
          <w:rFonts w:ascii="Times New Roman" w:hAnsi="Times New Roman" w:cs="Times New Roman"/>
        </w:rPr>
      </w:pPr>
    </w:p>
    <w:p w14:paraId="0925FA3B" w14:textId="79B99B87" w:rsidR="005313E0" w:rsidRPr="0068584C" w:rsidRDefault="005313E0" w:rsidP="00C7731B">
      <w:pPr>
        <w:numPr>
          <w:ilvl w:val="0"/>
          <w:numId w:val="2"/>
        </w:numPr>
        <w:spacing w:line="480" w:lineRule="auto"/>
        <w:rPr>
          <w:rFonts w:ascii="Times New Roman" w:hAnsi="Times New Roman" w:cs="Times New Roman"/>
        </w:rPr>
      </w:pPr>
      <w:r w:rsidRPr="0068584C">
        <w:rPr>
          <w:rFonts w:ascii="Times New Roman" w:hAnsi="Times New Roman" w:cs="Times New Roman"/>
        </w:rPr>
        <w:t>Specify the origin of resources (include external resources</w:t>
      </w:r>
      <w:r w:rsidR="00966C2B" w:rsidRPr="0068584C">
        <w:rPr>
          <w:rFonts w:ascii="Times New Roman" w:hAnsi="Times New Roman" w:cs="Times New Roman"/>
        </w:rPr>
        <w:t xml:space="preserve"> and its corresponding processes</w:t>
      </w:r>
      <w:r w:rsidRPr="0068584C">
        <w:rPr>
          <w:rFonts w:ascii="Times New Roman" w:hAnsi="Times New Roman" w:cs="Times New Roman"/>
        </w:rPr>
        <w:t>) as this shows direct influence on resource management practices</w:t>
      </w:r>
    </w:p>
    <w:p w14:paraId="10FD6AC7" w14:textId="3A9B6617" w:rsidR="005313E0" w:rsidRPr="0068584C" w:rsidRDefault="005313E0" w:rsidP="00C7731B">
      <w:pPr>
        <w:numPr>
          <w:ilvl w:val="0"/>
          <w:numId w:val="2"/>
        </w:numPr>
        <w:spacing w:line="480" w:lineRule="auto"/>
        <w:rPr>
          <w:rFonts w:ascii="Times New Roman" w:hAnsi="Times New Roman" w:cs="Times New Roman"/>
        </w:rPr>
      </w:pPr>
      <w:r w:rsidRPr="0068584C">
        <w:rPr>
          <w:rFonts w:ascii="Times New Roman" w:hAnsi="Times New Roman" w:cs="Times New Roman"/>
        </w:rPr>
        <w:t xml:space="preserve">Add a cultural dimension (e.g., firm-level </w:t>
      </w:r>
      <w:r w:rsidR="0041299B" w:rsidRPr="0068584C">
        <w:rPr>
          <w:rFonts w:ascii="Times New Roman" w:hAnsi="Times New Roman" w:cs="Times New Roman"/>
        </w:rPr>
        <w:t>innovation culture</w:t>
      </w:r>
      <w:r w:rsidRPr="0068584C">
        <w:rPr>
          <w:rFonts w:ascii="Times New Roman" w:hAnsi="Times New Roman" w:cs="Times New Roman"/>
        </w:rPr>
        <w:t xml:space="preserve">), which entails a moderating influence on the relationship between the resource management capability and the competitive advantage (firm performance) </w:t>
      </w:r>
    </w:p>
    <w:p w14:paraId="64F5FBE4" w14:textId="415BA438" w:rsidR="005313E0" w:rsidRPr="0068584C" w:rsidRDefault="00C312D6" w:rsidP="00C7731B">
      <w:pPr>
        <w:numPr>
          <w:ilvl w:val="0"/>
          <w:numId w:val="2"/>
        </w:numPr>
        <w:spacing w:line="480" w:lineRule="auto"/>
        <w:rPr>
          <w:rFonts w:ascii="Times New Roman" w:hAnsi="Times New Roman" w:cs="Times New Roman"/>
        </w:rPr>
      </w:pPr>
      <w:r>
        <w:rPr>
          <w:rFonts w:ascii="Times New Roman" w:hAnsi="Times New Roman" w:cs="Times New Roman"/>
        </w:rPr>
        <w:t>Enhance the theoretical depth of ROT by detailing the SCRO sub-processes</w:t>
      </w:r>
      <w:r w:rsidRPr="0068584C">
        <w:rPr>
          <w:rFonts w:ascii="Times New Roman" w:hAnsi="Times New Roman" w:cs="Times New Roman"/>
        </w:rPr>
        <w:t xml:space="preserve"> </w:t>
      </w:r>
      <w:r w:rsidR="008D0EE1">
        <w:rPr>
          <w:rFonts w:ascii="Times New Roman" w:hAnsi="Times New Roman" w:cs="Times New Roman"/>
        </w:rPr>
        <w:t xml:space="preserve"> </w:t>
      </w:r>
    </w:p>
    <w:p w14:paraId="4BCD46BC" w14:textId="77777777" w:rsidR="005313E0" w:rsidRPr="0068584C" w:rsidRDefault="005313E0" w:rsidP="0035460B">
      <w:pPr>
        <w:spacing w:line="480" w:lineRule="auto"/>
        <w:jc w:val="both"/>
        <w:rPr>
          <w:rFonts w:ascii="Times New Roman" w:hAnsi="Times New Roman" w:cs="Times New Roman"/>
        </w:rPr>
      </w:pPr>
    </w:p>
    <w:p w14:paraId="281B5E47" w14:textId="2DB59515" w:rsidR="006A586A" w:rsidRPr="0068584C" w:rsidRDefault="00D11F5F" w:rsidP="0035460B">
      <w:pPr>
        <w:spacing w:line="480" w:lineRule="auto"/>
        <w:jc w:val="both"/>
        <w:rPr>
          <w:rFonts w:ascii="Times New Roman" w:hAnsi="Times New Roman" w:cs="Times New Roman"/>
        </w:rPr>
      </w:pPr>
      <w:r w:rsidRPr="0068584C">
        <w:rPr>
          <w:rFonts w:ascii="Times New Roman" w:hAnsi="Times New Roman" w:cs="Times New Roman"/>
        </w:rPr>
        <w:t>The utility of SCRO is higher than ROT because SCRO has a wider domain and is applicable to both internal and external resources.</w:t>
      </w:r>
      <w:r w:rsidR="00E037FC">
        <w:rPr>
          <w:rFonts w:ascii="Times New Roman" w:hAnsi="Times New Roman" w:cs="Times New Roman"/>
        </w:rPr>
        <w:t xml:space="preserve"> SCRO is extending both the breadth and depth of ROT.</w:t>
      </w:r>
      <w:r w:rsidRPr="0068584C">
        <w:rPr>
          <w:rFonts w:ascii="Times New Roman" w:hAnsi="Times New Roman" w:cs="Times New Roman"/>
        </w:rPr>
        <w:t xml:space="preserve"> </w:t>
      </w:r>
      <w:r w:rsidR="006A586A" w:rsidRPr="0068584C">
        <w:rPr>
          <w:rFonts w:ascii="Times New Roman" w:hAnsi="Times New Roman" w:cs="Times New Roman"/>
        </w:rPr>
        <w:t xml:space="preserve">Thereby, SCRO is fulfilling the virtue of good theory as it shows higher generalizability than </w:t>
      </w:r>
      <w:r w:rsidR="006A586A" w:rsidRPr="0068584C">
        <w:rPr>
          <w:rFonts w:ascii="Times New Roman" w:hAnsi="Times New Roman" w:cs="Times New Roman"/>
        </w:rPr>
        <w:lastRenderedPageBreak/>
        <w:t xml:space="preserve">ROT </w:t>
      </w:r>
      <w:r w:rsidR="006A586A" w:rsidRPr="0068584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"ISBN" : "1515294811", "author" : [ { "dropping-particle" : "", "family" : "Wacker", "given" : "John G", "non-dropping-particle" : "", "parse-names" : false, "suffix" : "" } ], "container-title" : "Journal of Operations Management", "id" : "ITEM-1", "issue" : "4", "issued" : { "date-parts" : [ [ "1998" ] ] }, "page" : "361-385", "title" : "A definition of theory: research guidelines for different theory-building research methods in operations management", "type" : "article-journal", "volume" : "16" }, "uris" : [ "http://www.mendeley.com/documents/?uuid=00f61d23-9b83-4b25-9418-585af3e47d5a" ] } ], "mendeley" : { "formattedCitation" : "(Wacker, 1998)", "plainTextFormattedCitation" : "(Wacker, 1998)", "previouslyFormattedCitation" : "(Wacker, 1998)" }, "properties" : { "noteIndex" : 0 }, "schema" : "https://github.com/citation-style-language/schema/raw/master/csl-citation.json" }</w:instrText>
      </w:r>
      <w:r w:rsidR="006A586A" w:rsidRPr="0068584C">
        <w:rPr>
          <w:rFonts w:ascii="Times New Roman" w:hAnsi="Times New Roman" w:cs="Times New Roman"/>
        </w:rPr>
        <w:fldChar w:fldCharType="separate"/>
      </w:r>
      <w:r w:rsidR="000E6ECE" w:rsidRPr="000E6ECE">
        <w:rPr>
          <w:rFonts w:ascii="Times New Roman" w:hAnsi="Times New Roman" w:cs="Times New Roman"/>
          <w:noProof/>
        </w:rPr>
        <w:t>(Wacker, 1998)</w:t>
      </w:r>
      <w:r w:rsidR="006A586A" w:rsidRPr="0068584C">
        <w:rPr>
          <w:rFonts w:ascii="Times New Roman" w:hAnsi="Times New Roman" w:cs="Times New Roman"/>
        </w:rPr>
        <w:fldChar w:fldCharType="end"/>
      </w:r>
      <w:r w:rsidR="006A586A" w:rsidRPr="0068584C">
        <w:rPr>
          <w:rFonts w:ascii="Times New Roman" w:hAnsi="Times New Roman" w:cs="Times New Roman"/>
        </w:rPr>
        <w:t>.</w:t>
      </w:r>
      <w:r w:rsidRPr="0068584C">
        <w:rPr>
          <w:rFonts w:ascii="Times New Roman" w:hAnsi="Times New Roman" w:cs="Times New Roman"/>
        </w:rPr>
        <w:t xml:space="preserve"> </w:t>
      </w:r>
      <w:r w:rsidR="005313E0" w:rsidRPr="0068584C">
        <w:rPr>
          <w:rFonts w:ascii="Times New Roman" w:hAnsi="Times New Roman" w:cs="Times New Roman"/>
        </w:rPr>
        <w:t xml:space="preserve">ROT is </w:t>
      </w:r>
      <w:r w:rsidR="006A586A" w:rsidRPr="0068584C">
        <w:rPr>
          <w:rFonts w:ascii="Times New Roman" w:hAnsi="Times New Roman" w:cs="Times New Roman"/>
        </w:rPr>
        <w:t>only concentrating</w:t>
      </w:r>
      <w:r w:rsidR="00E24C68" w:rsidRPr="0068584C">
        <w:rPr>
          <w:rFonts w:ascii="Times New Roman" w:hAnsi="Times New Roman" w:cs="Times New Roman"/>
        </w:rPr>
        <w:t xml:space="preserve"> on </w:t>
      </w:r>
      <w:r w:rsidR="006A586A" w:rsidRPr="0068584C">
        <w:rPr>
          <w:rFonts w:ascii="Times New Roman" w:hAnsi="Times New Roman" w:cs="Times New Roman"/>
        </w:rPr>
        <w:t xml:space="preserve">the </w:t>
      </w:r>
      <w:r w:rsidR="005313E0" w:rsidRPr="0068584C">
        <w:rPr>
          <w:rFonts w:ascii="Times New Roman" w:hAnsi="Times New Roman" w:cs="Times New Roman"/>
        </w:rPr>
        <w:t>focal organization</w:t>
      </w:r>
      <w:r w:rsidR="00E24C68" w:rsidRPr="0068584C">
        <w:rPr>
          <w:rFonts w:ascii="Times New Roman" w:hAnsi="Times New Roman" w:cs="Times New Roman"/>
        </w:rPr>
        <w:t xml:space="preserve"> itself</w:t>
      </w:r>
      <w:r w:rsidR="005313E0" w:rsidRPr="0068584C">
        <w:rPr>
          <w:rFonts w:ascii="Times New Roman" w:hAnsi="Times New Roman" w:cs="Times New Roman"/>
        </w:rPr>
        <w:t xml:space="preserve">. </w:t>
      </w:r>
      <w:r w:rsidR="00F55AEA" w:rsidRPr="0068584C">
        <w:rPr>
          <w:rFonts w:ascii="Times New Roman" w:hAnsi="Times New Roman" w:cs="Times New Roman"/>
        </w:rPr>
        <w:t xml:space="preserve">Sirmon et al. (2011) </w:t>
      </w:r>
      <w:r w:rsidR="002B28CE" w:rsidRPr="0068584C">
        <w:rPr>
          <w:rFonts w:ascii="Times New Roman" w:hAnsi="Times New Roman" w:cs="Times New Roman"/>
        </w:rPr>
        <w:t xml:space="preserve">defined </w:t>
      </w:r>
      <w:r w:rsidR="00F55AEA" w:rsidRPr="0068584C">
        <w:rPr>
          <w:rFonts w:ascii="Times New Roman" w:hAnsi="Times New Roman" w:cs="Times New Roman"/>
        </w:rPr>
        <w:t xml:space="preserve">the breadth of </w:t>
      </w:r>
      <w:r w:rsidR="006A586A" w:rsidRPr="0068584C">
        <w:rPr>
          <w:rFonts w:ascii="Times New Roman" w:hAnsi="Times New Roman" w:cs="Times New Roman"/>
        </w:rPr>
        <w:t>ROT</w:t>
      </w:r>
      <w:r w:rsidR="00F55AEA" w:rsidRPr="0068584C">
        <w:rPr>
          <w:rFonts w:ascii="Times New Roman" w:hAnsi="Times New Roman" w:cs="Times New Roman"/>
        </w:rPr>
        <w:t xml:space="preserve"> </w:t>
      </w:r>
      <w:r w:rsidR="007B0059" w:rsidRPr="0068584C">
        <w:rPr>
          <w:rFonts w:ascii="Times New Roman" w:hAnsi="Times New Roman" w:cs="Times New Roman"/>
        </w:rPr>
        <w:t xml:space="preserve">and </w:t>
      </w:r>
      <w:r w:rsidR="00E24C68" w:rsidRPr="0068584C">
        <w:rPr>
          <w:rFonts w:ascii="Times New Roman" w:hAnsi="Times New Roman" w:cs="Times New Roman"/>
        </w:rPr>
        <w:t>limited it to</w:t>
      </w:r>
      <w:r w:rsidR="007B0059" w:rsidRPr="0068584C">
        <w:rPr>
          <w:rFonts w:ascii="Times New Roman" w:hAnsi="Times New Roman" w:cs="Times New Roman"/>
        </w:rPr>
        <w:t xml:space="preserve"> </w:t>
      </w:r>
      <w:r w:rsidR="00F55AEA" w:rsidRPr="0068584C">
        <w:rPr>
          <w:rFonts w:ascii="Times New Roman" w:hAnsi="Times New Roman" w:cs="Times New Roman"/>
        </w:rPr>
        <w:t>the</w:t>
      </w:r>
      <w:r w:rsidR="007B0059" w:rsidRPr="0068584C">
        <w:rPr>
          <w:rFonts w:ascii="Times New Roman" w:hAnsi="Times New Roman" w:cs="Times New Roman"/>
        </w:rPr>
        <w:t xml:space="preserve"> internal,</w:t>
      </w:r>
      <w:r w:rsidR="00F55AEA" w:rsidRPr="0068584C">
        <w:rPr>
          <w:rFonts w:ascii="Times New Roman" w:hAnsi="Times New Roman" w:cs="Times New Roman"/>
        </w:rPr>
        <w:t xml:space="preserve"> organizational scope.</w:t>
      </w:r>
      <w:r w:rsidR="007F6C62" w:rsidRPr="0068584C">
        <w:rPr>
          <w:rFonts w:ascii="Times New Roman" w:hAnsi="Times New Roman" w:cs="Times New Roman"/>
        </w:rPr>
        <w:t xml:space="preserve"> </w:t>
      </w:r>
      <w:r w:rsidRPr="0068584C">
        <w:rPr>
          <w:rFonts w:ascii="Times New Roman" w:hAnsi="Times New Roman" w:cs="Times New Roman"/>
        </w:rPr>
        <w:t xml:space="preserve"> </w:t>
      </w:r>
    </w:p>
    <w:p w14:paraId="6BA55A77" w14:textId="4F539DB9" w:rsidR="00CE6527" w:rsidRPr="0068584C" w:rsidRDefault="00242061" w:rsidP="0035460B">
      <w:pPr>
        <w:spacing w:line="480" w:lineRule="auto"/>
        <w:jc w:val="both"/>
        <w:rPr>
          <w:rFonts w:ascii="Times New Roman" w:hAnsi="Times New Roman" w:cs="Times New Roman"/>
        </w:rPr>
      </w:pPr>
      <w:r>
        <w:rPr>
          <w:rFonts w:ascii="Times New Roman" w:hAnsi="Times New Roman" w:cs="Times New Roman"/>
        </w:rPr>
        <w:tab/>
      </w:r>
      <w:r w:rsidR="005313E0" w:rsidRPr="0068584C">
        <w:rPr>
          <w:rFonts w:ascii="Times New Roman" w:hAnsi="Times New Roman" w:cs="Times New Roman"/>
        </w:rPr>
        <w:t xml:space="preserve">To conclude, SCRO </w:t>
      </w:r>
      <w:r w:rsidR="001A6669" w:rsidRPr="0068584C">
        <w:rPr>
          <w:rFonts w:ascii="Times New Roman" w:hAnsi="Times New Roman" w:cs="Times New Roman"/>
        </w:rPr>
        <w:t xml:space="preserve">can </w:t>
      </w:r>
      <w:r w:rsidR="005313E0" w:rsidRPr="0068584C">
        <w:rPr>
          <w:rFonts w:ascii="Times New Roman" w:hAnsi="Times New Roman" w:cs="Times New Roman"/>
        </w:rPr>
        <w:t>broade</w:t>
      </w:r>
      <w:r w:rsidR="001A6669" w:rsidRPr="0068584C">
        <w:rPr>
          <w:rFonts w:ascii="Times New Roman" w:hAnsi="Times New Roman" w:cs="Times New Roman"/>
        </w:rPr>
        <w:t>n the</w:t>
      </w:r>
      <w:r w:rsidR="005313E0" w:rsidRPr="0068584C">
        <w:rPr>
          <w:rFonts w:ascii="Times New Roman" w:hAnsi="Times New Roman" w:cs="Times New Roman"/>
        </w:rPr>
        <w:t xml:space="preserve"> scope </w:t>
      </w:r>
      <w:r w:rsidR="00887278" w:rsidRPr="0068584C">
        <w:rPr>
          <w:rFonts w:ascii="Times New Roman" w:hAnsi="Times New Roman" w:cs="Times New Roman"/>
        </w:rPr>
        <w:t xml:space="preserve">of scholarly attention </w:t>
      </w:r>
      <w:r w:rsidR="005313E0" w:rsidRPr="0068584C">
        <w:rPr>
          <w:rFonts w:ascii="Times New Roman" w:hAnsi="Times New Roman" w:cs="Times New Roman"/>
        </w:rPr>
        <w:t>beyond pure</w:t>
      </w:r>
      <w:r w:rsidR="00887278" w:rsidRPr="0068584C">
        <w:rPr>
          <w:rFonts w:ascii="Times New Roman" w:hAnsi="Times New Roman" w:cs="Times New Roman"/>
        </w:rPr>
        <w:t>ly</w:t>
      </w:r>
      <w:r w:rsidR="005313E0" w:rsidRPr="0068584C">
        <w:rPr>
          <w:rFonts w:ascii="Times New Roman" w:hAnsi="Times New Roman" w:cs="Times New Roman"/>
        </w:rPr>
        <w:t xml:space="preserve"> internal, fully self-controlled resources. Consequently, </w:t>
      </w:r>
      <w:r w:rsidR="001A6669" w:rsidRPr="0068584C">
        <w:rPr>
          <w:rFonts w:ascii="Times New Roman" w:hAnsi="Times New Roman" w:cs="Times New Roman"/>
        </w:rPr>
        <w:t xml:space="preserve">different </w:t>
      </w:r>
      <w:r w:rsidR="005313E0" w:rsidRPr="0068584C">
        <w:rPr>
          <w:rFonts w:ascii="Times New Roman" w:hAnsi="Times New Roman" w:cs="Times New Roman"/>
        </w:rPr>
        <w:t xml:space="preserve">managerial actions </w:t>
      </w:r>
      <w:r w:rsidR="001A6669" w:rsidRPr="0068584C">
        <w:rPr>
          <w:rFonts w:ascii="Times New Roman" w:hAnsi="Times New Roman" w:cs="Times New Roman"/>
        </w:rPr>
        <w:t xml:space="preserve">become </w:t>
      </w:r>
      <w:r w:rsidR="005313E0" w:rsidRPr="0068584C">
        <w:rPr>
          <w:rFonts w:ascii="Times New Roman" w:hAnsi="Times New Roman" w:cs="Times New Roman"/>
        </w:rPr>
        <w:t>essential for effective external resource management</w:t>
      </w:r>
      <w:r w:rsidR="001A6669" w:rsidRPr="0068584C">
        <w:rPr>
          <w:rFonts w:ascii="Times New Roman" w:hAnsi="Times New Roman" w:cs="Times New Roman"/>
        </w:rPr>
        <w:t>.</w:t>
      </w:r>
      <w:r w:rsidR="005313E0" w:rsidRPr="0068584C">
        <w:rPr>
          <w:rFonts w:ascii="Times New Roman" w:hAnsi="Times New Roman" w:cs="Times New Roman"/>
        </w:rPr>
        <w:t xml:space="preserve"> </w:t>
      </w:r>
      <w:r w:rsidR="00390FC5" w:rsidRPr="0068584C">
        <w:rPr>
          <w:rFonts w:ascii="Times New Roman" w:hAnsi="Times New Roman" w:cs="Times New Roman"/>
        </w:rPr>
        <w:t>Applying the prior work of Sirmon et al. (2011) and other scholars, the theoretical lens of SCRO should extend the existing resource-</w:t>
      </w:r>
      <w:r w:rsidR="00CE6527">
        <w:rPr>
          <w:rFonts w:ascii="Times New Roman" w:hAnsi="Times New Roman" w:cs="Times New Roman"/>
        </w:rPr>
        <w:t>management</w:t>
      </w:r>
      <w:r w:rsidR="00390FC5" w:rsidRPr="0068584C">
        <w:rPr>
          <w:rFonts w:ascii="Times New Roman" w:hAnsi="Times New Roman" w:cs="Times New Roman"/>
        </w:rPr>
        <w:t xml:space="preserve"> theoretical domain by emphasizing the role of managerial </w:t>
      </w:r>
      <w:r w:rsidR="00CE6527">
        <w:rPr>
          <w:rFonts w:ascii="Times New Roman" w:hAnsi="Times New Roman" w:cs="Times New Roman"/>
        </w:rPr>
        <w:t>practices</w:t>
      </w:r>
      <w:r w:rsidR="00CE6527" w:rsidRPr="0068584C">
        <w:rPr>
          <w:rFonts w:ascii="Times New Roman" w:hAnsi="Times New Roman" w:cs="Times New Roman"/>
        </w:rPr>
        <w:t xml:space="preserve"> </w:t>
      </w:r>
      <w:r w:rsidR="00390FC5" w:rsidRPr="0068584C">
        <w:rPr>
          <w:rFonts w:ascii="Times New Roman" w:hAnsi="Times New Roman" w:cs="Times New Roman"/>
        </w:rPr>
        <w:t xml:space="preserve">of structuring, bundling, and leveraging resources. </w:t>
      </w:r>
    </w:p>
    <w:p w14:paraId="0E9C66C8" w14:textId="77777777" w:rsidR="00F94828" w:rsidRPr="0068584C" w:rsidRDefault="00F94828" w:rsidP="0035460B">
      <w:pPr>
        <w:spacing w:line="480" w:lineRule="auto"/>
        <w:rPr>
          <w:rFonts w:ascii="Times New Roman" w:hAnsi="Times New Roman" w:cs="Times New Roman"/>
        </w:rPr>
      </w:pPr>
    </w:p>
    <w:p w14:paraId="7F63DF8B" w14:textId="45BDF991" w:rsidR="00BE0F80" w:rsidRPr="0068584C" w:rsidRDefault="00652B11" w:rsidP="00F53780">
      <w:pPr>
        <w:pStyle w:val="Heading3new"/>
      </w:pPr>
      <w:r w:rsidRPr="00D3563D">
        <w:t xml:space="preserve">Relationships </w:t>
      </w:r>
      <w:r w:rsidR="00AD3CE3" w:rsidRPr="00D3563D">
        <w:t xml:space="preserve">Among </w:t>
      </w:r>
      <w:r w:rsidR="00EE160E" w:rsidRPr="00D3563D">
        <w:t>Construct</w:t>
      </w:r>
      <w:r w:rsidRPr="00D3563D">
        <w:t>s</w:t>
      </w:r>
      <w:r w:rsidR="0002486F" w:rsidRPr="00D3563D">
        <w:t xml:space="preserve"> </w:t>
      </w:r>
      <w:r w:rsidR="00D51DB2" w:rsidRPr="00D3563D">
        <w:t xml:space="preserve">and Predictions Based on the SCRO </w:t>
      </w:r>
      <w:r w:rsidR="00275419" w:rsidRPr="00D3563D">
        <w:t>Framework</w:t>
      </w:r>
      <w:r w:rsidR="00D51DB2" w:rsidRPr="00D3563D" w:rsidDel="009E57BC">
        <w:t xml:space="preserve"> </w:t>
      </w:r>
    </w:p>
    <w:p w14:paraId="3583CD0F" w14:textId="4237D538" w:rsidR="00BE0F80" w:rsidRPr="0068584C" w:rsidRDefault="00F9349B"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In this section</w:t>
      </w:r>
      <w:r w:rsidR="00BE0F80" w:rsidRPr="0068584C">
        <w:rPr>
          <w:rFonts w:ascii="Times New Roman" w:hAnsi="Times New Roman" w:cs="Times New Roman"/>
          <w:color w:val="000000" w:themeColor="text1"/>
        </w:rPr>
        <w:t xml:space="preserve">, the relationships among </w:t>
      </w:r>
      <w:r w:rsidR="00EE160E" w:rsidRPr="0068584C">
        <w:rPr>
          <w:rFonts w:ascii="Times New Roman" w:hAnsi="Times New Roman" w:cs="Times New Roman"/>
          <w:color w:val="000000" w:themeColor="text1"/>
        </w:rPr>
        <w:t>construct</w:t>
      </w:r>
      <w:r w:rsidR="00BE0F80" w:rsidRPr="0068584C">
        <w:rPr>
          <w:rFonts w:ascii="Times New Roman" w:hAnsi="Times New Roman" w:cs="Times New Roman"/>
          <w:color w:val="000000" w:themeColor="text1"/>
        </w:rPr>
        <w:t>s within the SCRO framework</w:t>
      </w:r>
      <w:r w:rsidR="00275419" w:rsidRPr="0068584C">
        <w:rPr>
          <w:rFonts w:ascii="Times New Roman" w:hAnsi="Times New Roman" w:cs="Times New Roman"/>
          <w:color w:val="000000" w:themeColor="text1"/>
        </w:rPr>
        <w:t xml:space="preserve"> as well as the corresponding research propositions (predictions)</w:t>
      </w:r>
      <w:r w:rsidR="00BE0F80" w:rsidRPr="0068584C">
        <w:rPr>
          <w:rFonts w:ascii="Times New Roman" w:hAnsi="Times New Roman" w:cs="Times New Roman"/>
          <w:color w:val="000000" w:themeColor="text1"/>
        </w:rPr>
        <w:t xml:space="preserve"> </w:t>
      </w:r>
      <w:r w:rsidR="001B1956" w:rsidRPr="0068584C">
        <w:rPr>
          <w:rFonts w:ascii="Times New Roman" w:hAnsi="Times New Roman" w:cs="Times New Roman"/>
          <w:color w:val="000000" w:themeColor="text1"/>
        </w:rPr>
        <w:t>are</w:t>
      </w:r>
      <w:r w:rsidRPr="0068584C">
        <w:rPr>
          <w:rFonts w:ascii="Times New Roman" w:hAnsi="Times New Roman" w:cs="Times New Roman"/>
          <w:color w:val="000000" w:themeColor="text1"/>
        </w:rPr>
        <w:t xml:space="preserve"> </w:t>
      </w:r>
      <w:r w:rsidR="00BE0F80" w:rsidRPr="0068584C">
        <w:rPr>
          <w:rFonts w:ascii="Times New Roman" w:hAnsi="Times New Roman" w:cs="Times New Roman"/>
          <w:color w:val="000000" w:themeColor="text1"/>
        </w:rPr>
        <w:t>developed</w:t>
      </w:r>
      <w:r w:rsidRPr="0068584C">
        <w:rPr>
          <w:rFonts w:ascii="Times New Roman" w:hAnsi="Times New Roman" w:cs="Times New Roman"/>
          <w:color w:val="000000" w:themeColor="text1"/>
        </w:rPr>
        <w:t xml:space="preserve"> based on the literature and prior elaboration</w:t>
      </w:r>
      <w:r w:rsidR="00BE0F80" w:rsidRPr="0068584C">
        <w:rPr>
          <w:rFonts w:ascii="Times New Roman" w:hAnsi="Times New Roman" w:cs="Times New Roman"/>
          <w:color w:val="000000" w:themeColor="text1"/>
        </w:rPr>
        <w:t xml:space="preserve">. How </w:t>
      </w:r>
      <w:r w:rsidR="00846FD3" w:rsidRPr="0068584C">
        <w:rPr>
          <w:rFonts w:ascii="Times New Roman" w:hAnsi="Times New Roman" w:cs="Times New Roman"/>
          <w:color w:val="000000" w:themeColor="text1"/>
        </w:rPr>
        <w:t xml:space="preserve">does </w:t>
      </w:r>
      <w:r w:rsidR="00AD3CE3" w:rsidRPr="0068584C">
        <w:rPr>
          <w:rFonts w:ascii="Times New Roman" w:hAnsi="Times New Roman" w:cs="Times New Roman"/>
          <w:color w:val="000000" w:themeColor="text1"/>
        </w:rPr>
        <w:t>SCRO</w:t>
      </w:r>
      <w:r w:rsidR="00BE0F80" w:rsidRPr="0068584C">
        <w:rPr>
          <w:rFonts w:ascii="Times New Roman" w:hAnsi="Times New Roman" w:cs="Times New Roman"/>
          <w:color w:val="000000" w:themeColor="text1"/>
        </w:rPr>
        <w:t xml:space="preserve"> affect the competitive position of </w:t>
      </w:r>
      <w:r w:rsidR="00846FD3" w:rsidRPr="0068584C">
        <w:rPr>
          <w:rFonts w:ascii="Times New Roman" w:hAnsi="Times New Roman" w:cs="Times New Roman"/>
          <w:color w:val="000000" w:themeColor="text1"/>
        </w:rPr>
        <w:t xml:space="preserve">an </w:t>
      </w:r>
      <w:r w:rsidR="00BE0F80" w:rsidRPr="0068584C">
        <w:rPr>
          <w:rFonts w:ascii="Times New Roman" w:hAnsi="Times New Roman" w:cs="Times New Roman"/>
          <w:color w:val="000000" w:themeColor="text1"/>
        </w:rPr>
        <w:t xml:space="preserve">organization? How </w:t>
      </w:r>
      <w:r w:rsidR="00FA1B32" w:rsidRPr="0068584C">
        <w:rPr>
          <w:rFonts w:ascii="Times New Roman" w:hAnsi="Times New Roman" w:cs="Times New Roman"/>
          <w:color w:val="000000" w:themeColor="text1"/>
        </w:rPr>
        <w:t xml:space="preserve">is </w:t>
      </w:r>
      <w:r w:rsidR="00BE0F80" w:rsidRPr="0068584C">
        <w:rPr>
          <w:rFonts w:ascii="Times New Roman" w:hAnsi="Times New Roman" w:cs="Times New Roman"/>
          <w:color w:val="000000" w:themeColor="text1"/>
        </w:rPr>
        <w:t xml:space="preserve">organizational performance in general, and innovation performance in particular, affected by </w:t>
      </w:r>
      <w:r w:rsidR="00942F47" w:rsidRPr="0068584C">
        <w:rPr>
          <w:rFonts w:ascii="Times New Roman" w:hAnsi="Times New Roman" w:cs="Times New Roman"/>
          <w:color w:val="000000" w:themeColor="text1"/>
        </w:rPr>
        <w:t>SCRO</w:t>
      </w:r>
      <w:r w:rsidR="00BE0F80" w:rsidRPr="0068584C">
        <w:rPr>
          <w:rFonts w:ascii="Times New Roman" w:hAnsi="Times New Roman" w:cs="Times New Roman"/>
          <w:color w:val="000000" w:themeColor="text1"/>
        </w:rPr>
        <w:t xml:space="preserve"> </w:t>
      </w:r>
      <w:r w:rsidR="00AD3CE3" w:rsidRPr="0068584C">
        <w:rPr>
          <w:rFonts w:ascii="Times New Roman" w:hAnsi="Times New Roman" w:cs="Times New Roman"/>
          <w:color w:val="000000" w:themeColor="text1"/>
        </w:rPr>
        <w:t>practices</w:t>
      </w:r>
      <w:r w:rsidR="00BE0F80" w:rsidRPr="0068584C">
        <w:rPr>
          <w:rFonts w:ascii="Times New Roman" w:hAnsi="Times New Roman" w:cs="Times New Roman"/>
          <w:color w:val="000000" w:themeColor="text1"/>
        </w:rPr>
        <w:t xml:space="preserve">? What are the decisive logical connections among the key </w:t>
      </w:r>
      <w:r w:rsidR="00DF35F5" w:rsidRPr="0068584C">
        <w:rPr>
          <w:rFonts w:ascii="Times New Roman" w:hAnsi="Times New Roman" w:cs="Times New Roman"/>
          <w:color w:val="000000" w:themeColor="text1"/>
        </w:rPr>
        <w:t>construct</w:t>
      </w:r>
      <w:r w:rsidR="00BE0F80" w:rsidRPr="0068584C">
        <w:rPr>
          <w:rFonts w:ascii="Times New Roman" w:hAnsi="Times New Roman" w:cs="Times New Roman"/>
          <w:color w:val="000000" w:themeColor="text1"/>
        </w:rPr>
        <w:t xml:space="preserve">s in the emerging SCRO framework? </w:t>
      </w:r>
    </w:p>
    <w:p w14:paraId="28BF3732" w14:textId="728055BD" w:rsidR="00BE0F80" w:rsidRPr="0068584C" w:rsidRDefault="00265486"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BE0F80" w:rsidRPr="0068584C">
        <w:rPr>
          <w:rFonts w:ascii="Times New Roman" w:hAnsi="Times New Roman" w:cs="Times New Roman"/>
          <w:color w:val="000000" w:themeColor="text1"/>
        </w:rPr>
        <w:t>Individual resources can frequently be imitated by competitors and thus cannot create a sustainable advantage</w:t>
      </w:r>
      <w:r w:rsidR="00C47FCE">
        <w:rPr>
          <w:rFonts w:ascii="Times New Roman" w:hAnsi="Times New Roman" w:cs="Times New Roman"/>
          <w:color w:val="000000" w:themeColor="text1"/>
        </w:rPr>
        <w:t xml:space="preserve"> </w:t>
      </w:r>
      <w:r w:rsidR="00C47FCE">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"ITEM-1", "issued" : { "date-parts" : [ [ "2007" ] ] }, "page" : "1319-1350", "title" : "Explicating Dynamic Capabilities: The Nature and Microfoundations of (Sustainable) Enterprise Performance", "type" : "article-journal", "volume" : "28" }, "uris" : [ "http://www.mendeley.com/documents/?uuid=294c960e-6f43-40bf-808a-3028629ef748" ] } ], "mendeley" : { "formattedCitation" : "(Teece, 2007)", "plainTextFormattedCitation" : "(Teece, 2007)", "previouslyFormattedCitation" : "(Teece, 2007)" }, "properties" : { "noteIndex" : 0 }, "schema" : "https://github.com/citation-style-language/schema/raw/master/csl-citation.json" }</w:instrText>
      </w:r>
      <w:r w:rsidR="00C47FCE">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(Teece, 2007)</w:t>
      </w:r>
      <w:r w:rsidR="00C47FCE">
        <w:rPr>
          <w:rFonts w:ascii="Times New Roman" w:hAnsi="Times New Roman" w:cs="Times New Roman"/>
          <w:color w:val="000000" w:themeColor="text1"/>
        </w:rPr>
        <w:fldChar w:fldCharType="end"/>
      </w:r>
      <w:r w:rsidR="00C47FCE">
        <w:rPr>
          <w:rFonts w:ascii="Times New Roman" w:hAnsi="Times New Roman" w:cs="Times New Roman"/>
          <w:color w:val="000000" w:themeColor="text1"/>
        </w:rPr>
        <w:t>.</w:t>
      </w:r>
      <w:r w:rsidR="00CB20AC" w:rsidRPr="0068584C">
        <w:rPr>
          <w:rFonts w:ascii="Times New Roman" w:hAnsi="Times New Roman" w:cs="Times New Roman"/>
          <w:color w:val="000000" w:themeColor="text1"/>
        </w:rPr>
        <w:t xml:space="preserve"> </w:t>
      </w:r>
      <w:r w:rsidR="00BE0F80" w:rsidRPr="0068584C">
        <w:rPr>
          <w:rFonts w:ascii="Times New Roman" w:hAnsi="Times New Roman" w:cs="Times New Roman"/>
          <w:color w:val="000000" w:themeColor="text1"/>
        </w:rPr>
        <w:t>The competitive value of SCRO</w:t>
      </w:r>
      <w:r w:rsidR="00CE6527">
        <w:rPr>
          <w:rFonts w:ascii="Times New Roman" w:hAnsi="Times New Roman" w:cs="Times New Roman"/>
          <w:color w:val="000000" w:themeColor="text1"/>
        </w:rPr>
        <w:t xml:space="preserve"> practices</w:t>
      </w:r>
      <w:r w:rsidR="00BE0F80" w:rsidRPr="0068584C">
        <w:rPr>
          <w:rFonts w:ascii="Times New Roman" w:hAnsi="Times New Roman" w:cs="Times New Roman"/>
          <w:color w:val="000000" w:themeColor="text1"/>
        </w:rPr>
        <w:t xml:space="preserve"> lies in </w:t>
      </w:r>
      <w:r w:rsidR="008427DE" w:rsidRPr="0068584C">
        <w:rPr>
          <w:rFonts w:ascii="Times New Roman" w:hAnsi="Times New Roman" w:cs="Times New Roman"/>
          <w:color w:val="000000" w:themeColor="text1"/>
        </w:rPr>
        <w:t xml:space="preserve">its </w:t>
      </w:r>
      <w:r w:rsidR="00BE0F80" w:rsidRPr="0068584C">
        <w:rPr>
          <w:rFonts w:ascii="Times New Roman" w:hAnsi="Times New Roman" w:cs="Times New Roman"/>
          <w:color w:val="000000" w:themeColor="text1"/>
        </w:rPr>
        <w:t xml:space="preserve">context-adapted resource management practices, not in the accumulation of individual resources themselves </w:t>
      </w:r>
      <w:r w:rsidR="00BE0F80"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"ITEM-1", "issued" : { "date-parts" : [ [ "2000" ] ] }, "page" : "1105-1121", "title" : "Dynamic Capabilities: What Are They?", "type" : "article-journal", "volume" : "21" }, "uris" : [ "http://www.mendeley.com/documents/?uuid=29651fe3-b2a9-482d-82cf-c139477ca50d" ] } ], "mendeley" : { "formattedCitation" : "(Eisenhardt &amp; Martin, 2000)", "plainTextFormattedCitation" : "(Eisenhardt &amp; Martin, 2000)", "previouslyFormattedCitation" : "(Eisenhardt &amp; Martin, 2000)" }, "properties" : { "noteIndex" : 0 }, "schema" : "https://github.com/citation-style-language/schema/raw/master/csl-citation.json" }</w:instrText>
      </w:r>
      <w:r w:rsidR="00BE0F80"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(Eisenhardt &amp; Martin, 2000)</w:t>
      </w:r>
      <w:r w:rsidR="00BE0F80" w:rsidRPr="0068584C">
        <w:rPr>
          <w:rFonts w:ascii="Times New Roman" w:hAnsi="Times New Roman" w:cs="Times New Roman"/>
          <w:color w:val="000000" w:themeColor="text1"/>
        </w:rPr>
        <w:fldChar w:fldCharType="end"/>
      </w:r>
      <w:r w:rsidR="00BE0F80" w:rsidRPr="0068584C">
        <w:rPr>
          <w:rFonts w:ascii="Times New Roman" w:hAnsi="Times New Roman" w:cs="Times New Roman"/>
          <w:color w:val="000000" w:themeColor="text1"/>
        </w:rPr>
        <w:t xml:space="preserve">. Existing resource management research based on DCT or ROT has mainly emphasized the (re-) configuration and/or orchestration of company-internal resources. However, it appears plausible to broaden this mechanism to </w:t>
      </w:r>
      <w:r w:rsidR="009E6904" w:rsidRPr="0068584C">
        <w:rPr>
          <w:rFonts w:ascii="Times New Roman" w:hAnsi="Times New Roman" w:cs="Times New Roman"/>
          <w:color w:val="000000" w:themeColor="text1"/>
        </w:rPr>
        <w:t xml:space="preserve">include </w:t>
      </w:r>
      <w:r w:rsidR="00BE0F80" w:rsidRPr="0068584C">
        <w:rPr>
          <w:rFonts w:ascii="Times New Roman" w:hAnsi="Times New Roman" w:cs="Times New Roman"/>
          <w:color w:val="000000" w:themeColor="text1"/>
        </w:rPr>
        <w:t>the re-configuration and orchestration of external resources provided by the supply chain</w:t>
      </w:r>
      <w:r w:rsidR="001644EF" w:rsidRPr="0068584C">
        <w:rPr>
          <w:rFonts w:ascii="Times New Roman" w:hAnsi="Times New Roman" w:cs="Times New Roman"/>
          <w:color w:val="000000" w:themeColor="text1"/>
        </w:rPr>
        <w:t xml:space="preserve"> (Yli-Renko et </w:t>
      </w:r>
      <w:r w:rsidR="001644EF" w:rsidRPr="0068584C">
        <w:rPr>
          <w:rFonts w:ascii="Times New Roman" w:hAnsi="Times New Roman" w:cs="Times New Roman"/>
          <w:color w:val="000000" w:themeColor="text1"/>
        </w:rPr>
        <w:lastRenderedPageBreak/>
        <w:t>al. 2001)</w:t>
      </w:r>
      <w:r w:rsidR="00BE0F80" w:rsidRPr="0068584C">
        <w:rPr>
          <w:rFonts w:ascii="Times New Roman" w:hAnsi="Times New Roman" w:cs="Times New Roman"/>
          <w:color w:val="000000" w:themeColor="text1"/>
        </w:rPr>
        <w:t xml:space="preserve">. Therefore, </w:t>
      </w:r>
      <w:r w:rsidR="008545DC" w:rsidRPr="0068584C">
        <w:rPr>
          <w:rFonts w:ascii="Times New Roman" w:hAnsi="Times New Roman" w:cs="Times New Roman"/>
          <w:color w:val="000000" w:themeColor="text1"/>
        </w:rPr>
        <w:t xml:space="preserve">the </w:t>
      </w:r>
      <w:r w:rsidR="00BE0F80" w:rsidRPr="0068584C">
        <w:rPr>
          <w:rFonts w:ascii="Times New Roman" w:hAnsi="Times New Roman" w:cs="Times New Roman"/>
          <w:color w:val="000000" w:themeColor="text1"/>
        </w:rPr>
        <w:t xml:space="preserve">SCRO framework </w:t>
      </w:r>
      <w:r w:rsidR="00EF0E0A" w:rsidRPr="0068584C">
        <w:rPr>
          <w:rFonts w:ascii="Times New Roman" w:hAnsi="Times New Roman" w:cs="Times New Roman"/>
          <w:color w:val="000000" w:themeColor="text1"/>
        </w:rPr>
        <w:t xml:space="preserve">primarily encompasses </w:t>
      </w:r>
      <w:r w:rsidR="00BE0F80" w:rsidRPr="0068584C">
        <w:rPr>
          <w:rFonts w:ascii="Times New Roman" w:hAnsi="Times New Roman" w:cs="Times New Roman"/>
          <w:color w:val="000000" w:themeColor="text1"/>
        </w:rPr>
        <w:t>the relationship between resources (internal and external), supply chain resource orchestration practices, and organizational performance</w:t>
      </w:r>
      <w:r w:rsidR="00CB20AC" w:rsidRPr="0068584C">
        <w:rPr>
          <w:rFonts w:ascii="Times New Roman" w:hAnsi="Times New Roman" w:cs="Times New Roman"/>
          <w:color w:val="000000" w:themeColor="text1"/>
        </w:rPr>
        <w:t>, along with organizational culture</w:t>
      </w:r>
      <w:r w:rsidR="00BE0F80" w:rsidRPr="0068584C">
        <w:rPr>
          <w:rFonts w:ascii="Times New Roman" w:hAnsi="Times New Roman" w:cs="Times New Roman"/>
          <w:color w:val="000000" w:themeColor="text1"/>
        </w:rPr>
        <w:t xml:space="preserve">. </w:t>
      </w:r>
    </w:p>
    <w:p w14:paraId="2766B43F" w14:textId="295F73CC" w:rsidR="00BE0F80" w:rsidRPr="0068584C" w:rsidRDefault="00265486"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BE0F80" w:rsidRPr="0068584C">
        <w:rPr>
          <w:rFonts w:ascii="Times New Roman" w:hAnsi="Times New Roman" w:cs="Times New Roman"/>
          <w:color w:val="000000" w:themeColor="text1"/>
        </w:rPr>
        <w:t xml:space="preserve">Effectively executed SCRO practices </w:t>
      </w:r>
      <w:r w:rsidR="008545DC" w:rsidRPr="0068584C">
        <w:rPr>
          <w:rFonts w:ascii="Times New Roman" w:hAnsi="Times New Roman" w:cs="Times New Roman"/>
          <w:color w:val="000000" w:themeColor="text1"/>
        </w:rPr>
        <w:t xml:space="preserve">can </w:t>
      </w:r>
      <w:r w:rsidR="00BE0F80" w:rsidRPr="0068584C">
        <w:rPr>
          <w:rFonts w:ascii="Times New Roman" w:hAnsi="Times New Roman" w:cs="Times New Roman"/>
          <w:color w:val="000000" w:themeColor="text1"/>
        </w:rPr>
        <w:t>be understood as dynamic capabilit</w:t>
      </w:r>
      <w:r w:rsidR="00DD2967" w:rsidRPr="0068584C">
        <w:rPr>
          <w:rFonts w:ascii="Times New Roman" w:hAnsi="Times New Roman" w:cs="Times New Roman"/>
          <w:color w:val="000000" w:themeColor="text1"/>
        </w:rPr>
        <w:t>ies</w:t>
      </w:r>
      <w:r w:rsidR="00BE0F80" w:rsidRPr="0068584C">
        <w:rPr>
          <w:rFonts w:ascii="Times New Roman" w:hAnsi="Times New Roman" w:cs="Times New Roman"/>
          <w:color w:val="000000" w:themeColor="text1"/>
        </w:rPr>
        <w:t xml:space="preserve"> that </w:t>
      </w:r>
      <w:r w:rsidR="00DD2967" w:rsidRPr="0068584C">
        <w:rPr>
          <w:rFonts w:ascii="Times New Roman" w:hAnsi="Times New Roman" w:cs="Times New Roman"/>
          <w:color w:val="000000" w:themeColor="text1"/>
        </w:rPr>
        <w:t xml:space="preserve">are </w:t>
      </w:r>
      <w:r w:rsidR="00BE0F80" w:rsidRPr="0068584C">
        <w:rPr>
          <w:rFonts w:ascii="Times New Roman" w:hAnsi="Times New Roman" w:cs="Times New Roman"/>
          <w:color w:val="000000" w:themeColor="text1"/>
        </w:rPr>
        <w:t xml:space="preserve">valuable, rare, inimitable, and nonsubstitutable and serves as competitive advantage </w:t>
      </w:r>
      <w:r w:rsidR="00BE0F80" w:rsidRPr="0068584C">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"ITEM-1", "issued" : { "date-parts" : [ [ "2007" ] ] }, "page" : "1319-1350", "title" : "Explicating Dynamic Capabilities: The Nature and Microfoundations of (Sustainable) Enterprise Performance", "type" : "article-journal", "volume" : "28" }, "uris" : [ "http://www.mendeley.com/documents/?uuid=294c960e-6f43-40bf-808a-3028629ef748" ] }, { "id" : "ITEM-2",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"ITEM-2", "issued" : { "date-parts" : [ [ "2000" ] ] }, "page" : "1105-1121", "title" : "Dynamic Capabilities: What Are They?", "type" : "article-journal", "volume" : "21" }, "uris" : [ "http://www.mendeley.com/documents/?uuid=29651fe3-b2a9-482d-82cf-c139477ca50d" ] } ], "mendeley" : { "formattedCitation" : "(Eisenhardt &amp; Martin, 2000; Teece, 2007)", "plainTextFormattedCitation" : "(Eisenhardt &amp; Martin, 2000; Teece, 2007)", "previouslyFormattedCitation" : "(Eisenhardt &amp; Martin, 2000; Teece, 2007)" }, "properties" : { "noteIndex" : 0 }, "schema" : "https://github.com/citation-style-language/schema/raw/master/csl-citation.json" }</w:instrText>
      </w:r>
      <w:r w:rsidR="00BE0F80" w:rsidRPr="0068584C">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(Eisenhardt &amp; Martin, 2000; Teece, 2007)</w:t>
      </w:r>
      <w:r w:rsidR="00BE0F80" w:rsidRPr="0068584C">
        <w:rPr>
          <w:rFonts w:ascii="Times New Roman" w:hAnsi="Times New Roman" w:cs="Times New Roman"/>
          <w:color w:val="000000" w:themeColor="text1"/>
        </w:rPr>
        <w:fldChar w:fldCharType="end"/>
      </w:r>
      <w:r w:rsidR="00BE0F80" w:rsidRPr="0068584C">
        <w:rPr>
          <w:rFonts w:ascii="Times New Roman" w:hAnsi="Times New Roman" w:cs="Times New Roman"/>
          <w:color w:val="000000" w:themeColor="text1"/>
        </w:rPr>
        <w:t xml:space="preserve">.  </w:t>
      </w:r>
      <w:r w:rsidR="00AF1003" w:rsidRPr="0068584C">
        <w:rPr>
          <w:rFonts w:ascii="Times New Roman" w:hAnsi="Times New Roman" w:cs="Times New Roman"/>
          <w:color w:val="000000" w:themeColor="text1"/>
        </w:rPr>
        <w:t xml:space="preserve">These </w:t>
      </w:r>
      <w:r w:rsidR="00BE0F80" w:rsidRPr="0068584C">
        <w:rPr>
          <w:rFonts w:ascii="Times New Roman" w:hAnsi="Times New Roman" w:cs="Times New Roman"/>
          <w:color w:val="000000" w:themeColor="text1"/>
        </w:rPr>
        <w:t xml:space="preserve">competitive </w:t>
      </w:r>
      <w:r w:rsidR="00AF1003" w:rsidRPr="0068584C">
        <w:rPr>
          <w:rFonts w:ascii="Times New Roman" w:hAnsi="Times New Roman" w:cs="Times New Roman"/>
          <w:color w:val="000000" w:themeColor="text1"/>
        </w:rPr>
        <w:t xml:space="preserve">capabilities </w:t>
      </w:r>
      <w:r w:rsidR="00BE0F80" w:rsidRPr="0068584C">
        <w:rPr>
          <w:rFonts w:ascii="Times New Roman" w:hAnsi="Times New Roman" w:cs="Times New Roman"/>
          <w:color w:val="000000" w:themeColor="text1"/>
        </w:rPr>
        <w:t xml:space="preserve">result </w:t>
      </w:r>
      <w:r w:rsidR="00AF1003" w:rsidRPr="0068584C">
        <w:rPr>
          <w:rFonts w:ascii="Times New Roman" w:hAnsi="Times New Roman" w:cs="Times New Roman"/>
          <w:color w:val="000000" w:themeColor="text1"/>
        </w:rPr>
        <w:t xml:space="preserve">from </w:t>
      </w:r>
      <w:r w:rsidR="00BE0F80" w:rsidRPr="0068584C">
        <w:rPr>
          <w:rFonts w:ascii="Times New Roman" w:hAnsi="Times New Roman" w:cs="Times New Roman"/>
          <w:color w:val="000000" w:themeColor="text1"/>
        </w:rPr>
        <w:t>the sub-processes of resource structuring, bundling, and leveraging efforts</w:t>
      </w:r>
      <w:r w:rsidR="00665245" w:rsidRPr="0068584C">
        <w:rPr>
          <w:rFonts w:ascii="Times New Roman" w:hAnsi="Times New Roman" w:cs="Times New Roman"/>
          <w:color w:val="000000" w:themeColor="text1"/>
        </w:rPr>
        <w:t>.</w:t>
      </w:r>
      <w:r w:rsidR="00BE0F80" w:rsidRPr="0068584C">
        <w:rPr>
          <w:rFonts w:ascii="Times New Roman" w:hAnsi="Times New Roman" w:cs="Times New Roman"/>
          <w:color w:val="000000" w:themeColor="text1"/>
        </w:rPr>
        <w:t xml:space="preserve">  The literature has already suggested </w:t>
      </w:r>
      <w:r w:rsidR="00520CC1" w:rsidRPr="0068584C">
        <w:rPr>
          <w:rFonts w:ascii="Times New Roman" w:hAnsi="Times New Roman" w:cs="Times New Roman"/>
          <w:color w:val="000000" w:themeColor="text1"/>
        </w:rPr>
        <w:t xml:space="preserve">the </w:t>
      </w:r>
      <w:r w:rsidR="00BE0F80" w:rsidRPr="0068584C">
        <w:rPr>
          <w:rFonts w:ascii="Times New Roman" w:hAnsi="Times New Roman" w:cs="Times New Roman"/>
          <w:color w:val="000000" w:themeColor="text1"/>
        </w:rPr>
        <w:t>positive performance impact of dynamic capabilities on organizational performance</w:t>
      </w:r>
      <w:r w:rsidR="000C388E">
        <w:rPr>
          <w:rFonts w:ascii="Times New Roman" w:hAnsi="Times New Roman" w:cs="Times New Roman"/>
          <w:color w:val="000000" w:themeColor="text1"/>
        </w:rPr>
        <w:t xml:space="preserve"> </w:t>
      </w:r>
      <w:r w:rsidR="000C388E">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"ITEM-1", "issued" : { "date-parts" : [ [ "2007" ] ] }, "page" : "1319-1350", "title" : "Explicating Dynamic Capabilities: The Nature and Microfoundations of (Sustainable) Enterprise Performance", "type" : "article-journal", "volume" : "28" }, "uris" : [ "http://www.mendeley.com/documents/?uuid=294c960e-6f43-40bf-808a-3028629ef748" ] } ], "mendeley" : { "formattedCitation" : "(Teece, 2007)", "plainTextFormattedCitation" : "(Teece, 2007)", "previouslyFormattedCitation" : "(Teece, 2007)" }, "properties" : { "noteIndex" : 0 }, "schema" : "https://github.com/citation-style-language/schema/raw/master/csl-citation.json" }</w:instrText>
      </w:r>
      <w:r w:rsidR="000C388E">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(Teece, 2007)</w:t>
      </w:r>
      <w:r w:rsidR="000C388E">
        <w:rPr>
          <w:rFonts w:ascii="Times New Roman" w:hAnsi="Times New Roman" w:cs="Times New Roman"/>
          <w:color w:val="000000" w:themeColor="text1"/>
        </w:rPr>
        <w:fldChar w:fldCharType="end"/>
      </w:r>
      <w:r w:rsidR="000C388E">
        <w:rPr>
          <w:rFonts w:ascii="Times New Roman" w:hAnsi="Times New Roman" w:cs="Times New Roman"/>
          <w:color w:val="000000" w:themeColor="text1"/>
        </w:rPr>
        <w:t>.</w:t>
      </w:r>
      <w:r w:rsidR="00BE0F80" w:rsidRPr="0068584C">
        <w:rPr>
          <w:rFonts w:ascii="Times New Roman" w:hAnsi="Times New Roman" w:cs="Times New Roman"/>
          <w:color w:val="000000" w:themeColor="text1"/>
        </w:rPr>
        <w:t xml:space="preserve"> </w:t>
      </w:r>
      <w:r w:rsidR="00C36D9E" w:rsidRPr="0068584C">
        <w:rPr>
          <w:rFonts w:ascii="Times New Roman" w:hAnsi="Times New Roman" w:cs="Times New Roman"/>
          <w:color w:val="000000" w:themeColor="text1"/>
        </w:rPr>
        <w:t xml:space="preserve">Given that </w:t>
      </w:r>
      <w:r w:rsidR="00BE0F80" w:rsidRPr="0068584C">
        <w:rPr>
          <w:rFonts w:ascii="Times New Roman" w:hAnsi="Times New Roman" w:cs="Times New Roman"/>
          <w:color w:val="000000" w:themeColor="text1"/>
        </w:rPr>
        <w:t xml:space="preserve">SCRO </w:t>
      </w:r>
      <w:r w:rsidR="00C36D9E" w:rsidRPr="0068584C">
        <w:rPr>
          <w:rFonts w:ascii="Times New Roman" w:hAnsi="Times New Roman" w:cs="Times New Roman"/>
          <w:color w:val="000000" w:themeColor="text1"/>
        </w:rPr>
        <w:t xml:space="preserve">practices </w:t>
      </w:r>
      <w:r w:rsidR="00BE0F80" w:rsidRPr="0068584C">
        <w:rPr>
          <w:rFonts w:ascii="Times New Roman" w:hAnsi="Times New Roman" w:cs="Times New Roman"/>
          <w:color w:val="000000" w:themeColor="text1"/>
        </w:rPr>
        <w:t>can be understood as dynamic capabilit</w:t>
      </w:r>
      <w:r w:rsidR="00EA307F" w:rsidRPr="0068584C">
        <w:rPr>
          <w:rFonts w:ascii="Times New Roman" w:hAnsi="Times New Roman" w:cs="Times New Roman"/>
          <w:color w:val="000000" w:themeColor="text1"/>
        </w:rPr>
        <w:t>ies</w:t>
      </w:r>
      <w:r w:rsidR="00BE0F80" w:rsidRPr="0068584C">
        <w:rPr>
          <w:rFonts w:ascii="Times New Roman" w:hAnsi="Times New Roman" w:cs="Times New Roman"/>
          <w:color w:val="000000" w:themeColor="text1"/>
        </w:rPr>
        <w:t>, this positive relationship with performance should prevail as well.</w:t>
      </w:r>
    </w:p>
    <w:p w14:paraId="4D80415E" w14:textId="0B6F7987" w:rsidR="00BE0F80" w:rsidRPr="0068584C" w:rsidRDefault="00265486"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BE0F80" w:rsidRPr="0068584C">
        <w:rPr>
          <w:rFonts w:ascii="Times New Roman" w:hAnsi="Times New Roman" w:cs="Times New Roman"/>
          <w:color w:val="000000" w:themeColor="text1"/>
        </w:rPr>
        <w:t>There is one additional relationship to be explored</w:t>
      </w:r>
      <w:r w:rsidR="003E3663">
        <w:rPr>
          <w:rFonts w:ascii="Times New Roman" w:hAnsi="Times New Roman" w:cs="Times New Roman"/>
          <w:color w:val="000000" w:themeColor="text1"/>
        </w:rPr>
        <w:t xml:space="preserve">, which is depicted in </w:t>
      </w:r>
      <w:r w:rsidR="003E3663">
        <w:rPr>
          <w:rFonts w:ascii="Times New Roman" w:hAnsi="Times New Roman" w:cs="Times New Roman"/>
          <w:color w:val="000000" w:themeColor="text1"/>
        </w:rPr>
        <w:fldChar w:fldCharType="begin"/>
      </w:r>
      <w:r w:rsidR="003E3663">
        <w:rPr>
          <w:rFonts w:ascii="Times New Roman" w:hAnsi="Times New Roman" w:cs="Times New Roman"/>
          <w:color w:val="000000" w:themeColor="text1"/>
        </w:rPr>
        <w:instrText xml:space="preserve"> REF _Ref357388316 \h </w:instrText>
      </w:r>
      <w:r w:rsidR="003E3663">
        <w:rPr>
          <w:rFonts w:ascii="Times New Roman" w:hAnsi="Times New Roman" w:cs="Times New Roman"/>
          <w:color w:val="000000" w:themeColor="text1"/>
        </w:rPr>
      </w:r>
      <w:r w:rsidR="003E3663">
        <w:rPr>
          <w:rFonts w:ascii="Times New Roman" w:hAnsi="Times New Roman" w:cs="Times New Roman"/>
          <w:color w:val="000000" w:themeColor="text1"/>
        </w:rPr>
        <w:fldChar w:fldCharType="separate"/>
      </w:r>
      <w:r w:rsidR="00C2793E">
        <w:t xml:space="preserve">Figure </w:t>
      </w:r>
      <w:r w:rsidR="00C2793E">
        <w:rPr>
          <w:noProof/>
        </w:rPr>
        <w:t>3</w:t>
      </w:r>
      <w:r w:rsidR="003E3663">
        <w:rPr>
          <w:rFonts w:ascii="Times New Roman" w:hAnsi="Times New Roman" w:cs="Times New Roman"/>
          <w:color w:val="000000" w:themeColor="text1"/>
        </w:rPr>
        <w:fldChar w:fldCharType="end"/>
      </w:r>
      <w:r w:rsidR="00BE0F80" w:rsidRPr="0068584C">
        <w:rPr>
          <w:rFonts w:ascii="Times New Roman" w:hAnsi="Times New Roman" w:cs="Times New Roman"/>
          <w:color w:val="000000" w:themeColor="text1"/>
        </w:rPr>
        <w:t xml:space="preserve">. </w:t>
      </w:r>
      <w:r w:rsidR="00984FC6" w:rsidRPr="0068584C">
        <w:rPr>
          <w:rFonts w:ascii="Times New Roman" w:hAnsi="Times New Roman" w:cs="Times New Roman"/>
          <w:color w:val="000000" w:themeColor="text1"/>
        </w:rPr>
        <w:t>The management literature suggests that organizational culture might play a role when analyzing resource management performance</w:t>
      </w:r>
      <w:r w:rsidR="007F1349">
        <w:rPr>
          <w:rFonts w:ascii="Times New Roman" w:hAnsi="Times New Roman" w:cs="Times New Roman"/>
          <w:color w:val="000000" w:themeColor="text1"/>
        </w:rPr>
        <w:t xml:space="preserve"> </w:t>
      </w:r>
      <w:r w:rsidR="007F1349">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"ITEM-1", "issue" : "May", "issued" : { "date-parts" : [ [ "2011" ] ] }, "page" : "57-75", "title" : "Strategic Entrepreneurship: Creating Value for Individuals, Organizations, and Society", "type" : "article-journal" }, "locator" : "58", "uris" : [ "http://www.mendeley.com/documents/?uuid=a440eb44-a14e-41a2-85e6-3af528235937" ] } ], "mendeley" : { "formattedCitation" : "(Hitt et al., 2011, p. 58)", "plainTextFormattedCitation" : "(Hitt et al., 2011, p. 58)", "previouslyFormattedCitation" : "(Hitt et al., 2011, p. 58)" }, "properties" : { "noteIndex" : 0 }, "schema" : "https://github.com/citation-style-language/schema/raw/master/csl-citation.json" }</w:instrText>
      </w:r>
      <w:r w:rsidR="007F1349">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(Hitt et al., 2011, p. 58)</w:t>
      </w:r>
      <w:r w:rsidR="007F1349">
        <w:rPr>
          <w:rFonts w:ascii="Times New Roman" w:hAnsi="Times New Roman" w:cs="Times New Roman"/>
          <w:color w:val="000000" w:themeColor="text1"/>
        </w:rPr>
        <w:fldChar w:fldCharType="end"/>
      </w:r>
      <w:r w:rsidR="007F1349">
        <w:rPr>
          <w:rFonts w:ascii="Times New Roman" w:hAnsi="Times New Roman" w:cs="Times New Roman"/>
          <w:color w:val="000000" w:themeColor="text1"/>
        </w:rPr>
        <w:t>.</w:t>
      </w:r>
      <w:r w:rsidR="00CF2FE2" w:rsidRPr="0068584C">
        <w:rPr>
          <w:rFonts w:ascii="Times New Roman" w:hAnsi="Times New Roman" w:cs="Times New Roman"/>
          <w:color w:val="000000" w:themeColor="text1"/>
        </w:rPr>
        <w:t xml:space="preserve"> </w:t>
      </w:r>
      <w:r w:rsidR="0094720C" w:rsidRPr="0068584C">
        <w:rPr>
          <w:rFonts w:ascii="Times New Roman" w:hAnsi="Times New Roman" w:cs="Times New Roman"/>
          <w:color w:val="000000" w:themeColor="text1"/>
        </w:rPr>
        <w:t>As it relates to the</w:t>
      </w:r>
      <w:r w:rsidR="00BE0F80" w:rsidRPr="0068584C">
        <w:rPr>
          <w:rFonts w:ascii="Times New Roman" w:hAnsi="Times New Roman" w:cs="Times New Roman"/>
          <w:color w:val="000000" w:themeColor="text1"/>
        </w:rPr>
        <w:t xml:space="preserve"> innovation</w:t>
      </w:r>
      <w:r w:rsidR="0094720C" w:rsidRPr="0068584C">
        <w:rPr>
          <w:rFonts w:ascii="Times New Roman" w:hAnsi="Times New Roman" w:cs="Times New Roman"/>
          <w:color w:val="000000" w:themeColor="text1"/>
        </w:rPr>
        <w:t xml:space="preserve"> context</w:t>
      </w:r>
      <w:r w:rsidR="00BE0F80" w:rsidRPr="0068584C">
        <w:rPr>
          <w:rFonts w:ascii="Times New Roman" w:hAnsi="Times New Roman" w:cs="Times New Roman"/>
          <w:color w:val="000000" w:themeColor="text1"/>
        </w:rPr>
        <w:t xml:space="preserve">, culture </w:t>
      </w:r>
      <w:r w:rsidR="0096442A" w:rsidRPr="0068584C">
        <w:rPr>
          <w:rFonts w:ascii="Times New Roman" w:hAnsi="Times New Roman" w:cs="Times New Roman"/>
          <w:color w:val="000000" w:themeColor="text1"/>
        </w:rPr>
        <w:t xml:space="preserve">largely determines both </w:t>
      </w:r>
      <w:r w:rsidR="00BE0F80" w:rsidRPr="0068584C">
        <w:rPr>
          <w:rFonts w:ascii="Times New Roman" w:hAnsi="Times New Roman" w:cs="Times New Roman"/>
          <w:color w:val="000000" w:themeColor="text1"/>
        </w:rPr>
        <w:t xml:space="preserve">the perceived freedom </w:t>
      </w:r>
      <w:r w:rsidR="00C03214" w:rsidRPr="0068584C">
        <w:rPr>
          <w:rFonts w:ascii="Times New Roman" w:hAnsi="Times New Roman" w:cs="Times New Roman"/>
          <w:color w:val="000000" w:themeColor="text1"/>
        </w:rPr>
        <w:t xml:space="preserve">to </w:t>
      </w:r>
      <w:r w:rsidR="00BE0F80" w:rsidRPr="0068584C">
        <w:rPr>
          <w:rFonts w:ascii="Times New Roman" w:hAnsi="Times New Roman" w:cs="Times New Roman"/>
          <w:color w:val="000000" w:themeColor="text1"/>
        </w:rPr>
        <w:t>generat</w:t>
      </w:r>
      <w:r w:rsidR="00C03214" w:rsidRPr="0068584C">
        <w:rPr>
          <w:rFonts w:ascii="Times New Roman" w:hAnsi="Times New Roman" w:cs="Times New Roman"/>
          <w:color w:val="000000" w:themeColor="text1"/>
        </w:rPr>
        <w:t>e</w:t>
      </w:r>
      <w:r w:rsidR="00BE0F80" w:rsidRPr="0068584C">
        <w:rPr>
          <w:rFonts w:ascii="Times New Roman" w:hAnsi="Times New Roman" w:cs="Times New Roman"/>
          <w:color w:val="000000" w:themeColor="text1"/>
        </w:rPr>
        <w:t xml:space="preserve"> new ideas and suggest new approaches, and the </w:t>
      </w:r>
      <w:r w:rsidR="00C03214" w:rsidRPr="0068584C">
        <w:rPr>
          <w:rFonts w:ascii="Times New Roman" w:hAnsi="Times New Roman" w:cs="Times New Roman"/>
          <w:color w:val="000000" w:themeColor="text1"/>
        </w:rPr>
        <w:t xml:space="preserve">attentiveness </w:t>
      </w:r>
      <w:r w:rsidR="00BE0F80" w:rsidRPr="0068584C">
        <w:rPr>
          <w:rFonts w:ascii="Times New Roman" w:hAnsi="Times New Roman" w:cs="Times New Roman"/>
          <w:color w:val="000000" w:themeColor="text1"/>
        </w:rPr>
        <w:t>of the organization to such emerging innovative ideas</w:t>
      </w:r>
      <w:r w:rsidR="0026607A">
        <w:rPr>
          <w:rFonts w:ascii="Times New Roman" w:hAnsi="Times New Roman" w:cs="Times New Roman"/>
          <w:color w:val="000000" w:themeColor="text1"/>
        </w:rPr>
        <w:t xml:space="preserve"> </w:t>
      </w:r>
      <w:r w:rsidR="0026607A">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"Narasimhan", "given" : "Ram", "non-dropping-particle" : "", "parse-names" : false, "suffix" : "" }, { "dropping-particle" : "", "family" : "Narayanan", "given" : "Sriram", "non-dropping-particle" : "", "parse-names" : false, "suffix" : "" } ], "container-title" : "Journal of Supply Chain Management", "id" : "ITEM-1", "issue" : "4", "issued" : { "date-parts" : [ [ "2013" ] ] }, "page" : "27-42", "title" : "Perspectives on Supply Network\u2013Enabled Innovations", "type" : "article-journal", "volume" : "49" }, "uris" : [ "http://www.mendeley.com/documents/?uuid=2ca194a1-c543-4543-92e2-c55240562cb4" ] } ], "mendeley" : { "formattedCitation" : "(Narasimhan &amp; Narayanan, 2013)", "plainTextFormattedCitation" : "(Narasimhan &amp; Narayanan, 2013)", "previouslyFormattedCitation" : "(Narasimhan &amp; Narayanan, 2013)" }, "properties" : { "noteIndex" : 0 }, "schema" : "https://github.com/citation-style-language/schema/raw/master/csl-citation.json" }</w:instrText>
      </w:r>
      <w:r w:rsidR="0026607A">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(Narasimhan &amp; Narayanan, 2013)</w:t>
      </w:r>
      <w:r w:rsidR="0026607A">
        <w:rPr>
          <w:rFonts w:ascii="Times New Roman" w:hAnsi="Times New Roman" w:cs="Times New Roman"/>
          <w:color w:val="000000" w:themeColor="text1"/>
        </w:rPr>
        <w:fldChar w:fldCharType="end"/>
      </w:r>
      <w:r w:rsidR="0026607A">
        <w:rPr>
          <w:rFonts w:ascii="Times New Roman" w:hAnsi="Times New Roman" w:cs="Times New Roman"/>
          <w:color w:val="000000" w:themeColor="text1"/>
        </w:rPr>
        <w:t>.</w:t>
      </w:r>
      <w:r w:rsidR="00BE0F80" w:rsidRPr="0068584C">
        <w:rPr>
          <w:rFonts w:ascii="Times New Roman" w:hAnsi="Times New Roman" w:cs="Times New Roman"/>
          <w:color w:val="000000" w:themeColor="text1"/>
        </w:rPr>
        <w:t xml:space="preserve">. </w:t>
      </w:r>
      <w:r w:rsidR="002E03B1" w:rsidRPr="0068584C">
        <w:rPr>
          <w:rFonts w:ascii="Times New Roman" w:hAnsi="Times New Roman" w:cs="Times New Roman"/>
          <w:color w:val="000000" w:themeColor="text1"/>
        </w:rPr>
        <w:t xml:space="preserve"> Cultures may also be differentiated in terms of how embedded the value of</w:t>
      </w:r>
      <w:r w:rsidR="00BE0F80" w:rsidRPr="0068584C">
        <w:rPr>
          <w:rFonts w:ascii="Times New Roman" w:hAnsi="Times New Roman" w:cs="Times New Roman"/>
          <w:color w:val="000000" w:themeColor="text1"/>
        </w:rPr>
        <w:t xml:space="preserve"> innovati</w:t>
      </w:r>
      <w:r w:rsidR="002E03B1" w:rsidRPr="0068584C">
        <w:rPr>
          <w:rFonts w:ascii="Times New Roman" w:hAnsi="Times New Roman" w:cs="Times New Roman"/>
          <w:color w:val="000000" w:themeColor="text1"/>
        </w:rPr>
        <w:t>veness is throughout the organization: Is innovation</w:t>
      </w:r>
      <w:r w:rsidR="00BE0F80" w:rsidRPr="0068584C">
        <w:rPr>
          <w:rFonts w:ascii="Times New Roman" w:hAnsi="Times New Roman" w:cs="Times New Roman"/>
          <w:color w:val="000000" w:themeColor="text1"/>
        </w:rPr>
        <w:t xml:space="preserve"> understood as pure</w:t>
      </w:r>
      <w:r w:rsidR="002E03B1" w:rsidRPr="0068584C">
        <w:rPr>
          <w:rFonts w:ascii="Times New Roman" w:hAnsi="Times New Roman" w:cs="Times New Roman"/>
          <w:color w:val="000000" w:themeColor="text1"/>
        </w:rPr>
        <w:t>ly</w:t>
      </w:r>
      <w:r w:rsidR="00BE0F80" w:rsidRPr="0068584C">
        <w:rPr>
          <w:rFonts w:ascii="Times New Roman" w:hAnsi="Times New Roman" w:cs="Times New Roman"/>
          <w:color w:val="000000" w:themeColor="text1"/>
        </w:rPr>
        <w:t xml:space="preserve"> functional</w:t>
      </w:r>
      <w:r w:rsidR="002E03B1" w:rsidRPr="0068584C">
        <w:rPr>
          <w:rFonts w:ascii="Times New Roman" w:hAnsi="Times New Roman" w:cs="Times New Roman"/>
          <w:color w:val="000000" w:themeColor="text1"/>
        </w:rPr>
        <w:t>ly delegated</w:t>
      </w:r>
      <w:r w:rsidR="00BE0F80" w:rsidRPr="0068584C">
        <w:rPr>
          <w:rFonts w:ascii="Times New Roman" w:hAnsi="Times New Roman" w:cs="Times New Roman"/>
          <w:color w:val="000000" w:themeColor="text1"/>
        </w:rPr>
        <w:t xml:space="preserve"> (e.g., </w:t>
      </w:r>
      <w:r w:rsidR="002E03B1" w:rsidRPr="0068584C">
        <w:rPr>
          <w:rFonts w:ascii="Times New Roman" w:hAnsi="Times New Roman" w:cs="Times New Roman"/>
          <w:color w:val="000000" w:themeColor="text1"/>
        </w:rPr>
        <w:t xml:space="preserve">to the </w:t>
      </w:r>
      <w:r w:rsidR="00BE0F80" w:rsidRPr="0068584C">
        <w:rPr>
          <w:rFonts w:ascii="Times New Roman" w:hAnsi="Times New Roman" w:cs="Times New Roman"/>
          <w:color w:val="000000" w:themeColor="text1"/>
        </w:rPr>
        <w:t>R&amp;D</w:t>
      </w:r>
      <w:r w:rsidR="002E03B1" w:rsidRPr="0068584C">
        <w:rPr>
          <w:rFonts w:ascii="Times New Roman" w:hAnsi="Times New Roman" w:cs="Times New Roman"/>
          <w:color w:val="000000" w:themeColor="text1"/>
        </w:rPr>
        <w:t xml:space="preserve"> function</w:t>
      </w:r>
      <w:r w:rsidR="00BE0F80" w:rsidRPr="0068584C">
        <w:rPr>
          <w:rFonts w:ascii="Times New Roman" w:hAnsi="Times New Roman" w:cs="Times New Roman"/>
          <w:color w:val="000000" w:themeColor="text1"/>
        </w:rPr>
        <w:t xml:space="preserve">) or as an underlying responsibility for all employees </w:t>
      </w:r>
      <w:r w:rsidR="004D7F1B">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"10.1016/j.technovation.2011.03.002", "ISBN" : "0166-4972", "ISSN" : "01664972", "abstract" : "It is commonly accepted nowadays that external knowledge sources are important for firms innovative performance. However, it is still not clear, what dimensions of firms external knowledge search strategy are crucial in determining their innovation success and whether these search strategies are contingent on different innovation modes. In this study, we analyse how the innovative performance is affected by the scope, depth, and orientation of firms external search strategies. We apply this analysis to firms using STI (science, technology and innovation) and DUI (doing, using and interacting) innovation modes. Based on a survey among firms in China, we find that greater scope and depth of openness for both innovation modes improves innovative performance indicating that open innovation is also relevant beyond science and technology based innovation. Furthermore, we find that decreasing returns in external search strategies, suggested by Laursen and Salter (2006), are not always present and are contingent on the innovation modes. Next, we find that the type of external partners (we label it orientation of openness) is crucial in explaining innovative performance and that firms using DUI or STI innovation modes have different sets of relevant innovation partners. This shows that the orientation of openness is an important dimension - in addition to the scope and depth of openness. As respondents are located in China, this study provides evidence that open innovation is also relevant in developing countries. ?? 2011 Elsevier Ltd. All rights reserved.", "author" : [ { "dropping-particle" : "", "family" : "Chen", "given" : "Jin", "non-dropping-particle" : "", "parse-names" : false, "suffix" : "" }, { "dropping-particle" : "", "family" : "Chen", "given" : "Yufen", "non-dropping-particle" : "", "parse-names" : false, "suffix" : "" }, { "dropping-particle" : "", "family" : "Vanhaverbeke", "given" : "Wim", "non-dropping-particle" : "", "parse-names" : false, "suffix" : "" } ], "container-title" : "Technovation", "id" : "ITEM-1", "issue" : "8", "issued" : { "date-parts" : [ [ "2011" ] ] }, "page" : "362-373", "title" : "The influence of scope, depth, and orientation of external technology sources on the innovative performance of Chinese firms", "type" : "article-journal", "volume" : "31" }, "uris" : [ "http://www.mendeley.com/documents/?uuid=18324272-2f75-4d1f-9def-c575372165b4" ] } ], "mendeley" : { "formattedCitation" : "(Chen, Chen, &amp; Vanhaverbeke, 2011)", "plainTextFormattedCitation" : "(Chen, Chen, &amp; Vanhaverbeke, 2011)", "previouslyFormattedCitation" : "(Chen, Chen, &amp; Vanhaverbeke, 2011)" }, "properties" : { "noteIndex" : 0 }, "schema" : "https://github.com/citation-style-language/schema/raw/master/csl-citation.json" }</w:instrText>
      </w:r>
      <w:r w:rsidR="004D7F1B">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(Chen, Chen, &amp; Vanhaverbeke, 2011)</w:t>
      </w:r>
      <w:r w:rsidR="004D7F1B">
        <w:rPr>
          <w:rFonts w:ascii="Times New Roman" w:hAnsi="Times New Roman" w:cs="Times New Roman"/>
          <w:color w:val="000000" w:themeColor="text1"/>
        </w:rPr>
        <w:fldChar w:fldCharType="end"/>
      </w:r>
      <w:r w:rsidR="002E03B1" w:rsidRPr="0068584C">
        <w:rPr>
          <w:rFonts w:ascii="Times New Roman" w:hAnsi="Times New Roman" w:cs="Times New Roman"/>
          <w:color w:val="000000" w:themeColor="text1"/>
        </w:rPr>
        <w:t>?</w:t>
      </w:r>
      <w:r w:rsidR="00BE0F80" w:rsidRPr="0068584C">
        <w:rPr>
          <w:rFonts w:ascii="Times New Roman" w:hAnsi="Times New Roman" w:cs="Times New Roman"/>
          <w:color w:val="000000" w:themeColor="text1"/>
        </w:rPr>
        <w:t xml:space="preserve"> Has innovation been accepted as a basic value throughout the organization (</w:t>
      </w:r>
      <w:r w:rsidR="00C90E96">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"ITEM-1", "issue" : "1", "issued" : { "date-parts" : [ [ "2011" ] ] }, "page" : "54-64", "title" : "Some immediate but negative effects of openness on product development performance", "type" : "article-journal", "volume" : "31" }, "uris" : [ "http://www.mendeley.com/documents/?uuid=89aed28a-6bb6-488a-8cff-0b99ffa65593" ] } ], "mendeley" : { "formattedCitation" : "(Knudsen &amp; Mortensen, 2011)", "plainTextFormattedCitation" : "(Knudsen &amp; Mortensen, 2011)", "previouslyFormattedCitation" : "(Knudsen &amp; Mortensen, 2011)" }, "properties" : { "noteIndex" : 0 }, "schema" : "https://github.com/citation-style-language/schema/raw/master/csl-citation.json" }</w:instrText>
      </w:r>
      <w:r w:rsidR="00C90E96">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(Knudsen &amp; Mortensen, 2011)</w:t>
      </w:r>
      <w:r w:rsidR="00C90E96">
        <w:rPr>
          <w:rFonts w:ascii="Times New Roman" w:hAnsi="Times New Roman" w:cs="Times New Roman"/>
          <w:color w:val="000000" w:themeColor="text1"/>
        </w:rPr>
        <w:fldChar w:fldCharType="end"/>
      </w:r>
      <w:r w:rsidR="00BE0F80" w:rsidRPr="0068584C">
        <w:rPr>
          <w:rFonts w:ascii="Times New Roman" w:hAnsi="Times New Roman" w:cs="Times New Roman"/>
          <w:color w:val="000000" w:themeColor="text1"/>
        </w:rPr>
        <w:t>?</w:t>
      </w:r>
    </w:p>
    <w:p w14:paraId="0E49B941" w14:textId="6878E51E" w:rsidR="00F15341" w:rsidRDefault="00265486"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BE0F80" w:rsidRPr="0068584C">
        <w:rPr>
          <w:rFonts w:ascii="Times New Roman" w:hAnsi="Times New Roman" w:cs="Times New Roman"/>
          <w:color w:val="000000" w:themeColor="text1"/>
        </w:rPr>
        <w:t xml:space="preserve">Within traditional resource-based theoretical frameworks, </w:t>
      </w:r>
      <w:r w:rsidR="001B7267" w:rsidRPr="0068584C">
        <w:rPr>
          <w:rFonts w:ascii="Times New Roman" w:hAnsi="Times New Roman" w:cs="Times New Roman"/>
          <w:color w:val="000000" w:themeColor="text1"/>
        </w:rPr>
        <w:t xml:space="preserve">there has not yet been much discussion on how resource management capabilities impact performance under the </w:t>
      </w:r>
      <w:r w:rsidR="00BE0F80" w:rsidRPr="0068584C">
        <w:rPr>
          <w:rFonts w:ascii="Times New Roman" w:hAnsi="Times New Roman" w:cs="Times New Roman"/>
          <w:color w:val="000000" w:themeColor="text1"/>
        </w:rPr>
        <w:t>influence of organizational culture</w:t>
      </w:r>
      <w:r w:rsidR="001B7267" w:rsidRPr="0068584C">
        <w:rPr>
          <w:rFonts w:ascii="Times New Roman" w:hAnsi="Times New Roman" w:cs="Times New Roman"/>
          <w:color w:val="000000" w:themeColor="text1"/>
        </w:rPr>
        <w:t>.</w:t>
      </w:r>
      <w:r w:rsidR="00BE0F80" w:rsidRPr="0068584C">
        <w:rPr>
          <w:rFonts w:ascii="Times New Roman" w:hAnsi="Times New Roman" w:cs="Times New Roman"/>
          <w:color w:val="000000" w:themeColor="text1"/>
        </w:rPr>
        <w:t xml:space="preserve"> Nonetheless, it can be </w:t>
      </w:r>
      <w:r w:rsidR="004D7F1B">
        <w:rPr>
          <w:rFonts w:ascii="Times New Roman" w:hAnsi="Times New Roman" w:cs="Times New Roman"/>
          <w:color w:val="000000" w:themeColor="text1"/>
        </w:rPr>
        <w:t>implied</w:t>
      </w:r>
      <w:r w:rsidR="004D7F1B" w:rsidRPr="0068584C">
        <w:rPr>
          <w:rFonts w:ascii="Times New Roman" w:hAnsi="Times New Roman" w:cs="Times New Roman"/>
          <w:color w:val="000000" w:themeColor="text1"/>
        </w:rPr>
        <w:t xml:space="preserve"> </w:t>
      </w:r>
      <w:r w:rsidR="00BE0F80" w:rsidRPr="0068584C">
        <w:rPr>
          <w:rFonts w:ascii="Times New Roman" w:hAnsi="Times New Roman" w:cs="Times New Roman"/>
          <w:color w:val="000000" w:themeColor="text1"/>
        </w:rPr>
        <w:t xml:space="preserve">that culture might influence the </w:t>
      </w:r>
      <w:r w:rsidR="00BE0F80" w:rsidRPr="0068584C">
        <w:rPr>
          <w:rFonts w:ascii="Times New Roman" w:hAnsi="Times New Roman" w:cs="Times New Roman"/>
          <w:color w:val="000000" w:themeColor="text1"/>
        </w:rPr>
        <w:lastRenderedPageBreak/>
        <w:t xml:space="preserve">performance </w:t>
      </w:r>
      <w:r w:rsidR="00E04C73" w:rsidRPr="0068584C">
        <w:rPr>
          <w:rFonts w:ascii="Times New Roman" w:hAnsi="Times New Roman" w:cs="Times New Roman"/>
          <w:color w:val="000000" w:themeColor="text1"/>
        </w:rPr>
        <w:t xml:space="preserve">consequences </w:t>
      </w:r>
      <w:r w:rsidR="00BE0F80" w:rsidRPr="0068584C">
        <w:rPr>
          <w:rFonts w:ascii="Times New Roman" w:hAnsi="Times New Roman" w:cs="Times New Roman"/>
          <w:color w:val="000000" w:themeColor="text1"/>
        </w:rPr>
        <w:t>of resource management</w:t>
      </w:r>
      <w:r w:rsidR="00A00950">
        <w:rPr>
          <w:rFonts w:ascii="Times New Roman" w:hAnsi="Times New Roman" w:cs="Times New Roman"/>
          <w:color w:val="000000" w:themeColor="text1"/>
        </w:rPr>
        <w:t xml:space="preserve"> </w:t>
      </w:r>
      <w:r w:rsidR="004D7F1B">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"Kleinschmidt", "given" : "Elko J", "non-dropping-particle" : "", "parse-names" : false, "suffix" : "" }, { "dropping-particle" : "", "family" : "Brentani", "given" : "Ulrike", "non-dropping-particle" : "De", "parse-names" : false, "suffix" : "" }, { "dropping-particle" : "", "family" : "Salomo", "given" : "Soren", "non-dropping-particle" : "", "parse-names" : false, "suffix" : "" } ], "container-title" : "Journal of Product Innovation Management", "id" : "ITEM-1", "issued" : { "date-parts" : [ [ "2007" ] ] }, "page" : "419-441", "title" : "Performance of Global New Product Development Programs: A Resource-Based View", "type" : "article-journal", "volume" : "24" }, "uris" : [ "http://www.mendeley.com/documents/?uuid=c69057e6-cb09-4973-a97b-894bdce9de58" ] } ], "mendeley" : { "formattedCitation" : "(Kleinschmidt, De Brentani, &amp; Salomo, 2007)", "plainTextFormattedCitation" : "(Kleinschmidt, De Brentani, &amp; Salomo, 2007)", "previouslyFormattedCitation" : "(Kleinschmidt, De Brentani, &amp; Salomo, 2007)" }, "properties" : { "noteIndex" : 0 }, "schema" : "https://github.com/citation-style-language/schema/raw/master/csl-citation.json" }</w:instrText>
      </w:r>
      <w:r w:rsidR="004D7F1B">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(Kleinschmidt, De Brentani, &amp; Salomo, 2007)</w:t>
      </w:r>
      <w:r w:rsidR="004D7F1B">
        <w:rPr>
          <w:rFonts w:ascii="Times New Roman" w:hAnsi="Times New Roman" w:cs="Times New Roman"/>
          <w:color w:val="000000" w:themeColor="text1"/>
        </w:rPr>
        <w:fldChar w:fldCharType="end"/>
      </w:r>
      <w:r w:rsidR="004D7F1B">
        <w:rPr>
          <w:rFonts w:ascii="Times New Roman" w:hAnsi="Times New Roman" w:cs="Times New Roman"/>
          <w:color w:val="000000" w:themeColor="text1"/>
        </w:rPr>
        <w:t>.</w:t>
      </w:r>
      <w:r w:rsidR="007271A5" w:rsidRPr="0068584C">
        <w:rPr>
          <w:rFonts w:ascii="Times New Roman" w:hAnsi="Times New Roman" w:cs="Times New Roman"/>
          <w:color w:val="000000" w:themeColor="text1"/>
        </w:rPr>
        <w:t xml:space="preserve"> </w:t>
      </w:r>
      <w:r w:rsidR="00BE0F80" w:rsidRPr="0068584C">
        <w:rPr>
          <w:rFonts w:ascii="Times New Roman" w:hAnsi="Times New Roman" w:cs="Times New Roman"/>
          <w:color w:val="000000" w:themeColor="text1"/>
        </w:rPr>
        <w:t xml:space="preserve">This is particularly probable </w:t>
      </w:r>
      <w:r w:rsidR="004739C1" w:rsidRPr="0068584C">
        <w:rPr>
          <w:rFonts w:ascii="Times New Roman" w:hAnsi="Times New Roman" w:cs="Times New Roman"/>
          <w:color w:val="000000" w:themeColor="text1"/>
        </w:rPr>
        <w:t xml:space="preserve">for </w:t>
      </w:r>
      <w:r w:rsidR="00BE0F80" w:rsidRPr="0068584C">
        <w:rPr>
          <w:rFonts w:ascii="Times New Roman" w:hAnsi="Times New Roman" w:cs="Times New Roman"/>
          <w:color w:val="000000" w:themeColor="text1"/>
        </w:rPr>
        <w:t>involving external resources. Outside of the resource-based theories, organizational cultural influences on performance have been investigated, particularly in regard to innovation performance</w:t>
      </w:r>
      <w:r w:rsidR="00C90E96">
        <w:rPr>
          <w:rFonts w:ascii="Times New Roman" w:hAnsi="Times New Roman" w:cs="Times New Roman"/>
          <w:color w:val="000000" w:themeColor="text1"/>
        </w:rPr>
        <w:t xml:space="preserve"> </w:t>
      </w:r>
      <w:r w:rsidR="00C90E96">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"ITEM-1", "issue" : "1", "issued" : { "date-parts" : [ [ "2011" ] ] }, "page" : "54-64", "title" : "Some immediate but negative effects of openness on product development performance", "type" : "article-journal", "volume" : "31" }, "uris" : [ "http://www.mendeley.com/documents/?uuid=89aed28a-6bb6-488a-8cff-0b99ffa65593" ] } ], "mendeley" : { "formattedCitation" : "(Knudsen &amp; Mortensen, 2011)", "plainTextFormattedCitation" : "(Knudsen &amp; Mortensen, 2011)", "previouslyFormattedCitation" : "(Knudsen &amp; Mortensen, 2011)" }, "properties" : { "noteIndex" : 0 }, "schema" : "https://github.com/citation-style-language/schema/raw/master/csl-citation.json" }</w:instrText>
      </w:r>
      <w:r w:rsidR="00C90E96">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(Knudsen &amp; Mortensen, 2011)</w:t>
      </w:r>
      <w:r w:rsidR="00C90E96">
        <w:rPr>
          <w:rFonts w:ascii="Times New Roman" w:hAnsi="Times New Roman" w:cs="Times New Roman"/>
          <w:color w:val="000000" w:themeColor="text1"/>
        </w:rPr>
        <w:fldChar w:fldCharType="end"/>
      </w:r>
      <w:r w:rsidR="00C90E96">
        <w:rPr>
          <w:rFonts w:ascii="Times New Roman" w:hAnsi="Times New Roman" w:cs="Times New Roman"/>
          <w:color w:val="000000" w:themeColor="text1"/>
        </w:rPr>
        <w:t>.</w:t>
      </w:r>
      <w:r w:rsidR="00BE0F80" w:rsidRPr="0068584C">
        <w:rPr>
          <w:rFonts w:ascii="Times New Roman" w:hAnsi="Times New Roman" w:cs="Times New Roman"/>
          <w:color w:val="000000" w:themeColor="text1"/>
        </w:rPr>
        <w:t xml:space="preserve"> Organizational culture is important for innovation processes because culture affects </w:t>
      </w:r>
      <w:r w:rsidR="000B6F8C" w:rsidRPr="0068584C">
        <w:rPr>
          <w:rFonts w:ascii="Times New Roman" w:hAnsi="Times New Roman" w:cs="Times New Roman"/>
          <w:color w:val="000000" w:themeColor="text1"/>
        </w:rPr>
        <w:t xml:space="preserve">not only </w:t>
      </w:r>
      <w:r w:rsidR="00BE0F80" w:rsidRPr="0068584C">
        <w:rPr>
          <w:rFonts w:ascii="Times New Roman" w:hAnsi="Times New Roman" w:cs="Times New Roman"/>
          <w:color w:val="000000" w:themeColor="text1"/>
        </w:rPr>
        <w:t xml:space="preserve">internal behaviors </w:t>
      </w:r>
      <w:r w:rsidR="000B6F8C" w:rsidRPr="0068584C">
        <w:rPr>
          <w:rFonts w:ascii="Times New Roman" w:hAnsi="Times New Roman" w:cs="Times New Roman"/>
          <w:color w:val="000000" w:themeColor="text1"/>
        </w:rPr>
        <w:t>but also the way organizations build relationships externally</w:t>
      </w:r>
      <w:r w:rsidR="004D7F1B">
        <w:rPr>
          <w:rFonts w:ascii="Times New Roman" w:hAnsi="Times New Roman" w:cs="Times New Roman"/>
          <w:color w:val="000000" w:themeColor="text1"/>
        </w:rPr>
        <w:t>.</w:t>
      </w:r>
      <w:r w:rsidR="000B6F8C" w:rsidRPr="0068584C">
        <w:rPr>
          <w:rFonts w:ascii="Times New Roman" w:hAnsi="Times New Roman" w:cs="Times New Roman"/>
          <w:color w:val="000000" w:themeColor="text1"/>
        </w:rPr>
        <w:t xml:space="preserve"> </w:t>
      </w:r>
    </w:p>
    <w:p w14:paraId="7E55E1F7" w14:textId="476D783B" w:rsidR="00C90312" w:rsidRPr="0068584C" w:rsidRDefault="002D2C68"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BE0F80" w:rsidRPr="0068584C">
        <w:rPr>
          <w:rFonts w:ascii="Times New Roman" w:hAnsi="Times New Roman" w:cs="Times New Roman"/>
          <w:color w:val="000000" w:themeColor="text1"/>
        </w:rPr>
        <w:t xml:space="preserve">Culture can stimulate </w:t>
      </w:r>
      <w:r w:rsidR="001D671D" w:rsidRPr="0068584C">
        <w:rPr>
          <w:rFonts w:ascii="Times New Roman" w:hAnsi="Times New Roman" w:cs="Times New Roman"/>
          <w:color w:val="000000" w:themeColor="text1"/>
        </w:rPr>
        <w:t xml:space="preserve">innovative </w:t>
      </w:r>
      <w:r w:rsidR="00BE0F80" w:rsidRPr="0068584C">
        <w:rPr>
          <w:rFonts w:ascii="Times New Roman" w:hAnsi="Times New Roman" w:cs="Times New Roman"/>
          <w:color w:val="000000" w:themeColor="text1"/>
        </w:rPr>
        <w:t>behavior because it determines the commitment toward continuous innovation</w:t>
      </w:r>
      <w:r w:rsidR="00C90E96" w:rsidRPr="00C90E96">
        <w:rPr>
          <w:rFonts w:ascii="Times New Roman" w:hAnsi="Times New Roman" w:cs="Times New Roman"/>
          <w:color w:val="000000" w:themeColor="text1"/>
        </w:rPr>
        <w:t xml:space="preserve"> </w:t>
      </w:r>
      <w:r w:rsidR="00C90E96" w:rsidRPr="00C90E96">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"ITEM-1", "issue" : "1", "issued" : { "date-parts" : [ [ "2011" ] ] }, "page" : "54-64", "title" : "Some immediate but negative effects of openness on product development performance", "type" : "article-journal", "volume" : "31" }, "uris" : [ "http://www.mendeley.com/documents/?uuid=89aed28a-6bb6-488a-8cff-0b99ffa65593" ] } ], "mendeley" : { "formattedCitation" : "(Knudsen &amp; Mortensen, 2011)", "plainTextFormattedCitation" : "(Knudsen &amp; Mortensen, 2011)", "previouslyFormattedCitation" : "(Knudsen &amp; Mortensen, 2011)" }, "properties" : { "noteIndex" : 0 }, "schema" : "https://github.com/citation-style-language/schema/raw/master/csl-citation.json" }</w:instrText>
      </w:r>
      <w:r w:rsidR="00C90E96" w:rsidRPr="00C90E96">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(Knudsen &amp; Mortensen, 2011)</w:t>
      </w:r>
      <w:r w:rsidR="00C90E96" w:rsidRPr="00C90E96">
        <w:rPr>
          <w:rFonts w:ascii="Times New Roman" w:hAnsi="Times New Roman" w:cs="Times New Roman"/>
          <w:color w:val="000000" w:themeColor="text1"/>
        </w:rPr>
        <w:fldChar w:fldCharType="end"/>
      </w:r>
      <w:r w:rsidR="00C90E96" w:rsidRPr="00C90E96">
        <w:rPr>
          <w:rFonts w:ascii="Times New Roman" w:hAnsi="Times New Roman" w:cs="Times New Roman"/>
          <w:color w:val="000000" w:themeColor="text1"/>
        </w:rPr>
        <w:t>.</w:t>
      </w:r>
      <w:r w:rsidR="00BE0F80" w:rsidRPr="0068584C">
        <w:rPr>
          <w:rFonts w:ascii="Times New Roman" w:hAnsi="Times New Roman" w:cs="Times New Roman"/>
          <w:color w:val="000000" w:themeColor="text1"/>
        </w:rPr>
        <w:t xml:space="preserve"> Finally, organizational culture affects the orientation and mindset of an organization, and thereby influences innovation performance as well. For example, a company with an external focus (outwardly oriented) might be more inclined to enhance communication and exchanges with other companies and thereby have earlier or easier access to scarce information </w:t>
      </w:r>
      <w:r w:rsidR="00C90E96">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"ITEM-1", "issue" : "1", "issued" : { "date-parts" : [ [ "2011" ] ] }, "page" : "54-64", "title" : "Some immediate but negative effects of openness on product development performance", "type" : "article-journal", "volume" : "31" }, "uris" : [ "http://www.mendeley.com/documents/?uuid=89aed28a-6bb6-488a-8cff-0b99ffa65593" ] } ], "mendeley" : { "formattedCitation" : "(Knudsen &amp; Mortensen, 2011)", "plainTextFormattedCitation" : "(Knudsen &amp; Mortensen, 2011)", "previouslyFormattedCitation" : "(Knudsen &amp; Mortensen, 2011)" }, "properties" : { "noteIndex" : 0 }, "schema" : "https://github.com/citation-style-language/schema/raw/master/csl-citation.json" }</w:instrText>
      </w:r>
      <w:r w:rsidR="00C90E96">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(Knudsen &amp; Mortensen, 2011)</w:t>
      </w:r>
      <w:r w:rsidR="00C90E96">
        <w:rPr>
          <w:rFonts w:ascii="Times New Roman" w:hAnsi="Times New Roman" w:cs="Times New Roman"/>
          <w:color w:val="000000" w:themeColor="text1"/>
        </w:rPr>
        <w:fldChar w:fldCharType="end"/>
      </w:r>
      <w:r w:rsidR="00C90E96">
        <w:rPr>
          <w:rFonts w:ascii="Times New Roman" w:hAnsi="Times New Roman" w:cs="Times New Roman"/>
          <w:color w:val="000000" w:themeColor="text1"/>
        </w:rPr>
        <w:t>.</w:t>
      </w:r>
      <w:r w:rsidR="00BE0F80" w:rsidRPr="0068584C">
        <w:rPr>
          <w:rFonts w:ascii="Times New Roman" w:hAnsi="Times New Roman" w:cs="Times New Roman"/>
          <w:color w:val="000000" w:themeColor="text1"/>
        </w:rPr>
        <w:t xml:space="preserve"> </w:t>
      </w:r>
      <w:r w:rsidR="00590B5C" w:rsidRPr="0068584C">
        <w:rPr>
          <w:rFonts w:ascii="Times New Roman" w:hAnsi="Times New Roman" w:cs="Times New Roman"/>
          <w:color w:val="000000" w:themeColor="text1"/>
        </w:rPr>
        <w:t>S</w:t>
      </w:r>
      <w:r w:rsidR="00BE0F80" w:rsidRPr="0068584C">
        <w:rPr>
          <w:rFonts w:ascii="Times New Roman" w:hAnsi="Times New Roman" w:cs="Times New Roman"/>
          <w:color w:val="000000" w:themeColor="text1"/>
        </w:rPr>
        <w:t xml:space="preserve">uch an external focus can include </w:t>
      </w:r>
      <w:r w:rsidR="006543FF" w:rsidRPr="0068584C">
        <w:rPr>
          <w:rFonts w:ascii="Times New Roman" w:hAnsi="Times New Roman" w:cs="Times New Roman"/>
          <w:color w:val="000000" w:themeColor="text1"/>
        </w:rPr>
        <w:t xml:space="preserve">tendencies </w:t>
      </w:r>
      <w:r w:rsidR="006F0B0B" w:rsidRPr="0068584C">
        <w:rPr>
          <w:rFonts w:ascii="Times New Roman" w:hAnsi="Times New Roman" w:cs="Times New Roman"/>
          <w:color w:val="000000" w:themeColor="text1"/>
        </w:rPr>
        <w:t>regarding</w:t>
      </w:r>
      <w:r w:rsidR="006543FF" w:rsidRPr="0068584C">
        <w:rPr>
          <w:rFonts w:ascii="Times New Roman" w:hAnsi="Times New Roman" w:cs="Times New Roman"/>
          <w:color w:val="000000" w:themeColor="text1"/>
        </w:rPr>
        <w:t xml:space="preserve"> </w:t>
      </w:r>
      <w:r w:rsidR="00BE0F80" w:rsidRPr="0068584C">
        <w:rPr>
          <w:rFonts w:ascii="Times New Roman" w:hAnsi="Times New Roman" w:cs="Times New Roman"/>
          <w:color w:val="000000" w:themeColor="text1"/>
        </w:rPr>
        <w:t xml:space="preserve">customer orientation and competitive aggressiveness, which all affect, </w:t>
      </w:r>
      <w:r w:rsidR="006543FF" w:rsidRPr="0068584C">
        <w:rPr>
          <w:rFonts w:ascii="Times New Roman" w:hAnsi="Times New Roman" w:cs="Times New Roman"/>
          <w:color w:val="000000" w:themeColor="text1"/>
        </w:rPr>
        <w:t>ultimately</w:t>
      </w:r>
      <w:r w:rsidR="00BE0F80" w:rsidRPr="0068584C">
        <w:rPr>
          <w:rFonts w:ascii="Times New Roman" w:hAnsi="Times New Roman" w:cs="Times New Roman"/>
          <w:color w:val="000000" w:themeColor="text1"/>
        </w:rPr>
        <w:t xml:space="preserve">, innovation and financial performance. Thus, the SCRO framework includes the concept of organizational culture </w:t>
      </w:r>
      <w:r w:rsidR="007534E6">
        <w:rPr>
          <w:rFonts w:ascii="Times New Roman" w:hAnsi="Times New Roman" w:cs="Times New Roman"/>
          <w:color w:val="000000" w:themeColor="text1"/>
        </w:rPr>
        <w:t>with its two dimensions of innovation culture and efficiency culture, which are expected to directly affect innovation performance</w:t>
      </w:r>
      <w:r w:rsidR="00BE0F80" w:rsidRPr="0068584C">
        <w:rPr>
          <w:rFonts w:ascii="Times New Roman" w:hAnsi="Times New Roman" w:cs="Times New Roman"/>
          <w:color w:val="000000" w:themeColor="text1"/>
        </w:rPr>
        <w:t xml:space="preserve">. </w:t>
      </w:r>
      <w:r w:rsidR="007534E6">
        <w:rPr>
          <w:rFonts w:ascii="Times New Roman" w:hAnsi="Times New Roman" w:cs="Times New Roman"/>
          <w:color w:val="000000" w:themeColor="text1"/>
        </w:rPr>
        <w:t xml:space="preserve">In addition to those direct effects, </w:t>
      </w:r>
      <w:r w:rsidR="00DB725C">
        <w:rPr>
          <w:rFonts w:ascii="Times New Roman" w:hAnsi="Times New Roman" w:cs="Times New Roman"/>
          <w:color w:val="000000" w:themeColor="text1"/>
        </w:rPr>
        <w:fldChar w:fldCharType="begin"/>
      </w:r>
      <w:r w:rsidR="00DB725C">
        <w:rPr>
          <w:rFonts w:ascii="Times New Roman" w:hAnsi="Times New Roman" w:cs="Times New Roman"/>
          <w:color w:val="000000" w:themeColor="text1"/>
        </w:rPr>
        <w:instrText xml:space="preserve"> REF _Ref357388316 \h </w:instrText>
      </w:r>
      <w:r w:rsidR="00DB725C">
        <w:rPr>
          <w:rFonts w:ascii="Times New Roman" w:hAnsi="Times New Roman" w:cs="Times New Roman"/>
          <w:color w:val="000000" w:themeColor="text1"/>
        </w:rPr>
      </w:r>
      <w:r w:rsidR="00DB725C">
        <w:rPr>
          <w:rFonts w:ascii="Times New Roman" w:hAnsi="Times New Roman" w:cs="Times New Roman"/>
          <w:color w:val="000000" w:themeColor="text1"/>
        </w:rPr>
        <w:fldChar w:fldCharType="separate"/>
      </w:r>
      <w:r w:rsidR="00C2793E">
        <w:t xml:space="preserve">Figure </w:t>
      </w:r>
      <w:r w:rsidR="00C2793E">
        <w:rPr>
          <w:noProof/>
        </w:rPr>
        <w:t>3</w:t>
      </w:r>
      <w:r w:rsidR="00DB725C">
        <w:rPr>
          <w:rFonts w:ascii="Times New Roman" w:hAnsi="Times New Roman" w:cs="Times New Roman"/>
          <w:color w:val="000000" w:themeColor="text1"/>
        </w:rPr>
        <w:fldChar w:fldCharType="end"/>
      </w:r>
      <w:r w:rsidR="00DB725C">
        <w:rPr>
          <w:rFonts w:ascii="Times New Roman" w:hAnsi="Times New Roman" w:cs="Times New Roman"/>
          <w:color w:val="000000" w:themeColor="text1"/>
        </w:rPr>
        <w:t xml:space="preserve"> </w:t>
      </w:r>
      <w:r w:rsidR="004E17E9" w:rsidRPr="0068584C">
        <w:rPr>
          <w:rFonts w:ascii="Times New Roman" w:hAnsi="Times New Roman" w:cs="Times New Roman"/>
          <w:color w:val="000000" w:themeColor="text1"/>
        </w:rPr>
        <w:t xml:space="preserve">illustrates how </w:t>
      </w:r>
      <w:r w:rsidR="007534E6">
        <w:rPr>
          <w:rFonts w:ascii="Times New Roman" w:hAnsi="Times New Roman" w:cs="Times New Roman"/>
          <w:color w:val="000000" w:themeColor="text1"/>
        </w:rPr>
        <w:t>innovation and efficiency</w:t>
      </w:r>
      <w:r w:rsidR="007534E6" w:rsidRPr="0068584C">
        <w:rPr>
          <w:rFonts w:ascii="Times New Roman" w:hAnsi="Times New Roman" w:cs="Times New Roman"/>
          <w:color w:val="000000" w:themeColor="text1"/>
        </w:rPr>
        <w:t xml:space="preserve"> </w:t>
      </w:r>
      <w:r w:rsidR="004E17E9" w:rsidRPr="0068584C">
        <w:rPr>
          <w:rFonts w:ascii="Times New Roman" w:hAnsi="Times New Roman" w:cs="Times New Roman"/>
          <w:color w:val="000000" w:themeColor="text1"/>
        </w:rPr>
        <w:t xml:space="preserve">culture can </w:t>
      </w:r>
      <w:r w:rsidR="007534E6">
        <w:rPr>
          <w:rFonts w:ascii="Times New Roman" w:hAnsi="Times New Roman" w:cs="Times New Roman"/>
          <w:color w:val="000000" w:themeColor="text1"/>
        </w:rPr>
        <w:t xml:space="preserve">also </w:t>
      </w:r>
      <w:r w:rsidR="004E17E9" w:rsidRPr="0068584C">
        <w:rPr>
          <w:rFonts w:ascii="Times New Roman" w:hAnsi="Times New Roman" w:cs="Times New Roman"/>
          <w:color w:val="000000" w:themeColor="text1"/>
        </w:rPr>
        <w:t>moderate the SCRO</w:t>
      </w:r>
      <w:r w:rsidR="007534E6">
        <w:rPr>
          <w:rFonts w:ascii="Times New Roman" w:hAnsi="Times New Roman" w:cs="Times New Roman"/>
          <w:color w:val="000000" w:themeColor="text1"/>
        </w:rPr>
        <w:t xml:space="preserve"> to performance </w:t>
      </w:r>
      <w:r w:rsidR="004E17E9" w:rsidRPr="0068584C">
        <w:rPr>
          <w:rFonts w:ascii="Times New Roman" w:hAnsi="Times New Roman" w:cs="Times New Roman"/>
          <w:color w:val="000000" w:themeColor="text1"/>
        </w:rPr>
        <w:t>relationship.</w:t>
      </w:r>
      <w:r w:rsidR="0004718D">
        <w:rPr>
          <w:rFonts w:ascii="Times New Roman" w:hAnsi="Times New Roman" w:cs="Times New Roman"/>
          <w:color w:val="000000" w:themeColor="text1"/>
        </w:rPr>
        <w:t xml:space="preserve"> </w:t>
      </w:r>
    </w:p>
    <w:p w14:paraId="3FCABF96" w14:textId="77777777" w:rsidR="00C90312" w:rsidRPr="0068584C" w:rsidRDefault="00C90312" w:rsidP="0035460B">
      <w:pPr>
        <w:spacing w:line="480" w:lineRule="auto"/>
        <w:rPr>
          <w:rFonts w:ascii="Times New Roman" w:hAnsi="Times New Roman" w:cs="Times New Roman"/>
          <w:color w:val="000000" w:themeColor="text1"/>
        </w:rPr>
      </w:pPr>
    </w:p>
    <w:p w14:paraId="781E11F1" w14:textId="4C5D14F0" w:rsidR="00B15775" w:rsidRPr="0068584C" w:rsidRDefault="00C910FE" w:rsidP="0035460B">
      <w:pPr>
        <w:spacing w:line="480" w:lineRule="auto"/>
        <w:rPr>
          <w:rFonts w:ascii="Times New Roman" w:hAnsi="Times New Roman" w:cs="Times New Roman"/>
          <w:color w:val="000000" w:themeColor="text1"/>
        </w:rPr>
      </w:pPr>
      <w:r w:rsidRPr="008C76D8">
        <w:rPr>
          <w:rFonts w:ascii="Times New Roman" w:hAnsi="Times New Roman" w:cs="Times New Roman"/>
          <w:noProof/>
          <w:color w:val="000000" w:themeColor="text1"/>
        </w:rPr>
        <w:lastRenderedPageBreak/>
        <w:drawing>
          <wp:inline distT="0" distB="0" distL="0" distR="0" wp14:anchorId="5100E57A" wp14:editId="05BE9160">
            <wp:extent cx="5943600" cy="3588589"/>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588589"/>
                    </a:xfrm>
                    <a:prstGeom prst="rect">
                      <a:avLst/>
                    </a:prstGeom>
                    <a:noFill/>
                    <a:ln>
                      <a:noFill/>
                    </a:ln>
                  </pic:spPr>
                </pic:pic>
              </a:graphicData>
            </a:graphic>
          </wp:inline>
        </w:drawing>
      </w:r>
    </w:p>
    <w:p w14:paraId="34A33CAB" w14:textId="035D5BEA" w:rsidR="00B15775" w:rsidRPr="00B47BE6" w:rsidRDefault="00B47BE6" w:rsidP="00B47BE6">
      <w:pPr>
        <w:pStyle w:val="Caption"/>
        <w:keepNext/>
      </w:pPr>
      <w:bookmarkStart w:id="63" w:name="_Ref357388316"/>
      <w:bookmarkStart w:id="64" w:name="_Toc358326877"/>
      <w:r>
        <w:t xml:space="preserve">Figure </w:t>
      </w:r>
      <w:fldSimple w:instr=" SEQ Figure \* ARABIC ">
        <w:r w:rsidR="00C2793E">
          <w:rPr>
            <w:noProof/>
          </w:rPr>
          <w:t>3</w:t>
        </w:r>
      </w:fldSimple>
      <w:bookmarkEnd w:id="63"/>
      <w:r>
        <w:t xml:space="preserve"> - </w:t>
      </w:r>
      <w:r w:rsidR="00FA167D">
        <w:rPr>
          <w:rFonts w:cs="Times New Roman"/>
        </w:rPr>
        <w:t>Organizational Culture</w:t>
      </w:r>
      <w:bookmarkEnd w:id="64"/>
    </w:p>
    <w:p w14:paraId="5A4EF975" w14:textId="16B2BDB2" w:rsidR="005B1E92" w:rsidRPr="0068584C" w:rsidRDefault="005B1E92" w:rsidP="0035460B">
      <w:pPr>
        <w:spacing w:line="480" w:lineRule="auto"/>
        <w:rPr>
          <w:rFonts w:ascii="Times New Roman" w:hAnsi="Times New Roman" w:cs="Times New Roman"/>
        </w:rPr>
      </w:pPr>
    </w:p>
    <w:p w14:paraId="2CCB0B9F" w14:textId="59072432" w:rsidR="00B56F56" w:rsidRPr="0068584C" w:rsidRDefault="00C207F6" w:rsidP="0035460B">
      <w:pPr>
        <w:spacing w:line="480" w:lineRule="auto"/>
        <w:jc w:val="both"/>
        <w:rPr>
          <w:rFonts w:ascii="Times New Roman" w:hAnsi="Times New Roman" w:cs="Times New Roman"/>
        </w:rPr>
      </w:pPr>
      <w:r w:rsidRPr="0068584C">
        <w:rPr>
          <w:rFonts w:ascii="Times New Roman" w:hAnsi="Times New Roman" w:cs="Times New Roman"/>
        </w:rPr>
        <w:t>When analyzing organizational culture, t</w:t>
      </w:r>
      <w:r w:rsidR="00C90312" w:rsidRPr="0068584C">
        <w:rPr>
          <w:rFonts w:ascii="Times New Roman" w:hAnsi="Times New Roman" w:cs="Times New Roman"/>
        </w:rPr>
        <w:t>he differentiation between an innovation culture from an efficiency culture is important</w:t>
      </w:r>
      <w:r w:rsidR="00230D2E">
        <w:rPr>
          <w:rFonts w:ascii="Times New Roman" w:hAnsi="Times New Roman" w:cs="Times New Roman"/>
        </w:rPr>
        <w:t xml:space="preserve"> for </w:t>
      </w:r>
      <w:r w:rsidR="005B1E92" w:rsidRPr="0068584C">
        <w:rPr>
          <w:rFonts w:ascii="Times New Roman" w:hAnsi="Times New Roman" w:cs="Times New Roman"/>
        </w:rPr>
        <w:t xml:space="preserve">the purpose of </w:t>
      </w:r>
      <w:r w:rsidR="00C84A7C" w:rsidRPr="0068584C">
        <w:rPr>
          <w:rFonts w:ascii="Times New Roman" w:hAnsi="Times New Roman" w:cs="Times New Roman"/>
        </w:rPr>
        <w:t>clarity</w:t>
      </w:r>
      <w:r w:rsidR="00230D2E">
        <w:rPr>
          <w:rFonts w:ascii="Times New Roman" w:hAnsi="Times New Roman" w:cs="Times New Roman"/>
        </w:rPr>
        <w:t>.</w:t>
      </w:r>
      <w:r w:rsidR="00C84A7C" w:rsidRPr="0068584C">
        <w:rPr>
          <w:rFonts w:ascii="Times New Roman" w:hAnsi="Times New Roman" w:cs="Times New Roman"/>
        </w:rPr>
        <w:t xml:space="preserve"> </w:t>
      </w:r>
      <w:r w:rsidR="00C90312" w:rsidRPr="00D3563D">
        <w:rPr>
          <w:rFonts w:ascii="Times New Roman" w:hAnsi="Times New Roman" w:cs="Times New Roman"/>
        </w:rPr>
        <w:t>Both are</w:t>
      </w:r>
      <w:r w:rsidR="003C6834">
        <w:rPr>
          <w:rFonts w:ascii="Times New Roman" w:hAnsi="Times New Roman" w:cs="Times New Roman"/>
        </w:rPr>
        <w:t xml:space="preserve"> understood as residing</w:t>
      </w:r>
      <w:r w:rsidR="00C90312" w:rsidRPr="00D3563D">
        <w:rPr>
          <w:rFonts w:ascii="Times New Roman" w:hAnsi="Times New Roman" w:cs="Times New Roman"/>
        </w:rPr>
        <w:t xml:space="preserve"> on opposing ends of a dichotomy</w:t>
      </w:r>
      <w:r w:rsidR="00D01A9B">
        <w:rPr>
          <w:rFonts w:ascii="Times New Roman" w:hAnsi="Times New Roman" w:cs="Times New Roman"/>
        </w:rPr>
        <w:t xml:space="preserve"> </w:t>
      </w:r>
      <w:r w:rsidR="00C92A76">
        <w:rPr>
          <w:rFonts w:ascii="Times New Roman" w:hAnsi="Times New Roman" w:cs="Times New Roman"/>
        </w:rPr>
        <w:fldChar w:fldCharType="begin" w:fldLock="1"/>
      </w:r>
      <w:r w:rsidR="00656DD0">
        <w:rPr>
          <w:rFonts w:ascii="Times New Roman" w:hAnsi="Times New Roman" w:cs="Times New Roman"/>
        </w:rPr>
        <w:instrText>ADDIN CSL_CITATION { "citationItems" : [ { "id" : "ITEM-1", "itemData" : { "DOI" : "10.1016/j.technovation.2010.07.002", "ISBN" : "0166-4972", "ISSN" : "01664972", "abstract" : "This paper charts an unnoticed theme in the current debate on open innovation, namely the foundational question whether increasing openness is beneficial? The paper approaches this question by conceptualising the degree of 'openness' and analyses the importance of increasing degrees of openness for NPD performance. Inter-organizational relationships in New Product Development lay the foundation for operationalising openness because these represent important sources of ideas and knowledge in purposive inbound open innovation. This exploratory paper finds that on immediate NPD performance measures the single firm strategy is performing better than the collaborative strategy. However, we also find that the use of internal and external relationships is highly correlated and that these interact with each other. Finally, with increasing degrees of openness the product development projects are slower than the norm in the industry, slower than what is usual for the firm's projects and had higher cost than the norm in the industry and the firm's usual projects. These results offer a more critical perspective on openness and NPD performance than the literature on the open innovation paradigm suggests. The paper discusses these results and offers some challenges for management and research of open innovation. ?? 2010 Elsevier Ltd. All rights reserved.", "author" : [ { "dropping-particle" : "", "family" : "Knudsen", "given" : "Mette Praest", "non-dropping-particle" : "", "parse-names" : false, "suffix" : "" }, { "dropping-particle" : "", "family" : "Mortensen", "given" : "Thomas B\u00f8tker", "non-dropping-particle" : "", "parse-names" : false, "suffix" : "" } ], "container-title" : "Technovation", "id" : "ITEM-1", "issue" : "1", "issued" : { "date-parts" : [ [ "2011" ] ] }, "page" : "54-64", "title" : "Some immediate but negative effects of openness on product development performance", "type" : "article-journal", "volume" : "31" }, "uris" : [ "http://www.mendeley.com/documents/?uuid=89aed28a-6bb6-488a-8cff-0b99ffa65593" ] }, { "id" : "ITEM-2", "itemData" : { "author" : [ { "dropping-particle" : "", "family" : "Hock", "given" : "Marianne", "non-dropping-particle" : "", "parse-names" : false, "suffix" : "" }, { "dropping-particle" : "", "family" : "Clauss", "given" : "Thomas", "non-dropping-particle" : "", "parse-names" : false, "suffix" : "" }, { "dropping-particle" : "", "family" : "Schulz", "given" : "Esther", "non-dropping-particle" : "", "parse-names" : false, "suffix" : "" } ], "container-title" : "R&amp;D Management", "id" : "ITEM-2", "issue" : "3", "issued" : { "date-parts" : [ [ "2015" ] ] }, "page" : "433-450", "title" : "The impact of organizational culture on a firm\u2019s capability to innovate the business model", "type" : "article-journal", "volume" : "46" }, "uris" : [ "http://www.mendeley.com/documents/?uuid=bb7f1f4e-d9e1-4db6-a472-974c56333912" ] } ], "mendeley" : { "formattedCitation" : "(Hock et al., 2015; Knudsen &amp; Mortensen, 2011)", "plainTextFormattedCitation" : "(Hock et al., 2015; Knudsen &amp; Mortensen, 2011)", "previouslyFormattedCitation" : "(Hock et al., 2015; Knudsen &amp; Mortensen, 2011)" }, "properties" : { "noteIndex" : 0 }, "schema" : "https://github.com/citation-style-language/schema/raw/master/csl-citation.json" }</w:instrText>
      </w:r>
      <w:r w:rsidR="00C92A76">
        <w:rPr>
          <w:rFonts w:ascii="Times New Roman" w:hAnsi="Times New Roman" w:cs="Times New Roman"/>
        </w:rPr>
        <w:fldChar w:fldCharType="separate"/>
      </w:r>
      <w:r w:rsidR="00C92A76" w:rsidRPr="00C92A76">
        <w:rPr>
          <w:rFonts w:ascii="Times New Roman" w:hAnsi="Times New Roman" w:cs="Times New Roman"/>
          <w:noProof/>
        </w:rPr>
        <w:t>(Hock et al., 2015; Knudsen &amp; Mortensen, 2011)</w:t>
      </w:r>
      <w:r w:rsidR="00C92A76">
        <w:rPr>
          <w:rFonts w:ascii="Times New Roman" w:hAnsi="Times New Roman" w:cs="Times New Roman"/>
        </w:rPr>
        <w:fldChar w:fldCharType="end"/>
      </w:r>
      <w:r w:rsidR="00C90312" w:rsidRPr="00CB7418">
        <w:rPr>
          <w:rFonts w:ascii="Times New Roman" w:hAnsi="Times New Roman" w:cs="Times New Roman"/>
        </w:rPr>
        <w:t xml:space="preserve">. </w:t>
      </w:r>
      <w:r w:rsidR="00683821" w:rsidRPr="008F2A60">
        <w:rPr>
          <w:rFonts w:ascii="Times New Roman" w:hAnsi="Times New Roman" w:cs="Times New Roman"/>
        </w:rPr>
        <w:t>Innovation culture has been described with attributes such as</w:t>
      </w:r>
      <w:r w:rsidR="00683821">
        <w:rPr>
          <w:rFonts w:ascii="Times New Roman" w:hAnsi="Times New Roman" w:cs="Times New Roman"/>
        </w:rPr>
        <w:t xml:space="preserve"> innovation orientation, creativity, risk-taking, or p</w:t>
      </w:r>
      <w:r w:rsidR="00DB725C">
        <w:rPr>
          <w:rFonts w:ascii="Times New Roman" w:hAnsi="Times New Roman" w:cs="Times New Roman"/>
        </w:rPr>
        <w:t>ioneering, among others (</w:t>
      </w:r>
      <w:r w:rsidR="00DB725C">
        <w:rPr>
          <w:rFonts w:ascii="Times New Roman" w:hAnsi="Times New Roman" w:cs="Times New Roman"/>
        </w:rPr>
        <w:fldChar w:fldCharType="begin"/>
      </w:r>
      <w:r w:rsidR="00DB725C">
        <w:rPr>
          <w:rFonts w:ascii="Times New Roman" w:hAnsi="Times New Roman" w:cs="Times New Roman"/>
        </w:rPr>
        <w:instrText xml:space="preserve"> REF _Ref357387975 \h </w:instrText>
      </w:r>
      <w:r w:rsidR="00DB725C">
        <w:rPr>
          <w:rFonts w:ascii="Times New Roman" w:hAnsi="Times New Roman" w:cs="Times New Roman"/>
        </w:rPr>
      </w:r>
      <w:r w:rsidR="00DB725C">
        <w:rPr>
          <w:rFonts w:ascii="Times New Roman" w:hAnsi="Times New Roman" w:cs="Times New Roman"/>
        </w:rPr>
        <w:fldChar w:fldCharType="separate"/>
      </w:r>
      <w:r w:rsidR="00C2793E">
        <w:t xml:space="preserve">Table </w:t>
      </w:r>
      <w:r w:rsidR="00C2793E">
        <w:rPr>
          <w:noProof/>
        </w:rPr>
        <w:t>6</w:t>
      </w:r>
      <w:r w:rsidR="00DB725C">
        <w:rPr>
          <w:rFonts w:ascii="Times New Roman" w:hAnsi="Times New Roman" w:cs="Times New Roman"/>
        </w:rPr>
        <w:fldChar w:fldCharType="end"/>
      </w:r>
      <w:r w:rsidR="00683821">
        <w:rPr>
          <w:rFonts w:ascii="Times New Roman" w:hAnsi="Times New Roman" w:cs="Times New Roman"/>
        </w:rPr>
        <w:t>). In contrast, key attributes of efficiency culture include productivity, stability, control, or consistency.</w:t>
      </w:r>
      <w:r w:rsidR="00CE266B">
        <w:rPr>
          <w:rFonts w:ascii="Times New Roman" w:hAnsi="Times New Roman" w:cs="Times New Roman"/>
        </w:rPr>
        <w:t xml:space="preserve"> </w:t>
      </w:r>
      <w:r w:rsidR="0045140D" w:rsidRPr="0068584C">
        <w:rPr>
          <w:rFonts w:ascii="Times New Roman" w:hAnsi="Times New Roman" w:cs="Times New Roman"/>
        </w:rPr>
        <w:t>This</w:t>
      </w:r>
      <w:r w:rsidR="00A7494F" w:rsidRPr="0068584C">
        <w:rPr>
          <w:rFonts w:ascii="Times New Roman" w:hAnsi="Times New Roman" w:cs="Times New Roman"/>
        </w:rPr>
        <w:t xml:space="preserve"> decisive </w:t>
      </w:r>
      <w:r w:rsidR="00B56F56" w:rsidRPr="0068584C">
        <w:rPr>
          <w:rFonts w:ascii="Times New Roman" w:hAnsi="Times New Roman" w:cs="Times New Roman"/>
        </w:rPr>
        <w:t xml:space="preserve">relationship between </w:t>
      </w:r>
      <w:r w:rsidR="00A7494F" w:rsidRPr="0068584C">
        <w:rPr>
          <w:rFonts w:ascii="Times New Roman" w:hAnsi="Times New Roman" w:cs="Times New Roman"/>
        </w:rPr>
        <w:t>organizational culture</w:t>
      </w:r>
      <w:r w:rsidR="0045140D" w:rsidRPr="0068584C">
        <w:rPr>
          <w:rFonts w:ascii="Times New Roman" w:hAnsi="Times New Roman" w:cs="Times New Roman"/>
        </w:rPr>
        <w:t xml:space="preserve"> </w:t>
      </w:r>
      <w:r w:rsidR="00B56F56" w:rsidRPr="0068584C">
        <w:rPr>
          <w:rFonts w:ascii="Times New Roman" w:hAnsi="Times New Roman" w:cs="Times New Roman"/>
        </w:rPr>
        <w:t xml:space="preserve">and innovation performance, as described above, </w:t>
      </w:r>
      <w:r w:rsidR="0045140D" w:rsidRPr="0068584C">
        <w:rPr>
          <w:rFonts w:ascii="Times New Roman" w:hAnsi="Times New Roman" w:cs="Times New Roman"/>
        </w:rPr>
        <w:t>leads to the first two propositions</w:t>
      </w:r>
      <w:r w:rsidR="00DB512A" w:rsidRPr="0068584C">
        <w:rPr>
          <w:rFonts w:ascii="Times New Roman" w:hAnsi="Times New Roman" w:cs="Times New Roman"/>
        </w:rPr>
        <w:t>:</w:t>
      </w:r>
    </w:p>
    <w:p w14:paraId="1132712D" w14:textId="77777777" w:rsidR="00DB512A" w:rsidRPr="0068584C" w:rsidRDefault="00DB512A" w:rsidP="0035460B">
      <w:pPr>
        <w:spacing w:line="480" w:lineRule="auto"/>
        <w:jc w:val="both"/>
        <w:rPr>
          <w:rFonts w:ascii="Times New Roman" w:hAnsi="Times New Roman" w:cs="Times New Roman"/>
        </w:rPr>
      </w:pPr>
    </w:p>
    <w:p w14:paraId="05DBF4AD" w14:textId="109E7589" w:rsidR="00676734" w:rsidRPr="0068584C" w:rsidRDefault="00676734" w:rsidP="0035460B">
      <w:pPr>
        <w:spacing w:line="480" w:lineRule="auto"/>
        <w:jc w:val="both"/>
        <w:rPr>
          <w:rFonts w:ascii="Times New Roman" w:hAnsi="Times New Roman" w:cs="Times New Roman"/>
          <w:b/>
        </w:rPr>
      </w:pPr>
      <w:r w:rsidRPr="0068584C">
        <w:rPr>
          <w:rFonts w:ascii="Times New Roman" w:hAnsi="Times New Roman" w:cs="Times New Roman"/>
          <w:b/>
        </w:rPr>
        <w:t xml:space="preserve">Proposition </w:t>
      </w:r>
      <w:r w:rsidR="00C46B95">
        <w:rPr>
          <w:rFonts w:ascii="Times New Roman" w:hAnsi="Times New Roman" w:cs="Times New Roman"/>
          <w:b/>
        </w:rPr>
        <w:t>P</w:t>
      </w:r>
      <w:r w:rsidR="00C46B95" w:rsidRPr="00C46B95">
        <w:rPr>
          <w:rFonts w:ascii="Times New Roman" w:hAnsi="Times New Roman" w:cs="Times New Roman"/>
          <w:b/>
          <w:vertAlign w:val="subscript"/>
        </w:rPr>
        <w:t>1</w:t>
      </w:r>
      <w:r w:rsidRPr="0068584C">
        <w:rPr>
          <w:rFonts w:ascii="Times New Roman" w:hAnsi="Times New Roman" w:cs="Times New Roman"/>
          <w:b/>
        </w:rPr>
        <w:t xml:space="preserve">: </w:t>
      </w:r>
    </w:p>
    <w:p w14:paraId="6FF771B4" w14:textId="36614DDB" w:rsidR="00F2392F" w:rsidRPr="0068584C" w:rsidRDefault="00AF6C49" w:rsidP="0035460B">
      <w:pPr>
        <w:spacing w:line="480" w:lineRule="auto"/>
        <w:ind w:left="720"/>
        <w:jc w:val="both"/>
        <w:rPr>
          <w:rFonts w:ascii="Times New Roman" w:hAnsi="Times New Roman" w:cs="Times New Roman"/>
        </w:rPr>
      </w:pPr>
      <w:r>
        <w:rPr>
          <w:rFonts w:ascii="Times New Roman" w:hAnsi="Times New Roman" w:cs="Times New Roman"/>
        </w:rPr>
        <w:t>I</w:t>
      </w:r>
      <w:r w:rsidR="00F2392F" w:rsidRPr="0068584C">
        <w:rPr>
          <w:rFonts w:ascii="Times New Roman" w:hAnsi="Times New Roman" w:cs="Times New Roman"/>
        </w:rPr>
        <w:t xml:space="preserve">nnovation culture is </w:t>
      </w:r>
      <w:r w:rsidR="00DB426E" w:rsidRPr="0068584C">
        <w:rPr>
          <w:rFonts w:ascii="Times New Roman" w:hAnsi="Times New Roman" w:cs="Times New Roman"/>
        </w:rPr>
        <w:t xml:space="preserve">positively </w:t>
      </w:r>
      <w:r w:rsidR="00F2392F" w:rsidRPr="0068584C">
        <w:rPr>
          <w:rFonts w:ascii="Times New Roman" w:hAnsi="Times New Roman" w:cs="Times New Roman"/>
        </w:rPr>
        <w:t>associated with innovation performance</w:t>
      </w:r>
    </w:p>
    <w:p w14:paraId="27D98351" w14:textId="77777777" w:rsidR="00F2392F" w:rsidRPr="0068584C" w:rsidRDefault="00F2392F" w:rsidP="0035460B">
      <w:pPr>
        <w:spacing w:line="480" w:lineRule="auto"/>
        <w:ind w:left="360"/>
        <w:jc w:val="both"/>
        <w:rPr>
          <w:rFonts w:ascii="Times New Roman" w:hAnsi="Times New Roman" w:cs="Times New Roman"/>
        </w:rPr>
      </w:pPr>
    </w:p>
    <w:p w14:paraId="76867711" w14:textId="696D9CD2" w:rsidR="00F2392F" w:rsidRPr="0068584C" w:rsidRDefault="00F2392F" w:rsidP="0035460B">
      <w:pPr>
        <w:spacing w:line="480" w:lineRule="auto"/>
        <w:jc w:val="both"/>
        <w:rPr>
          <w:rFonts w:ascii="Times New Roman" w:hAnsi="Times New Roman" w:cs="Times New Roman"/>
          <w:b/>
        </w:rPr>
      </w:pPr>
      <w:r w:rsidRPr="0068584C">
        <w:rPr>
          <w:rFonts w:ascii="Times New Roman" w:hAnsi="Times New Roman" w:cs="Times New Roman"/>
          <w:b/>
        </w:rPr>
        <w:lastRenderedPageBreak/>
        <w:t xml:space="preserve">Proposition </w:t>
      </w:r>
      <w:r w:rsidR="00C46B95">
        <w:rPr>
          <w:rFonts w:ascii="Times New Roman" w:hAnsi="Times New Roman" w:cs="Times New Roman"/>
          <w:b/>
        </w:rPr>
        <w:t>P</w:t>
      </w:r>
      <w:r w:rsidR="00C46B95">
        <w:rPr>
          <w:rFonts w:ascii="Times New Roman" w:hAnsi="Times New Roman" w:cs="Times New Roman"/>
          <w:b/>
          <w:vertAlign w:val="subscript"/>
        </w:rPr>
        <w:t>2</w:t>
      </w:r>
      <w:r w:rsidRPr="0068584C">
        <w:rPr>
          <w:rFonts w:ascii="Times New Roman" w:hAnsi="Times New Roman" w:cs="Times New Roman"/>
          <w:b/>
        </w:rPr>
        <w:t xml:space="preserve">: </w:t>
      </w:r>
    </w:p>
    <w:p w14:paraId="02D20B05" w14:textId="3D482F3F" w:rsidR="00F2392F" w:rsidRPr="0068584C" w:rsidRDefault="00AF6C49" w:rsidP="0035460B">
      <w:pPr>
        <w:spacing w:line="480" w:lineRule="auto"/>
        <w:ind w:left="720"/>
        <w:jc w:val="both"/>
        <w:rPr>
          <w:rFonts w:ascii="Times New Roman" w:hAnsi="Times New Roman" w:cs="Times New Roman"/>
        </w:rPr>
      </w:pPr>
      <w:r>
        <w:rPr>
          <w:rFonts w:ascii="Times New Roman" w:hAnsi="Times New Roman" w:cs="Times New Roman"/>
        </w:rPr>
        <w:t>E</w:t>
      </w:r>
      <w:r w:rsidR="00F2392F" w:rsidRPr="0068584C">
        <w:rPr>
          <w:rFonts w:ascii="Times New Roman" w:hAnsi="Times New Roman" w:cs="Times New Roman"/>
        </w:rPr>
        <w:t xml:space="preserve">fficiency culture is </w:t>
      </w:r>
      <w:r w:rsidR="00DB426E" w:rsidRPr="0068584C">
        <w:rPr>
          <w:rFonts w:ascii="Times New Roman" w:hAnsi="Times New Roman" w:cs="Times New Roman"/>
        </w:rPr>
        <w:t>negatively</w:t>
      </w:r>
      <w:r w:rsidR="00F2392F" w:rsidRPr="0068584C">
        <w:rPr>
          <w:rFonts w:ascii="Times New Roman" w:hAnsi="Times New Roman" w:cs="Times New Roman"/>
        </w:rPr>
        <w:t xml:space="preserve"> associated with innovation performance</w:t>
      </w:r>
    </w:p>
    <w:p w14:paraId="58384197" w14:textId="77777777" w:rsidR="002002D9" w:rsidRPr="0068584C" w:rsidRDefault="002002D9" w:rsidP="0035460B">
      <w:pPr>
        <w:spacing w:line="480" w:lineRule="auto"/>
        <w:rPr>
          <w:rFonts w:ascii="Times New Roman" w:hAnsi="Times New Roman" w:cs="Times New Roman"/>
        </w:rPr>
      </w:pPr>
    </w:p>
    <w:p w14:paraId="67C37E82" w14:textId="2B3E0D38" w:rsidR="00C90312" w:rsidRPr="0068584C" w:rsidRDefault="00D4615F" w:rsidP="0035460B">
      <w:pPr>
        <w:spacing w:line="480" w:lineRule="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_Ref357387975 \h </w:instrText>
      </w:r>
      <w:r>
        <w:rPr>
          <w:rFonts w:ascii="Times New Roman" w:hAnsi="Times New Roman" w:cs="Times New Roman"/>
        </w:rPr>
      </w:r>
      <w:r>
        <w:rPr>
          <w:rFonts w:ascii="Times New Roman" w:hAnsi="Times New Roman" w:cs="Times New Roman"/>
        </w:rPr>
        <w:fldChar w:fldCharType="separate"/>
      </w:r>
      <w:r w:rsidR="00C2793E">
        <w:t xml:space="preserve">Table </w:t>
      </w:r>
      <w:r w:rsidR="00C2793E">
        <w:rPr>
          <w:noProof/>
        </w:rPr>
        <w:t>6</w:t>
      </w:r>
      <w:r>
        <w:rPr>
          <w:rFonts w:ascii="Times New Roman" w:hAnsi="Times New Roman" w:cs="Times New Roman"/>
        </w:rPr>
        <w:fldChar w:fldCharType="end"/>
      </w:r>
      <w:r>
        <w:rPr>
          <w:rFonts w:ascii="Times New Roman" w:hAnsi="Times New Roman" w:cs="Times New Roman"/>
        </w:rPr>
        <w:t xml:space="preserve"> </w:t>
      </w:r>
      <w:r w:rsidR="00C90312" w:rsidRPr="0068584C">
        <w:rPr>
          <w:rFonts w:ascii="Times New Roman" w:hAnsi="Times New Roman" w:cs="Times New Roman"/>
        </w:rPr>
        <w:t xml:space="preserve">summarizes the main aspects of both manifestations of </w:t>
      </w:r>
      <w:r w:rsidR="002D5685" w:rsidRPr="0068584C">
        <w:rPr>
          <w:rFonts w:ascii="Times New Roman" w:hAnsi="Times New Roman" w:cs="Times New Roman"/>
        </w:rPr>
        <w:t xml:space="preserve">innovation and </w:t>
      </w:r>
      <w:r w:rsidR="00C90312" w:rsidRPr="0068584C">
        <w:rPr>
          <w:rFonts w:ascii="Times New Roman" w:hAnsi="Times New Roman" w:cs="Times New Roman"/>
        </w:rPr>
        <w:t>organizational culture</w:t>
      </w:r>
      <w:r w:rsidR="00516264" w:rsidRPr="0068584C">
        <w:rPr>
          <w:rFonts w:ascii="Times New Roman" w:hAnsi="Times New Roman" w:cs="Times New Roman"/>
        </w:rPr>
        <w:t xml:space="preserve"> in the literature</w:t>
      </w:r>
      <w:r w:rsidR="00C90312" w:rsidRPr="0068584C">
        <w:rPr>
          <w:rFonts w:ascii="Times New Roman" w:hAnsi="Times New Roman" w:cs="Times New Roman"/>
        </w:rPr>
        <w:t>.</w:t>
      </w:r>
    </w:p>
    <w:p w14:paraId="12A51931" w14:textId="77777777" w:rsidR="00C90312" w:rsidRPr="0068584C" w:rsidRDefault="00C90312" w:rsidP="0035460B">
      <w:pPr>
        <w:spacing w:line="480" w:lineRule="auto"/>
        <w:rPr>
          <w:rFonts w:ascii="Times New Roman" w:hAnsi="Times New Roman" w:cs="Times New Roman"/>
        </w:rPr>
      </w:pPr>
    </w:p>
    <w:p w14:paraId="411E322D" w14:textId="77777777" w:rsidR="00B600DD" w:rsidRPr="0068584C" w:rsidRDefault="00B600DD" w:rsidP="0035460B">
      <w:pPr>
        <w:spacing w:line="480" w:lineRule="auto"/>
        <w:rPr>
          <w:rFonts w:ascii="Times New Roman" w:hAnsi="Times New Roman" w:cs="Times New Roman"/>
        </w:rPr>
      </w:pPr>
      <w:r w:rsidRPr="0068584C">
        <w:rPr>
          <w:rFonts w:ascii="Times New Roman" w:hAnsi="Times New Roman" w:cs="Times New Roman"/>
        </w:rPr>
        <w:br w:type="page"/>
      </w:r>
    </w:p>
    <w:p w14:paraId="6B017519" w14:textId="48815C37" w:rsidR="008B3DB4" w:rsidRDefault="008B3DB4" w:rsidP="00B73A3A">
      <w:pPr>
        <w:pStyle w:val="Caption"/>
      </w:pPr>
      <w:bookmarkStart w:id="65" w:name="_Toc358326842"/>
      <w:bookmarkStart w:id="66" w:name="_Ref357387975"/>
      <w:r>
        <w:lastRenderedPageBreak/>
        <w:t xml:space="preserve">Table </w:t>
      </w:r>
      <w:fldSimple w:instr=" SEQ Table \* ARABIC ">
        <w:r w:rsidR="00C2793E">
          <w:rPr>
            <w:noProof/>
          </w:rPr>
          <w:t>6</w:t>
        </w:r>
        <w:bookmarkEnd w:id="65"/>
      </w:fldSimple>
      <w:bookmarkEnd w:id="66"/>
    </w:p>
    <w:p w14:paraId="62C4399A" w14:textId="0CDC46D6" w:rsidR="00C90312" w:rsidRPr="00B73A3A" w:rsidRDefault="00C90312" w:rsidP="008B3DB4">
      <w:pPr>
        <w:rPr>
          <w:rFonts w:ascii="Times New Roman" w:hAnsi="Times New Roman" w:cs="Times New Roman"/>
          <w:b/>
        </w:rPr>
      </w:pPr>
      <w:r w:rsidRPr="00B73A3A">
        <w:rPr>
          <w:rFonts w:ascii="Times New Roman" w:hAnsi="Times New Roman" w:cs="Times New Roman"/>
          <w:b/>
        </w:rPr>
        <w:t>Innovation and Efficiency Culture</w:t>
      </w:r>
    </w:p>
    <w:p w14:paraId="282ED88C" w14:textId="6798C191" w:rsidR="005A1C51" w:rsidRPr="0068584C" w:rsidRDefault="005A1C51" w:rsidP="0035460B">
      <w:pPr>
        <w:spacing w:line="480" w:lineRule="auto"/>
        <w:rPr>
          <w:rFonts w:ascii="Times New Roman" w:hAnsi="Times New Roman" w:cs="Times New Roman"/>
        </w:rPr>
      </w:pPr>
      <w:r w:rsidRPr="0068584C">
        <w:rPr>
          <w:rFonts w:ascii="Times New Roman" w:hAnsi="Times New Roman" w:cs="Times New Roman"/>
          <w:noProof/>
        </w:rPr>
        <w:drawing>
          <wp:inline distT="0" distB="0" distL="0" distR="0" wp14:anchorId="45A48291" wp14:editId="306271FC">
            <wp:extent cx="5486400" cy="6415249"/>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6415249"/>
                    </a:xfrm>
                    <a:prstGeom prst="rect">
                      <a:avLst/>
                    </a:prstGeom>
                    <a:noFill/>
                    <a:ln>
                      <a:noFill/>
                    </a:ln>
                  </pic:spPr>
                </pic:pic>
              </a:graphicData>
            </a:graphic>
          </wp:inline>
        </w:drawing>
      </w:r>
    </w:p>
    <w:p w14:paraId="3F24DBB0" w14:textId="26049721" w:rsidR="0045140D" w:rsidRPr="0068584C" w:rsidRDefault="008C6A34" w:rsidP="0035460B">
      <w:pPr>
        <w:spacing w:line="480" w:lineRule="auto"/>
        <w:jc w:val="both"/>
        <w:rPr>
          <w:rFonts w:ascii="Times New Roman" w:hAnsi="Times New Roman" w:cs="Times New Roman"/>
        </w:rPr>
      </w:pPr>
      <w:r w:rsidRPr="0068584C">
        <w:rPr>
          <w:rFonts w:ascii="Times New Roman" w:hAnsi="Times New Roman" w:cs="Times New Roman"/>
          <w:color w:val="000000" w:themeColor="text1"/>
        </w:rPr>
        <w:t>Furthermore</w:t>
      </w:r>
      <w:r w:rsidR="00C90312" w:rsidRPr="0068584C">
        <w:rPr>
          <w:rFonts w:ascii="Times New Roman" w:hAnsi="Times New Roman" w:cs="Times New Roman"/>
          <w:color w:val="000000" w:themeColor="text1"/>
        </w:rPr>
        <w:t xml:space="preserve">, the organizational culture construct is predicted to moderate the competitive advantage </w:t>
      </w:r>
      <w:r w:rsidR="0093537A" w:rsidRPr="0068584C">
        <w:rPr>
          <w:rFonts w:ascii="Times New Roman" w:hAnsi="Times New Roman" w:cs="Times New Roman"/>
          <w:color w:val="000000" w:themeColor="text1"/>
        </w:rPr>
        <w:t xml:space="preserve">and </w:t>
      </w:r>
      <w:r w:rsidR="00C90312" w:rsidRPr="0068584C">
        <w:rPr>
          <w:rFonts w:ascii="Times New Roman" w:hAnsi="Times New Roman" w:cs="Times New Roman"/>
          <w:color w:val="000000" w:themeColor="text1"/>
        </w:rPr>
        <w:t xml:space="preserve">organizational performance impact of SCRO. </w:t>
      </w:r>
      <w:r w:rsidR="0045140D" w:rsidRPr="0068584C">
        <w:rPr>
          <w:rFonts w:ascii="Times New Roman" w:hAnsi="Times New Roman" w:cs="Times New Roman"/>
          <w:color w:val="000000" w:themeColor="text1"/>
        </w:rPr>
        <w:t xml:space="preserve"> </w:t>
      </w:r>
      <w:r w:rsidR="0045140D" w:rsidRPr="0068584C">
        <w:rPr>
          <w:rFonts w:ascii="Times New Roman" w:hAnsi="Times New Roman" w:cs="Times New Roman"/>
        </w:rPr>
        <w:t>Hence, the following is suggested:</w:t>
      </w:r>
    </w:p>
    <w:p w14:paraId="5C6C8CF0" w14:textId="6C7E2A2C" w:rsidR="008C6A34" w:rsidRDefault="008C6A34" w:rsidP="0035460B">
      <w:pPr>
        <w:spacing w:line="480" w:lineRule="auto"/>
        <w:jc w:val="both"/>
        <w:rPr>
          <w:rFonts w:ascii="Times New Roman" w:hAnsi="Times New Roman" w:cs="Times New Roman"/>
          <w:color w:val="000000" w:themeColor="text1"/>
        </w:rPr>
      </w:pPr>
    </w:p>
    <w:p w14:paraId="06C10302" w14:textId="77777777" w:rsidR="004B2D49" w:rsidRDefault="004B2D49" w:rsidP="0035460B">
      <w:pPr>
        <w:spacing w:line="480" w:lineRule="auto"/>
        <w:jc w:val="both"/>
        <w:rPr>
          <w:rFonts w:ascii="Times New Roman" w:hAnsi="Times New Roman" w:cs="Times New Roman"/>
          <w:color w:val="000000" w:themeColor="text1"/>
        </w:rPr>
      </w:pPr>
    </w:p>
    <w:p w14:paraId="359D085E" w14:textId="77777777" w:rsidR="004B2D49" w:rsidRPr="0068584C" w:rsidRDefault="004B2D49" w:rsidP="0035460B">
      <w:pPr>
        <w:spacing w:line="480" w:lineRule="auto"/>
        <w:jc w:val="both"/>
        <w:rPr>
          <w:rFonts w:ascii="Times New Roman" w:hAnsi="Times New Roman" w:cs="Times New Roman"/>
          <w:color w:val="000000" w:themeColor="text1"/>
        </w:rPr>
      </w:pPr>
    </w:p>
    <w:p w14:paraId="040CB29A" w14:textId="03BFEAEE" w:rsidR="0045140D" w:rsidRPr="0068584C" w:rsidRDefault="003B7A53" w:rsidP="0035460B">
      <w:pPr>
        <w:spacing w:line="480" w:lineRule="auto"/>
        <w:jc w:val="both"/>
        <w:rPr>
          <w:rFonts w:ascii="Times New Roman" w:hAnsi="Times New Roman" w:cs="Times New Roman"/>
          <w:b/>
        </w:rPr>
      </w:pPr>
      <w:r w:rsidRPr="0068584C">
        <w:rPr>
          <w:rFonts w:ascii="Times New Roman" w:hAnsi="Times New Roman" w:cs="Times New Roman"/>
          <w:b/>
        </w:rPr>
        <w:t xml:space="preserve">Proposition </w:t>
      </w:r>
      <w:r w:rsidR="00C46B95">
        <w:rPr>
          <w:rFonts w:ascii="Times New Roman" w:hAnsi="Times New Roman" w:cs="Times New Roman"/>
          <w:b/>
        </w:rPr>
        <w:t>P</w:t>
      </w:r>
      <w:r w:rsidR="00C46B95">
        <w:rPr>
          <w:rFonts w:ascii="Times New Roman" w:hAnsi="Times New Roman" w:cs="Times New Roman"/>
          <w:b/>
          <w:vertAlign w:val="subscript"/>
        </w:rPr>
        <w:t>3</w:t>
      </w:r>
      <w:r w:rsidRPr="0068584C">
        <w:rPr>
          <w:rFonts w:ascii="Times New Roman" w:hAnsi="Times New Roman" w:cs="Times New Roman"/>
          <w:b/>
        </w:rPr>
        <w:t xml:space="preserve">: </w:t>
      </w:r>
    </w:p>
    <w:p w14:paraId="7A57EB14" w14:textId="77777777" w:rsidR="0093537A" w:rsidRPr="0068584C" w:rsidRDefault="0093537A" w:rsidP="0035460B">
      <w:pPr>
        <w:spacing w:line="480" w:lineRule="auto"/>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Innovation culture positively moderates the relationship between SCRO and innovation performance</w:t>
      </w:r>
    </w:p>
    <w:p w14:paraId="3497715F" w14:textId="77777777" w:rsidR="0093537A" w:rsidRPr="0068584C" w:rsidRDefault="0093537A" w:rsidP="0035460B">
      <w:pPr>
        <w:spacing w:line="480" w:lineRule="auto"/>
        <w:ind w:left="720"/>
        <w:jc w:val="both"/>
        <w:rPr>
          <w:rFonts w:ascii="Times New Roman" w:hAnsi="Times New Roman" w:cs="Times New Roman"/>
          <w:color w:val="000000" w:themeColor="text1"/>
        </w:rPr>
      </w:pPr>
    </w:p>
    <w:p w14:paraId="30E52A3F" w14:textId="2CD4BF87" w:rsidR="0093537A" w:rsidRPr="0068584C" w:rsidRDefault="0093537A" w:rsidP="0035460B">
      <w:pPr>
        <w:spacing w:line="480" w:lineRule="auto"/>
        <w:jc w:val="both"/>
        <w:rPr>
          <w:rFonts w:ascii="Times New Roman" w:hAnsi="Times New Roman" w:cs="Times New Roman"/>
          <w:b/>
        </w:rPr>
      </w:pPr>
      <w:r w:rsidRPr="0068584C">
        <w:rPr>
          <w:rFonts w:ascii="Times New Roman" w:hAnsi="Times New Roman" w:cs="Times New Roman"/>
          <w:b/>
        </w:rPr>
        <w:t xml:space="preserve">Proposition </w:t>
      </w:r>
      <w:r w:rsidR="00C46B95">
        <w:rPr>
          <w:rFonts w:ascii="Times New Roman" w:hAnsi="Times New Roman" w:cs="Times New Roman"/>
          <w:b/>
        </w:rPr>
        <w:t>P</w:t>
      </w:r>
      <w:r w:rsidR="00C46B95">
        <w:rPr>
          <w:rFonts w:ascii="Times New Roman" w:hAnsi="Times New Roman" w:cs="Times New Roman"/>
          <w:b/>
          <w:vertAlign w:val="subscript"/>
        </w:rPr>
        <w:t>4</w:t>
      </w:r>
      <w:r w:rsidRPr="0068584C">
        <w:rPr>
          <w:rFonts w:ascii="Times New Roman" w:hAnsi="Times New Roman" w:cs="Times New Roman"/>
          <w:b/>
        </w:rPr>
        <w:t xml:space="preserve">: </w:t>
      </w:r>
    </w:p>
    <w:p w14:paraId="19E25A59" w14:textId="77777777" w:rsidR="0093537A" w:rsidRPr="0068584C" w:rsidRDefault="0093537A" w:rsidP="0035460B">
      <w:pPr>
        <w:spacing w:line="480" w:lineRule="auto"/>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Efficiency culture negatively moderates the relationship between SCRO and innovation performance</w:t>
      </w:r>
    </w:p>
    <w:p w14:paraId="516AB01A" w14:textId="77777777" w:rsidR="00006135" w:rsidRPr="0068584C" w:rsidRDefault="00006135" w:rsidP="0035460B">
      <w:pPr>
        <w:spacing w:line="480" w:lineRule="auto"/>
        <w:rPr>
          <w:rFonts w:ascii="Times New Roman" w:hAnsi="Times New Roman" w:cs="Times New Roman"/>
          <w:color w:val="000000" w:themeColor="text1"/>
        </w:rPr>
      </w:pPr>
    </w:p>
    <w:p w14:paraId="70437245" w14:textId="52736B22" w:rsidR="00006135" w:rsidRPr="0068584C" w:rsidRDefault="002D5685" w:rsidP="008C76D8">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Innovation </w:t>
      </w:r>
      <w:r w:rsidR="00006135" w:rsidRPr="0068584C">
        <w:rPr>
          <w:rFonts w:ascii="Times New Roman" w:hAnsi="Times New Roman" w:cs="Times New Roman"/>
          <w:color w:val="000000" w:themeColor="text1"/>
        </w:rPr>
        <w:t xml:space="preserve">culture </w:t>
      </w:r>
      <w:r w:rsidR="00516264" w:rsidRPr="0068584C">
        <w:rPr>
          <w:rFonts w:ascii="Times New Roman" w:hAnsi="Times New Roman" w:cs="Times New Roman"/>
          <w:color w:val="000000" w:themeColor="text1"/>
        </w:rPr>
        <w:t>can</w:t>
      </w:r>
      <w:r w:rsidR="00006135" w:rsidRPr="0068584C">
        <w:rPr>
          <w:rFonts w:ascii="Times New Roman" w:hAnsi="Times New Roman" w:cs="Times New Roman"/>
          <w:color w:val="000000" w:themeColor="text1"/>
        </w:rPr>
        <w:t xml:space="preserve"> moderate the relationship between supply chain resource orchestration and performance. </w:t>
      </w:r>
      <w:r w:rsidR="00C20D42" w:rsidRPr="0068584C">
        <w:rPr>
          <w:rFonts w:ascii="Times New Roman" w:hAnsi="Times New Roman" w:cs="Times New Roman"/>
          <w:color w:val="000000" w:themeColor="text1"/>
        </w:rPr>
        <w:t xml:space="preserve">The next critical relationship addresses the performance implications of SCRO. </w:t>
      </w:r>
      <w:r w:rsidR="0080660C" w:rsidRPr="0068584C">
        <w:rPr>
          <w:rFonts w:ascii="Times New Roman" w:hAnsi="Times New Roman" w:cs="Times New Roman"/>
          <w:color w:val="000000" w:themeColor="text1"/>
        </w:rPr>
        <w:t xml:space="preserve">The SCRO framework can help explain organizational performance in general. In particular, it can also predict innovation performance, which can often yield a competitive advantage and, ultimately, enhance financial performance. </w:t>
      </w:r>
      <w:r w:rsidR="00FD53E0">
        <w:rPr>
          <w:rFonts w:ascii="Times New Roman" w:hAnsi="Times New Roman" w:cs="Times New Roman"/>
          <w:color w:val="000000" w:themeColor="text1"/>
        </w:rPr>
        <w:fldChar w:fldCharType="begin"/>
      </w:r>
      <w:r w:rsidR="00FD53E0">
        <w:rPr>
          <w:rFonts w:ascii="Times New Roman" w:hAnsi="Times New Roman" w:cs="Times New Roman"/>
          <w:color w:val="000000" w:themeColor="text1"/>
        </w:rPr>
        <w:instrText xml:space="preserve"> REF _Ref357388316 \h </w:instrText>
      </w:r>
      <w:r w:rsidR="00FD53E0">
        <w:rPr>
          <w:rFonts w:ascii="Times New Roman" w:hAnsi="Times New Roman" w:cs="Times New Roman"/>
          <w:color w:val="000000" w:themeColor="text1"/>
        </w:rPr>
      </w:r>
      <w:r w:rsidR="00FD53E0">
        <w:rPr>
          <w:rFonts w:ascii="Times New Roman" w:hAnsi="Times New Roman" w:cs="Times New Roman"/>
          <w:color w:val="000000" w:themeColor="text1"/>
        </w:rPr>
        <w:fldChar w:fldCharType="separate"/>
      </w:r>
      <w:r w:rsidR="00C2793E">
        <w:t xml:space="preserve">Figure </w:t>
      </w:r>
      <w:r w:rsidR="00C2793E">
        <w:rPr>
          <w:noProof/>
        </w:rPr>
        <w:t>3</w:t>
      </w:r>
      <w:r w:rsidR="00FD53E0">
        <w:rPr>
          <w:rFonts w:ascii="Times New Roman" w:hAnsi="Times New Roman" w:cs="Times New Roman"/>
          <w:color w:val="000000" w:themeColor="text1"/>
        </w:rPr>
        <w:fldChar w:fldCharType="end"/>
      </w:r>
      <w:r w:rsidR="00FD53E0">
        <w:rPr>
          <w:rFonts w:ascii="Times New Roman" w:hAnsi="Times New Roman" w:cs="Times New Roman"/>
          <w:color w:val="000000" w:themeColor="text1"/>
        </w:rPr>
        <w:t xml:space="preserve"> </w:t>
      </w:r>
      <w:r w:rsidR="00C910FE">
        <w:rPr>
          <w:rFonts w:ascii="Times New Roman" w:hAnsi="Times New Roman" w:cs="Times New Roman"/>
          <w:color w:val="000000" w:themeColor="text1"/>
        </w:rPr>
        <w:t>above</w:t>
      </w:r>
      <w:r w:rsidR="00C910FE" w:rsidRPr="0068584C">
        <w:rPr>
          <w:rFonts w:ascii="Times New Roman" w:hAnsi="Times New Roman" w:cs="Times New Roman"/>
          <w:color w:val="000000" w:themeColor="text1"/>
        </w:rPr>
        <w:t xml:space="preserve"> </w:t>
      </w:r>
      <w:r w:rsidR="00C20D42" w:rsidRPr="0068584C">
        <w:rPr>
          <w:rFonts w:ascii="Times New Roman" w:hAnsi="Times New Roman" w:cs="Times New Roman"/>
          <w:color w:val="000000" w:themeColor="text1"/>
        </w:rPr>
        <w:t xml:space="preserve">illustrates this important relationship between SCRO and innovation performance along with the moderating influence of </w:t>
      </w:r>
      <w:r w:rsidR="00C910FE">
        <w:rPr>
          <w:rFonts w:ascii="Times New Roman" w:hAnsi="Times New Roman" w:cs="Times New Roman"/>
          <w:color w:val="000000" w:themeColor="text1"/>
        </w:rPr>
        <w:t>efficiency and innovation</w:t>
      </w:r>
      <w:r w:rsidR="00C910FE" w:rsidRPr="0068584C">
        <w:rPr>
          <w:rFonts w:ascii="Times New Roman" w:hAnsi="Times New Roman" w:cs="Times New Roman"/>
          <w:color w:val="000000" w:themeColor="text1"/>
        </w:rPr>
        <w:t xml:space="preserve"> </w:t>
      </w:r>
      <w:r w:rsidR="00C20D42" w:rsidRPr="0068584C">
        <w:rPr>
          <w:rFonts w:ascii="Times New Roman" w:hAnsi="Times New Roman" w:cs="Times New Roman"/>
          <w:color w:val="000000" w:themeColor="text1"/>
        </w:rPr>
        <w:t>culture.</w:t>
      </w:r>
    </w:p>
    <w:p w14:paraId="56652F2E" w14:textId="12E9823B" w:rsidR="00605B2D" w:rsidRPr="0068584C" w:rsidRDefault="00AF0006" w:rsidP="008C76D8">
      <w:pPr>
        <w:spacing w:line="480" w:lineRule="auto"/>
        <w:rPr>
          <w:rFonts w:ascii="Times New Roman" w:hAnsi="Times New Roman" w:cs="Times New Roman"/>
        </w:rPr>
      </w:pPr>
      <w:r w:rsidRPr="00AF0006">
        <w:t xml:space="preserve"> </w:t>
      </w:r>
      <w:r w:rsidR="006E2CE3">
        <w:rPr>
          <w:rFonts w:ascii="Times New Roman" w:hAnsi="Times New Roman" w:cs="Times New Roman"/>
          <w:color w:val="000000" w:themeColor="text1"/>
        </w:rPr>
        <w:tab/>
      </w:r>
      <w:r w:rsidR="00EC6A54">
        <w:rPr>
          <w:rFonts w:ascii="Times New Roman" w:hAnsi="Times New Roman" w:cs="Times New Roman"/>
          <w:color w:val="000000" w:themeColor="text1"/>
        </w:rPr>
        <w:t xml:space="preserve">How does SCRO impact performance? </w:t>
      </w:r>
      <w:r w:rsidR="007F34FC">
        <w:rPr>
          <w:rFonts w:ascii="Times New Roman" w:hAnsi="Times New Roman" w:cs="Times New Roman"/>
          <w:color w:val="000000" w:themeColor="text1"/>
        </w:rPr>
        <w:t>U</w:t>
      </w:r>
      <w:r w:rsidR="002D5685" w:rsidRPr="0068584C">
        <w:rPr>
          <w:rFonts w:ascii="Times New Roman" w:hAnsi="Times New Roman" w:cs="Times New Roman"/>
          <w:color w:val="000000" w:themeColor="text1"/>
        </w:rPr>
        <w:t xml:space="preserve">sing a theory </w:t>
      </w:r>
      <w:r w:rsidR="00C90312" w:rsidRPr="0068584C">
        <w:rPr>
          <w:rFonts w:ascii="Times New Roman" w:hAnsi="Times New Roman" w:cs="Times New Roman"/>
          <w:color w:val="000000" w:themeColor="text1"/>
        </w:rPr>
        <w:t xml:space="preserve">elaboration approach, the resource management theory is broadened to explain </w:t>
      </w:r>
      <w:r w:rsidR="00EC6A54">
        <w:rPr>
          <w:rFonts w:ascii="Times New Roman" w:hAnsi="Times New Roman" w:cs="Times New Roman"/>
          <w:color w:val="000000" w:themeColor="text1"/>
        </w:rPr>
        <w:t>how</w:t>
      </w:r>
      <w:r w:rsidR="00C90312" w:rsidRPr="0068584C">
        <w:rPr>
          <w:rFonts w:ascii="Times New Roman" w:hAnsi="Times New Roman" w:cs="Times New Roman"/>
          <w:color w:val="000000" w:themeColor="text1"/>
        </w:rPr>
        <w:t xml:space="preserve"> SCRO </w:t>
      </w:r>
      <w:r w:rsidR="00EC6A54">
        <w:rPr>
          <w:rFonts w:ascii="Times New Roman" w:hAnsi="Times New Roman" w:cs="Times New Roman"/>
          <w:color w:val="000000" w:themeColor="text1"/>
        </w:rPr>
        <w:t>affects the performance</w:t>
      </w:r>
      <w:r w:rsidR="00C90312" w:rsidRPr="0068584C">
        <w:rPr>
          <w:rFonts w:ascii="Times New Roman" w:hAnsi="Times New Roman" w:cs="Times New Roman"/>
          <w:color w:val="000000" w:themeColor="text1"/>
        </w:rPr>
        <w:t xml:space="preserve"> of an organization.</w:t>
      </w:r>
      <w:r w:rsidR="00E83E1A" w:rsidRPr="0068584C">
        <w:rPr>
          <w:rFonts w:ascii="Times New Roman" w:hAnsi="Times New Roman" w:cs="Times New Roman"/>
          <w:color w:val="000000" w:themeColor="text1"/>
        </w:rPr>
        <w:t xml:space="preserve"> </w:t>
      </w:r>
      <w:r w:rsidR="002E4921" w:rsidRPr="0068584C">
        <w:rPr>
          <w:rFonts w:ascii="Times New Roman" w:hAnsi="Times New Roman" w:cs="Times New Roman"/>
        </w:rPr>
        <w:t>A</w:t>
      </w:r>
      <w:r w:rsidR="00605B2D" w:rsidRPr="0068584C">
        <w:rPr>
          <w:rFonts w:ascii="Times New Roman" w:hAnsi="Times New Roman" w:cs="Times New Roman"/>
        </w:rPr>
        <w:t xml:space="preserve">pplied to the context of innovation processes, SCRO would suggest that building and coordinating a dynamic resource orchestration capability </w:t>
      </w:r>
      <w:r w:rsidR="000E7EDC" w:rsidRPr="0068584C">
        <w:rPr>
          <w:rFonts w:ascii="Times New Roman" w:hAnsi="Times New Roman" w:cs="Times New Roman"/>
        </w:rPr>
        <w:t xml:space="preserve">will </w:t>
      </w:r>
      <w:r w:rsidR="00605B2D" w:rsidRPr="0068584C">
        <w:rPr>
          <w:rFonts w:ascii="Times New Roman" w:hAnsi="Times New Roman" w:cs="Times New Roman"/>
        </w:rPr>
        <w:t xml:space="preserve">result in more effective innovation processes and </w:t>
      </w:r>
      <w:r w:rsidR="00FF5DB4">
        <w:rPr>
          <w:rFonts w:ascii="Times New Roman" w:hAnsi="Times New Roman" w:cs="Times New Roman"/>
        </w:rPr>
        <w:t>enable gaining</w:t>
      </w:r>
      <w:r w:rsidR="00605B2D" w:rsidRPr="0068584C">
        <w:rPr>
          <w:rFonts w:ascii="Times New Roman" w:hAnsi="Times New Roman" w:cs="Times New Roman"/>
        </w:rPr>
        <w:t xml:space="preserve"> a competitive advantage</w:t>
      </w:r>
      <w:r w:rsidR="00660020">
        <w:rPr>
          <w:rFonts w:ascii="Times New Roman" w:hAnsi="Times New Roman" w:cs="Times New Roman"/>
        </w:rPr>
        <w:t xml:space="preserve"> </w:t>
      </w:r>
      <w:r w:rsidR="00660020">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"Hoopes", "given" : "DG", "non-dropping-particle" : "", "parse-names" : false, "suffix" : "" }, { "dropping-particle" : "", "family" : "Postrel", "given" : "Steven", "non-dropping-particle" : "", "parse-names" : false, "suffix" : "" } ], "container-title" : "Strategic Management Journal", "id" : "ITEM-1", "issue" : "March 1997", "issued" : { "date-parts" : [ [ "1999" ] ] }, "page" : "837-865", "title" : "Shared knowledge,\u201cglitches,\u201d and product development performance", "type" : "article-journal", "volume" : "865" }, "uris" : [ "http://www.mendeley.com/documents/?uuid=be2359f5-585f-4968-9d06-6deaf8f3af81" ] }, { "id" : "ITEM-2",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"ITEM-2", "issued" : { "date-parts" : [ [ "2000" ] ] }, "page" : "1105-1121", "title" : "Dynamic Capabilities: What Are They?", "type" : "article-journal", "volume" : "21" }, "uris" : [ "http://www.mendeley.com/documents/?uuid=29651fe3-b2a9-482d-82cf-c139477ca50d" ] } ], "mendeley" : { "formattedCitation" : "(Eisenhardt &amp; Martin, 2000; Hoopes &amp; Postrel, 1999)", "plainTextFormattedCitation" : "(Eisenhardt &amp; Martin, 2000; Hoopes &amp; Postrel, 1999)", "previouslyFormattedCitation" : "(Eisenhardt &amp; Martin, 2000; Hoopes &amp; Postrel, 1999)" }, "properties" : { "noteIndex" : 0 }, "schema" : "https://github.com/citation-style-language/schema/raw/master/csl-citation.json" }</w:instrText>
      </w:r>
      <w:r w:rsidR="00660020">
        <w:rPr>
          <w:rFonts w:ascii="Times New Roman" w:hAnsi="Times New Roman" w:cs="Times New Roman"/>
        </w:rPr>
        <w:fldChar w:fldCharType="separate"/>
      </w:r>
      <w:r w:rsidR="000E6ECE" w:rsidRPr="000E6ECE">
        <w:rPr>
          <w:rFonts w:ascii="Times New Roman" w:hAnsi="Times New Roman" w:cs="Times New Roman"/>
          <w:noProof/>
        </w:rPr>
        <w:t>(Eisenhardt &amp; Martin, 2000; Hoopes &amp; Postrel, 1999)</w:t>
      </w:r>
      <w:r w:rsidR="00660020">
        <w:rPr>
          <w:rFonts w:ascii="Times New Roman" w:hAnsi="Times New Roman" w:cs="Times New Roman"/>
        </w:rPr>
        <w:fldChar w:fldCharType="end"/>
      </w:r>
      <w:r w:rsidR="00605B2D" w:rsidRPr="0068584C">
        <w:rPr>
          <w:rFonts w:ascii="Times New Roman" w:hAnsi="Times New Roman" w:cs="Times New Roman"/>
        </w:rPr>
        <w:t xml:space="preserve">. Accordingly, a firm with a (strategic) commitment </w:t>
      </w:r>
      <w:r w:rsidR="00660020">
        <w:rPr>
          <w:rFonts w:ascii="Times New Roman" w:hAnsi="Times New Roman" w:cs="Times New Roman"/>
        </w:rPr>
        <w:t>to enhance</w:t>
      </w:r>
      <w:r w:rsidR="008B4A6C">
        <w:rPr>
          <w:rFonts w:ascii="Times New Roman" w:hAnsi="Times New Roman" w:cs="Times New Roman"/>
        </w:rPr>
        <w:t xml:space="preserve"> SCRO </w:t>
      </w:r>
      <w:r w:rsidR="008B4A6C">
        <w:rPr>
          <w:rFonts w:ascii="Times New Roman" w:hAnsi="Times New Roman" w:cs="Times New Roman"/>
        </w:rPr>
        <w:lastRenderedPageBreak/>
        <w:t xml:space="preserve">practices and </w:t>
      </w:r>
      <w:r w:rsidR="00605B2D" w:rsidRPr="0068584C">
        <w:rPr>
          <w:rFonts w:ascii="Times New Roman" w:hAnsi="Times New Roman" w:cs="Times New Roman"/>
        </w:rPr>
        <w:t xml:space="preserve">to actively shape these essential supply chain-wide resource configurations should be able to reap these competitive benefits. </w:t>
      </w:r>
      <w:r w:rsidR="004F3B1E" w:rsidRPr="0068584C">
        <w:rPr>
          <w:rFonts w:ascii="Times New Roman" w:hAnsi="Times New Roman" w:cs="Times New Roman"/>
        </w:rPr>
        <w:t>Hence, the</w:t>
      </w:r>
      <w:r w:rsidR="0057020A" w:rsidRPr="0068584C">
        <w:rPr>
          <w:rFonts w:ascii="Times New Roman" w:hAnsi="Times New Roman" w:cs="Times New Roman"/>
        </w:rPr>
        <w:t>se</w:t>
      </w:r>
      <w:r w:rsidR="004F3B1E" w:rsidRPr="0068584C">
        <w:rPr>
          <w:rFonts w:ascii="Times New Roman" w:hAnsi="Times New Roman" w:cs="Times New Roman"/>
        </w:rPr>
        <w:t xml:space="preserve"> </w:t>
      </w:r>
      <w:r w:rsidR="004F7976" w:rsidRPr="0068584C">
        <w:rPr>
          <w:rFonts w:ascii="Times New Roman" w:hAnsi="Times New Roman" w:cs="Times New Roman"/>
        </w:rPr>
        <w:t>argument</w:t>
      </w:r>
      <w:r w:rsidR="0057020A" w:rsidRPr="0068584C">
        <w:rPr>
          <w:rFonts w:ascii="Times New Roman" w:hAnsi="Times New Roman" w:cs="Times New Roman"/>
        </w:rPr>
        <w:t>s</w:t>
      </w:r>
      <w:r w:rsidR="004F7976" w:rsidRPr="0068584C">
        <w:rPr>
          <w:rFonts w:ascii="Times New Roman" w:hAnsi="Times New Roman" w:cs="Times New Roman"/>
        </w:rPr>
        <w:t xml:space="preserve"> </w:t>
      </w:r>
      <w:r w:rsidR="003874D0" w:rsidRPr="0068584C">
        <w:rPr>
          <w:rFonts w:ascii="Times New Roman" w:hAnsi="Times New Roman" w:cs="Times New Roman"/>
        </w:rPr>
        <w:t>elicit</w:t>
      </w:r>
      <w:r w:rsidR="004F7976" w:rsidRPr="0068584C">
        <w:rPr>
          <w:rFonts w:ascii="Times New Roman" w:hAnsi="Times New Roman" w:cs="Times New Roman"/>
        </w:rPr>
        <w:t xml:space="preserve"> the </w:t>
      </w:r>
      <w:r w:rsidR="0057020A" w:rsidRPr="0068584C">
        <w:rPr>
          <w:rFonts w:ascii="Times New Roman" w:hAnsi="Times New Roman" w:cs="Times New Roman"/>
        </w:rPr>
        <w:t>next</w:t>
      </w:r>
      <w:r w:rsidR="004F7976" w:rsidRPr="0068584C">
        <w:rPr>
          <w:rFonts w:ascii="Times New Roman" w:hAnsi="Times New Roman" w:cs="Times New Roman"/>
        </w:rPr>
        <w:t xml:space="preserve"> proposition</w:t>
      </w:r>
      <w:r w:rsidR="004F3B1E" w:rsidRPr="0068584C">
        <w:rPr>
          <w:rFonts w:ascii="Times New Roman" w:hAnsi="Times New Roman" w:cs="Times New Roman"/>
        </w:rPr>
        <w:t>:</w:t>
      </w:r>
    </w:p>
    <w:p w14:paraId="277F4FCD" w14:textId="77777777" w:rsidR="004F3B1E" w:rsidRPr="0068584C" w:rsidRDefault="004F3B1E" w:rsidP="0035460B">
      <w:pPr>
        <w:spacing w:line="480" w:lineRule="auto"/>
        <w:jc w:val="both"/>
        <w:rPr>
          <w:rFonts w:ascii="Times New Roman" w:hAnsi="Times New Roman" w:cs="Times New Roman"/>
        </w:rPr>
      </w:pPr>
    </w:p>
    <w:p w14:paraId="01DE8DFB" w14:textId="7C48AE47" w:rsidR="004F3B1E" w:rsidRPr="0068584C" w:rsidRDefault="00C46B95" w:rsidP="0035460B">
      <w:pPr>
        <w:spacing w:line="480" w:lineRule="auto"/>
        <w:jc w:val="both"/>
        <w:rPr>
          <w:rFonts w:ascii="Times New Roman" w:hAnsi="Times New Roman" w:cs="Times New Roman"/>
          <w:b/>
        </w:rPr>
      </w:pPr>
      <w:r>
        <w:rPr>
          <w:rFonts w:ascii="Times New Roman" w:hAnsi="Times New Roman" w:cs="Times New Roman"/>
          <w:b/>
        </w:rPr>
        <w:t>Proposition P</w:t>
      </w:r>
      <w:r>
        <w:rPr>
          <w:rFonts w:ascii="Times New Roman" w:hAnsi="Times New Roman" w:cs="Times New Roman"/>
          <w:b/>
          <w:vertAlign w:val="subscript"/>
        </w:rPr>
        <w:t>5</w:t>
      </w:r>
      <w:r w:rsidR="004F3B1E" w:rsidRPr="0068584C">
        <w:rPr>
          <w:rFonts w:ascii="Times New Roman" w:hAnsi="Times New Roman" w:cs="Times New Roman"/>
          <w:b/>
        </w:rPr>
        <w:t xml:space="preserve">: </w:t>
      </w:r>
    </w:p>
    <w:p w14:paraId="59088CA4" w14:textId="60CD1072" w:rsidR="004F3B1E" w:rsidRPr="0068584C" w:rsidRDefault="00AF6C49" w:rsidP="0035460B">
      <w:pPr>
        <w:spacing w:line="480" w:lineRule="auto"/>
        <w:ind w:left="720"/>
        <w:jc w:val="both"/>
        <w:rPr>
          <w:rFonts w:ascii="Times New Roman" w:hAnsi="Times New Roman" w:cs="Times New Roman"/>
        </w:rPr>
      </w:pPr>
      <w:r>
        <w:rPr>
          <w:rFonts w:ascii="Times New Roman" w:hAnsi="Times New Roman" w:cs="Times New Roman"/>
        </w:rPr>
        <w:t>Supply chain resource orchestration</w:t>
      </w:r>
      <w:r w:rsidR="004F3B1E" w:rsidRPr="0068584C">
        <w:rPr>
          <w:rFonts w:ascii="Times New Roman" w:hAnsi="Times New Roman" w:cs="Times New Roman"/>
        </w:rPr>
        <w:t xml:space="preserve"> is </w:t>
      </w:r>
      <w:r>
        <w:rPr>
          <w:rFonts w:ascii="Times New Roman" w:hAnsi="Times New Roman" w:cs="Times New Roman"/>
        </w:rPr>
        <w:t xml:space="preserve">positively </w:t>
      </w:r>
      <w:r w:rsidR="004F3B1E" w:rsidRPr="0068584C">
        <w:rPr>
          <w:rFonts w:ascii="Times New Roman" w:hAnsi="Times New Roman" w:cs="Times New Roman"/>
        </w:rPr>
        <w:t>associated with innovation performance</w:t>
      </w:r>
    </w:p>
    <w:p w14:paraId="79D1D35B" w14:textId="77777777" w:rsidR="006E2CE3" w:rsidRDefault="006E2CE3" w:rsidP="0035460B">
      <w:pPr>
        <w:spacing w:line="480" w:lineRule="auto"/>
        <w:jc w:val="both"/>
        <w:rPr>
          <w:rFonts w:ascii="Times New Roman" w:hAnsi="Times New Roman" w:cs="Times New Roman"/>
          <w:color w:val="000000" w:themeColor="text1"/>
        </w:rPr>
      </w:pPr>
    </w:p>
    <w:p w14:paraId="72E18091" w14:textId="23ADFEBE" w:rsidR="004F3B1E" w:rsidRPr="0068584C" w:rsidRDefault="00B51D77"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Finally, </w:t>
      </w:r>
      <w:r w:rsidR="00B937FB" w:rsidRPr="0068584C">
        <w:rPr>
          <w:rFonts w:ascii="Times New Roman" w:hAnsi="Times New Roman" w:cs="Times New Roman"/>
          <w:color w:val="000000" w:themeColor="text1"/>
        </w:rPr>
        <w:t xml:space="preserve">the outcome of </w:t>
      </w:r>
      <w:r w:rsidR="004F3B1E" w:rsidRPr="0068584C">
        <w:rPr>
          <w:rFonts w:ascii="Times New Roman" w:hAnsi="Times New Roman" w:cs="Times New Roman"/>
          <w:color w:val="000000" w:themeColor="text1"/>
        </w:rPr>
        <w:t xml:space="preserve">SCRO is dependent upon the </w:t>
      </w:r>
      <w:r w:rsidR="00B937FB" w:rsidRPr="0068584C">
        <w:rPr>
          <w:rFonts w:ascii="Times New Roman" w:hAnsi="Times New Roman" w:cs="Times New Roman"/>
          <w:color w:val="000000" w:themeColor="text1"/>
        </w:rPr>
        <w:t>inflow and use</w:t>
      </w:r>
      <w:r w:rsidR="004F3B1E" w:rsidRPr="0068584C">
        <w:rPr>
          <w:rFonts w:ascii="Times New Roman" w:hAnsi="Times New Roman" w:cs="Times New Roman"/>
          <w:color w:val="000000" w:themeColor="text1"/>
        </w:rPr>
        <w:t xml:space="preserve"> of external resources. Thus, the value and performance impact of SCRO is based substantially on orchestrating internal with external resources. Thereby, the organization </w:t>
      </w:r>
      <w:r w:rsidR="000E7EDC" w:rsidRPr="0068584C">
        <w:rPr>
          <w:rFonts w:ascii="Times New Roman" w:hAnsi="Times New Roman" w:cs="Times New Roman"/>
          <w:color w:val="000000" w:themeColor="text1"/>
        </w:rPr>
        <w:t>will</w:t>
      </w:r>
      <w:r w:rsidR="004F3B1E" w:rsidRPr="0068584C">
        <w:rPr>
          <w:rFonts w:ascii="Times New Roman" w:hAnsi="Times New Roman" w:cs="Times New Roman"/>
          <w:color w:val="000000" w:themeColor="text1"/>
        </w:rPr>
        <w:t xml:space="preserve"> achieve a competitive advantage when external resources </w:t>
      </w:r>
      <w:r w:rsidR="00B937FB" w:rsidRPr="0068584C">
        <w:rPr>
          <w:rFonts w:ascii="Times New Roman" w:hAnsi="Times New Roman" w:cs="Times New Roman"/>
          <w:color w:val="000000" w:themeColor="text1"/>
        </w:rPr>
        <w:t xml:space="preserve">are utilized </w:t>
      </w:r>
      <w:r w:rsidR="004F3B1E" w:rsidRPr="0068584C">
        <w:rPr>
          <w:rFonts w:ascii="Times New Roman" w:hAnsi="Times New Roman" w:cs="Times New Roman"/>
          <w:color w:val="000000" w:themeColor="text1"/>
        </w:rPr>
        <w:t>effectively</w:t>
      </w:r>
      <w:r w:rsidR="00B937FB" w:rsidRPr="0068584C">
        <w:rPr>
          <w:rFonts w:ascii="Times New Roman" w:hAnsi="Times New Roman" w:cs="Times New Roman"/>
          <w:color w:val="000000" w:themeColor="text1"/>
        </w:rPr>
        <w:t xml:space="preserve"> and efficiently</w:t>
      </w:r>
      <w:r w:rsidR="004F3B1E" w:rsidRPr="0068584C">
        <w:rPr>
          <w:rFonts w:ascii="Times New Roman" w:hAnsi="Times New Roman" w:cs="Times New Roman"/>
          <w:color w:val="000000" w:themeColor="text1"/>
        </w:rPr>
        <w:t>. Accordingly, the importance of external resources leads to the following proposition:</w:t>
      </w:r>
    </w:p>
    <w:p w14:paraId="500E2479" w14:textId="77777777" w:rsidR="004F3B1E" w:rsidRPr="0068584C" w:rsidRDefault="004F3B1E" w:rsidP="0035460B">
      <w:pPr>
        <w:spacing w:line="480" w:lineRule="auto"/>
        <w:jc w:val="both"/>
        <w:rPr>
          <w:rFonts w:ascii="Times New Roman" w:hAnsi="Times New Roman" w:cs="Times New Roman"/>
          <w:color w:val="000000" w:themeColor="text1"/>
        </w:rPr>
      </w:pPr>
    </w:p>
    <w:p w14:paraId="499A2214" w14:textId="0EBA607B" w:rsidR="004F3B1E" w:rsidRPr="0068584C" w:rsidRDefault="004F3B1E" w:rsidP="0035460B">
      <w:pPr>
        <w:spacing w:line="480" w:lineRule="auto"/>
        <w:jc w:val="both"/>
        <w:rPr>
          <w:rFonts w:ascii="Times New Roman" w:hAnsi="Times New Roman" w:cs="Times New Roman"/>
          <w:b/>
        </w:rPr>
      </w:pPr>
      <w:r w:rsidRPr="0068584C">
        <w:rPr>
          <w:rFonts w:ascii="Times New Roman" w:hAnsi="Times New Roman" w:cs="Times New Roman"/>
          <w:b/>
        </w:rPr>
        <w:t xml:space="preserve">Proposition </w:t>
      </w:r>
      <w:r w:rsidR="00C46B95">
        <w:rPr>
          <w:rFonts w:ascii="Times New Roman" w:hAnsi="Times New Roman" w:cs="Times New Roman"/>
          <w:b/>
        </w:rPr>
        <w:t>P</w:t>
      </w:r>
      <w:r w:rsidR="00C46B95">
        <w:rPr>
          <w:rFonts w:ascii="Times New Roman" w:hAnsi="Times New Roman" w:cs="Times New Roman"/>
          <w:b/>
          <w:vertAlign w:val="subscript"/>
        </w:rPr>
        <w:t>6</w:t>
      </w:r>
      <w:r w:rsidRPr="0068584C">
        <w:rPr>
          <w:rFonts w:ascii="Times New Roman" w:hAnsi="Times New Roman" w:cs="Times New Roman"/>
          <w:b/>
        </w:rPr>
        <w:t xml:space="preserve">: </w:t>
      </w:r>
    </w:p>
    <w:p w14:paraId="391A373A" w14:textId="6472F88D" w:rsidR="004F3B1E" w:rsidRPr="0068584C" w:rsidRDefault="004F3B1E" w:rsidP="0035460B">
      <w:pPr>
        <w:spacing w:line="480" w:lineRule="auto"/>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A</w:t>
      </w:r>
      <w:r w:rsidR="00AF6C49">
        <w:rPr>
          <w:rFonts w:ascii="Times New Roman" w:hAnsi="Times New Roman" w:cs="Times New Roman"/>
          <w:color w:val="000000" w:themeColor="text1"/>
        </w:rPr>
        <w:t>n increased</w:t>
      </w:r>
      <w:r w:rsidRPr="0068584C">
        <w:rPr>
          <w:rFonts w:ascii="Times New Roman" w:hAnsi="Times New Roman" w:cs="Times New Roman"/>
          <w:color w:val="000000" w:themeColor="text1"/>
        </w:rPr>
        <w:t xml:space="preserve"> use of external resources is </w:t>
      </w:r>
      <w:r w:rsidR="00AF6C49">
        <w:rPr>
          <w:rFonts w:ascii="Times New Roman" w:hAnsi="Times New Roman" w:cs="Times New Roman"/>
          <w:color w:val="000000" w:themeColor="text1"/>
        </w:rPr>
        <w:t xml:space="preserve">positively </w:t>
      </w:r>
      <w:r w:rsidRPr="0068584C">
        <w:rPr>
          <w:rFonts w:ascii="Times New Roman" w:hAnsi="Times New Roman" w:cs="Times New Roman"/>
          <w:color w:val="000000" w:themeColor="text1"/>
        </w:rPr>
        <w:t>associated with</w:t>
      </w:r>
      <w:r w:rsidR="004266BD">
        <w:rPr>
          <w:rFonts w:ascii="Times New Roman" w:hAnsi="Times New Roman" w:cs="Times New Roman"/>
          <w:color w:val="000000" w:themeColor="text1"/>
        </w:rPr>
        <w:t xml:space="preserve"> the level of</w:t>
      </w:r>
      <w:r w:rsidRPr="0068584C">
        <w:rPr>
          <w:rFonts w:ascii="Times New Roman" w:hAnsi="Times New Roman" w:cs="Times New Roman"/>
          <w:color w:val="000000" w:themeColor="text1"/>
        </w:rPr>
        <w:t xml:space="preserve"> </w:t>
      </w:r>
      <w:r w:rsidR="00AF6C49">
        <w:rPr>
          <w:rFonts w:ascii="Times New Roman" w:hAnsi="Times New Roman" w:cs="Times New Roman"/>
          <w:color w:val="000000" w:themeColor="text1"/>
        </w:rPr>
        <w:t>supply chain resource orchestration</w:t>
      </w:r>
      <w:r w:rsidRPr="0068584C">
        <w:rPr>
          <w:rFonts w:ascii="Times New Roman" w:hAnsi="Times New Roman" w:cs="Times New Roman"/>
          <w:color w:val="000000" w:themeColor="text1"/>
        </w:rPr>
        <w:t xml:space="preserve"> </w:t>
      </w:r>
    </w:p>
    <w:p w14:paraId="3DC57D5E" w14:textId="77777777" w:rsidR="004F3B1E" w:rsidRPr="0068584C" w:rsidRDefault="004F3B1E" w:rsidP="0035460B">
      <w:pPr>
        <w:spacing w:line="480" w:lineRule="auto"/>
        <w:rPr>
          <w:rFonts w:ascii="Times New Roman" w:hAnsi="Times New Roman" w:cs="Times New Roman"/>
          <w:color w:val="000000" w:themeColor="text1"/>
        </w:rPr>
      </w:pPr>
    </w:p>
    <w:p w14:paraId="690E5D9C" w14:textId="121539AA" w:rsidR="00083516" w:rsidRPr="0068584C" w:rsidRDefault="009F283A" w:rsidP="0035460B">
      <w:pPr>
        <w:spacing w:line="480" w:lineRule="auto"/>
        <w:jc w:val="both"/>
        <w:rPr>
          <w:rFonts w:ascii="Times New Roman" w:hAnsi="Times New Roman" w:cs="Times New Roman"/>
        </w:rPr>
      </w:pPr>
      <w:r w:rsidRPr="0068584C">
        <w:rPr>
          <w:rFonts w:ascii="Times New Roman" w:hAnsi="Times New Roman" w:cs="Times New Roman"/>
        </w:rPr>
        <w:t xml:space="preserve">In </w:t>
      </w:r>
      <w:r w:rsidR="00FD53E0">
        <w:rPr>
          <w:rFonts w:ascii="Times New Roman" w:hAnsi="Times New Roman" w:cs="Times New Roman"/>
        </w:rPr>
        <w:fldChar w:fldCharType="begin"/>
      </w:r>
      <w:r w:rsidR="00FD53E0">
        <w:rPr>
          <w:rFonts w:ascii="Times New Roman" w:hAnsi="Times New Roman" w:cs="Times New Roman"/>
        </w:rPr>
        <w:instrText xml:space="preserve"> REF _Ref357388517 \h </w:instrText>
      </w:r>
      <w:r w:rsidR="00FD53E0">
        <w:rPr>
          <w:rFonts w:ascii="Times New Roman" w:hAnsi="Times New Roman" w:cs="Times New Roman"/>
        </w:rPr>
      </w:r>
      <w:r w:rsidR="00FD53E0">
        <w:rPr>
          <w:rFonts w:ascii="Times New Roman" w:hAnsi="Times New Roman" w:cs="Times New Roman"/>
        </w:rPr>
        <w:fldChar w:fldCharType="separate"/>
      </w:r>
      <w:r w:rsidR="00C2793E">
        <w:t xml:space="preserve">Figure </w:t>
      </w:r>
      <w:r w:rsidR="00C2793E">
        <w:rPr>
          <w:noProof/>
        </w:rPr>
        <w:t>4</w:t>
      </w:r>
      <w:r w:rsidR="00FD53E0">
        <w:rPr>
          <w:rFonts w:ascii="Times New Roman" w:hAnsi="Times New Roman" w:cs="Times New Roman"/>
        </w:rPr>
        <w:fldChar w:fldCharType="end"/>
      </w:r>
      <w:r w:rsidRPr="0068584C">
        <w:rPr>
          <w:rFonts w:ascii="Times New Roman" w:hAnsi="Times New Roman" w:cs="Times New Roman"/>
        </w:rPr>
        <w:t xml:space="preserve">, the </w:t>
      </w:r>
      <w:r w:rsidR="00C122DD">
        <w:rPr>
          <w:rFonts w:ascii="Times New Roman" w:hAnsi="Times New Roman" w:cs="Times New Roman"/>
        </w:rPr>
        <w:t xml:space="preserve">complete (innovation-driving) </w:t>
      </w:r>
      <w:r w:rsidRPr="0068584C">
        <w:rPr>
          <w:rFonts w:ascii="Times New Roman" w:hAnsi="Times New Roman" w:cs="Times New Roman"/>
        </w:rPr>
        <w:t>supply chain resource orchestration</w:t>
      </w:r>
      <w:r w:rsidR="002E4FD0" w:rsidRPr="0068584C">
        <w:rPr>
          <w:rFonts w:ascii="Times New Roman" w:hAnsi="Times New Roman" w:cs="Times New Roman"/>
        </w:rPr>
        <w:t xml:space="preserve"> framework</w:t>
      </w:r>
      <w:r w:rsidRPr="0068584C">
        <w:rPr>
          <w:rFonts w:ascii="Times New Roman" w:hAnsi="Times New Roman" w:cs="Times New Roman"/>
        </w:rPr>
        <w:t xml:space="preserve"> </w:t>
      </w:r>
      <w:r w:rsidR="00C122DD">
        <w:rPr>
          <w:rFonts w:ascii="Times New Roman" w:hAnsi="Times New Roman" w:cs="Times New Roman"/>
        </w:rPr>
        <w:t>is</w:t>
      </w:r>
      <w:r w:rsidR="00C122DD" w:rsidRPr="0068584C">
        <w:rPr>
          <w:rFonts w:ascii="Times New Roman" w:hAnsi="Times New Roman" w:cs="Times New Roman"/>
        </w:rPr>
        <w:t xml:space="preserve"> </w:t>
      </w:r>
      <w:r w:rsidR="00884A81">
        <w:rPr>
          <w:rFonts w:ascii="Times New Roman" w:hAnsi="Times New Roman" w:cs="Times New Roman"/>
        </w:rPr>
        <w:t>illustrated</w:t>
      </w:r>
      <w:r w:rsidRPr="0068584C">
        <w:rPr>
          <w:rFonts w:ascii="Times New Roman" w:hAnsi="Times New Roman" w:cs="Times New Roman"/>
        </w:rPr>
        <w:t xml:space="preserve">. </w:t>
      </w:r>
      <w:r w:rsidR="00056BFA" w:rsidRPr="0068584C">
        <w:rPr>
          <w:rFonts w:ascii="Times New Roman" w:hAnsi="Times New Roman" w:cs="Times New Roman"/>
        </w:rPr>
        <w:t xml:space="preserve">Both internal and external resources can influence the development of a competitive advantage but necessitate SCRO as a mediator. Furthermore, </w:t>
      </w:r>
      <w:r w:rsidR="002E4FD0" w:rsidRPr="0068584C">
        <w:rPr>
          <w:rFonts w:ascii="Times New Roman" w:hAnsi="Times New Roman" w:cs="Times New Roman"/>
        </w:rPr>
        <w:t>organizational culture</w:t>
      </w:r>
      <w:r w:rsidR="00056BFA" w:rsidRPr="0068584C">
        <w:rPr>
          <w:rFonts w:ascii="Times New Roman" w:hAnsi="Times New Roman" w:cs="Times New Roman"/>
        </w:rPr>
        <w:t xml:space="preserve"> is moderating this relationship</w:t>
      </w:r>
      <w:r w:rsidR="002E4FD0" w:rsidRPr="0068584C">
        <w:rPr>
          <w:rFonts w:ascii="Times New Roman" w:hAnsi="Times New Roman" w:cs="Times New Roman"/>
        </w:rPr>
        <w:t xml:space="preserve"> between SCRO and innovation performance</w:t>
      </w:r>
      <w:r w:rsidR="00056BFA" w:rsidRPr="0068584C">
        <w:rPr>
          <w:rFonts w:ascii="Times New Roman" w:hAnsi="Times New Roman" w:cs="Times New Roman"/>
        </w:rPr>
        <w:t xml:space="preserve">. </w:t>
      </w:r>
      <w:r w:rsidR="002E4FD0" w:rsidRPr="0068584C">
        <w:rPr>
          <w:rFonts w:ascii="Times New Roman" w:hAnsi="Times New Roman" w:cs="Times New Roman"/>
        </w:rPr>
        <w:t>As the latter influences the competitive position of the organization, a</w:t>
      </w:r>
      <w:r w:rsidR="00056BFA" w:rsidRPr="0068584C">
        <w:rPr>
          <w:rFonts w:ascii="Times New Roman" w:hAnsi="Times New Roman" w:cs="Times New Roman"/>
        </w:rPr>
        <w:t xml:space="preserve">chieving a competitive advantage will </w:t>
      </w:r>
      <w:r w:rsidR="00836D5C" w:rsidRPr="0068584C">
        <w:rPr>
          <w:rFonts w:ascii="Times New Roman" w:hAnsi="Times New Roman" w:cs="Times New Roman"/>
        </w:rPr>
        <w:t xml:space="preserve">ultimately </w:t>
      </w:r>
      <w:r w:rsidR="00056BFA" w:rsidRPr="0068584C">
        <w:rPr>
          <w:rFonts w:ascii="Times New Roman" w:hAnsi="Times New Roman" w:cs="Times New Roman"/>
        </w:rPr>
        <w:t xml:space="preserve">lead to higher </w:t>
      </w:r>
      <w:r w:rsidR="002E4FD0" w:rsidRPr="0068584C">
        <w:rPr>
          <w:rFonts w:ascii="Times New Roman" w:hAnsi="Times New Roman" w:cs="Times New Roman"/>
        </w:rPr>
        <w:t xml:space="preserve">financial </w:t>
      </w:r>
      <w:r w:rsidR="00056BFA" w:rsidRPr="0068584C">
        <w:rPr>
          <w:rFonts w:ascii="Times New Roman" w:hAnsi="Times New Roman" w:cs="Times New Roman"/>
        </w:rPr>
        <w:t>performance.</w:t>
      </w:r>
    </w:p>
    <w:p w14:paraId="3A3053AB" w14:textId="4A08D2D8" w:rsidR="00067C5F" w:rsidRPr="0068584C" w:rsidRDefault="00214C4B" w:rsidP="0035460B">
      <w:pPr>
        <w:spacing w:line="480" w:lineRule="auto"/>
        <w:rPr>
          <w:rFonts w:ascii="Times New Roman" w:hAnsi="Times New Roman" w:cs="Times New Roman"/>
        </w:rPr>
      </w:pPr>
      <w:r w:rsidRPr="00214C4B">
        <w:lastRenderedPageBreak/>
        <w:t xml:space="preserve"> </w:t>
      </w:r>
      <w:r w:rsidR="00381736">
        <w:rPr>
          <w:noProof/>
        </w:rPr>
        <w:drawing>
          <wp:inline distT="0" distB="0" distL="0" distR="0" wp14:anchorId="0CA79289" wp14:editId="4B61C433">
            <wp:extent cx="5943600" cy="3246504"/>
            <wp:effectExtent l="0" t="0" r="0" b="508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246504"/>
                    </a:xfrm>
                    <a:prstGeom prst="rect">
                      <a:avLst/>
                    </a:prstGeom>
                    <a:noFill/>
                    <a:ln>
                      <a:noFill/>
                    </a:ln>
                  </pic:spPr>
                </pic:pic>
              </a:graphicData>
            </a:graphic>
          </wp:inline>
        </w:drawing>
      </w:r>
    </w:p>
    <w:p w14:paraId="0239F7E9" w14:textId="1B4B7555" w:rsidR="00286037" w:rsidRPr="00B47BE6" w:rsidRDefault="00B47BE6" w:rsidP="00B47BE6">
      <w:pPr>
        <w:pStyle w:val="Caption"/>
        <w:keepNext/>
      </w:pPr>
      <w:bookmarkStart w:id="67" w:name="_Ref357388517"/>
      <w:bookmarkStart w:id="68" w:name="_Toc358326878"/>
      <w:r>
        <w:t xml:space="preserve">Figure </w:t>
      </w:r>
      <w:fldSimple w:instr=" SEQ Figure \* ARABIC ">
        <w:r w:rsidR="00C2793E">
          <w:rPr>
            <w:noProof/>
          </w:rPr>
          <w:t>4</w:t>
        </w:r>
      </w:fldSimple>
      <w:bookmarkEnd w:id="67"/>
      <w:r>
        <w:t xml:space="preserve"> - </w:t>
      </w:r>
      <w:r w:rsidR="00286037" w:rsidRPr="0068584C">
        <w:rPr>
          <w:rFonts w:cs="Times New Roman"/>
          <w:bCs w:val="0"/>
        </w:rPr>
        <w:t>SCRO</w:t>
      </w:r>
      <w:r w:rsidR="00600162">
        <w:rPr>
          <w:rFonts w:cs="Times New Roman"/>
          <w:bCs w:val="0"/>
        </w:rPr>
        <w:t xml:space="preserve"> F</w:t>
      </w:r>
      <w:r w:rsidR="00286037" w:rsidRPr="0068584C">
        <w:rPr>
          <w:rFonts w:cs="Times New Roman"/>
          <w:bCs w:val="0"/>
        </w:rPr>
        <w:t>ramework</w:t>
      </w:r>
      <w:bookmarkEnd w:id="68"/>
      <w:r w:rsidR="00286037" w:rsidRPr="0068584C">
        <w:rPr>
          <w:rFonts w:cs="Times New Roman"/>
          <w:bCs w:val="0"/>
        </w:rPr>
        <w:t xml:space="preserve">    </w:t>
      </w:r>
    </w:p>
    <w:p w14:paraId="718EB705" w14:textId="77777777" w:rsidR="00083516" w:rsidRPr="0068584C" w:rsidRDefault="00083516" w:rsidP="0035460B">
      <w:pPr>
        <w:spacing w:line="480" w:lineRule="auto"/>
        <w:rPr>
          <w:rFonts w:ascii="Times New Roman" w:hAnsi="Times New Roman" w:cs="Times New Roman"/>
        </w:rPr>
      </w:pPr>
    </w:p>
    <w:p w14:paraId="07EBE46B" w14:textId="7D8C47D4" w:rsidR="0063263B" w:rsidRPr="00D700C5" w:rsidRDefault="004B2D49" w:rsidP="00D700C5">
      <w:pPr>
        <w:pStyle w:val="Heading2"/>
      </w:pPr>
      <w:bookmarkStart w:id="69" w:name="_Toc357382419"/>
      <w:bookmarkStart w:id="70" w:name="_Toc357383265"/>
      <w:bookmarkStart w:id="71" w:name="_Toc358326736"/>
      <w:r w:rsidRPr="00D700C5">
        <w:t>M</w:t>
      </w:r>
      <w:r w:rsidR="00D700C5">
        <w:t>ethodology</w:t>
      </w:r>
      <w:bookmarkEnd w:id="69"/>
      <w:bookmarkEnd w:id="70"/>
      <w:bookmarkEnd w:id="71"/>
    </w:p>
    <w:p w14:paraId="1ACB3E9D" w14:textId="42EDBEB0" w:rsidR="00810943" w:rsidRPr="0068584C" w:rsidRDefault="00F95872" w:rsidP="0035460B">
      <w:pPr>
        <w:spacing w:line="480" w:lineRule="auto"/>
        <w:jc w:val="both"/>
        <w:rPr>
          <w:rFonts w:ascii="Times New Roman" w:hAnsi="Times New Roman" w:cs="Times New Roman"/>
        </w:rPr>
      </w:pPr>
      <w:r w:rsidRPr="0068584C">
        <w:rPr>
          <w:rFonts w:ascii="Times New Roman" w:hAnsi="Times New Roman" w:cs="Times New Roman"/>
        </w:rPr>
        <w:t xml:space="preserve">Theory elaboration </w:t>
      </w:r>
      <w:r w:rsidR="00693B6F" w:rsidRPr="0068584C">
        <w:rPr>
          <w:rFonts w:ascii="Times New Roman" w:hAnsi="Times New Roman" w:cs="Times New Roman"/>
        </w:rPr>
        <w:t xml:space="preserve">can be </w:t>
      </w:r>
      <w:r w:rsidRPr="0068584C">
        <w:rPr>
          <w:rFonts w:ascii="Times New Roman" w:hAnsi="Times New Roman" w:cs="Times New Roman"/>
        </w:rPr>
        <w:t xml:space="preserve">understood as “disciplined iteration between </w:t>
      </w:r>
      <w:r w:rsidRPr="0068584C">
        <w:rPr>
          <w:rFonts w:ascii="Times New Roman" w:hAnsi="Times New Roman" w:cs="Times New Roman"/>
          <w:i/>
        </w:rPr>
        <w:t>general</w:t>
      </w:r>
      <w:r w:rsidRPr="0068584C">
        <w:rPr>
          <w:rFonts w:ascii="Times New Roman" w:hAnsi="Times New Roman" w:cs="Times New Roman"/>
        </w:rPr>
        <w:t xml:space="preserve"> theory and the empirical data”</w:t>
      </w:r>
      <w:r w:rsidR="00A050AE">
        <w:rPr>
          <w:rFonts w:ascii="Times New Roman" w:hAnsi="Times New Roman" w:cs="Times New Roman"/>
        </w:rPr>
        <w:t xml:space="preserve"> </w:t>
      </w:r>
      <w:r w:rsidR="00A95140">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"10.1016/j.jom.2014.03.004", "ISSN" : "0272-6963", "author" : [ { "dropping-particle" : "", "family" : "Ketokivi", "given" : "Mikko", "non-dropping-particle" : "", "parse-names" : false, "suffix" : "" }, { "dropping-particle" : "", "family" : "Choi", "given" : "Thomas", "non-dropping-particle" : "", "parse-names" : false, "suffix" : "" } ], "container-title" : "Journal of Operations Management", "id" : "ITEM-1", "issue" : "5", "issued" : { "date-parts" : [ [ "2014" ] ] }, "page" : "232-240", "publisher" : "Elsevier B.V.", "title" : "Renaissance of case research as a scientific method", "type" : "article-journal", "volume" : "32" }, "locator" : "236", "uris" : [ "http://www.mendeley.com/documents/?uuid=d1c36dbd-61c8-47df-91bd-ba12cdfcdf11" ] } ], "mendeley" : { "formattedCitation" : "(Ketokivi &amp; Choi, 2014, p. 236)", "plainTextFormattedCitation" : "(Ketokivi &amp; Choi, 2014, p. 236)", "previouslyFormattedCitation" : "(Ketokivi &amp; Choi, 2014, p. 236)" }, "properties" : { "noteIndex" : 0 }, "schema" : "https://github.com/citation-style-language/schema/raw/master/csl-citation.json" }</w:instrText>
      </w:r>
      <w:r w:rsidR="00A95140">
        <w:rPr>
          <w:rFonts w:ascii="Times New Roman" w:hAnsi="Times New Roman" w:cs="Times New Roman"/>
        </w:rPr>
        <w:fldChar w:fldCharType="separate"/>
      </w:r>
      <w:r w:rsidR="000E6ECE" w:rsidRPr="000E6ECE">
        <w:rPr>
          <w:rFonts w:ascii="Times New Roman" w:hAnsi="Times New Roman" w:cs="Times New Roman"/>
          <w:noProof/>
        </w:rPr>
        <w:t>(Ketokivi &amp; Choi, 2014, p. 236)</w:t>
      </w:r>
      <w:r w:rsidR="00A95140">
        <w:rPr>
          <w:rFonts w:ascii="Times New Roman" w:hAnsi="Times New Roman" w:cs="Times New Roman"/>
        </w:rPr>
        <w:fldChar w:fldCharType="end"/>
      </w:r>
      <w:r w:rsidRPr="0068584C">
        <w:rPr>
          <w:rFonts w:ascii="Times New Roman" w:hAnsi="Times New Roman" w:cs="Times New Roman"/>
        </w:rPr>
        <w:t xml:space="preserve">. </w:t>
      </w:r>
      <w:r w:rsidR="00693B6F" w:rsidRPr="0068584C">
        <w:rPr>
          <w:rFonts w:ascii="Times New Roman" w:hAnsi="Times New Roman" w:cs="Times New Roman"/>
        </w:rPr>
        <w:t>Now that</w:t>
      </w:r>
      <w:r w:rsidR="00C84A7C" w:rsidRPr="0068584C">
        <w:rPr>
          <w:rFonts w:ascii="Times New Roman" w:hAnsi="Times New Roman" w:cs="Times New Roman"/>
        </w:rPr>
        <w:t xml:space="preserve"> the previous chapters have </w:t>
      </w:r>
      <w:r w:rsidR="00B87AFB" w:rsidRPr="0068584C">
        <w:rPr>
          <w:rFonts w:ascii="Times New Roman" w:hAnsi="Times New Roman" w:cs="Times New Roman"/>
        </w:rPr>
        <w:t xml:space="preserve">assessed </w:t>
      </w:r>
      <w:r w:rsidR="00C84A7C" w:rsidRPr="0068584C">
        <w:rPr>
          <w:rFonts w:ascii="Times New Roman" w:hAnsi="Times New Roman" w:cs="Times New Roman"/>
        </w:rPr>
        <w:t xml:space="preserve">the </w:t>
      </w:r>
      <w:r w:rsidR="00D205F2">
        <w:rPr>
          <w:rFonts w:ascii="Times New Roman" w:hAnsi="Times New Roman" w:cs="Times New Roman"/>
        </w:rPr>
        <w:t>relevant</w:t>
      </w:r>
      <w:r w:rsidR="00D205F2" w:rsidRPr="0068584C">
        <w:rPr>
          <w:rFonts w:ascii="Times New Roman" w:hAnsi="Times New Roman" w:cs="Times New Roman"/>
        </w:rPr>
        <w:t xml:space="preserve"> </w:t>
      </w:r>
      <w:r w:rsidR="00D205F2">
        <w:rPr>
          <w:rFonts w:ascii="Times New Roman" w:hAnsi="Times New Roman" w:cs="Times New Roman"/>
        </w:rPr>
        <w:t xml:space="preserve">resource management theories </w:t>
      </w:r>
      <w:r w:rsidR="00C84A7C" w:rsidRPr="0068584C">
        <w:rPr>
          <w:rFonts w:ascii="Times New Roman" w:hAnsi="Times New Roman" w:cs="Times New Roman"/>
        </w:rPr>
        <w:t xml:space="preserve">and </w:t>
      </w:r>
      <w:r w:rsidR="00532FAF">
        <w:rPr>
          <w:rFonts w:ascii="Times New Roman" w:hAnsi="Times New Roman" w:cs="Times New Roman"/>
        </w:rPr>
        <w:t xml:space="preserve">explained </w:t>
      </w:r>
      <w:r w:rsidR="00C84A7C" w:rsidRPr="0068584C">
        <w:rPr>
          <w:rFonts w:ascii="Times New Roman" w:hAnsi="Times New Roman" w:cs="Times New Roman"/>
        </w:rPr>
        <w:t>the conceptual development of SCRO, the subsequent case study will assist in enriching the understanding of SCRO. The empirical data provides a complementary perspective and fleshes out the phenomenon from another angle.</w:t>
      </w:r>
      <w:r w:rsidR="00C35CC2">
        <w:rPr>
          <w:rFonts w:ascii="Times New Roman" w:hAnsi="Times New Roman" w:cs="Times New Roman"/>
        </w:rPr>
        <w:t xml:space="preserve"> </w:t>
      </w:r>
      <w:r w:rsidR="00C47F93" w:rsidRPr="0068584C">
        <w:rPr>
          <w:rFonts w:ascii="Times New Roman" w:hAnsi="Times New Roman" w:cs="Times New Roman"/>
        </w:rPr>
        <w:t xml:space="preserve">While the overall purpose of applying a theory elaboration methodology </w:t>
      </w:r>
      <w:r w:rsidR="00922EDA">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"10.1016/j.jom.2014.03.004", "ISSN" : "0272-6963", "author" : [ { "dropping-particle" : "", "family" : "Ketokivi", "given" : "Mikko", "non-dropping-particle" : "", "parse-names" : false, "suffix" : "" }, { "dropping-particle" : "", "family" : "Choi", "given" : "Thomas", "non-dropping-particle" : "", "parse-names" : false, "suffix" : "" } ], "container-title" : "Journal of Operations Management", "id" : "ITEM-1", "issue" : "5", "issued" : { "date-parts" : [ [ "2014" ] ] }, "page" : "232-240", "publisher" : "Elsevier B.V.", "title" : "Renaissance of case research as a scientific method", "type" : "article-journal", "volume" : "32" }, "uris" : [ "http://www.mendeley.com/documents/?uuid=d1c36dbd-61c8-47df-91bd-ba12cdfcdf11" ] } ], "mendeley" : { "formattedCitation" : "(Ketokivi &amp; Choi, 2014)", "plainTextFormattedCitation" : "(Ketokivi &amp; Choi, 2014)", "previouslyFormattedCitation" : "(Ketokivi &amp; Choi, 2014)" }, "properties" : { "noteIndex" : 0 }, "schema" : "https://github.com/citation-style-language/schema/raw/master/csl-citation.json" }</w:instrText>
      </w:r>
      <w:r w:rsidR="00922EDA">
        <w:rPr>
          <w:rFonts w:ascii="Times New Roman" w:hAnsi="Times New Roman" w:cs="Times New Roman"/>
        </w:rPr>
        <w:fldChar w:fldCharType="separate"/>
      </w:r>
      <w:r w:rsidR="000E6ECE" w:rsidRPr="000E6ECE">
        <w:rPr>
          <w:rFonts w:ascii="Times New Roman" w:hAnsi="Times New Roman" w:cs="Times New Roman"/>
          <w:noProof/>
        </w:rPr>
        <w:t>(Ketokivi &amp; Choi, 2014)</w:t>
      </w:r>
      <w:r w:rsidR="00922EDA">
        <w:rPr>
          <w:rFonts w:ascii="Times New Roman" w:hAnsi="Times New Roman" w:cs="Times New Roman"/>
        </w:rPr>
        <w:fldChar w:fldCharType="end"/>
      </w:r>
      <w:r w:rsidR="00922EDA">
        <w:rPr>
          <w:rFonts w:ascii="Times New Roman" w:hAnsi="Times New Roman" w:cs="Times New Roman"/>
        </w:rPr>
        <w:t xml:space="preserve"> </w:t>
      </w:r>
      <w:r w:rsidR="00C47F93" w:rsidRPr="0068584C">
        <w:rPr>
          <w:rFonts w:ascii="Times New Roman" w:hAnsi="Times New Roman" w:cs="Times New Roman"/>
        </w:rPr>
        <w:t xml:space="preserve">was to </w:t>
      </w:r>
      <w:r w:rsidR="00EA67E5" w:rsidRPr="0068584C">
        <w:rPr>
          <w:rFonts w:ascii="Times New Roman" w:hAnsi="Times New Roman" w:cs="Times New Roman"/>
        </w:rPr>
        <w:t xml:space="preserve">extend </w:t>
      </w:r>
      <w:r w:rsidR="00C47F93" w:rsidRPr="0068584C">
        <w:rPr>
          <w:rFonts w:ascii="Times New Roman" w:hAnsi="Times New Roman" w:cs="Times New Roman"/>
        </w:rPr>
        <w:t xml:space="preserve">the existing resource orchestration theory, the case study </w:t>
      </w:r>
      <w:r w:rsidR="00BD2D23" w:rsidRPr="0068584C">
        <w:rPr>
          <w:rFonts w:ascii="Times New Roman" w:hAnsi="Times New Roman" w:cs="Times New Roman"/>
        </w:rPr>
        <w:t xml:space="preserve">method </w:t>
      </w:r>
      <w:r w:rsidR="00C47F93" w:rsidRPr="0068584C">
        <w:rPr>
          <w:rFonts w:ascii="Times New Roman" w:hAnsi="Times New Roman" w:cs="Times New Roman"/>
        </w:rPr>
        <w:t>was used to obtain empirical data as complementary support in addition to the literature.</w:t>
      </w:r>
      <w:r w:rsidR="0056105F">
        <w:rPr>
          <w:rFonts w:ascii="Times New Roman" w:hAnsi="Times New Roman" w:cs="Times New Roman"/>
        </w:rPr>
        <w:t xml:space="preserve"> </w:t>
      </w:r>
      <w:r w:rsidR="00483728" w:rsidRPr="000A7343">
        <w:rPr>
          <w:rFonts w:ascii="Times New Roman" w:hAnsi="Times New Roman" w:cs="Times New Roman"/>
        </w:rPr>
        <w:t xml:space="preserve">The use of multiple cases allows for a more robust, generalizable, and parsimonious theory elaboration than </w:t>
      </w:r>
      <w:r w:rsidR="00483728" w:rsidRPr="000A7343">
        <w:rPr>
          <w:rFonts w:ascii="Times New Roman" w:hAnsi="Times New Roman" w:cs="Times New Roman"/>
        </w:rPr>
        <w:lastRenderedPageBreak/>
        <w:t>single cases</w:t>
      </w:r>
      <w:r w:rsidR="00483728">
        <w:rPr>
          <w:rFonts w:ascii="Times New Roman" w:hAnsi="Times New Roman" w:cs="Times New Roman"/>
        </w:rPr>
        <w:t xml:space="preserve"> </w:t>
      </w:r>
      <w:r w:rsidR="00483728">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"ISSN" : "00014273", "PMID" : "11331521", "abstract" : "This article discusses the research strategy of theory building from cases, particularly multiple cases. Such a strategy involves using one or more cases to create theoretical constructs, propositions, and/or midrange theory from case-based, empirical evidence. Replication logic means that each case serves as a distinct experiment that stands on its own merits as an analytic unit. The frequent use of case studies as a research strategy has given rise to some challenges that can be mitigated by the use of very precise wording and thoughtful research design.", "author" : [ { "dropping-particle" : "", "family" : "Eisenhardt", "given" : "Kathleen M", "non-dropping-particle" : "", "parse-names" : false, "suffix" : "" }, { "dropping-particle" : "", "family" : "Graebner", "given" : "Melissa E", "non-dropping-particle" : "", "parse-names" : false, "suffix" : "" } ], "container-title" : "Academy of Management Journal", "id" : "ITEM-1", "issue" : "1", "issued" : { "date-parts" : [ [ "2007" ] ] }, "page" : "25-32", "title" : "Theory building from cases: Opportunities and challenges", "type" : "article-journal", "volume" : "50" }, "uris" : [ "http://www.mendeley.com/documents/?uuid=193cb3d2-6cc1-4fff-b80c-1b55101ded84" ] } ], "mendeley" : { "formattedCitation" : "(Eisenhardt &amp; Graebner, 2007)", "plainTextFormattedCitation" : "(Eisenhardt &amp; Graebner, 2007)", "previouslyFormattedCitation" : "(Eisenhardt &amp; Graebner, 2007)" }, "properties" : { "noteIndex" : 0 }, "schema" : "https://github.com/citation-style-language/schema/raw/master/csl-citation.json" }</w:instrText>
      </w:r>
      <w:r w:rsidR="00483728">
        <w:rPr>
          <w:rFonts w:ascii="Times New Roman" w:hAnsi="Times New Roman" w:cs="Times New Roman"/>
        </w:rPr>
        <w:fldChar w:fldCharType="separate"/>
      </w:r>
      <w:r w:rsidR="000E6ECE" w:rsidRPr="000E6ECE">
        <w:rPr>
          <w:rFonts w:ascii="Times New Roman" w:hAnsi="Times New Roman" w:cs="Times New Roman"/>
          <w:noProof/>
        </w:rPr>
        <w:t>(Eisenhardt &amp; Graebner, 2007)</w:t>
      </w:r>
      <w:r w:rsidR="00483728">
        <w:rPr>
          <w:rFonts w:ascii="Times New Roman" w:hAnsi="Times New Roman" w:cs="Times New Roman"/>
        </w:rPr>
        <w:fldChar w:fldCharType="end"/>
      </w:r>
      <w:r w:rsidR="0056105F">
        <w:rPr>
          <w:rFonts w:ascii="Times New Roman" w:hAnsi="Times New Roman" w:cs="Times New Roman"/>
        </w:rPr>
        <w:t xml:space="preserve"> and</w:t>
      </w:r>
      <w:r w:rsidR="00483728" w:rsidRPr="000A7343">
        <w:rPr>
          <w:rFonts w:ascii="Times New Roman" w:hAnsi="Times New Roman" w:cs="Times New Roman"/>
        </w:rPr>
        <w:t xml:space="preserve"> </w:t>
      </w:r>
      <w:r w:rsidR="0056105F">
        <w:rPr>
          <w:rFonts w:ascii="Times New Roman" w:hAnsi="Times New Roman" w:cs="Times New Roman"/>
        </w:rPr>
        <w:t>can</w:t>
      </w:r>
      <w:r w:rsidR="00483728" w:rsidRPr="000A7343">
        <w:rPr>
          <w:rFonts w:ascii="Times New Roman" w:hAnsi="Times New Roman" w:cs="Times New Roman"/>
        </w:rPr>
        <w:t xml:space="preserve"> enhance the richness and precision of the theory</w:t>
      </w:r>
      <w:r w:rsidR="00483728">
        <w:rPr>
          <w:rFonts w:ascii="Times New Roman" w:hAnsi="Times New Roman" w:cs="Times New Roman"/>
        </w:rPr>
        <w:t xml:space="preserve"> </w:t>
      </w:r>
      <w:r w:rsidR="00483728">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"Yin", "given" : "Robert K", "non-dropping-particle" : "", "parse-names" : false, "suffix" : "" } ], "edition" : "5th", "id" : "ITEM-1", "issued" : { "date-parts" : [ [ "2014" ] ] }, "publisher" : "Sage Publications", "publisher-place" : "Thousand Oaks, CA", "title" : "Case Study Research: Design and Methods", "type" : "book" }, "uris" : [ "http://www.mendeley.com/documents/?uuid=f8424e69-504e-44d8-930c-c76c3d211d90" ] } ], "mendeley" : { "formattedCitation" : "(Yin, 2014)", "plainTextFormattedCitation" : "(Yin, 2014)", "previouslyFormattedCitation" : "(Yin, 2014)" }, "properties" : { "noteIndex" : 0 }, "schema" : "https://github.com/citation-style-language/schema/raw/master/csl-citation.json" }</w:instrText>
      </w:r>
      <w:r w:rsidR="00483728">
        <w:rPr>
          <w:rFonts w:ascii="Times New Roman" w:hAnsi="Times New Roman" w:cs="Times New Roman"/>
        </w:rPr>
        <w:fldChar w:fldCharType="separate"/>
      </w:r>
      <w:r w:rsidR="000E6ECE" w:rsidRPr="000E6ECE">
        <w:rPr>
          <w:rFonts w:ascii="Times New Roman" w:hAnsi="Times New Roman" w:cs="Times New Roman"/>
          <w:noProof/>
        </w:rPr>
        <w:t>(Yin, 2014)</w:t>
      </w:r>
      <w:r w:rsidR="00483728">
        <w:rPr>
          <w:rFonts w:ascii="Times New Roman" w:hAnsi="Times New Roman" w:cs="Times New Roman"/>
        </w:rPr>
        <w:fldChar w:fldCharType="end"/>
      </w:r>
      <w:r w:rsidR="00483728" w:rsidRPr="000A7343">
        <w:rPr>
          <w:rFonts w:ascii="Times New Roman" w:hAnsi="Times New Roman" w:cs="Times New Roman"/>
        </w:rPr>
        <w:t xml:space="preserve">. </w:t>
      </w:r>
      <w:r w:rsidR="00810943" w:rsidRPr="0068584C">
        <w:rPr>
          <w:rFonts w:ascii="Times New Roman" w:hAnsi="Times New Roman" w:cs="Times New Roman"/>
        </w:rPr>
        <w:t xml:space="preserve">Case studies are </w:t>
      </w:r>
      <w:r w:rsidR="007415A2">
        <w:rPr>
          <w:rFonts w:ascii="Times New Roman" w:hAnsi="Times New Roman" w:cs="Times New Roman"/>
        </w:rPr>
        <w:t xml:space="preserve">also </w:t>
      </w:r>
      <w:r w:rsidR="00810943" w:rsidRPr="0068584C">
        <w:rPr>
          <w:rFonts w:ascii="Times New Roman" w:hAnsi="Times New Roman" w:cs="Times New Roman"/>
        </w:rPr>
        <w:t xml:space="preserve">especially useful for developing theoretical insights when the research focuses on areas that extant theory has not </w:t>
      </w:r>
      <w:r w:rsidR="001A74F4" w:rsidRPr="0068584C">
        <w:rPr>
          <w:rFonts w:ascii="Times New Roman" w:hAnsi="Times New Roman" w:cs="Times New Roman"/>
        </w:rPr>
        <w:t xml:space="preserve">yet </w:t>
      </w:r>
      <w:r w:rsidR="002F2DC0" w:rsidRPr="0068584C">
        <w:rPr>
          <w:rFonts w:ascii="Times New Roman" w:hAnsi="Times New Roman" w:cs="Times New Roman"/>
        </w:rPr>
        <w:t xml:space="preserve">fully </w:t>
      </w:r>
      <w:r w:rsidR="00810943" w:rsidRPr="0068584C">
        <w:rPr>
          <w:rFonts w:ascii="Times New Roman" w:hAnsi="Times New Roman" w:cs="Times New Roman"/>
        </w:rPr>
        <w:t xml:space="preserve">addressed </w:t>
      </w:r>
      <w:r w:rsidR="002F2DC0" w:rsidRPr="0068584C">
        <w:rPr>
          <w:rFonts w:ascii="Times New Roman" w:hAnsi="Times New Roman" w:cs="Times New Roman"/>
        </w:rPr>
        <w:t>to date</w:t>
      </w:r>
      <w:r w:rsidR="00810943" w:rsidRPr="0068584C">
        <w:rPr>
          <w:rFonts w:ascii="Times New Roman" w:hAnsi="Times New Roman" w:cs="Times New Roman"/>
        </w:rPr>
        <w:t xml:space="preserve"> </w:t>
      </w:r>
      <w:r w:rsidR="006D450B">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"ISSN" : "00014273", "PMID" : "11331521", "abstract" : "This article discusses the research strategy of theory building from cases, particularly multiple cases. Such a strategy involves using one or more cases to create theoretical constructs, propositions, and/or midrange theory from case-based, empirical evidence. Replication logic means that each case serves as a distinct experiment that stands on its own merits as an analytic unit. The frequent use of case studies as a research strategy has given rise to some challenges that can be mitigated by the use of very precise wording and thoughtful research design.", "author" : [ { "dropping-particle" : "", "family" : "Eisenhardt", "given" : "Kathleen M", "non-dropping-particle" : "", "parse-names" : false, "suffix" : "" }, { "dropping-particle" : "", "family" : "Graebner", "given" : "Melissa E", "non-dropping-particle" : "", "parse-names" : false, "suffix" : "" } ], "container-title" : "Academy of Management Journal", "id" : "ITEM-1", "issue" : "1", "issued" : { "date-parts" : [ [ "2007" ] ] }, "page" : "25-32", "title" : "Theory building from cases: Opportunities and challenges", "type" : "article-journal", "volume" : "50" }, "uris" : [ "http://www.mendeley.com/documents/?uuid=193cb3d2-6cc1-4fff-b80c-1b55101ded84" ] } ], "mendeley" : { "formattedCitation" : "(Eisenhardt &amp; Graebner, 2007)", "plainTextFormattedCitation" : "(Eisenhardt &amp; Graebner, 2007)", "previouslyFormattedCitation" : "(Eisenhardt &amp; Graebner, 2007)" }, "properties" : { "noteIndex" : 0 }, "schema" : "https://github.com/citation-style-language/schema/raw/master/csl-citation.json" }</w:instrText>
      </w:r>
      <w:r w:rsidR="006D450B">
        <w:rPr>
          <w:rFonts w:ascii="Times New Roman" w:hAnsi="Times New Roman" w:cs="Times New Roman"/>
        </w:rPr>
        <w:fldChar w:fldCharType="separate"/>
      </w:r>
      <w:r w:rsidR="000E6ECE" w:rsidRPr="000E6ECE">
        <w:rPr>
          <w:rFonts w:ascii="Times New Roman" w:hAnsi="Times New Roman" w:cs="Times New Roman"/>
          <w:noProof/>
        </w:rPr>
        <w:t>(Eisenhardt &amp; Graebner, 2007)</w:t>
      </w:r>
      <w:r w:rsidR="006D450B">
        <w:rPr>
          <w:rFonts w:ascii="Times New Roman" w:hAnsi="Times New Roman" w:cs="Times New Roman"/>
        </w:rPr>
        <w:fldChar w:fldCharType="end"/>
      </w:r>
      <w:r w:rsidR="006D450B">
        <w:rPr>
          <w:rFonts w:ascii="Times New Roman" w:hAnsi="Times New Roman" w:cs="Times New Roman"/>
        </w:rPr>
        <w:t xml:space="preserve">. </w:t>
      </w:r>
      <w:r w:rsidR="00810943" w:rsidRPr="0068584C">
        <w:rPr>
          <w:rFonts w:ascii="Times New Roman" w:hAnsi="Times New Roman" w:cs="Times New Roman"/>
        </w:rPr>
        <w:t xml:space="preserve">Using multiple cases in contrast to a single case has proven to be effective as it allows for the collection of comparative data. Therefore, researchers have emphasized the higher likelihood of </w:t>
      </w:r>
      <w:r w:rsidR="001A74F4" w:rsidRPr="0068584C">
        <w:rPr>
          <w:rFonts w:ascii="Times New Roman" w:hAnsi="Times New Roman" w:cs="Times New Roman"/>
        </w:rPr>
        <w:t>multiple case</w:t>
      </w:r>
      <w:r w:rsidR="00501BBF" w:rsidRPr="0068584C">
        <w:rPr>
          <w:rFonts w:ascii="Times New Roman" w:hAnsi="Times New Roman" w:cs="Times New Roman"/>
        </w:rPr>
        <w:t xml:space="preserve"> </w:t>
      </w:r>
      <w:r w:rsidR="001A74F4" w:rsidRPr="0068584C">
        <w:rPr>
          <w:rFonts w:ascii="Times New Roman" w:hAnsi="Times New Roman" w:cs="Times New Roman"/>
        </w:rPr>
        <w:t>s</w:t>
      </w:r>
      <w:r w:rsidR="00501BBF" w:rsidRPr="0068584C">
        <w:rPr>
          <w:rFonts w:ascii="Times New Roman" w:hAnsi="Times New Roman" w:cs="Times New Roman"/>
        </w:rPr>
        <w:t>tudies</w:t>
      </w:r>
      <w:r w:rsidR="001A74F4" w:rsidRPr="0068584C">
        <w:rPr>
          <w:rFonts w:ascii="Times New Roman" w:hAnsi="Times New Roman" w:cs="Times New Roman"/>
        </w:rPr>
        <w:t xml:space="preserve"> </w:t>
      </w:r>
      <w:r w:rsidR="00810943" w:rsidRPr="0068584C">
        <w:rPr>
          <w:rFonts w:ascii="Times New Roman" w:hAnsi="Times New Roman" w:cs="Times New Roman"/>
        </w:rPr>
        <w:t>yielding accurate, generalizable theory than single cases</w:t>
      </w:r>
      <w:r w:rsidR="00BE55BA">
        <w:rPr>
          <w:rFonts w:ascii="Times New Roman" w:hAnsi="Times New Roman" w:cs="Times New Roman"/>
        </w:rPr>
        <w:t xml:space="preserve"> </w:t>
      </w:r>
      <w:r w:rsidR="00BE55BA">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"10.5465/AMR.1989.4308385", "ISBN" : "0761911901", "ISSN" : "0363-7425", "PMID" : "11331521", "abstract" : "This paper describes the process of inducting theory using case stud 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 "author" : [ { "dropping-particle" : "", "family" : "Eisenhardt", "given" : "Kathleen M", "non-dropping-particle" : "", "parse-names" : false, "suffix" : "" } ], "container-title" : "Academy of Management Review", "id" : "ITEM-1", "issue" : "4", "issued" : { "date-parts" : [ [ "1989" ] ] }, "page" : "532-550", "title" : "Building Theories from Case Study Research", "type" : "article-journal", "volume" : "14" }, "uris" : [ "http://www.mendeley.com/documents/?uuid=2b4fb1a6-0d74-4b38-81c9-17d37970091d" ] }, { "id" : "ITEM-2", "itemData" : { "author" : [ { "dropping-particle" : "", "family" : "Ozcan", "given" : "Pinar", "non-dropping-particle" : "", "parse-names" : false, "suffix" : "" }, { "dropping-particle" : "", "family" : "Eisenhardt", "given" : "Kathleen M", "non-dropping-particle" : "", "parse-names" : false, "suffix" : "" } ], "container-title" : "Academy of Management Journal", "id" : "ITEM-2", "issue" : "2", "issued" : { "date-parts" : [ [ "2009" ] ] }, "page" : "246-279", "title" : "ORIGIN OF ALLIANCE PORTFOLIOS: ENTREPRENEURS , NETWORK STRATEGIES, AND FIRM PERFORMANCE", "type" : "article-journal", "volume" : "52" }, "uris" : [ "http://www.mendeley.com/documents/?uuid=2c3b16ab-a68f-4d1d-a191-81658229a9d4" ] }, { "id" : "ITEM-3", "itemData" : { "author" : [ { "dropping-particle" : "", "family" : "Yin", "given" : "Robert K", "non-dropping-particle" : "", "parse-names" : false, "suffix" : "" } ], "edition" : "5th", "id" : "ITEM-3", "issued" : { "date-parts" : [ [ "2014" ] ] }, "publisher" : "Sage Publications", "publisher-place" : "Thousand Oaks, CA", "title" : "Case Study Research: Design and Methods", "type" : "book" }, "uris" : [ "http://www.mendeley.com/documents/?uuid=f8424e69-504e-44d8-930c-c76c3d211d90" ] } ], "mendeley" : { "formattedCitation" : "(Eisenhardt, 1989; Ozcan &amp; Eisenhardt, 2009; Yin, 2014)", "plainTextFormattedCitation" : "(Eisenhardt, 1989; Ozcan &amp; Eisenhardt, 2009; Yin, 2014)", "previouslyFormattedCitation" : "(Eisenhardt, 1989; Ozcan &amp; Eisenhardt, 2009; Yin, 2014)" }, "properties" : { "noteIndex" : 0 }, "schema" : "https://github.com/citation-style-language/schema/raw/master/csl-citation.json" }</w:instrText>
      </w:r>
      <w:r w:rsidR="00BE55BA">
        <w:rPr>
          <w:rFonts w:ascii="Times New Roman" w:hAnsi="Times New Roman" w:cs="Times New Roman"/>
        </w:rPr>
        <w:fldChar w:fldCharType="separate"/>
      </w:r>
      <w:r w:rsidR="000E6ECE" w:rsidRPr="000E6ECE">
        <w:rPr>
          <w:rFonts w:ascii="Times New Roman" w:hAnsi="Times New Roman" w:cs="Times New Roman"/>
          <w:noProof/>
        </w:rPr>
        <w:t>(Eisenhardt, 1989; Ozcan &amp; Eisenhardt, 2009; Yin, 2014)</w:t>
      </w:r>
      <w:r w:rsidR="00BE55BA">
        <w:rPr>
          <w:rFonts w:ascii="Times New Roman" w:hAnsi="Times New Roman" w:cs="Times New Roman"/>
        </w:rPr>
        <w:fldChar w:fldCharType="end"/>
      </w:r>
      <w:r w:rsidR="00BE55BA">
        <w:rPr>
          <w:rFonts w:ascii="Times New Roman" w:hAnsi="Times New Roman" w:cs="Times New Roman"/>
        </w:rPr>
        <w:t>.</w:t>
      </w:r>
      <w:r w:rsidR="00C3116B">
        <w:rPr>
          <w:rFonts w:ascii="Times New Roman" w:hAnsi="Times New Roman" w:cs="Times New Roman"/>
        </w:rPr>
        <w:t xml:space="preserve"> </w:t>
      </w:r>
    </w:p>
    <w:p w14:paraId="60826354" w14:textId="4F8E1B25" w:rsidR="00237C4A" w:rsidRPr="0068584C" w:rsidRDefault="00D41A25" w:rsidP="0035460B">
      <w:pPr>
        <w:spacing w:line="480" w:lineRule="auto"/>
        <w:ind w:firstLine="720"/>
        <w:jc w:val="both"/>
        <w:rPr>
          <w:rFonts w:ascii="Times New Roman" w:hAnsi="Times New Roman" w:cs="Times New Roman"/>
        </w:rPr>
      </w:pPr>
      <w:r>
        <w:rPr>
          <w:rFonts w:ascii="Times New Roman" w:hAnsi="Times New Roman" w:cs="Times New Roman"/>
        </w:rPr>
        <w:t>In total,</w:t>
      </w:r>
      <w:r w:rsidR="007F6E36" w:rsidRPr="0068584C">
        <w:rPr>
          <w:rFonts w:ascii="Times New Roman" w:hAnsi="Times New Roman" w:cs="Times New Roman"/>
        </w:rPr>
        <w:t xml:space="preserve"> </w:t>
      </w:r>
      <w:r w:rsidR="004F527E">
        <w:rPr>
          <w:rFonts w:ascii="Times New Roman" w:hAnsi="Times New Roman" w:cs="Times New Roman"/>
        </w:rPr>
        <w:t xml:space="preserve">24 </w:t>
      </w:r>
      <w:r w:rsidR="007F6E36" w:rsidRPr="0068584C">
        <w:rPr>
          <w:rFonts w:ascii="Times New Roman" w:hAnsi="Times New Roman" w:cs="Times New Roman"/>
        </w:rPr>
        <w:t>semi-structured interviews</w:t>
      </w:r>
      <w:r>
        <w:rPr>
          <w:rFonts w:ascii="Times New Roman" w:hAnsi="Times New Roman" w:cs="Times New Roman"/>
        </w:rPr>
        <w:t xml:space="preserve"> were</w:t>
      </w:r>
      <w:r w:rsidR="002F41DC" w:rsidRPr="0068584C">
        <w:rPr>
          <w:rFonts w:ascii="Times New Roman" w:hAnsi="Times New Roman" w:cs="Times New Roman"/>
        </w:rPr>
        <w:t xml:space="preserve"> recorded</w:t>
      </w:r>
      <w:r>
        <w:rPr>
          <w:rFonts w:ascii="Times New Roman" w:hAnsi="Times New Roman" w:cs="Times New Roman"/>
        </w:rPr>
        <w:t>,</w:t>
      </w:r>
      <w:r w:rsidR="002F41DC" w:rsidRPr="0068584C">
        <w:rPr>
          <w:rFonts w:ascii="Times New Roman" w:hAnsi="Times New Roman" w:cs="Times New Roman"/>
        </w:rPr>
        <w:t xml:space="preserve"> transcribed</w:t>
      </w:r>
      <w:r>
        <w:rPr>
          <w:rFonts w:ascii="Times New Roman" w:hAnsi="Times New Roman" w:cs="Times New Roman"/>
        </w:rPr>
        <w:t>, and</w:t>
      </w:r>
      <w:r w:rsidR="002F41DC" w:rsidRPr="0068584C">
        <w:rPr>
          <w:rFonts w:ascii="Times New Roman" w:hAnsi="Times New Roman" w:cs="Times New Roman"/>
        </w:rPr>
        <w:t xml:space="preserve"> coded</w:t>
      </w:r>
      <w:r w:rsidR="0030559F" w:rsidRPr="0068584C">
        <w:rPr>
          <w:rFonts w:ascii="Times New Roman" w:hAnsi="Times New Roman" w:cs="Times New Roman"/>
        </w:rPr>
        <w:t>. After the initial open coding step was completed,</w:t>
      </w:r>
      <w:r w:rsidR="002F41DC" w:rsidRPr="0068584C">
        <w:rPr>
          <w:rFonts w:ascii="Times New Roman" w:hAnsi="Times New Roman" w:cs="Times New Roman"/>
        </w:rPr>
        <w:t xml:space="preserve"> more abstract categories </w:t>
      </w:r>
      <w:r w:rsidR="001601E0" w:rsidRPr="0068584C">
        <w:rPr>
          <w:rFonts w:ascii="Times New Roman" w:hAnsi="Times New Roman" w:cs="Times New Roman"/>
        </w:rPr>
        <w:t xml:space="preserve">were </w:t>
      </w:r>
      <w:r w:rsidR="0030559F" w:rsidRPr="0068584C">
        <w:rPr>
          <w:rFonts w:ascii="Times New Roman" w:hAnsi="Times New Roman" w:cs="Times New Roman"/>
        </w:rPr>
        <w:t xml:space="preserve">developed </w:t>
      </w:r>
      <w:r w:rsidR="001601E0" w:rsidRPr="0068584C">
        <w:rPr>
          <w:rFonts w:ascii="Times New Roman" w:hAnsi="Times New Roman" w:cs="Times New Roman"/>
        </w:rPr>
        <w:t xml:space="preserve">by </w:t>
      </w:r>
      <w:r w:rsidR="00B87AFB" w:rsidRPr="0068584C">
        <w:rPr>
          <w:rFonts w:ascii="Times New Roman" w:hAnsi="Times New Roman" w:cs="Times New Roman"/>
        </w:rPr>
        <w:t>comparing</w:t>
      </w:r>
      <w:r w:rsidR="002F41DC" w:rsidRPr="0068584C">
        <w:rPr>
          <w:rFonts w:ascii="Times New Roman" w:hAnsi="Times New Roman" w:cs="Times New Roman"/>
        </w:rPr>
        <w:t xml:space="preserve"> the coding results from different cases</w:t>
      </w:r>
      <w:r w:rsidR="000D4388">
        <w:rPr>
          <w:rFonts w:ascii="Times New Roman" w:hAnsi="Times New Roman" w:cs="Times New Roman"/>
        </w:rPr>
        <w:t xml:space="preserve"> </w:t>
      </w:r>
      <w:r w:rsidR="000D4388">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"Corbin", "given" : "Juliet M.", "non-dropping-particle" : "", "parse-names" : false, "suffix" : "" }, { "dropping-particle" : "", "family" : "Strauss", "given" : "Anselm L.", "non-dropping-particle" : "", "parse-names" : false, "suffix" : "" } ], "edition" : "3rd ed.", "id" : "ITEM-1", "issued" : { "date-parts" : [ [ "2008" ] ] }, "publisher" : "Sage Publications", "publisher-place" : "Thousand Oaks, CA", "title" : "Basics of Qualitative Research", "type" : "book" }, "uris" : [ "http://www.mendeley.com/documents/?uuid=f0e918d0-c99f-47be-a066-86258962e4bc" ] } ], "mendeley" : { "formattedCitation" : "(Corbin &amp; Strauss, 2008)", "plainTextFormattedCitation" : "(Corbin &amp; Strauss, 2008)", "previouslyFormattedCitation" : "(Corbin &amp; Strauss, 2008)" }, "properties" : { "noteIndex" : 0 }, "schema" : "https://github.com/citation-style-language/schema/raw/master/csl-citation.json" }</w:instrText>
      </w:r>
      <w:r w:rsidR="000D4388">
        <w:rPr>
          <w:rFonts w:ascii="Times New Roman" w:hAnsi="Times New Roman" w:cs="Times New Roman"/>
        </w:rPr>
        <w:fldChar w:fldCharType="separate"/>
      </w:r>
      <w:r w:rsidR="000E6ECE" w:rsidRPr="000E6ECE">
        <w:rPr>
          <w:rFonts w:ascii="Times New Roman" w:hAnsi="Times New Roman" w:cs="Times New Roman"/>
          <w:noProof/>
        </w:rPr>
        <w:t>(Corbin &amp; Strauss, 2008)</w:t>
      </w:r>
      <w:r w:rsidR="000D4388">
        <w:rPr>
          <w:rFonts w:ascii="Times New Roman" w:hAnsi="Times New Roman" w:cs="Times New Roman"/>
        </w:rPr>
        <w:fldChar w:fldCharType="end"/>
      </w:r>
      <w:r w:rsidR="002F41DC" w:rsidRPr="0068584C">
        <w:rPr>
          <w:rFonts w:ascii="Times New Roman" w:hAnsi="Times New Roman" w:cs="Times New Roman"/>
        </w:rPr>
        <w:t xml:space="preserve">. Eventually, relationships among those categories emerged </w:t>
      </w:r>
      <w:r w:rsidR="000D4388">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"Miles", "given" : "Matthew B", "non-dropping-particle" : "", "parse-names" : false, "suffix" : "" }, { "dropping-particle" : "", "family" : "Huberman", "given" : "A. Michael", "non-dropping-particle" : "", "parse-names" : false, "suffix" : "" } ], "edition" : "2nd ed.", "id" : "ITEM-1", "issued" : { "date-parts" : [ [ "1994" ] ] }, "publisher" : "Sage Publications", "publisher-place" : "Thousand Oaks, CA", "title" : "Qualitative Data Analysis: An expanded sourcebook", "type" : "book" }, "uris" : [ "http://www.mendeley.com/documents/?uuid=9a331f92-bfaf-4703-9205-eba6d68a8253" ] } ], "mendeley" : { "formattedCitation" : "(Miles &amp; Huberman, 1994)", "plainTextFormattedCitation" : "(Miles &amp; Huberman, 1994)", "previouslyFormattedCitation" : "(Miles &amp; Huberman, 1994)" }, "properties" : { "noteIndex" : 0 }, "schema" : "https://github.com/citation-style-language/schema/raw/master/csl-citation.json" }</w:instrText>
      </w:r>
      <w:r w:rsidR="000D4388">
        <w:rPr>
          <w:rFonts w:ascii="Times New Roman" w:hAnsi="Times New Roman" w:cs="Times New Roman"/>
        </w:rPr>
        <w:fldChar w:fldCharType="separate"/>
      </w:r>
      <w:r w:rsidR="000E6ECE" w:rsidRPr="000E6ECE">
        <w:rPr>
          <w:rFonts w:ascii="Times New Roman" w:hAnsi="Times New Roman" w:cs="Times New Roman"/>
          <w:noProof/>
        </w:rPr>
        <w:t>(Miles &amp; Huberman, 1994)</w:t>
      </w:r>
      <w:r w:rsidR="000D4388">
        <w:rPr>
          <w:rFonts w:ascii="Times New Roman" w:hAnsi="Times New Roman" w:cs="Times New Roman"/>
        </w:rPr>
        <w:fldChar w:fldCharType="end"/>
      </w:r>
      <w:r w:rsidR="000D4388">
        <w:rPr>
          <w:rFonts w:ascii="Times New Roman" w:hAnsi="Times New Roman" w:cs="Times New Roman"/>
        </w:rPr>
        <w:t>.</w:t>
      </w:r>
      <w:r w:rsidR="00237C4A" w:rsidRPr="0068584C">
        <w:rPr>
          <w:rFonts w:ascii="Times New Roman" w:hAnsi="Times New Roman" w:cs="Times New Roman"/>
        </w:rPr>
        <w:t xml:space="preserve"> </w:t>
      </w:r>
      <w:r w:rsidR="00557F44" w:rsidRPr="0068584C">
        <w:rPr>
          <w:rFonts w:ascii="Times New Roman" w:hAnsi="Times New Roman" w:cs="Times New Roman"/>
        </w:rPr>
        <w:t>R</w:t>
      </w:r>
      <w:r w:rsidR="00237C4A" w:rsidRPr="0068584C">
        <w:rPr>
          <w:rFonts w:ascii="Times New Roman" w:hAnsi="Times New Roman" w:cs="Times New Roman"/>
        </w:rPr>
        <w:t>eplication logic</w:t>
      </w:r>
      <w:r w:rsidR="000D4388">
        <w:rPr>
          <w:rFonts w:ascii="Times New Roman" w:hAnsi="Times New Roman" w:cs="Times New Roman"/>
        </w:rPr>
        <w:t xml:space="preserve"> </w:t>
      </w:r>
      <w:r w:rsidR="000D4388">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"Yin", "given" : "Robert K", "non-dropping-particle" : "", "parse-names" : false, "suffix" : "" } ], "edition" : "5th", "id" : "ITEM-1", "issued" : { "date-parts" : [ [ "2014" ] ] }, "publisher" : "Sage Publications", "publisher-place" : "Thousand Oaks, CA", "title" : "Case Study Research: Design and Methods", "type" : "book" }, "uris" : [ "http://www.mendeley.com/documents/?uuid=f8424e69-504e-44d8-930c-c76c3d211d90" ] } ], "mendeley" : { "formattedCitation" : "(Yin, 2014)", "plainTextFormattedCitation" : "(Yin, 2014)", "previouslyFormattedCitation" : "(Yin, 2014)" }, "properties" : { "noteIndex" : 0 }, "schema" : "https://github.com/citation-style-language/schema/raw/master/csl-citation.json" }</w:instrText>
      </w:r>
      <w:r w:rsidR="000D4388">
        <w:rPr>
          <w:rFonts w:ascii="Times New Roman" w:hAnsi="Times New Roman" w:cs="Times New Roman"/>
        </w:rPr>
        <w:fldChar w:fldCharType="separate"/>
      </w:r>
      <w:r w:rsidR="000E6ECE" w:rsidRPr="000E6ECE">
        <w:rPr>
          <w:rFonts w:ascii="Times New Roman" w:hAnsi="Times New Roman" w:cs="Times New Roman"/>
          <w:noProof/>
        </w:rPr>
        <w:t>(Yin, 2014)</w:t>
      </w:r>
      <w:r w:rsidR="000D4388">
        <w:rPr>
          <w:rFonts w:ascii="Times New Roman" w:hAnsi="Times New Roman" w:cs="Times New Roman"/>
        </w:rPr>
        <w:fldChar w:fldCharType="end"/>
      </w:r>
      <w:r w:rsidR="00E00AC9" w:rsidRPr="0068584C">
        <w:rPr>
          <w:rFonts w:ascii="Times New Roman" w:hAnsi="Times New Roman" w:cs="Times New Roman"/>
        </w:rPr>
        <w:t xml:space="preserve"> was applied by verifying the applicability of new </w:t>
      </w:r>
      <w:r w:rsidR="00E9794A" w:rsidRPr="0068584C">
        <w:rPr>
          <w:rFonts w:ascii="Times New Roman" w:hAnsi="Times New Roman" w:cs="Times New Roman"/>
        </w:rPr>
        <w:t>categories</w:t>
      </w:r>
      <w:r w:rsidR="00E00AC9" w:rsidRPr="0068584C">
        <w:rPr>
          <w:rFonts w:ascii="Times New Roman" w:hAnsi="Times New Roman" w:cs="Times New Roman"/>
        </w:rPr>
        <w:t xml:space="preserve"> for each case.</w:t>
      </w:r>
      <w:r w:rsidR="00C12048" w:rsidRPr="0068584C">
        <w:rPr>
          <w:rFonts w:ascii="Times New Roman" w:hAnsi="Times New Roman" w:cs="Times New Roman"/>
        </w:rPr>
        <w:t xml:space="preserve"> </w:t>
      </w:r>
      <w:r w:rsidR="00376F32" w:rsidRPr="0068584C">
        <w:rPr>
          <w:rFonts w:ascii="Times New Roman" w:hAnsi="Times New Roman" w:cs="Times New Roman"/>
        </w:rPr>
        <w:t xml:space="preserve">Some </w:t>
      </w:r>
      <w:r w:rsidR="002869C2">
        <w:rPr>
          <w:rFonts w:ascii="Times New Roman" w:hAnsi="Times New Roman" w:cs="Times New Roman"/>
        </w:rPr>
        <w:t>categories</w:t>
      </w:r>
      <w:r w:rsidR="002869C2" w:rsidRPr="0068584C">
        <w:rPr>
          <w:rFonts w:ascii="Times New Roman" w:hAnsi="Times New Roman" w:cs="Times New Roman"/>
        </w:rPr>
        <w:t xml:space="preserve"> </w:t>
      </w:r>
      <w:r w:rsidR="00376F32" w:rsidRPr="0068584C">
        <w:rPr>
          <w:rFonts w:ascii="Times New Roman" w:hAnsi="Times New Roman" w:cs="Times New Roman"/>
        </w:rPr>
        <w:t xml:space="preserve">applied across all cases </w:t>
      </w:r>
      <w:r w:rsidR="003467E2" w:rsidRPr="0068584C">
        <w:rPr>
          <w:rFonts w:ascii="Times New Roman" w:hAnsi="Times New Roman" w:cs="Times New Roman"/>
        </w:rPr>
        <w:t xml:space="preserve">(e.g. managing customer needs) </w:t>
      </w:r>
      <w:r w:rsidR="00376F32" w:rsidRPr="0068584C">
        <w:rPr>
          <w:rFonts w:ascii="Times New Roman" w:hAnsi="Times New Roman" w:cs="Times New Roman"/>
        </w:rPr>
        <w:t>while others applied only to a subset of cases</w:t>
      </w:r>
      <w:r w:rsidR="003467E2" w:rsidRPr="0068584C">
        <w:rPr>
          <w:rFonts w:ascii="Times New Roman" w:hAnsi="Times New Roman" w:cs="Times New Roman"/>
        </w:rPr>
        <w:t xml:space="preserve"> (e.g., </w:t>
      </w:r>
      <w:r w:rsidR="00E3047D">
        <w:rPr>
          <w:rFonts w:ascii="Times New Roman" w:hAnsi="Times New Roman" w:cs="Times New Roman"/>
        </w:rPr>
        <w:t>purchasing strategy</w:t>
      </w:r>
      <w:r w:rsidR="003467E2" w:rsidRPr="0068584C">
        <w:rPr>
          <w:rFonts w:ascii="Times New Roman" w:hAnsi="Times New Roman" w:cs="Times New Roman"/>
        </w:rPr>
        <w:t>)</w:t>
      </w:r>
      <w:r w:rsidR="00376F32" w:rsidRPr="0068584C">
        <w:rPr>
          <w:rFonts w:ascii="Times New Roman" w:hAnsi="Times New Roman" w:cs="Times New Roman"/>
        </w:rPr>
        <w:t xml:space="preserve">. </w:t>
      </w:r>
      <w:r w:rsidR="00C12048" w:rsidRPr="0068584C">
        <w:rPr>
          <w:rFonts w:ascii="Times New Roman" w:hAnsi="Times New Roman" w:cs="Times New Roman"/>
        </w:rPr>
        <w:t xml:space="preserve">Thus, the </w:t>
      </w:r>
      <w:r w:rsidR="00610D85">
        <w:rPr>
          <w:rFonts w:ascii="Times New Roman" w:hAnsi="Times New Roman" w:cs="Times New Roman"/>
        </w:rPr>
        <w:t>SCRO framework</w:t>
      </w:r>
      <w:r w:rsidR="00C12048" w:rsidRPr="0068584C">
        <w:rPr>
          <w:rFonts w:ascii="Times New Roman" w:hAnsi="Times New Roman" w:cs="Times New Roman"/>
        </w:rPr>
        <w:t xml:space="preserve"> </w:t>
      </w:r>
      <w:r w:rsidR="008B75C9" w:rsidRPr="0068584C">
        <w:rPr>
          <w:rFonts w:ascii="Times New Roman" w:hAnsi="Times New Roman" w:cs="Times New Roman"/>
        </w:rPr>
        <w:t xml:space="preserve">was </w:t>
      </w:r>
      <w:r w:rsidR="00C12048" w:rsidRPr="0068584C">
        <w:rPr>
          <w:rFonts w:ascii="Times New Roman" w:hAnsi="Times New Roman" w:cs="Times New Roman"/>
        </w:rPr>
        <w:t>refine</w:t>
      </w:r>
      <w:r w:rsidR="008B75C9" w:rsidRPr="0068584C">
        <w:rPr>
          <w:rFonts w:ascii="Times New Roman" w:hAnsi="Times New Roman" w:cs="Times New Roman"/>
        </w:rPr>
        <w:t>d</w:t>
      </w:r>
      <w:r w:rsidR="00C12048" w:rsidRPr="0068584C">
        <w:rPr>
          <w:rFonts w:ascii="Times New Roman" w:hAnsi="Times New Roman" w:cs="Times New Roman"/>
        </w:rPr>
        <w:t xml:space="preserve"> and valida</w:t>
      </w:r>
      <w:r w:rsidR="008B75C9" w:rsidRPr="0068584C">
        <w:rPr>
          <w:rFonts w:ascii="Times New Roman" w:hAnsi="Times New Roman" w:cs="Times New Roman"/>
        </w:rPr>
        <w:t xml:space="preserve">ted iteratively </w:t>
      </w:r>
      <w:r w:rsidR="00C12048" w:rsidRPr="0068584C">
        <w:rPr>
          <w:rFonts w:ascii="Times New Roman" w:hAnsi="Times New Roman" w:cs="Times New Roman"/>
        </w:rPr>
        <w:t xml:space="preserve">by </w:t>
      </w:r>
      <w:r w:rsidR="00610D85">
        <w:rPr>
          <w:rFonts w:ascii="Times New Roman" w:hAnsi="Times New Roman" w:cs="Times New Roman"/>
        </w:rPr>
        <w:t>comparing</w:t>
      </w:r>
      <w:r w:rsidR="00610D85" w:rsidRPr="0068584C">
        <w:rPr>
          <w:rFonts w:ascii="Times New Roman" w:hAnsi="Times New Roman" w:cs="Times New Roman"/>
        </w:rPr>
        <w:t xml:space="preserve"> </w:t>
      </w:r>
      <w:r w:rsidR="00C12048" w:rsidRPr="0068584C">
        <w:rPr>
          <w:rFonts w:ascii="Times New Roman" w:hAnsi="Times New Roman" w:cs="Times New Roman"/>
        </w:rPr>
        <w:t xml:space="preserve">observed </w:t>
      </w:r>
      <w:r w:rsidR="00610D85">
        <w:rPr>
          <w:rFonts w:ascii="Times New Roman" w:hAnsi="Times New Roman" w:cs="Times New Roman"/>
        </w:rPr>
        <w:t>categories</w:t>
      </w:r>
      <w:r w:rsidR="00610D85" w:rsidRPr="0068584C">
        <w:rPr>
          <w:rFonts w:ascii="Times New Roman" w:hAnsi="Times New Roman" w:cs="Times New Roman"/>
        </w:rPr>
        <w:t xml:space="preserve"> </w:t>
      </w:r>
      <w:r w:rsidR="00610D85">
        <w:rPr>
          <w:rFonts w:ascii="Times New Roman" w:hAnsi="Times New Roman" w:cs="Times New Roman"/>
        </w:rPr>
        <w:t>between</w:t>
      </w:r>
      <w:r w:rsidR="00C12048" w:rsidRPr="0068584C">
        <w:rPr>
          <w:rFonts w:ascii="Times New Roman" w:hAnsi="Times New Roman" w:cs="Times New Roman"/>
        </w:rPr>
        <w:t xml:space="preserve"> case</w:t>
      </w:r>
      <w:r w:rsidR="00610D85">
        <w:rPr>
          <w:rFonts w:ascii="Times New Roman" w:hAnsi="Times New Roman" w:cs="Times New Roman"/>
        </w:rPr>
        <w:t>s</w:t>
      </w:r>
      <w:r w:rsidR="00C12048" w:rsidRPr="0068584C">
        <w:rPr>
          <w:rFonts w:ascii="Times New Roman" w:hAnsi="Times New Roman" w:cs="Times New Roman"/>
        </w:rPr>
        <w:t xml:space="preserve"> </w:t>
      </w:r>
      <w:r w:rsidR="00B35154">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"10.5465/AMR.1989.4308385", "ISBN" : "0761911901", "ISSN" : "0363-7425", "PMID" : "11331521", "abstract" : "This paper describes the process of inducting theory using case stud 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 "author" : [ { "dropping-particle" : "", "family" : "Eisenhardt", "given" : "Kathleen M", "non-dropping-particle" : "", "parse-names" : false, "suffix" : "" } ], "container-title" : "Academy of Management Review", "id" : "ITEM-1", "issue" : "4", "issued" : { "date-parts" : [ [ "1989" ] ] }, "page" : "532-550", "title" : "Building Theories from Case Study Research", "type" : "article-journal", "volume" : "14" }, "uris" : [ "http://www.mendeley.com/documents/?uuid=2b4fb1a6-0d74-4b38-81c9-17d37970091d" ] } ], "mendeley" : { "formattedCitation" : "(Eisenhardt, 1989)", "plainTextFormattedCitation" : "(Eisenhardt, 1989)", "previouslyFormattedCitation" : "(Eisenhardt, 1989)" }, "properties" : { "noteIndex" : 0 }, "schema" : "https://github.com/citation-style-language/schema/raw/master/csl-citation.json" }</w:instrText>
      </w:r>
      <w:r w:rsidR="00B35154">
        <w:rPr>
          <w:rFonts w:ascii="Times New Roman" w:hAnsi="Times New Roman" w:cs="Times New Roman"/>
        </w:rPr>
        <w:fldChar w:fldCharType="separate"/>
      </w:r>
      <w:r w:rsidR="000E6ECE" w:rsidRPr="000E6ECE">
        <w:rPr>
          <w:rFonts w:ascii="Times New Roman" w:hAnsi="Times New Roman" w:cs="Times New Roman"/>
          <w:noProof/>
        </w:rPr>
        <w:t>(Eisenhardt, 1989)</w:t>
      </w:r>
      <w:r w:rsidR="00B35154">
        <w:rPr>
          <w:rFonts w:ascii="Times New Roman" w:hAnsi="Times New Roman" w:cs="Times New Roman"/>
        </w:rPr>
        <w:fldChar w:fldCharType="end"/>
      </w:r>
      <w:r w:rsidR="00B35154">
        <w:rPr>
          <w:rFonts w:ascii="Times New Roman" w:hAnsi="Times New Roman" w:cs="Times New Roman"/>
        </w:rPr>
        <w:t>.</w:t>
      </w:r>
      <w:r w:rsidR="00C12048" w:rsidRPr="0068584C">
        <w:rPr>
          <w:rFonts w:ascii="Times New Roman" w:hAnsi="Times New Roman" w:cs="Times New Roman"/>
        </w:rPr>
        <w:t xml:space="preserve"> Following the constant comparison approach during the analysis, </w:t>
      </w:r>
      <w:r w:rsidR="0030559F" w:rsidRPr="0068584C">
        <w:rPr>
          <w:rFonts w:ascii="Times New Roman" w:hAnsi="Times New Roman" w:cs="Times New Roman"/>
        </w:rPr>
        <w:t xml:space="preserve">newly </w:t>
      </w:r>
      <w:r w:rsidR="00C12048" w:rsidRPr="0068584C">
        <w:rPr>
          <w:rFonts w:ascii="Times New Roman" w:hAnsi="Times New Roman" w:cs="Times New Roman"/>
        </w:rPr>
        <w:t>emerging</w:t>
      </w:r>
      <w:r w:rsidR="00237C4A" w:rsidRPr="0068584C">
        <w:rPr>
          <w:rFonts w:ascii="Times New Roman" w:hAnsi="Times New Roman" w:cs="Times New Roman"/>
        </w:rPr>
        <w:t xml:space="preserve"> </w:t>
      </w:r>
      <w:r w:rsidR="00D3488D">
        <w:rPr>
          <w:rFonts w:ascii="Times New Roman" w:hAnsi="Times New Roman" w:cs="Times New Roman"/>
        </w:rPr>
        <w:t>categories</w:t>
      </w:r>
      <w:r w:rsidR="00D3488D" w:rsidRPr="0068584C">
        <w:rPr>
          <w:rFonts w:ascii="Times New Roman" w:hAnsi="Times New Roman" w:cs="Times New Roman"/>
        </w:rPr>
        <w:t xml:space="preserve"> </w:t>
      </w:r>
      <w:r w:rsidR="00C12048" w:rsidRPr="0068584C">
        <w:rPr>
          <w:rFonts w:ascii="Times New Roman" w:hAnsi="Times New Roman" w:cs="Times New Roman"/>
        </w:rPr>
        <w:t xml:space="preserve">from the cases </w:t>
      </w:r>
      <w:r w:rsidR="00237C4A" w:rsidRPr="0068584C">
        <w:rPr>
          <w:rFonts w:ascii="Times New Roman" w:hAnsi="Times New Roman" w:cs="Times New Roman"/>
        </w:rPr>
        <w:t xml:space="preserve">were </w:t>
      </w:r>
      <w:r w:rsidR="00701BDE" w:rsidRPr="0068584C">
        <w:rPr>
          <w:rFonts w:ascii="Times New Roman" w:hAnsi="Times New Roman" w:cs="Times New Roman"/>
        </w:rPr>
        <w:t xml:space="preserve">refined </w:t>
      </w:r>
      <w:r w:rsidR="00C12048" w:rsidRPr="0068584C">
        <w:rPr>
          <w:rFonts w:ascii="Times New Roman" w:hAnsi="Times New Roman" w:cs="Times New Roman"/>
        </w:rPr>
        <w:t xml:space="preserve">by looking at the theoretical literature in an iterative cycle of induction and deduction. Some </w:t>
      </w:r>
      <w:r w:rsidR="00915A72">
        <w:rPr>
          <w:rFonts w:ascii="Times New Roman" w:hAnsi="Times New Roman" w:cs="Times New Roman"/>
        </w:rPr>
        <w:t>categories</w:t>
      </w:r>
      <w:r w:rsidR="00C12048" w:rsidRPr="0068584C">
        <w:rPr>
          <w:rFonts w:ascii="Times New Roman" w:hAnsi="Times New Roman" w:cs="Times New Roman"/>
        </w:rPr>
        <w:t xml:space="preserve"> were discarded when </w:t>
      </w:r>
      <w:r w:rsidR="00237C4A" w:rsidRPr="0068584C">
        <w:rPr>
          <w:rFonts w:ascii="Times New Roman" w:hAnsi="Times New Roman" w:cs="Times New Roman"/>
        </w:rPr>
        <w:t xml:space="preserve">they </w:t>
      </w:r>
      <w:r w:rsidR="00C12048" w:rsidRPr="0068584C">
        <w:rPr>
          <w:rFonts w:ascii="Times New Roman" w:hAnsi="Times New Roman" w:cs="Times New Roman"/>
        </w:rPr>
        <w:t>failed to</w:t>
      </w:r>
      <w:r w:rsidR="00237C4A" w:rsidRPr="0068584C">
        <w:rPr>
          <w:rFonts w:ascii="Times New Roman" w:hAnsi="Times New Roman" w:cs="Times New Roman"/>
        </w:rPr>
        <w:t xml:space="preserve"> replicate across </w:t>
      </w:r>
      <w:r w:rsidR="00C12048" w:rsidRPr="0068584C">
        <w:rPr>
          <w:rFonts w:ascii="Times New Roman" w:hAnsi="Times New Roman" w:cs="Times New Roman"/>
        </w:rPr>
        <w:t>other cases</w:t>
      </w:r>
      <w:r w:rsidR="000D4388">
        <w:rPr>
          <w:rFonts w:ascii="Times New Roman" w:hAnsi="Times New Roman" w:cs="Times New Roman"/>
        </w:rPr>
        <w:t xml:space="preserve"> </w:t>
      </w:r>
      <w:r w:rsidR="000D4388">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"Martin", "given" : "Jeffrey A", "non-dropping-particle" : "", "parse-names" : false, "suffix" : "" }, { "dropping-particle" : "", "family" : "Eisenhardt", "given" : "Kathleen M", "non-dropping-particle" : "", "parse-names" : false, "suffix" : "" } ], "container-title" : "Academy of Management Journal", "id" : "ITEM-1", "issue" : "2", "issued" : { "date-parts" : [ [ "2010" ] ] }, "page" : "265-301", "title" : "Rewiring: Cross-Business-Unit Collaborations in Multibusiness Organizations", "type" : "article-journal", "volume" : "53" }, "uris" : [ "http://www.mendeley.com/documents/?uuid=10dd497d-b58f-4773-b495-514ad20f117c" ] } ], "mendeley" : { "formattedCitation" : "(Martin &amp; Eisenhardt, 2010)", "plainTextFormattedCitation" : "(Martin &amp; Eisenhardt, 2010)", "previouslyFormattedCitation" : "(Martin &amp; Eisenhardt, 2010)" }, "properties" : { "noteIndex" : 0 }, "schema" : "https://github.com/citation-style-language/schema/raw/master/csl-citation.json" }</w:instrText>
      </w:r>
      <w:r w:rsidR="000D4388">
        <w:rPr>
          <w:rFonts w:ascii="Times New Roman" w:hAnsi="Times New Roman" w:cs="Times New Roman"/>
        </w:rPr>
        <w:fldChar w:fldCharType="separate"/>
      </w:r>
      <w:r w:rsidR="000E6ECE" w:rsidRPr="000E6ECE">
        <w:rPr>
          <w:rFonts w:ascii="Times New Roman" w:hAnsi="Times New Roman" w:cs="Times New Roman"/>
          <w:noProof/>
        </w:rPr>
        <w:t>(Martin &amp; Eisenhardt, 2010)</w:t>
      </w:r>
      <w:r w:rsidR="000D4388">
        <w:rPr>
          <w:rFonts w:ascii="Times New Roman" w:hAnsi="Times New Roman" w:cs="Times New Roman"/>
        </w:rPr>
        <w:fldChar w:fldCharType="end"/>
      </w:r>
      <w:r w:rsidR="008F2A60">
        <w:rPr>
          <w:rFonts w:ascii="Times New Roman" w:hAnsi="Times New Roman" w:cs="Times New Roman"/>
        </w:rPr>
        <w:t>.</w:t>
      </w:r>
    </w:p>
    <w:p w14:paraId="1885738A" w14:textId="77777777" w:rsidR="00DC2AD3" w:rsidRPr="0068584C" w:rsidRDefault="00DC2AD3" w:rsidP="0035460B">
      <w:pPr>
        <w:spacing w:line="480" w:lineRule="auto"/>
        <w:rPr>
          <w:rFonts w:ascii="Times New Roman" w:hAnsi="Times New Roman" w:cs="Times New Roman"/>
        </w:rPr>
      </w:pPr>
    </w:p>
    <w:p w14:paraId="62A6A5A8" w14:textId="7FA0DBC2" w:rsidR="00237C4A" w:rsidRPr="00011BCF" w:rsidRDefault="008232BC" w:rsidP="00011BCF">
      <w:pPr>
        <w:pStyle w:val="Heading3new"/>
      </w:pPr>
      <w:r w:rsidRPr="00011BCF">
        <w:t xml:space="preserve">Research </w:t>
      </w:r>
      <w:r w:rsidR="006E32C8" w:rsidRPr="00011BCF">
        <w:t>Setting</w:t>
      </w:r>
    </w:p>
    <w:p w14:paraId="7EDEFE55" w14:textId="34825A95" w:rsidR="0005477D" w:rsidRPr="0068584C" w:rsidRDefault="0005477D" w:rsidP="0035460B">
      <w:pPr>
        <w:spacing w:line="480" w:lineRule="auto"/>
        <w:jc w:val="both"/>
        <w:rPr>
          <w:rFonts w:ascii="Times New Roman" w:hAnsi="Times New Roman" w:cs="Times New Roman"/>
        </w:rPr>
      </w:pPr>
      <w:r w:rsidRPr="0068584C">
        <w:rPr>
          <w:rFonts w:ascii="Times New Roman" w:hAnsi="Times New Roman" w:cs="Times New Roman"/>
        </w:rPr>
        <w:t xml:space="preserve">The </w:t>
      </w:r>
      <w:r w:rsidR="00CA3A50" w:rsidRPr="0068584C">
        <w:rPr>
          <w:rFonts w:ascii="Times New Roman" w:hAnsi="Times New Roman" w:cs="Times New Roman"/>
        </w:rPr>
        <w:t>context</w:t>
      </w:r>
      <w:r w:rsidRPr="0068584C">
        <w:rPr>
          <w:rFonts w:ascii="Times New Roman" w:hAnsi="Times New Roman" w:cs="Times New Roman"/>
        </w:rPr>
        <w:t xml:space="preserve"> </w:t>
      </w:r>
      <w:r w:rsidR="00CA3A50" w:rsidRPr="0068584C">
        <w:rPr>
          <w:rFonts w:ascii="Times New Roman" w:hAnsi="Times New Roman" w:cs="Times New Roman"/>
        </w:rPr>
        <w:t xml:space="preserve">for this research </w:t>
      </w:r>
      <w:r w:rsidRPr="0068584C">
        <w:rPr>
          <w:rFonts w:ascii="Times New Roman" w:hAnsi="Times New Roman" w:cs="Times New Roman"/>
        </w:rPr>
        <w:t xml:space="preserve">is the </w:t>
      </w:r>
      <w:r w:rsidR="0043787F" w:rsidRPr="0068584C">
        <w:rPr>
          <w:rFonts w:ascii="Times New Roman" w:hAnsi="Times New Roman" w:cs="Times New Roman"/>
        </w:rPr>
        <w:t xml:space="preserve">high </w:t>
      </w:r>
      <w:r w:rsidRPr="0068584C">
        <w:rPr>
          <w:rFonts w:ascii="Times New Roman" w:hAnsi="Times New Roman" w:cs="Times New Roman"/>
        </w:rPr>
        <w:t xml:space="preserve">technology equipment industry, in which organizations develop new products and services </w:t>
      </w:r>
      <w:r w:rsidR="00A96147">
        <w:rPr>
          <w:rFonts w:ascii="Times New Roman" w:hAnsi="Times New Roman" w:cs="Times New Roman"/>
        </w:rPr>
        <w:t>and rely on input from</w:t>
      </w:r>
      <w:r w:rsidR="00A96147" w:rsidRPr="0068584C">
        <w:rPr>
          <w:rFonts w:ascii="Times New Roman" w:hAnsi="Times New Roman" w:cs="Times New Roman"/>
        </w:rPr>
        <w:t xml:space="preserve"> </w:t>
      </w:r>
      <w:r w:rsidRPr="0068584C">
        <w:rPr>
          <w:rFonts w:ascii="Times New Roman" w:hAnsi="Times New Roman" w:cs="Times New Roman"/>
        </w:rPr>
        <w:t xml:space="preserve">key suppliers. This setting was </w:t>
      </w:r>
      <w:r w:rsidRPr="0068584C">
        <w:rPr>
          <w:rFonts w:ascii="Times New Roman" w:hAnsi="Times New Roman" w:cs="Times New Roman"/>
        </w:rPr>
        <w:lastRenderedPageBreak/>
        <w:t xml:space="preserve">appropriate for several reasons. First, studying organizations from </w:t>
      </w:r>
      <w:r w:rsidR="00AF2577" w:rsidRPr="0068584C">
        <w:rPr>
          <w:rFonts w:ascii="Times New Roman" w:hAnsi="Times New Roman" w:cs="Times New Roman"/>
        </w:rPr>
        <w:t xml:space="preserve">a </w:t>
      </w:r>
      <w:r w:rsidRPr="0068584C">
        <w:rPr>
          <w:rFonts w:ascii="Times New Roman" w:hAnsi="Times New Roman" w:cs="Times New Roman"/>
        </w:rPr>
        <w:t xml:space="preserve">relatively similar industrial context enables a more valid </w:t>
      </w:r>
      <w:r w:rsidR="00AF2577" w:rsidRPr="0068584C">
        <w:rPr>
          <w:rFonts w:ascii="Times New Roman" w:hAnsi="Times New Roman" w:cs="Times New Roman"/>
        </w:rPr>
        <w:t xml:space="preserve">and thorough </w:t>
      </w:r>
      <w:r w:rsidRPr="0068584C">
        <w:rPr>
          <w:rFonts w:ascii="Times New Roman" w:hAnsi="Times New Roman" w:cs="Times New Roman"/>
        </w:rPr>
        <w:t xml:space="preserve">comparison of organizations. Second, this industry </w:t>
      </w:r>
      <w:r w:rsidR="00DE41F9" w:rsidRPr="0068584C">
        <w:rPr>
          <w:rFonts w:ascii="Times New Roman" w:hAnsi="Times New Roman" w:cs="Times New Roman"/>
        </w:rPr>
        <w:t xml:space="preserve">environment </w:t>
      </w:r>
      <w:r w:rsidRPr="0068584C">
        <w:rPr>
          <w:rFonts w:ascii="Times New Roman" w:hAnsi="Times New Roman" w:cs="Times New Roman"/>
        </w:rPr>
        <w:t xml:space="preserve">has demonstrated a high inclination for joint development with </w:t>
      </w:r>
      <w:r w:rsidR="001E7D2A" w:rsidRPr="0068584C">
        <w:rPr>
          <w:rFonts w:ascii="Times New Roman" w:hAnsi="Times New Roman" w:cs="Times New Roman"/>
        </w:rPr>
        <w:t>the</w:t>
      </w:r>
      <w:r w:rsidRPr="0068584C">
        <w:rPr>
          <w:rFonts w:ascii="Times New Roman" w:hAnsi="Times New Roman" w:cs="Times New Roman"/>
        </w:rPr>
        <w:t xml:space="preserve"> supply network because organizations have come to realize that they can</w:t>
      </w:r>
      <w:r w:rsidR="00D20BCA" w:rsidRPr="0068584C">
        <w:rPr>
          <w:rFonts w:ascii="Times New Roman" w:hAnsi="Times New Roman" w:cs="Times New Roman"/>
        </w:rPr>
        <w:t xml:space="preserve"> </w:t>
      </w:r>
      <w:r w:rsidRPr="0068584C">
        <w:rPr>
          <w:rFonts w:ascii="Times New Roman" w:hAnsi="Times New Roman" w:cs="Times New Roman"/>
        </w:rPr>
        <w:t>no</w:t>
      </w:r>
      <w:r w:rsidR="00D20BCA" w:rsidRPr="0068584C">
        <w:rPr>
          <w:rFonts w:ascii="Times New Roman" w:hAnsi="Times New Roman" w:cs="Times New Roman"/>
        </w:rPr>
        <w:t xml:space="preserve"> longer</w:t>
      </w:r>
      <w:r w:rsidRPr="0068584C">
        <w:rPr>
          <w:rFonts w:ascii="Times New Roman" w:hAnsi="Times New Roman" w:cs="Times New Roman"/>
        </w:rPr>
        <w:t xml:space="preserve"> effectively innovate on their own. In other industrial settings, this awareness might not prevail to a similar degree</w:t>
      </w:r>
      <w:r w:rsidR="00AF2577" w:rsidRPr="0068584C">
        <w:rPr>
          <w:rFonts w:ascii="Times New Roman" w:hAnsi="Times New Roman" w:cs="Times New Roman"/>
        </w:rPr>
        <w:t xml:space="preserve"> so the phenomenon </w:t>
      </w:r>
      <w:r w:rsidR="008032F4" w:rsidRPr="0068584C">
        <w:rPr>
          <w:rFonts w:ascii="Times New Roman" w:hAnsi="Times New Roman" w:cs="Times New Roman"/>
        </w:rPr>
        <w:t>can</w:t>
      </w:r>
      <w:r w:rsidR="00760539" w:rsidRPr="0068584C">
        <w:rPr>
          <w:rFonts w:ascii="Times New Roman" w:hAnsi="Times New Roman" w:cs="Times New Roman"/>
        </w:rPr>
        <w:t xml:space="preserve">not </w:t>
      </w:r>
      <w:r w:rsidR="00AF2577" w:rsidRPr="0068584C">
        <w:rPr>
          <w:rFonts w:ascii="Times New Roman" w:hAnsi="Times New Roman" w:cs="Times New Roman"/>
        </w:rPr>
        <w:t>be investigated at the same depth</w:t>
      </w:r>
      <w:r w:rsidRPr="0068584C">
        <w:rPr>
          <w:rFonts w:ascii="Times New Roman" w:hAnsi="Times New Roman" w:cs="Times New Roman"/>
        </w:rPr>
        <w:t xml:space="preserve">. </w:t>
      </w:r>
      <w:r w:rsidR="0043787F" w:rsidRPr="0068584C">
        <w:rPr>
          <w:rFonts w:ascii="Times New Roman" w:hAnsi="Times New Roman" w:cs="Times New Roman"/>
        </w:rPr>
        <w:t>Overall, the</w:t>
      </w:r>
      <w:r w:rsidR="008032F4" w:rsidRPr="0068584C">
        <w:rPr>
          <w:rFonts w:ascii="Times New Roman" w:hAnsi="Times New Roman" w:cs="Times New Roman"/>
        </w:rPr>
        <w:t xml:space="preserve"> interviews with the</w:t>
      </w:r>
      <w:r w:rsidR="0043787F" w:rsidRPr="0068584C">
        <w:rPr>
          <w:rFonts w:ascii="Times New Roman" w:hAnsi="Times New Roman" w:cs="Times New Roman"/>
        </w:rPr>
        <w:t xml:space="preserve"> participating organizations </w:t>
      </w:r>
      <w:r w:rsidR="008032F4" w:rsidRPr="0068584C">
        <w:rPr>
          <w:rFonts w:ascii="Times New Roman" w:hAnsi="Times New Roman" w:cs="Times New Roman"/>
        </w:rPr>
        <w:t>yielded</w:t>
      </w:r>
      <w:r w:rsidR="0043787F" w:rsidRPr="0068584C">
        <w:rPr>
          <w:rFonts w:ascii="Times New Roman" w:hAnsi="Times New Roman" w:cs="Times New Roman"/>
        </w:rPr>
        <w:t xml:space="preserve"> insightful and relevant data about the management of </w:t>
      </w:r>
      <w:r w:rsidR="00665245">
        <w:rPr>
          <w:rFonts w:ascii="Times New Roman" w:hAnsi="Times New Roman" w:cs="Times New Roman"/>
        </w:rPr>
        <w:t xml:space="preserve">external </w:t>
      </w:r>
      <w:r w:rsidR="00665245" w:rsidRPr="0068584C">
        <w:rPr>
          <w:rFonts w:ascii="Times New Roman" w:hAnsi="Times New Roman" w:cs="Times New Roman"/>
        </w:rPr>
        <w:t>resources</w:t>
      </w:r>
      <w:r w:rsidR="00AF2577" w:rsidRPr="0068584C">
        <w:rPr>
          <w:rFonts w:ascii="Times New Roman" w:hAnsi="Times New Roman" w:cs="Times New Roman"/>
        </w:rPr>
        <w:t xml:space="preserve"> in joint new product</w:t>
      </w:r>
      <w:r w:rsidR="00E76DE3">
        <w:rPr>
          <w:rFonts w:ascii="Times New Roman" w:hAnsi="Times New Roman" w:cs="Times New Roman"/>
        </w:rPr>
        <w:t>/service</w:t>
      </w:r>
      <w:r w:rsidR="00AF2577" w:rsidRPr="0068584C">
        <w:rPr>
          <w:rFonts w:ascii="Times New Roman" w:hAnsi="Times New Roman" w:cs="Times New Roman"/>
        </w:rPr>
        <w:t xml:space="preserve"> development projects.</w:t>
      </w:r>
      <w:r w:rsidR="00035F6F">
        <w:rPr>
          <w:rFonts w:ascii="Times New Roman" w:hAnsi="Times New Roman" w:cs="Times New Roman"/>
        </w:rPr>
        <w:t xml:space="preserve"> </w:t>
      </w:r>
      <w:r w:rsidR="00F13E8F" w:rsidRPr="0068584C">
        <w:rPr>
          <w:rFonts w:ascii="Times New Roman" w:hAnsi="Times New Roman" w:cs="Times New Roman"/>
        </w:rPr>
        <w:t>T</w:t>
      </w:r>
      <w:r w:rsidRPr="0068584C">
        <w:rPr>
          <w:rFonts w:ascii="Times New Roman" w:hAnsi="Times New Roman" w:cs="Times New Roman"/>
        </w:rPr>
        <w:t xml:space="preserve">he </w:t>
      </w:r>
      <w:r w:rsidR="00E76DE3">
        <w:rPr>
          <w:rFonts w:ascii="Times New Roman" w:hAnsi="Times New Roman" w:cs="Times New Roman"/>
        </w:rPr>
        <w:t>research</w:t>
      </w:r>
      <w:r w:rsidRPr="0068584C">
        <w:rPr>
          <w:rFonts w:ascii="Times New Roman" w:hAnsi="Times New Roman" w:cs="Times New Roman"/>
        </w:rPr>
        <w:t xml:space="preserve"> encompasse</w:t>
      </w:r>
      <w:r w:rsidR="00FA548F">
        <w:rPr>
          <w:rFonts w:ascii="Times New Roman" w:hAnsi="Times New Roman" w:cs="Times New Roman"/>
        </w:rPr>
        <w:t>s</w:t>
      </w:r>
      <w:r w:rsidRPr="0068584C">
        <w:rPr>
          <w:rFonts w:ascii="Times New Roman" w:hAnsi="Times New Roman" w:cs="Times New Roman"/>
        </w:rPr>
        <w:t xml:space="preserve"> several organizations ranging from mid-size (</w:t>
      </w:r>
      <w:r w:rsidR="004C0417" w:rsidRPr="0068584C">
        <w:rPr>
          <w:rFonts w:ascii="Times New Roman" w:hAnsi="Times New Roman" w:cs="Times New Roman"/>
        </w:rPr>
        <w:t xml:space="preserve">around </w:t>
      </w:r>
      <w:r w:rsidRPr="0068584C">
        <w:rPr>
          <w:rFonts w:ascii="Times New Roman" w:hAnsi="Times New Roman" w:cs="Times New Roman"/>
        </w:rPr>
        <w:t>3,</w:t>
      </w:r>
      <w:r w:rsidR="004C0417" w:rsidRPr="0068584C">
        <w:rPr>
          <w:rFonts w:ascii="Times New Roman" w:hAnsi="Times New Roman" w:cs="Times New Roman"/>
        </w:rPr>
        <w:t>5</w:t>
      </w:r>
      <w:r w:rsidRPr="0068584C">
        <w:rPr>
          <w:rFonts w:ascii="Times New Roman" w:hAnsi="Times New Roman" w:cs="Times New Roman"/>
        </w:rPr>
        <w:t xml:space="preserve">00 employees) to large multinational corporations. Due to the variety in firm size and age as well as market competitiveness, the likelihood of observing diverse supply chain practices </w:t>
      </w:r>
      <w:r w:rsidR="00FA548F">
        <w:rPr>
          <w:rFonts w:ascii="Times New Roman" w:hAnsi="Times New Roman" w:cs="Times New Roman"/>
        </w:rPr>
        <w:t>is</w:t>
      </w:r>
      <w:r w:rsidR="00FA548F" w:rsidRPr="0068584C">
        <w:rPr>
          <w:rFonts w:ascii="Times New Roman" w:hAnsi="Times New Roman" w:cs="Times New Roman"/>
        </w:rPr>
        <w:t xml:space="preserve"> </w:t>
      </w:r>
      <w:r w:rsidRPr="0068584C">
        <w:rPr>
          <w:rFonts w:ascii="Times New Roman" w:hAnsi="Times New Roman" w:cs="Times New Roman"/>
        </w:rPr>
        <w:t>increased.</w:t>
      </w:r>
      <w:r w:rsidR="00FA548F">
        <w:rPr>
          <w:rFonts w:ascii="Times New Roman" w:hAnsi="Times New Roman" w:cs="Times New Roman"/>
        </w:rPr>
        <w:t xml:space="preserve"> Six</w:t>
      </w:r>
      <w:r w:rsidRPr="0068584C">
        <w:rPr>
          <w:rFonts w:ascii="Times New Roman" w:hAnsi="Times New Roman" w:cs="Times New Roman"/>
        </w:rPr>
        <w:t xml:space="preserve"> </w:t>
      </w:r>
      <w:r w:rsidR="00FA548F">
        <w:rPr>
          <w:rFonts w:ascii="Times New Roman" w:hAnsi="Times New Roman" w:cs="Times New Roman"/>
        </w:rPr>
        <w:t xml:space="preserve">companies were selected and grouped into five cases. The </w:t>
      </w:r>
      <w:r w:rsidRPr="0068584C">
        <w:rPr>
          <w:rFonts w:ascii="Times New Roman" w:hAnsi="Times New Roman" w:cs="Times New Roman"/>
        </w:rPr>
        <w:t xml:space="preserve">organizations </w:t>
      </w:r>
      <w:r w:rsidR="00FA548F">
        <w:rPr>
          <w:rFonts w:ascii="Times New Roman" w:hAnsi="Times New Roman" w:cs="Times New Roman"/>
        </w:rPr>
        <w:t xml:space="preserve">are </w:t>
      </w:r>
      <w:r w:rsidRPr="0068584C">
        <w:rPr>
          <w:rFonts w:ascii="Times New Roman" w:hAnsi="Times New Roman" w:cs="Times New Roman"/>
        </w:rPr>
        <w:t xml:space="preserve">producing technology equipment in the </w:t>
      </w:r>
      <w:r w:rsidR="009068F6">
        <w:rPr>
          <w:rFonts w:ascii="Times New Roman" w:hAnsi="Times New Roman" w:cs="Times New Roman"/>
        </w:rPr>
        <w:t>high technology</w:t>
      </w:r>
      <w:r w:rsidRPr="0068584C">
        <w:rPr>
          <w:rFonts w:ascii="Times New Roman" w:hAnsi="Times New Roman" w:cs="Times New Roman"/>
        </w:rPr>
        <w:t>, automotive, and transportation</w:t>
      </w:r>
      <w:r w:rsidR="001E3AE8" w:rsidRPr="0068584C">
        <w:rPr>
          <w:rFonts w:ascii="Times New Roman" w:hAnsi="Times New Roman" w:cs="Times New Roman"/>
        </w:rPr>
        <w:t>/logistics</w:t>
      </w:r>
      <w:r w:rsidRPr="0068584C">
        <w:rPr>
          <w:rFonts w:ascii="Times New Roman" w:hAnsi="Times New Roman" w:cs="Times New Roman"/>
        </w:rPr>
        <w:t xml:space="preserve"> equipment industry.    </w:t>
      </w:r>
    </w:p>
    <w:p w14:paraId="70A56810" w14:textId="32808B0F" w:rsidR="00976BA2" w:rsidRPr="0068584C" w:rsidRDefault="00237C4A" w:rsidP="0035460B">
      <w:pPr>
        <w:spacing w:line="480" w:lineRule="auto"/>
        <w:rPr>
          <w:rFonts w:ascii="Times New Roman" w:hAnsi="Times New Roman" w:cs="Times New Roman"/>
        </w:rPr>
      </w:pPr>
      <w:r w:rsidRPr="0068584C">
        <w:rPr>
          <w:rFonts w:ascii="Times New Roman" w:hAnsi="Times New Roman" w:cs="Times New Roman"/>
        </w:rPr>
        <w:tab/>
      </w:r>
    </w:p>
    <w:p w14:paraId="25C84E16" w14:textId="0D718976" w:rsidR="00A54E5E" w:rsidRPr="007F5229" w:rsidRDefault="00A54E5E" w:rsidP="007F5229">
      <w:pPr>
        <w:pStyle w:val="Heading3new"/>
      </w:pPr>
      <w:r w:rsidRPr="007F5229">
        <w:t>Case Study</w:t>
      </w:r>
      <w:r w:rsidR="00CD58AB" w:rsidRPr="007F5229">
        <w:t xml:space="preserve"> Data Collection </w:t>
      </w:r>
    </w:p>
    <w:p w14:paraId="67508C09" w14:textId="27B144B6" w:rsidR="007975E1" w:rsidRPr="0068584C" w:rsidRDefault="007975E1" w:rsidP="0035460B">
      <w:pPr>
        <w:spacing w:line="480" w:lineRule="auto"/>
        <w:jc w:val="both"/>
        <w:rPr>
          <w:rFonts w:ascii="Times New Roman" w:hAnsi="Times New Roman" w:cs="Times New Roman"/>
        </w:rPr>
      </w:pPr>
      <w:r w:rsidRPr="0068584C">
        <w:rPr>
          <w:rFonts w:ascii="Times New Roman" w:hAnsi="Times New Roman" w:cs="Times New Roman"/>
        </w:rPr>
        <w:t>A number of different data sources w</w:t>
      </w:r>
      <w:r w:rsidR="00381CC3" w:rsidRPr="0068584C">
        <w:rPr>
          <w:rFonts w:ascii="Times New Roman" w:hAnsi="Times New Roman" w:cs="Times New Roman"/>
        </w:rPr>
        <w:t>ere</w:t>
      </w:r>
      <w:r w:rsidRPr="0068584C">
        <w:rPr>
          <w:rFonts w:ascii="Times New Roman" w:hAnsi="Times New Roman" w:cs="Times New Roman"/>
        </w:rPr>
        <w:t xml:space="preserve"> </w:t>
      </w:r>
      <w:r w:rsidR="009B4D47">
        <w:rPr>
          <w:rFonts w:ascii="Times New Roman" w:hAnsi="Times New Roman" w:cs="Times New Roman"/>
        </w:rPr>
        <w:t>utilized</w:t>
      </w:r>
      <w:r w:rsidRPr="0068584C">
        <w:rPr>
          <w:rFonts w:ascii="Times New Roman" w:hAnsi="Times New Roman" w:cs="Times New Roman"/>
        </w:rPr>
        <w:t>: (1) interviews, (2) follow-up e-mails and phone calls for verification</w:t>
      </w:r>
      <w:r w:rsidR="005E45F4" w:rsidRPr="0068584C">
        <w:rPr>
          <w:rFonts w:ascii="Times New Roman" w:hAnsi="Times New Roman" w:cs="Times New Roman"/>
        </w:rPr>
        <w:t>, triangulation</w:t>
      </w:r>
      <w:r w:rsidRPr="0068584C">
        <w:rPr>
          <w:rFonts w:ascii="Times New Roman" w:hAnsi="Times New Roman" w:cs="Times New Roman"/>
        </w:rPr>
        <w:t xml:space="preserve"> and clarification, and (3) publicly available information, including company websites, corporate press releases, general business news websites (e.g., wsj.com), </w:t>
      </w:r>
      <w:r w:rsidR="00381CC3" w:rsidRPr="0068584C">
        <w:rPr>
          <w:rFonts w:ascii="Times New Roman" w:hAnsi="Times New Roman" w:cs="Times New Roman"/>
        </w:rPr>
        <w:t xml:space="preserve">and </w:t>
      </w:r>
      <w:r w:rsidRPr="0068584C">
        <w:rPr>
          <w:rFonts w:ascii="Times New Roman" w:hAnsi="Times New Roman" w:cs="Times New Roman"/>
        </w:rPr>
        <w:t>commercial databases</w:t>
      </w:r>
      <w:r w:rsidR="00C40B5C" w:rsidRPr="0068584C">
        <w:rPr>
          <w:rFonts w:ascii="Times New Roman" w:hAnsi="Times New Roman" w:cs="Times New Roman"/>
        </w:rPr>
        <w:t xml:space="preserve"> (e.g., Mergent Online)</w:t>
      </w:r>
      <w:r w:rsidRPr="0068584C">
        <w:rPr>
          <w:rFonts w:ascii="Times New Roman" w:hAnsi="Times New Roman" w:cs="Times New Roman"/>
        </w:rPr>
        <w:t>.</w:t>
      </w:r>
      <w:r w:rsidR="005E45F4" w:rsidRPr="0068584C">
        <w:rPr>
          <w:rFonts w:ascii="Times New Roman" w:hAnsi="Times New Roman" w:cs="Times New Roman"/>
        </w:rPr>
        <w:t xml:space="preserve">  </w:t>
      </w:r>
      <w:r w:rsidRPr="0068584C">
        <w:rPr>
          <w:rFonts w:ascii="Times New Roman" w:hAnsi="Times New Roman" w:cs="Times New Roman"/>
        </w:rPr>
        <w:t xml:space="preserve">Using </w:t>
      </w:r>
      <w:r w:rsidR="00381CC3" w:rsidRPr="0068584C">
        <w:rPr>
          <w:rFonts w:ascii="Times New Roman" w:hAnsi="Times New Roman" w:cs="Times New Roman"/>
        </w:rPr>
        <w:t xml:space="preserve">diverse </w:t>
      </w:r>
      <w:r w:rsidRPr="0068584C">
        <w:rPr>
          <w:rFonts w:ascii="Times New Roman" w:hAnsi="Times New Roman" w:cs="Times New Roman"/>
        </w:rPr>
        <w:t xml:space="preserve">sources of information provides a richer, multi-angled perspective and thereby enhances confidence in the validity and precision of the theory elaboration process.  Furthermore, the extensive professional experience of the principal investigator in new product development within a high technology environment </w:t>
      </w:r>
      <w:r w:rsidR="001730EB" w:rsidRPr="0068584C">
        <w:rPr>
          <w:rFonts w:ascii="Times New Roman" w:hAnsi="Times New Roman" w:cs="Times New Roman"/>
        </w:rPr>
        <w:t>stipulated</w:t>
      </w:r>
      <w:r w:rsidR="003A5B72" w:rsidRPr="0068584C">
        <w:rPr>
          <w:rFonts w:ascii="Times New Roman" w:hAnsi="Times New Roman" w:cs="Times New Roman"/>
        </w:rPr>
        <w:t xml:space="preserve"> </w:t>
      </w:r>
      <w:r w:rsidRPr="0068584C">
        <w:rPr>
          <w:rFonts w:ascii="Times New Roman" w:hAnsi="Times New Roman" w:cs="Times New Roman"/>
        </w:rPr>
        <w:t xml:space="preserve">a thorough contextual understanding of the phenomenon.   </w:t>
      </w:r>
    </w:p>
    <w:p w14:paraId="2BA68A87" w14:textId="5CE3DC4C" w:rsidR="00254A8C" w:rsidRPr="0068584C" w:rsidRDefault="00630CD8" w:rsidP="0035460B">
      <w:pPr>
        <w:spacing w:line="480" w:lineRule="auto"/>
        <w:jc w:val="both"/>
        <w:rPr>
          <w:rFonts w:ascii="Times New Roman" w:hAnsi="Times New Roman" w:cs="Times New Roman"/>
        </w:rPr>
      </w:pPr>
      <w:r>
        <w:rPr>
          <w:rFonts w:ascii="Times New Roman" w:hAnsi="Times New Roman" w:cs="Times New Roman"/>
        </w:rPr>
        <w:lastRenderedPageBreak/>
        <w:t xml:space="preserve">In total, </w:t>
      </w:r>
      <w:r w:rsidR="006E7718" w:rsidRPr="0068584C">
        <w:rPr>
          <w:rFonts w:ascii="Times New Roman" w:hAnsi="Times New Roman" w:cs="Times New Roman"/>
        </w:rPr>
        <w:t xml:space="preserve">24 </w:t>
      </w:r>
      <w:r w:rsidR="007975E1" w:rsidRPr="0068584C">
        <w:rPr>
          <w:rFonts w:ascii="Times New Roman" w:hAnsi="Times New Roman" w:cs="Times New Roman"/>
        </w:rPr>
        <w:t>semi-structured interviews plus follow-ups</w:t>
      </w:r>
      <w:r w:rsidR="005E45F4" w:rsidRPr="0068584C">
        <w:rPr>
          <w:rFonts w:ascii="Times New Roman" w:hAnsi="Times New Roman" w:cs="Times New Roman"/>
        </w:rPr>
        <w:t xml:space="preserve"> were conducted</w:t>
      </w:r>
      <w:r w:rsidR="007975E1" w:rsidRPr="0068584C">
        <w:rPr>
          <w:rFonts w:ascii="Times New Roman" w:hAnsi="Times New Roman" w:cs="Times New Roman"/>
        </w:rPr>
        <w:t xml:space="preserve">. Each interview lasted for about 45–90 minutes and was recorded and transcribed. The interviews were conducted with managers involved in new product development (NPD) who held a number of different </w:t>
      </w:r>
      <w:r w:rsidR="00B0705C">
        <w:rPr>
          <w:rFonts w:ascii="Times New Roman" w:hAnsi="Times New Roman" w:cs="Times New Roman"/>
        </w:rPr>
        <w:t xml:space="preserve">supply chain-related </w:t>
      </w:r>
      <w:r w:rsidR="007975E1" w:rsidRPr="0068584C">
        <w:rPr>
          <w:rFonts w:ascii="Times New Roman" w:hAnsi="Times New Roman" w:cs="Times New Roman"/>
        </w:rPr>
        <w:t>positions</w:t>
      </w:r>
      <w:r w:rsidR="00D4615F">
        <w:rPr>
          <w:rFonts w:ascii="Times New Roman" w:hAnsi="Times New Roman" w:cs="Times New Roman"/>
        </w:rPr>
        <w:t xml:space="preserve"> (refer to </w:t>
      </w:r>
      <w:r w:rsidR="00D4615F">
        <w:rPr>
          <w:rFonts w:ascii="Times New Roman" w:hAnsi="Times New Roman" w:cs="Times New Roman"/>
        </w:rPr>
        <w:fldChar w:fldCharType="begin"/>
      </w:r>
      <w:r w:rsidR="00D4615F">
        <w:rPr>
          <w:rFonts w:ascii="Times New Roman" w:hAnsi="Times New Roman" w:cs="Times New Roman"/>
        </w:rPr>
        <w:instrText xml:space="preserve"> REF _Ref357388064 \h </w:instrText>
      </w:r>
      <w:r w:rsidR="00D4615F">
        <w:rPr>
          <w:rFonts w:ascii="Times New Roman" w:hAnsi="Times New Roman" w:cs="Times New Roman"/>
        </w:rPr>
      </w:r>
      <w:r w:rsidR="00D4615F">
        <w:rPr>
          <w:rFonts w:ascii="Times New Roman" w:hAnsi="Times New Roman" w:cs="Times New Roman"/>
        </w:rPr>
        <w:fldChar w:fldCharType="separate"/>
      </w:r>
      <w:r w:rsidR="00C2793E">
        <w:t xml:space="preserve">Table </w:t>
      </w:r>
      <w:r w:rsidR="00C2793E">
        <w:rPr>
          <w:noProof/>
        </w:rPr>
        <w:t>7</w:t>
      </w:r>
      <w:r w:rsidR="00D4615F">
        <w:rPr>
          <w:rFonts w:ascii="Times New Roman" w:hAnsi="Times New Roman" w:cs="Times New Roman"/>
        </w:rPr>
        <w:fldChar w:fldCharType="end"/>
      </w:r>
      <w:r w:rsidR="00D4615F">
        <w:rPr>
          <w:rFonts w:ascii="Times New Roman" w:hAnsi="Times New Roman" w:cs="Times New Roman"/>
        </w:rPr>
        <w:t xml:space="preserve"> </w:t>
      </w:r>
      <w:r w:rsidR="00B0705C">
        <w:rPr>
          <w:rFonts w:ascii="Times New Roman" w:hAnsi="Times New Roman" w:cs="Times New Roman"/>
        </w:rPr>
        <w:t xml:space="preserve">for details). </w:t>
      </w:r>
      <w:r w:rsidR="003C60B5" w:rsidRPr="0068584C">
        <w:rPr>
          <w:rFonts w:ascii="Times New Roman" w:hAnsi="Times New Roman" w:cs="Times New Roman"/>
        </w:rPr>
        <w:t>This diversity of perspectives gave the data</w:t>
      </w:r>
      <w:r w:rsidR="00B71FDA" w:rsidRPr="0068584C">
        <w:rPr>
          <w:rFonts w:ascii="Times New Roman" w:hAnsi="Times New Roman" w:cs="Times New Roman"/>
        </w:rPr>
        <w:t xml:space="preserve"> depth and breadth,</w:t>
      </w:r>
      <w:r w:rsidR="00154E5D">
        <w:rPr>
          <w:rFonts w:ascii="Times New Roman" w:hAnsi="Times New Roman" w:cs="Times New Roman"/>
        </w:rPr>
        <w:t xml:space="preserve"> </w:t>
      </w:r>
      <w:r w:rsidR="00B71FDA" w:rsidRPr="0068584C">
        <w:rPr>
          <w:rFonts w:ascii="Times New Roman" w:hAnsi="Times New Roman" w:cs="Times New Roman"/>
        </w:rPr>
        <w:t xml:space="preserve">providing a multi-faceted perspective rather than </w:t>
      </w:r>
      <w:r w:rsidR="007975E1" w:rsidRPr="0068584C">
        <w:rPr>
          <w:rFonts w:ascii="Times New Roman" w:hAnsi="Times New Roman" w:cs="Times New Roman"/>
        </w:rPr>
        <w:t>a pure</w:t>
      </w:r>
      <w:r w:rsidR="0026288C" w:rsidRPr="0068584C">
        <w:rPr>
          <w:rFonts w:ascii="Times New Roman" w:hAnsi="Times New Roman" w:cs="Times New Roman"/>
        </w:rPr>
        <w:t>ly</w:t>
      </w:r>
      <w:r w:rsidR="007975E1" w:rsidRPr="0068584C">
        <w:rPr>
          <w:rFonts w:ascii="Times New Roman" w:hAnsi="Times New Roman" w:cs="Times New Roman"/>
        </w:rPr>
        <w:t xml:space="preserve"> </w:t>
      </w:r>
      <w:r w:rsidR="0026288C" w:rsidRPr="0068584C">
        <w:rPr>
          <w:rFonts w:ascii="Times New Roman" w:hAnsi="Times New Roman" w:cs="Times New Roman"/>
        </w:rPr>
        <w:t>sing</w:t>
      </w:r>
      <w:r w:rsidR="004F6133">
        <w:rPr>
          <w:rFonts w:ascii="Times New Roman" w:hAnsi="Times New Roman" w:cs="Times New Roman"/>
        </w:rPr>
        <w:t>l</w:t>
      </w:r>
      <w:r w:rsidR="0026288C" w:rsidRPr="0068584C">
        <w:rPr>
          <w:rFonts w:ascii="Times New Roman" w:hAnsi="Times New Roman" w:cs="Times New Roman"/>
        </w:rPr>
        <w:t>e-</w:t>
      </w:r>
      <w:r w:rsidR="007975E1" w:rsidRPr="0068584C">
        <w:rPr>
          <w:rFonts w:ascii="Times New Roman" w:hAnsi="Times New Roman" w:cs="Times New Roman"/>
        </w:rPr>
        <w:t xml:space="preserve">function </w:t>
      </w:r>
      <w:r w:rsidR="002B4E7D" w:rsidRPr="0068584C">
        <w:rPr>
          <w:rFonts w:ascii="Times New Roman" w:hAnsi="Times New Roman" w:cs="Times New Roman"/>
        </w:rPr>
        <w:t>sense of the phenomenon</w:t>
      </w:r>
      <w:r w:rsidR="007975E1" w:rsidRPr="0068584C">
        <w:rPr>
          <w:rFonts w:ascii="Times New Roman" w:hAnsi="Times New Roman" w:cs="Times New Roman"/>
        </w:rPr>
        <w:t xml:space="preserve">. </w:t>
      </w:r>
      <w:r w:rsidR="00D92ABA">
        <w:rPr>
          <w:rFonts w:ascii="Times New Roman" w:hAnsi="Times New Roman" w:cs="Times New Roman"/>
        </w:rPr>
        <w:t>P</w:t>
      </w:r>
      <w:r w:rsidR="007975E1" w:rsidRPr="0068584C">
        <w:rPr>
          <w:rFonts w:ascii="Times New Roman" w:hAnsi="Times New Roman" w:cs="Times New Roman"/>
        </w:rPr>
        <w:t xml:space="preserve">otential informant bias was minimized by taking several measures. First, </w:t>
      </w:r>
      <w:r w:rsidR="00665245">
        <w:rPr>
          <w:rFonts w:ascii="Times New Roman" w:hAnsi="Times New Roman" w:cs="Times New Roman"/>
        </w:rPr>
        <w:t xml:space="preserve">the research involved </w:t>
      </w:r>
      <w:r w:rsidR="005E45F4" w:rsidRPr="0068584C">
        <w:rPr>
          <w:rFonts w:ascii="Times New Roman" w:hAnsi="Times New Roman" w:cs="Times New Roman"/>
        </w:rPr>
        <w:t>highly experienced and</w:t>
      </w:r>
      <w:r w:rsidR="007975E1" w:rsidRPr="0068584C">
        <w:rPr>
          <w:rFonts w:ascii="Times New Roman" w:hAnsi="Times New Roman" w:cs="Times New Roman"/>
        </w:rPr>
        <w:t xml:space="preserve"> knowledgeable participants who spoke about relatively recent, important events and decisions of their main professional environment</w:t>
      </w:r>
      <w:r w:rsidR="001F7614" w:rsidRPr="0068584C">
        <w:rPr>
          <w:rFonts w:ascii="Times New Roman" w:hAnsi="Times New Roman" w:cs="Times New Roman"/>
        </w:rPr>
        <w:t xml:space="preserve"> and </w:t>
      </w:r>
      <w:r w:rsidR="007975E1" w:rsidRPr="0068584C">
        <w:rPr>
          <w:rFonts w:ascii="Times New Roman" w:hAnsi="Times New Roman" w:cs="Times New Roman"/>
        </w:rPr>
        <w:t xml:space="preserve">circumstances. </w:t>
      </w:r>
      <w:r w:rsidR="00F63ECF" w:rsidRPr="0068584C">
        <w:rPr>
          <w:rFonts w:ascii="Times New Roman" w:hAnsi="Times New Roman" w:cs="Times New Roman"/>
        </w:rPr>
        <w:t>Such a set-up can be expected to generate</w:t>
      </w:r>
      <w:r w:rsidR="007975E1" w:rsidRPr="0068584C">
        <w:rPr>
          <w:rFonts w:ascii="Times New Roman" w:hAnsi="Times New Roman" w:cs="Times New Roman"/>
        </w:rPr>
        <w:t xml:space="preserve"> relatively accurate statements. The issue of potential recall bias is addressed as the most recent NPD project was selected by the initial participant as the focus project</w:t>
      </w:r>
      <w:r w:rsidR="001B6152">
        <w:rPr>
          <w:rFonts w:ascii="Times New Roman" w:hAnsi="Times New Roman" w:cs="Times New Roman"/>
        </w:rPr>
        <w:t xml:space="preserve"> </w:t>
      </w:r>
      <w:r w:rsidR="001B6152">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"Hallen", "given" : "Benjamin L", "non-dropping-particle" : "", "parse-names" : false, "suffix" : "" }, { "dropping-particle" : "", "family" : "Eisenhardt", "given" : "Kathleen M", "non-dropping-particle" : "", "parse-names" : false, "suffix" : "" } ], "container-title" : "Academy of Management Journal", "id" : "ITEM-1", "issue" : "1", "issued" : { "date-parts" : [ [ "2012" ] ] }, "page" : "35-70", "title" : "CATALYZING STRATEGIES AND EFFICIENT TIE FORMATION: HOW ENTREPRENEURIAL FIRMS OBTAIN INVESTMENT TIES", "type" : "article-journal", "volume" : "55" }, "uris" : [ "http://www.mendeley.com/documents/?uuid=c1fc3a57-4829-4e3b-bb51-ce90945b1568" ] } ], "mendeley" : { "formattedCitation" : "(Hallen &amp; Eisenhardt, 2012)", "plainTextFormattedCitation" : "(Hallen &amp; Eisenhardt, 2012)", "previouslyFormattedCitation" : "(Hallen &amp; Eisenhardt, 2012)" }, "properties" : { "noteIndex" : 0 }, "schema" : "https://github.com/citation-style-language/schema/raw/master/csl-citation.json" }</w:instrText>
      </w:r>
      <w:r w:rsidR="001B6152">
        <w:rPr>
          <w:rFonts w:ascii="Times New Roman" w:hAnsi="Times New Roman" w:cs="Times New Roman"/>
        </w:rPr>
        <w:fldChar w:fldCharType="separate"/>
      </w:r>
      <w:r w:rsidR="000E6ECE" w:rsidRPr="000E6ECE">
        <w:rPr>
          <w:rFonts w:ascii="Times New Roman" w:hAnsi="Times New Roman" w:cs="Times New Roman"/>
          <w:noProof/>
        </w:rPr>
        <w:t>(Hallen &amp; Eisenhardt, 2012)</w:t>
      </w:r>
      <w:r w:rsidR="001B6152">
        <w:rPr>
          <w:rFonts w:ascii="Times New Roman" w:hAnsi="Times New Roman" w:cs="Times New Roman"/>
        </w:rPr>
        <w:fldChar w:fldCharType="end"/>
      </w:r>
      <w:r w:rsidR="001B6152">
        <w:rPr>
          <w:rFonts w:ascii="Times New Roman" w:hAnsi="Times New Roman" w:cs="Times New Roman"/>
        </w:rPr>
        <w:t xml:space="preserve">. </w:t>
      </w:r>
      <w:r w:rsidR="007975E1" w:rsidRPr="0068584C">
        <w:rPr>
          <w:rFonts w:ascii="Times New Roman" w:hAnsi="Times New Roman" w:cs="Times New Roman"/>
        </w:rPr>
        <w:t xml:space="preserve">Second, </w:t>
      </w:r>
      <w:r w:rsidR="00F759BE" w:rsidRPr="0068584C">
        <w:rPr>
          <w:rFonts w:ascii="Times New Roman" w:hAnsi="Times New Roman" w:cs="Times New Roman"/>
        </w:rPr>
        <w:t xml:space="preserve">for each case, </w:t>
      </w:r>
      <w:r w:rsidR="007975E1" w:rsidRPr="0068584C">
        <w:rPr>
          <w:rFonts w:ascii="Times New Roman" w:hAnsi="Times New Roman" w:cs="Times New Roman"/>
        </w:rPr>
        <w:t xml:space="preserve">we triangulated data from multiple participants. Third, we assured anonymity </w:t>
      </w:r>
      <w:r w:rsidR="00F759BE" w:rsidRPr="0068584C">
        <w:rPr>
          <w:rFonts w:ascii="Times New Roman" w:hAnsi="Times New Roman" w:cs="Times New Roman"/>
        </w:rPr>
        <w:t xml:space="preserve">for </w:t>
      </w:r>
      <w:r w:rsidR="007975E1" w:rsidRPr="0068584C">
        <w:rPr>
          <w:rFonts w:ascii="Times New Roman" w:hAnsi="Times New Roman" w:cs="Times New Roman"/>
        </w:rPr>
        <w:t>both the participants and the organizations, thereby fostering an open, trustful interview environment. Finally, the participants were very motivated to be accurate because they were highly interested in learning how to enhance the innovation performance of the</w:t>
      </w:r>
      <w:r w:rsidR="00F759BE" w:rsidRPr="0068584C">
        <w:rPr>
          <w:rFonts w:ascii="Times New Roman" w:hAnsi="Times New Roman" w:cs="Times New Roman"/>
        </w:rPr>
        <w:t>ir</w:t>
      </w:r>
      <w:r w:rsidR="007975E1" w:rsidRPr="0068584C">
        <w:rPr>
          <w:rFonts w:ascii="Times New Roman" w:hAnsi="Times New Roman" w:cs="Times New Roman"/>
        </w:rPr>
        <w:t xml:space="preserve"> organization</w:t>
      </w:r>
      <w:r w:rsidR="00F759BE" w:rsidRPr="0068584C">
        <w:rPr>
          <w:rFonts w:ascii="Times New Roman" w:hAnsi="Times New Roman" w:cs="Times New Roman"/>
        </w:rPr>
        <w:t>s</w:t>
      </w:r>
      <w:r w:rsidR="007975E1" w:rsidRPr="0068584C">
        <w:rPr>
          <w:rFonts w:ascii="Times New Roman" w:hAnsi="Times New Roman" w:cs="Times New Roman"/>
        </w:rPr>
        <w:t xml:space="preserve"> and in learning about potential best practices. When participants are highly motivated, more accurate claims can </w:t>
      </w:r>
      <w:r w:rsidR="00F759BE" w:rsidRPr="0068584C">
        <w:rPr>
          <w:rFonts w:ascii="Times New Roman" w:hAnsi="Times New Roman" w:cs="Times New Roman"/>
        </w:rPr>
        <w:t xml:space="preserve">typically </w:t>
      </w:r>
      <w:r w:rsidR="007975E1" w:rsidRPr="0068584C">
        <w:rPr>
          <w:rFonts w:ascii="Times New Roman" w:hAnsi="Times New Roman" w:cs="Times New Roman"/>
        </w:rPr>
        <w:t xml:space="preserve">be expected </w:t>
      </w:r>
      <w:r w:rsidR="003F61FC">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"Hallen", "given" : "Benjamin L", "non-dropping-particle" : "", "parse-names" : false, "suffix" : "" }, { "dropping-particle" : "", "family" : "Eisenhardt", "given" : "Kathleen M", "non-dropping-particle" : "", "parse-names" : false, "suffix" : "" } ], "container-title" : "Academy of Management Journal", "id" : "ITEM-1", "issue" : "1", "issued" : { "date-parts" : [ [ "2012" ] ] }, "page" : "35-70", "title" : "CATALYZING STRATEGIES AND EFFICIENT TIE FORMATION: HOW ENTREPRENEURIAL FIRMS OBTAIN INVESTMENT TIES", "type" : "article-journal", "volume" : "55" }, "uris" : [ "http://www.mendeley.com/documents/?uuid=c1fc3a57-4829-4e3b-bb51-ce90945b1568" ] } ], "mendeley" : { "formattedCitation" : "(Hallen &amp; Eisenhardt, 2012)", "plainTextFormattedCitation" : "(Hallen &amp; Eisenhardt, 2012)", "previouslyFormattedCitation" : "(Hallen &amp; Eisenhardt, 2012)" }, "properties" : { "noteIndex" : 0 }, "schema" : "https://github.com/citation-style-language/schema/raw/master/csl-citation.json" }</w:instrText>
      </w:r>
      <w:r w:rsidR="003F61FC">
        <w:rPr>
          <w:rFonts w:ascii="Times New Roman" w:hAnsi="Times New Roman" w:cs="Times New Roman"/>
        </w:rPr>
        <w:fldChar w:fldCharType="separate"/>
      </w:r>
      <w:r w:rsidR="000E6ECE" w:rsidRPr="000E6ECE">
        <w:rPr>
          <w:rFonts w:ascii="Times New Roman" w:hAnsi="Times New Roman" w:cs="Times New Roman"/>
          <w:noProof/>
        </w:rPr>
        <w:t>(Hallen &amp; Eisenhardt, 2012)</w:t>
      </w:r>
      <w:r w:rsidR="003F61FC">
        <w:rPr>
          <w:rFonts w:ascii="Times New Roman" w:hAnsi="Times New Roman" w:cs="Times New Roman"/>
        </w:rPr>
        <w:fldChar w:fldCharType="end"/>
      </w:r>
      <w:r w:rsidR="003F61FC">
        <w:rPr>
          <w:rFonts w:ascii="Times New Roman" w:hAnsi="Times New Roman" w:cs="Times New Roman"/>
        </w:rPr>
        <w:t xml:space="preserve">. </w:t>
      </w:r>
      <w:r w:rsidR="00254A8C" w:rsidRPr="004F3E3B">
        <w:rPr>
          <w:rFonts w:ascii="Times New Roman" w:hAnsi="Times New Roman" w:cs="Times New Roman"/>
          <w:color w:val="000000" w:themeColor="text1"/>
        </w:rPr>
        <w:t>Additional empirical data with important contextual or demographic information from publicly available sources was utilized to complement the interview data. Financial reports from the case organizations were retrieved for the years 2013-2015 to calculate the growth/decline in terms of revenue and earnings/losses</w:t>
      </w:r>
      <w:r w:rsidR="00D4615F">
        <w:rPr>
          <w:rFonts w:ascii="Times New Roman" w:hAnsi="Times New Roman" w:cs="Times New Roman"/>
          <w:color w:val="000000" w:themeColor="text1"/>
        </w:rPr>
        <w:t xml:space="preserve"> (</w:t>
      </w:r>
      <w:r w:rsidR="00D4615F">
        <w:rPr>
          <w:rFonts w:ascii="Times New Roman" w:hAnsi="Times New Roman" w:cs="Times New Roman"/>
          <w:color w:val="000000" w:themeColor="text1"/>
        </w:rPr>
        <w:fldChar w:fldCharType="begin"/>
      </w:r>
      <w:r w:rsidR="00D4615F">
        <w:rPr>
          <w:rFonts w:ascii="Times New Roman" w:hAnsi="Times New Roman" w:cs="Times New Roman"/>
          <w:color w:val="000000" w:themeColor="text1"/>
        </w:rPr>
        <w:instrText xml:space="preserve"> REF _Ref357388064 \h </w:instrText>
      </w:r>
      <w:r w:rsidR="00D4615F">
        <w:rPr>
          <w:rFonts w:ascii="Times New Roman" w:hAnsi="Times New Roman" w:cs="Times New Roman"/>
          <w:color w:val="000000" w:themeColor="text1"/>
        </w:rPr>
      </w:r>
      <w:r w:rsidR="00D4615F">
        <w:rPr>
          <w:rFonts w:ascii="Times New Roman" w:hAnsi="Times New Roman" w:cs="Times New Roman"/>
          <w:color w:val="000000" w:themeColor="text1"/>
        </w:rPr>
        <w:fldChar w:fldCharType="separate"/>
      </w:r>
      <w:r w:rsidR="00C2793E">
        <w:t xml:space="preserve">Table </w:t>
      </w:r>
      <w:r w:rsidR="00C2793E">
        <w:rPr>
          <w:noProof/>
        </w:rPr>
        <w:t>7</w:t>
      </w:r>
      <w:r w:rsidR="00D4615F">
        <w:rPr>
          <w:rFonts w:ascii="Times New Roman" w:hAnsi="Times New Roman" w:cs="Times New Roman"/>
          <w:color w:val="000000" w:themeColor="text1"/>
        </w:rPr>
        <w:fldChar w:fldCharType="end"/>
      </w:r>
      <w:r w:rsidR="00D4615F">
        <w:rPr>
          <w:rFonts w:ascii="Times New Roman" w:hAnsi="Times New Roman" w:cs="Times New Roman"/>
          <w:color w:val="000000" w:themeColor="text1"/>
        </w:rPr>
        <w:t>)</w:t>
      </w:r>
      <w:r w:rsidR="00254A8C" w:rsidRPr="004F3E3B">
        <w:rPr>
          <w:rFonts w:ascii="Times New Roman" w:hAnsi="Times New Roman" w:cs="Times New Roman"/>
          <w:color w:val="000000" w:themeColor="text1"/>
        </w:rPr>
        <w:t xml:space="preserve">. </w:t>
      </w:r>
    </w:p>
    <w:p w14:paraId="6978EEEA" w14:textId="77777777" w:rsidR="003C0697" w:rsidRDefault="003C0697" w:rsidP="0035460B">
      <w:pPr>
        <w:spacing w:line="480" w:lineRule="auto"/>
        <w:rPr>
          <w:rFonts w:ascii="Times New Roman" w:hAnsi="Times New Roman" w:cs="Times New Roman"/>
        </w:rPr>
      </w:pPr>
    </w:p>
    <w:p w14:paraId="6DB63CE4" w14:textId="4E96531D" w:rsidR="0059256B" w:rsidRPr="00920D88" w:rsidRDefault="00E95A56" w:rsidP="00920D88">
      <w:pPr>
        <w:pStyle w:val="Heading3new"/>
      </w:pPr>
      <w:r w:rsidRPr="00920D88">
        <w:t>Case Selection (Sampling)</w:t>
      </w:r>
    </w:p>
    <w:p w14:paraId="4DCB9FA4" w14:textId="71FA6409" w:rsidR="00EC77EB" w:rsidRPr="0068584C" w:rsidRDefault="00515AEE" w:rsidP="0035460B">
      <w:pPr>
        <w:spacing w:line="480" w:lineRule="auto"/>
        <w:jc w:val="both"/>
        <w:rPr>
          <w:rFonts w:ascii="Times New Roman" w:hAnsi="Times New Roman" w:cs="Times New Roman"/>
        </w:rPr>
      </w:pPr>
      <w:r w:rsidRPr="0068584C">
        <w:rPr>
          <w:rFonts w:ascii="Times New Roman" w:hAnsi="Times New Roman" w:cs="Times New Roman"/>
        </w:rPr>
        <w:lastRenderedPageBreak/>
        <w:t>A theoretical sampling approach was applied</w:t>
      </w:r>
      <w:r w:rsidR="00D40A58">
        <w:rPr>
          <w:rFonts w:ascii="Times New Roman" w:hAnsi="Times New Roman" w:cs="Times New Roman"/>
        </w:rPr>
        <w:t xml:space="preserve"> </w:t>
      </w:r>
      <w:r w:rsidR="00D40A58">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"10.5465/AMR.1989.4308385", "ISBN" : "0761911901", "ISSN" : "0363-7425", "PMID" : "11331521", "abstract" : "This paper describes the process of inducting theory using case stud 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 "author" : [ { "dropping-particle" : "", "family" : "Eisenhardt", "given" : "Kathleen M", "non-dropping-particle" : "", "parse-names" : false, "suffix" : "" } ], "container-title" : "Academy of Management Review", "id" : "ITEM-1", "issue" : "4", "issued" : { "date-parts" : [ [ "1989" ] ] }, "page" : "532-550", "title" : "Building Theories from Case Study Research", "type" : "article-journal", "volume" : "14" }, "uris" : [ "http://www.mendeley.com/documents/?uuid=2b4fb1a6-0d74-4b38-81c9-17d37970091d" ] } ], "mendeley" : { "formattedCitation" : "(Eisenhardt, 1989)", "plainTextFormattedCitation" : "(Eisenhardt, 1989)", "previouslyFormattedCitation" : "(Eisenhardt, 1989)" }, "properties" : { "noteIndex" : 0 }, "schema" : "https://github.com/citation-style-language/schema/raw/master/csl-citation.json" }</w:instrText>
      </w:r>
      <w:r w:rsidR="00D40A58">
        <w:rPr>
          <w:rFonts w:ascii="Times New Roman" w:hAnsi="Times New Roman" w:cs="Times New Roman"/>
        </w:rPr>
        <w:fldChar w:fldCharType="separate"/>
      </w:r>
      <w:r w:rsidR="000E6ECE" w:rsidRPr="000E6ECE">
        <w:rPr>
          <w:rFonts w:ascii="Times New Roman" w:hAnsi="Times New Roman" w:cs="Times New Roman"/>
          <w:noProof/>
        </w:rPr>
        <w:t>(Eisenhardt, 1989)</w:t>
      </w:r>
      <w:r w:rsidR="00D40A58">
        <w:rPr>
          <w:rFonts w:ascii="Times New Roman" w:hAnsi="Times New Roman" w:cs="Times New Roman"/>
        </w:rPr>
        <w:fldChar w:fldCharType="end"/>
      </w:r>
      <w:r w:rsidR="00D40A58">
        <w:rPr>
          <w:rFonts w:ascii="Times New Roman" w:hAnsi="Times New Roman" w:cs="Times New Roman"/>
        </w:rPr>
        <w:t xml:space="preserve">. </w:t>
      </w:r>
      <w:r w:rsidRPr="0068584C">
        <w:rPr>
          <w:rFonts w:ascii="Times New Roman" w:hAnsi="Times New Roman" w:cs="Times New Roman"/>
        </w:rPr>
        <w:t xml:space="preserve">The cases were selected purposefully as they are “particularly suitable for illuminating and extending relationships and logic among constructs” and likely </w:t>
      </w:r>
      <w:r w:rsidR="00C563D6" w:rsidRPr="0068584C">
        <w:rPr>
          <w:rFonts w:ascii="Times New Roman" w:hAnsi="Times New Roman" w:cs="Times New Roman"/>
        </w:rPr>
        <w:t xml:space="preserve">to </w:t>
      </w:r>
      <w:r w:rsidRPr="0068584C">
        <w:rPr>
          <w:rFonts w:ascii="Times New Roman" w:hAnsi="Times New Roman" w:cs="Times New Roman"/>
        </w:rPr>
        <w:t>offer substantial theoretical insights</w:t>
      </w:r>
      <w:r w:rsidR="00117C4A">
        <w:rPr>
          <w:rFonts w:ascii="Times New Roman" w:hAnsi="Times New Roman" w:cs="Times New Roman"/>
        </w:rPr>
        <w:t xml:space="preserve"> </w:t>
      </w:r>
      <w:r w:rsidR="00117C4A">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"ISSN" : "00014273", "PMID" : "11331521", "abstract" : "This article discusses the research strategy of theory building from cases, particularly multiple cases. Such a strategy involves using one or more cases to create theoretical constructs, propositions, and/or midrange theory from case-based, empirical evidence. Replication logic means that each case serves as a distinct experiment that stands on its own merits as an analytic unit. The frequent use of case studies as a research strategy has given rise to some challenges that can be mitigated by the use of very precise wording and thoughtful research design.", "author" : [ { "dropping-particle" : "", "family" : "Eisenhardt", "given" : "Kathleen M", "non-dropping-particle" : "", "parse-names" : false, "suffix" : "" }, { "dropping-particle" : "", "family" : "Graebner", "given" : "Melissa E", "non-dropping-particle" : "", "parse-names" : false, "suffix" : "" } ], "container-title" : "Academy of Management Journal", "id" : "ITEM-1", "issue" : "1", "issued" : { "date-parts" : [ [ "2007" ] ] }, "page" : "25-32", "title" : "Theory building from cases: Opportunities and challenges", "type" : "article-journal", "volume" : "50" }, "locator" : "27", "uris" : [ "http://www.mendeley.com/documents/?uuid=193cb3d2-6cc1-4fff-b80c-1b55101ded84" ] } ], "mendeley" : { "formattedCitation" : "(Eisenhardt &amp; Graebner, 2007, p. 27)", "plainTextFormattedCitation" : "(Eisenhardt &amp; Graebner, 2007, p. 27)", "previouslyFormattedCitation" : "(Eisenhardt &amp; Graebner, 2007, p. 27)" }, "properties" : { "noteIndex" : 0 }, "schema" : "https://github.com/citation-style-language/schema/raw/master/csl-citation.json" }</w:instrText>
      </w:r>
      <w:r w:rsidR="00117C4A">
        <w:rPr>
          <w:rFonts w:ascii="Times New Roman" w:hAnsi="Times New Roman" w:cs="Times New Roman"/>
        </w:rPr>
        <w:fldChar w:fldCharType="separate"/>
      </w:r>
      <w:r w:rsidR="000E6ECE" w:rsidRPr="000E6ECE">
        <w:rPr>
          <w:rFonts w:ascii="Times New Roman" w:hAnsi="Times New Roman" w:cs="Times New Roman"/>
          <w:noProof/>
        </w:rPr>
        <w:t>(Eisenhardt &amp; Graebner, 2007, p. 27)</w:t>
      </w:r>
      <w:r w:rsidR="00117C4A">
        <w:rPr>
          <w:rFonts w:ascii="Times New Roman" w:hAnsi="Times New Roman" w:cs="Times New Roman"/>
        </w:rPr>
        <w:fldChar w:fldCharType="end"/>
      </w:r>
      <w:r w:rsidRPr="0068584C">
        <w:rPr>
          <w:rFonts w:ascii="Times New Roman" w:hAnsi="Times New Roman" w:cs="Times New Roman"/>
        </w:rPr>
        <w:t xml:space="preserve">. </w:t>
      </w:r>
      <w:r w:rsidR="005653BD" w:rsidRPr="0068584C">
        <w:rPr>
          <w:rFonts w:ascii="Times New Roman" w:hAnsi="Times New Roman" w:cs="Times New Roman"/>
        </w:rPr>
        <w:t xml:space="preserve">While random </w:t>
      </w:r>
      <w:r w:rsidR="00EC77EB" w:rsidRPr="0068584C">
        <w:rPr>
          <w:rFonts w:ascii="Times New Roman" w:hAnsi="Times New Roman" w:cs="Times New Roman"/>
        </w:rPr>
        <w:t>sampling</w:t>
      </w:r>
      <w:r w:rsidR="005653BD" w:rsidRPr="0068584C">
        <w:rPr>
          <w:rFonts w:ascii="Times New Roman" w:hAnsi="Times New Roman" w:cs="Times New Roman"/>
        </w:rPr>
        <w:t xml:space="preserve"> is typically applied </w:t>
      </w:r>
      <w:r w:rsidR="00EC77EB" w:rsidRPr="0068584C">
        <w:rPr>
          <w:rFonts w:ascii="Times New Roman" w:hAnsi="Times New Roman" w:cs="Times New Roman"/>
        </w:rPr>
        <w:t>for deductive research using statistical analysis,</w:t>
      </w:r>
      <w:r w:rsidR="005653BD" w:rsidRPr="0068584C">
        <w:rPr>
          <w:rFonts w:ascii="Times New Roman" w:hAnsi="Times New Roman" w:cs="Times New Roman"/>
        </w:rPr>
        <w:t xml:space="preserve"> this inductive case study applied</w:t>
      </w:r>
      <w:r w:rsidR="00EC77EB" w:rsidRPr="0068584C">
        <w:rPr>
          <w:rFonts w:ascii="Times New Roman" w:hAnsi="Times New Roman" w:cs="Times New Roman"/>
        </w:rPr>
        <w:t xml:space="preserve"> theoretical sampling</w:t>
      </w:r>
      <w:r w:rsidR="005653BD" w:rsidRPr="0068584C">
        <w:rPr>
          <w:rFonts w:ascii="Times New Roman" w:hAnsi="Times New Roman" w:cs="Times New Roman"/>
        </w:rPr>
        <w:t xml:space="preserve"> that</w:t>
      </w:r>
      <w:r w:rsidR="00EC77EB" w:rsidRPr="0068584C">
        <w:rPr>
          <w:rFonts w:ascii="Times New Roman" w:hAnsi="Times New Roman" w:cs="Times New Roman"/>
        </w:rPr>
        <w:t xml:space="preserve"> </w:t>
      </w:r>
      <w:r w:rsidR="00BE1769" w:rsidRPr="0068584C">
        <w:rPr>
          <w:rFonts w:ascii="Times New Roman" w:hAnsi="Times New Roman" w:cs="Times New Roman"/>
        </w:rPr>
        <w:t>wa</w:t>
      </w:r>
      <w:r w:rsidR="00EC77EB" w:rsidRPr="0068584C">
        <w:rPr>
          <w:rFonts w:ascii="Times New Roman" w:hAnsi="Times New Roman" w:cs="Times New Roman"/>
        </w:rPr>
        <w:t xml:space="preserve">s purposefully nonrandom. Each case </w:t>
      </w:r>
      <w:r w:rsidR="00BE1769" w:rsidRPr="0068584C">
        <w:rPr>
          <w:rFonts w:ascii="Times New Roman" w:hAnsi="Times New Roman" w:cs="Times New Roman"/>
        </w:rPr>
        <w:t>was</w:t>
      </w:r>
      <w:r w:rsidR="00BE1769" w:rsidRPr="0068584C" w:rsidDel="00BE1769">
        <w:rPr>
          <w:rFonts w:ascii="Times New Roman" w:hAnsi="Times New Roman" w:cs="Times New Roman"/>
        </w:rPr>
        <w:t xml:space="preserve"> </w:t>
      </w:r>
      <w:r w:rsidR="00061AAC" w:rsidRPr="0068584C">
        <w:rPr>
          <w:rFonts w:ascii="Times New Roman" w:hAnsi="Times New Roman" w:cs="Times New Roman"/>
        </w:rPr>
        <w:t xml:space="preserve">selected on the basis of providing a </w:t>
      </w:r>
      <w:r w:rsidR="00057FAA" w:rsidRPr="0068584C">
        <w:rPr>
          <w:rFonts w:ascii="Times New Roman" w:hAnsi="Times New Roman" w:cs="Times New Roman"/>
        </w:rPr>
        <w:t xml:space="preserve">useful </w:t>
      </w:r>
      <w:r w:rsidR="00061AAC" w:rsidRPr="0068584C">
        <w:rPr>
          <w:rFonts w:ascii="Times New Roman" w:hAnsi="Times New Roman" w:cs="Times New Roman"/>
        </w:rPr>
        <w:t>perspective of the focal phenomenon and thereby supporting the theory elaboration process. In this way, using multiple applicable cases boost</w:t>
      </w:r>
      <w:r w:rsidR="00BE1769" w:rsidRPr="0068584C">
        <w:rPr>
          <w:rFonts w:ascii="Times New Roman" w:hAnsi="Times New Roman" w:cs="Times New Roman"/>
        </w:rPr>
        <w:t>ed</w:t>
      </w:r>
      <w:r w:rsidR="00061AAC" w:rsidRPr="0068584C">
        <w:rPr>
          <w:rFonts w:ascii="Times New Roman" w:hAnsi="Times New Roman" w:cs="Times New Roman"/>
        </w:rPr>
        <w:t xml:space="preserve"> the finding’s </w:t>
      </w:r>
      <w:r w:rsidR="00EC77EB" w:rsidRPr="0068584C">
        <w:rPr>
          <w:rFonts w:ascii="Times New Roman" w:hAnsi="Times New Roman" w:cs="Times New Roman"/>
        </w:rPr>
        <w:t>generalizability</w:t>
      </w:r>
      <w:r w:rsidR="00061AAC" w:rsidRPr="0068584C">
        <w:rPr>
          <w:rFonts w:ascii="Times New Roman" w:hAnsi="Times New Roman" w:cs="Times New Roman"/>
        </w:rPr>
        <w:t xml:space="preserve"> and enrich</w:t>
      </w:r>
      <w:r w:rsidR="00A508CE" w:rsidRPr="0068584C">
        <w:rPr>
          <w:rFonts w:ascii="Times New Roman" w:hAnsi="Times New Roman" w:cs="Times New Roman"/>
        </w:rPr>
        <w:t>ed</w:t>
      </w:r>
      <w:r w:rsidR="00061AAC" w:rsidRPr="0068584C">
        <w:rPr>
          <w:rFonts w:ascii="Times New Roman" w:hAnsi="Times New Roman" w:cs="Times New Roman"/>
        </w:rPr>
        <w:t>/</w:t>
      </w:r>
      <w:r w:rsidR="0029784A" w:rsidRPr="0068584C">
        <w:rPr>
          <w:rFonts w:ascii="Times New Roman" w:hAnsi="Times New Roman" w:cs="Times New Roman"/>
        </w:rPr>
        <w:t>substantiate</w:t>
      </w:r>
      <w:r w:rsidR="00A508CE" w:rsidRPr="0068584C">
        <w:rPr>
          <w:rFonts w:ascii="Times New Roman" w:hAnsi="Times New Roman" w:cs="Times New Roman"/>
        </w:rPr>
        <w:t>d</w:t>
      </w:r>
      <w:r w:rsidR="0029784A" w:rsidRPr="0068584C">
        <w:rPr>
          <w:rFonts w:ascii="Times New Roman" w:hAnsi="Times New Roman" w:cs="Times New Roman"/>
        </w:rPr>
        <w:t xml:space="preserve"> the emerging</w:t>
      </w:r>
      <w:r w:rsidR="00061AAC" w:rsidRPr="0068584C">
        <w:rPr>
          <w:rFonts w:ascii="Times New Roman" w:hAnsi="Times New Roman" w:cs="Times New Roman"/>
        </w:rPr>
        <w:t xml:space="preserve"> theoretical </w:t>
      </w:r>
      <w:r w:rsidR="0029784A" w:rsidRPr="0068584C">
        <w:rPr>
          <w:rFonts w:ascii="Times New Roman" w:hAnsi="Times New Roman" w:cs="Times New Roman"/>
        </w:rPr>
        <w:t>conceptualization</w:t>
      </w:r>
      <w:r w:rsidR="00C52D0B">
        <w:rPr>
          <w:rFonts w:ascii="Times New Roman" w:hAnsi="Times New Roman" w:cs="Times New Roman"/>
        </w:rPr>
        <w:t xml:space="preserve"> </w:t>
      </w:r>
      <w:r w:rsidR="00C52D0B">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"10.5465/AMR.1989.4308385", "ISBN" : "0761911901", "ISSN" : "0363-7425", "PMID" : "11331521", "abstract" : "This paper describes the process of inducting theory using case stud 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 "author" : [ { "dropping-particle" : "", "family" : "Eisenhardt", "given" : "Kathleen M", "non-dropping-particle" : "", "parse-names" : false, "suffix" : "" } ], "container-title" : "Academy of Management Review", "id" : "ITEM-1", "issue" : "4", "issued" : { "date-parts" : [ [ "1989" ] ] }, "page" : "532-550", "title" : "Building Theories from Case Study Research", "type" : "article-journal", "volume" : "14" }, "uris" : [ "http://www.mendeley.com/documents/?uuid=2b4fb1a6-0d74-4b38-81c9-17d37970091d" ] } ], "mendeley" : { "formattedCitation" : "(Eisenhardt, 1989)", "plainTextFormattedCitation" : "(Eisenhardt, 1989)", "previouslyFormattedCitation" : "(Eisenhardt, 1989)" }, "properties" : { "noteIndex" : 0 }, "schema" : "https://github.com/citation-style-language/schema/raw/master/csl-citation.json" }</w:instrText>
      </w:r>
      <w:r w:rsidR="00C52D0B">
        <w:rPr>
          <w:rFonts w:ascii="Times New Roman" w:hAnsi="Times New Roman" w:cs="Times New Roman"/>
        </w:rPr>
        <w:fldChar w:fldCharType="separate"/>
      </w:r>
      <w:r w:rsidR="000E6ECE" w:rsidRPr="000E6ECE">
        <w:rPr>
          <w:rFonts w:ascii="Times New Roman" w:hAnsi="Times New Roman" w:cs="Times New Roman"/>
          <w:noProof/>
        </w:rPr>
        <w:t>(Eisenhardt, 1989)</w:t>
      </w:r>
      <w:r w:rsidR="00C52D0B">
        <w:rPr>
          <w:rFonts w:ascii="Times New Roman" w:hAnsi="Times New Roman" w:cs="Times New Roman"/>
        </w:rPr>
        <w:fldChar w:fldCharType="end"/>
      </w:r>
      <w:r w:rsidR="00EC77EB" w:rsidRPr="0068584C">
        <w:rPr>
          <w:rFonts w:ascii="Times New Roman" w:hAnsi="Times New Roman" w:cs="Times New Roman"/>
        </w:rPr>
        <w:t xml:space="preserve">. </w:t>
      </w:r>
      <w:r w:rsidR="00365B33" w:rsidRPr="0068584C">
        <w:rPr>
          <w:rFonts w:ascii="Times New Roman" w:hAnsi="Times New Roman" w:cs="Times New Roman"/>
        </w:rPr>
        <w:t>Using the snowball</w:t>
      </w:r>
      <w:r w:rsidR="0086385D">
        <w:rPr>
          <w:rFonts w:ascii="Times New Roman" w:hAnsi="Times New Roman" w:cs="Times New Roman"/>
        </w:rPr>
        <w:t>ing</w:t>
      </w:r>
      <w:r w:rsidR="00365B33" w:rsidRPr="0068584C">
        <w:rPr>
          <w:rFonts w:ascii="Times New Roman" w:hAnsi="Times New Roman" w:cs="Times New Roman"/>
        </w:rPr>
        <w:t xml:space="preserve"> technique, the first interview participant was requested to identify additional relevant people in the organization to </w:t>
      </w:r>
      <w:r w:rsidR="00365B33" w:rsidRPr="00D4615F">
        <w:rPr>
          <w:rFonts w:ascii="Times New Roman" w:hAnsi="Times New Roman" w:cs="Times New Roman"/>
        </w:rPr>
        <w:t>participate in the study.</w:t>
      </w:r>
    </w:p>
    <w:p w14:paraId="17B83C1C" w14:textId="4BD19DAA" w:rsidR="00EC77EB" w:rsidRPr="0068584C" w:rsidRDefault="00EC77EB" w:rsidP="0035460B">
      <w:pPr>
        <w:spacing w:line="480" w:lineRule="auto"/>
        <w:rPr>
          <w:rFonts w:ascii="Times New Roman" w:hAnsi="Times New Roman" w:cs="Times New Roman"/>
        </w:rPr>
      </w:pPr>
    </w:p>
    <w:p w14:paraId="2080B4C3" w14:textId="699350FC" w:rsidR="00B73A3A" w:rsidRDefault="00B73A3A" w:rsidP="00B73A3A">
      <w:pPr>
        <w:pStyle w:val="Caption"/>
        <w:keepNext/>
      </w:pPr>
      <w:bookmarkStart w:id="72" w:name="_Toc358326843"/>
      <w:bookmarkStart w:id="73" w:name="_Ref357388064"/>
      <w:r>
        <w:t xml:space="preserve">Table </w:t>
      </w:r>
      <w:fldSimple w:instr=" SEQ Table \* ARABIC ">
        <w:r w:rsidR="00C2793E">
          <w:rPr>
            <w:noProof/>
          </w:rPr>
          <w:t>7</w:t>
        </w:r>
        <w:bookmarkEnd w:id="72"/>
      </w:fldSimple>
      <w:bookmarkEnd w:id="73"/>
    </w:p>
    <w:p w14:paraId="6C06052B" w14:textId="0D855737" w:rsidR="009A6C3C" w:rsidRPr="0068584C" w:rsidRDefault="007B2EA6" w:rsidP="00B73A3A">
      <w:pPr>
        <w:rPr>
          <w:rFonts w:ascii="Times New Roman" w:hAnsi="Times New Roman" w:cs="Times New Roman"/>
          <w:b/>
        </w:rPr>
      </w:pPr>
      <w:r w:rsidRPr="0068584C">
        <w:rPr>
          <w:rFonts w:ascii="Times New Roman" w:hAnsi="Times New Roman" w:cs="Times New Roman"/>
          <w:b/>
        </w:rPr>
        <w:t>Overview</w:t>
      </w:r>
      <w:r w:rsidR="00DE5A51">
        <w:rPr>
          <w:rFonts w:ascii="Times New Roman" w:hAnsi="Times New Roman" w:cs="Times New Roman"/>
          <w:b/>
        </w:rPr>
        <w:t xml:space="preserve"> of the C</w:t>
      </w:r>
      <w:r w:rsidR="009A6C3C" w:rsidRPr="0068584C">
        <w:rPr>
          <w:rFonts w:ascii="Times New Roman" w:hAnsi="Times New Roman" w:cs="Times New Roman"/>
          <w:b/>
        </w:rPr>
        <w:t>ases</w:t>
      </w:r>
    </w:p>
    <w:p w14:paraId="136BB114" w14:textId="326D311E" w:rsidR="0038150A" w:rsidRPr="0068584C" w:rsidRDefault="003351AE" w:rsidP="0035460B">
      <w:pPr>
        <w:spacing w:line="480" w:lineRule="auto"/>
        <w:rPr>
          <w:rFonts w:ascii="Times New Roman" w:hAnsi="Times New Roman" w:cs="Times New Roman"/>
        </w:rPr>
      </w:pPr>
      <w:r w:rsidRPr="0068584C">
        <w:rPr>
          <w:rFonts w:ascii="Times New Roman" w:hAnsi="Times New Roman" w:cs="Times New Roman"/>
          <w:noProof/>
        </w:rPr>
        <w:drawing>
          <wp:inline distT="0" distB="0" distL="0" distR="0" wp14:anchorId="6838AC3B" wp14:editId="27D56BF6">
            <wp:extent cx="6157584" cy="16129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57957" cy="1612998"/>
                    </a:xfrm>
                    <a:prstGeom prst="rect">
                      <a:avLst/>
                    </a:prstGeom>
                    <a:noFill/>
                    <a:ln>
                      <a:noFill/>
                    </a:ln>
                  </pic:spPr>
                </pic:pic>
              </a:graphicData>
            </a:graphic>
          </wp:inline>
        </w:drawing>
      </w:r>
    </w:p>
    <w:p w14:paraId="1143F665" w14:textId="3D3EE8E6" w:rsidR="008F4A31" w:rsidRPr="0068584C" w:rsidRDefault="00810139" w:rsidP="0035460B">
      <w:pPr>
        <w:spacing w:line="480" w:lineRule="auto"/>
        <w:rPr>
          <w:rFonts w:ascii="Times New Roman" w:hAnsi="Times New Roman" w:cs="Times New Roman"/>
          <w:sz w:val="16"/>
          <w:szCs w:val="16"/>
        </w:rPr>
      </w:pPr>
      <w:r w:rsidRPr="0068584C">
        <w:rPr>
          <w:rFonts w:ascii="Times New Roman" w:hAnsi="Times New Roman" w:cs="Times New Roman"/>
          <w:sz w:val="16"/>
          <w:szCs w:val="16"/>
        </w:rPr>
        <w:t>* Average</w:t>
      </w:r>
      <w:r>
        <w:rPr>
          <w:rFonts w:ascii="Times New Roman" w:hAnsi="Times New Roman" w:cs="Times New Roman"/>
          <w:sz w:val="16"/>
          <w:szCs w:val="16"/>
        </w:rPr>
        <w:t xml:space="preserve"> of </w:t>
      </w:r>
      <w:r w:rsidR="00A03C60">
        <w:rPr>
          <w:rFonts w:ascii="Times New Roman" w:hAnsi="Times New Roman" w:cs="Times New Roman"/>
          <w:sz w:val="16"/>
          <w:szCs w:val="16"/>
        </w:rPr>
        <w:t>Both</w:t>
      </w:r>
      <w:r>
        <w:rPr>
          <w:rFonts w:ascii="Times New Roman" w:hAnsi="Times New Roman" w:cs="Times New Roman"/>
          <w:sz w:val="16"/>
          <w:szCs w:val="16"/>
        </w:rPr>
        <w:t xml:space="preserve"> Firms</w:t>
      </w:r>
    </w:p>
    <w:p w14:paraId="307654FC" w14:textId="77777777" w:rsidR="00810139" w:rsidRPr="0068584C" w:rsidRDefault="00810139" w:rsidP="0035460B">
      <w:pPr>
        <w:spacing w:line="480" w:lineRule="auto"/>
        <w:rPr>
          <w:rFonts w:ascii="Times New Roman" w:hAnsi="Times New Roman" w:cs="Times New Roman"/>
        </w:rPr>
      </w:pPr>
    </w:p>
    <w:p w14:paraId="5AEF16D4" w14:textId="5BC25028" w:rsidR="00EC77EB" w:rsidRPr="0068584C" w:rsidRDefault="00732412" w:rsidP="0035460B">
      <w:pPr>
        <w:spacing w:line="480" w:lineRule="auto"/>
        <w:jc w:val="both"/>
        <w:rPr>
          <w:rFonts w:ascii="Times New Roman" w:hAnsi="Times New Roman" w:cs="Times New Roman"/>
        </w:rPr>
      </w:pPr>
      <w:r w:rsidRPr="0068584C">
        <w:rPr>
          <w:rFonts w:ascii="Times New Roman" w:hAnsi="Times New Roman" w:cs="Times New Roman"/>
        </w:rPr>
        <w:t>The</w:t>
      </w:r>
      <w:r w:rsidR="00EC77EB" w:rsidRPr="0068584C">
        <w:rPr>
          <w:rFonts w:ascii="Times New Roman" w:hAnsi="Times New Roman" w:cs="Times New Roman"/>
        </w:rPr>
        <w:t xml:space="preserve"> theoretical sampling approach</w:t>
      </w:r>
      <w:r w:rsidRPr="0068584C">
        <w:rPr>
          <w:rFonts w:ascii="Times New Roman" w:hAnsi="Times New Roman" w:cs="Times New Roman"/>
        </w:rPr>
        <w:t xml:space="preserve"> led to selecting organizations with new product development activities that involved substantial input from suppliers. </w:t>
      </w:r>
      <w:r w:rsidR="00E92975" w:rsidRPr="0068584C">
        <w:rPr>
          <w:rFonts w:ascii="Times New Roman" w:hAnsi="Times New Roman" w:cs="Times New Roman"/>
        </w:rPr>
        <w:t>T</w:t>
      </w:r>
      <w:r w:rsidRPr="0068584C">
        <w:rPr>
          <w:rFonts w:ascii="Times New Roman" w:hAnsi="Times New Roman" w:cs="Times New Roman"/>
        </w:rPr>
        <w:t xml:space="preserve">he focal </w:t>
      </w:r>
      <w:r w:rsidR="00EC77EB" w:rsidRPr="0068584C">
        <w:rPr>
          <w:rFonts w:ascii="Times New Roman" w:hAnsi="Times New Roman" w:cs="Times New Roman"/>
        </w:rPr>
        <w:t>phenomenon</w:t>
      </w:r>
      <w:r w:rsidRPr="0068584C">
        <w:rPr>
          <w:rFonts w:ascii="Times New Roman" w:hAnsi="Times New Roman" w:cs="Times New Roman"/>
        </w:rPr>
        <w:t xml:space="preserve"> was evident in each </w:t>
      </w:r>
      <w:r w:rsidR="00683F51" w:rsidRPr="0068584C">
        <w:rPr>
          <w:rFonts w:ascii="Times New Roman" w:hAnsi="Times New Roman" w:cs="Times New Roman"/>
        </w:rPr>
        <w:t xml:space="preserve">selected </w:t>
      </w:r>
      <w:r w:rsidRPr="0068584C">
        <w:rPr>
          <w:rFonts w:ascii="Times New Roman" w:hAnsi="Times New Roman" w:cs="Times New Roman"/>
        </w:rPr>
        <w:t xml:space="preserve">case. Organizations with only minor supplier involvement in NPD were not </w:t>
      </w:r>
      <w:r w:rsidRPr="0068584C">
        <w:rPr>
          <w:rFonts w:ascii="Times New Roman" w:hAnsi="Times New Roman" w:cs="Times New Roman"/>
        </w:rPr>
        <w:lastRenderedPageBreak/>
        <w:t>selected because they did not fulfill this condition.</w:t>
      </w:r>
      <w:r w:rsidR="0059256B" w:rsidRPr="0068584C">
        <w:rPr>
          <w:rFonts w:ascii="Times New Roman" w:hAnsi="Times New Roman" w:cs="Times New Roman"/>
        </w:rPr>
        <w:t xml:space="preserve">  T</w:t>
      </w:r>
      <w:r w:rsidR="00556271" w:rsidRPr="0068584C">
        <w:rPr>
          <w:rFonts w:ascii="Times New Roman" w:hAnsi="Times New Roman" w:cs="Times New Roman"/>
        </w:rPr>
        <w:t>he</w:t>
      </w:r>
      <w:r w:rsidR="00EC77EB" w:rsidRPr="0068584C">
        <w:rPr>
          <w:rFonts w:ascii="Times New Roman" w:hAnsi="Times New Roman" w:cs="Times New Roman"/>
        </w:rPr>
        <w:t xml:space="preserve"> use of theoretical sampling</w:t>
      </w:r>
      <w:r w:rsidR="00556271" w:rsidRPr="0068584C">
        <w:rPr>
          <w:rFonts w:ascii="Times New Roman" w:hAnsi="Times New Roman" w:cs="Times New Roman"/>
        </w:rPr>
        <w:t xml:space="preserve"> should</w:t>
      </w:r>
      <w:r w:rsidR="00EC77EB" w:rsidRPr="0068584C">
        <w:rPr>
          <w:rFonts w:ascii="Times New Roman" w:hAnsi="Times New Roman" w:cs="Times New Roman"/>
        </w:rPr>
        <w:t xml:space="preserve"> improve </w:t>
      </w:r>
      <w:r w:rsidR="008A015D" w:rsidRPr="0068584C">
        <w:rPr>
          <w:rFonts w:ascii="Times New Roman" w:hAnsi="Times New Roman" w:cs="Times New Roman"/>
        </w:rPr>
        <w:t xml:space="preserve">the </w:t>
      </w:r>
      <w:r w:rsidR="00556271" w:rsidRPr="0068584C">
        <w:rPr>
          <w:rFonts w:ascii="Times New Roman" w:hAnsi="Times New Roman" w:cs="Times New Roman"/>
        </w:rPr>
        <w:t>generalizability of the study</w:t>
      </w:r>
      <w:r w:rsidR="005A2BA6">
        <w:rPr>
          <w:rFonts w:ascii="Times New Roman" w:hAnsi="Times New Roman" w:cs="Times New Roman"/>
        </w:rPr>
        <w:t xml:space="preserve"> </w:t>
      </w:r>
      <w:r w:rsidR="005A2BA6">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"author" : [ { "dropping-particle" : "", "family" : "Hallen", "given" : "Benjamin L", "non-dropping-particle" : "", "parse-names" : false, "suffix" : "" }, { "dropping-particle" : "", "family" : "Eisenhardt", "given" : "Kathleen M", "non-dropping-particle" : "", "parse-names" : false, "suffix" : "" } ], "container-title" : "Academy of Management Journal", "id" : "ITEM-1", "issue" : "1", "issued" : { "date-parts" : [ [ "2012" ] ] }, "page" : "35-70", "title" : "CATALYZING STRATEGIES AND EFFICIENT TIE FORMATION: HOW ENTREPRENEURIAL FIRMS OBTAIN INVESTMENT TIES", "type" : "article-journal", "volume" : "55" }, "uris" : [ "http://www.mendeley.com/documents/?uuid=c1fc3a57-4829-4e3b-bb51-ce90945b1568" ] } ], "mendeley" : { "formattedCitation" : "(Hallen &amp; Eisenhardt, 2012)", "plainTextFormattedCitation" : "(Hallen &amp; Eisenhardt, 2012)", "previouslyFormattedCitation" : "(Hallen &amp; Eisenhardt, 2012)" }, "properties" : { "noteIndex" : 0 }, "schema" : "https://github.com/citation-style-language/schema/raw/master/csl-citation.json" }</w:instrText>
      </w:r>
      <w:r w:rsidR="005A2BA6">
        <w:rPr>
          <w:rFonts w:ascii="Times New Roman" w:hAnsi="Times New Roman" w:cs="Times New Roman"/>
        </w:rPr>
        <w:fldChar w:fldCharType="separate"/>
      </w:r>
      <w:r w:rsidR="000E6ECE" w:rsidRPr="000E6ECE">
        <w:rPr>
          <w:rFonts w:ascii="Times New Roman" w:hAnsi="Times New Roman" w:cs="Times New Roman"/>
          <w:noProof/>
        </w:rPr>
        <w:t>(Hallen &amp; Eisenhardt, 2012)</w:t>
      </w:r>
      <w:r w:rsidR="005A2BA6">
        <w:rPr>
          <w:rFonts w:ascii="Times New Roman" w:hAnsi="Times New Roman" w:cs="Times New Roman"/>
        </w:rPr>
        <w:fldChar w:fldCharType="end"/>
      </w:r>
      <w:r w:rsidR="005A2BA6">
        <w:rPr>
          <w:rFonts w:ascii="Times New Roman" w:hAnsi="Times New Roman" w:cs="Times New Roman"/>
        </w:rPr>
        <w:t xml:space="preserve">. </w:t>
      </w:r>
    </w:p>
    <w:p w14:paraId="3AE79C21" w14:textId="77777777" w:rsidR="002D5685" w:rsidRPr="0068584C" w:rsidRDefault="002D5685" w:rsidP="0035460B">
      <w:pPr>
        <w:spacing w:line="480" w:lineRule="auto"/>
        <w:rPr>
          <w:rFonts w:ascii="Times New Roman" w:hAnsi="Times New Roman" w:cs="Times New Roman"/>
          <w:color w:val="000000" w:themeColor="text1"/>
        </w:rPr>
      </w:pPr>
    </w:p>
    <w:p w14:paraId="69EA63E5" w14:textId="4CF0D7DF" w:rsidR="00054A61" w:rsidRPr="0068584C" w:rsidRDefault="00054A61" w:rsidP="00920D88">
      <w:pPr>
        <w:pStyle w:val="Heading3new"/>
      </w:pPr>
      <w:r w:rsidRPr="0068584C">
        <w:t>Validity and Reliability</w:t>
      </w:r>
    </w:p>
    <w:p w14:paraId="60072F24" w14:textId="7CC5387A" w:rsidR="00054A61" w:rsidRPr="0068584C" w:rsidRDefault="004E77CB"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A number of </w:t>
      </w:r>
      <w:r w:rsidR="00846C8D" w:rsidRPr="0068584C">
        <w:rPr>
          <w:rFonts w:ascii="Times New Roman" w:hAnsi="Times New Roman" w:cs="Times New Roman"/>
          <w:color w:val="000000" w:themeColor="text1"/>
        </w:rPr>
        <w:t>steps</w:t>
      </w:r>
      <w:r w:rsidRPr="0068584C">
        <w:rPr>
          <w:rFonts w:ascii="Times New Roman" w:hAnsi="Times New Roman" w:cs="Times New Roman"/>
          <w:color w:val="000000" w:themeColor="text1"/>
        </w:rPr>
        <w:t xml:space="preserve"> were taken </w:t>
      </w:r>
      <w:r w:rsidR="00BB52CC" w:rsidRPr="0068584C">
        <w:rPr>
          <w:rFonts w:ascii="Times New Roman" w:hAnsi="Times New Roman" w:cs="Times New Roman"/>
          <w:color w:val="000000" w:themeColor="text1"/>
        </w:rPr>
        <w:t xml:space="preserve">a priori in the research design and post hoc after data collection </w:t>
      </w:r>
      <w:r w:rsidRPr="0068584C">
        <w:rPr>
          <w:rFonts w:ascii="Times New Roman" w:hAnsi="Times New Roman" w:cs="Times New Roman"/>
          <w:color w:val="000000" w:themeColor="text1"/>
        </w:rPr>
        <w:t>to ensure and verify the validity of the findings</w:t>
      </w:r>
      <w:r w:rsidR="0043577E" w:rsidRPr="0068584C">
        <w:rPr>
          <w:rFonts w:ascii="Times New Roman" w:hAnsi="Times New Roman" w:cs="Times New Roman"/>
          <w:color w:val="000000" w:themeColor="text1"/>
        </w:rPr>
        <w:t>.</w:t>
      </w:r>
      <w:r w:rsidR="002B2991" w:rsidRPr="0068584C">
        <w:rPr>
          <w:rFonts w:ascii="Times New Roman" w:hAnsi="Times New Roman" w:cs="Times New Roman"/>
          <w:color w:val="000000" w:themeColor="text1"/>
        </w:rPr>
        <w:t xml:space="preserve"> T</w:t>
      </w:r>
      <w:r w:rsidR="0036373F" w:rsidRPr="0068584C">
        <w:rPr>
          <w:rFonts w:ascii="Times New Roman" w:hAnsi="Times New Roman" w:cs="Times New Roman"/>
          <w:color w:val="000000" w:themeColor="text1"/>
        </w:rPr>
        <w:t xml:space="preserve">he accuracy of the findings was verified </w:t>
      </w:r>
      <w:r w:rsidR="00BB52CC" w:rsidRPr="0068584C">
        <w:rPr>
          <w:rFonts w:ascii="Times New Roman" w:hAnsi="Times New Roman" w:cs="Times New Roman"/>
          <w:color w:val="000000" w:themeColor="text1"/>
        </w:rPr>
        <w:t>by employing recommended procedures</w:t>
      </w:r>
      <w:r w:rsidR="006E1830">
        <w:rPr>
          <w:rFonts w:ascii="Times New Roman" w:hAnsi="Times New Roman" w:cs="Times New Roman"/>
          <w:color w:val="000000" w:themeColor="text1"/>
        </w:rPr>
        <w:t xml:space="preserve"> </w:t>
      </w:r>
      <w:r w:rsidR="006E1830">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"Creswell", "given" : "John W", "non-dropping-particle" : "", "parse-names" : false, "suffix" : "" } ], "edition" : "4th", "id" : "ITEM-1", "issued" : { "date-parts" : [ [ "2014" ] ] }, "publisher" : "Sage Publications", "publisher-place" : "Thousand Oaks, CA", "title" : "Research Design: Qualitative, Quantitative, and Mixed Methods Appraoches", "type" : "book" }, "uris" : [ "http://www.mendeley.com/documents/?uuid=7e49577d-a28f-4ba6-aeba-ba2bd8f7db67" ] }, { "id" : "ITEM-2", "itemData" : { "author" : [ { "dropping-particle" : "", "family" : "Yin", "given" : "Robert K", "non-dropping-particle" : "", "parse-names" : false, "suffix" : "" } ], "edition" : "5th", "id" : "ITEM-2", "issued" : { "date-parts" : [ [ "2014" ] ] }, "publisher" : "Sage Publications", "publisher-place" : "Thousand Oaks, CA", "title" : "Case Study Research: Design and Methods", "type" : "book" }, "uris" : [ "http://www.mendeley.com/documents/?uuid=f8424e69-504e-44d8-930c-c76c3d211d90" ] } ], "mendeley" : { "formattedCitation" : "(Creswell, 2014; Yin, 2014)", "plainTextFormattedCitation" : "(Creswell, 2014; Yin, 2014)", "previouslyFormattedCitation" : "(Creswell, 2014; Yin, 2014)" }, "properties" : { "noteIndex" : 0 }, "schema" : "https://github.com/citation-style-language/schema/raw/master/csl-citation.json" }</w:instrText>
      </w:r>
      <w:r w:rsidR="006E1830">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(Creswell, 2014; Yin, 2014)</w:t>
      </w:r>
      <w:r w:rsidR="006E1830">
        <w:rPr>
          <w:rFonts w:ascii="Times New Roman" w:hAnsi="Times New Roman" w:cs="Times New Roman"/>
          <w:color w:val="000000" w:themeColor="text1"/>
        </w:rPr>
        <w:fldChar w:fldCharType="end"/>
      </w:r>
      <w:r w:rsidR="00BB52CC" w:rsidRPr="0068584C">
        <w:rPr>
          <w:rFonts w:ascii="Times New Roman" w:hAnsi="Times New Roman" w:cs="Times New Roman"/>
          <w:color w:val="000000" w:themeColor="text1"/>
        </w:rPr>
        <w:t xml:space="preserve">. </w:t>
      </w:r>
      <w:r w:rsidR="002636BA" w:rsidRPr="0068584C">
        <w:rPr>
          <w:rFonts w:ascii="Times New Roman" w:hAnsi="Times New Roman" w:cs="Times New Roman"/>
          <w:color w:val="000000" w:themeColor="text1"/>
        </w:rPr>
        <w:t xml:space="preserve">To enhance internal validity, for example, different types of information were analyzed </w:t>
      </w:r>
      <w:r w:rsidR="00DF7CC8" w:rsidRPr="0068584C">
        <w:rPr>
          <w:rFonts w:ascii="Times New Roman" w:hAnsi="Times New Roman" w:cs="Times New Roman"/>
          <w:color w:val="000000" w:themeColor="text1"/>
        </w:rPr>
        <w:t>(</w:t>
      </w:r>
      <w:r w:rsidR="002636BA" w:rsidRPr="0068584C">
        <w:rPr>
          <w:rFonts w:ascii="Times New Roman" w:hAnsi="Times New Roman" w:cs="Times New Roman"/>
          <w:color w:val="000000" w:themeColor="text1"/>
        </w:rPr>
        <w:t>data triangulation</w:t>
      </w:r>
      <w:r w:rsidR="00DF7CC8" w:rsidRPr="0068584C">
        <w:rPr>
          <w:rFonts w:ascii="Times New Roman" w:hAnsi="Times New Roman" w:cs="Times New Roman"/>
          <w:color w:val="000000" w:themeColor="text1"/>
        </w:rPr>
        <w:t>)</w:t>
      </w:r>
      <w:r w:rsidR="002636BA" w:rsidRPr="0068584C">
        <w:rPr>
          <w:rFonts w:ascii="Times New Roman" w:hAnsi="Times New Roman" w:cs="Times New Roman"/>
          <w:color w:val="000000" w:themeColor="text1"/>
        </w:rPr>
        <w:t>.</w:t>
      </w:r>
      <w:r w:rsidR="00322AFD" w:rsidRPr="0068584C">
        <w:rPr>
          <w:rFonts w:ascii="Times New Roman" w:hAnsi="Times New Roman" w:cs="Times New Roman"/>
          <w:color w:val="000000" w:themeColor="text1"/>
        </w:rPr>
        <w:t xml:space="preserve"> </w:t>
      </w:r>
      <w:r w:rsidR="00290DA1" w:rsidRPr="0068584C">
        <w:rPr>
          <w:rFonts w:ascii="Times New Roman" w:hAnsi="Times New Roman" w:cs="Times New Roman"/>
          <w:color w:val="000000" w:themeColor="text1"/>
        </w:rPr>
        <w:t xml:space="preserve">To verify the accuracy of initial findings, </w:t>
      </w:r>
      <w:r w:rsidR="009E7EC2">
        <w:rPr>
          <w:rFonts w:ascii="Times New Roman" w:hAnsi="Times New Roman" w:cs="Times New Roman"/>
          <w:color w:val="000000" w:themeColor="text1"/>
        </w:rPr>
        <w:t>the author</w:t>
      </w:r>
      <w:r w:rsidR="002E17EA">
        <w:rPr>
          <w:rFonts w:ascii="Times New Roman" w:hAnsi="Times New Roman" w:cs="Times New Roman"/>
          <w:color w:val="000000" w:themeColor="text1"/>
        </w:rPr>
        <w:t xml:space="preserve"> conducted </w:t>
      </w:r>
      <w:r w:rsidR="00290DA1" w:rsidRPr="0068584C">
        <w:rPr>
          <w:rFonts w:ascii="Times New Roman" w:hAnsi="Times New Roman" w:cs="Times New Roman"/>
          <w:color w:val="000000" w:themeColor="text1"/>
        </w:rPr>
        <w:t>m</w:t>
      </w:r>
      <w:r w:rsidR="00322AFD" w:rsidRPr="0068584C">
        <w:rPr>
          <w:rFonts w:ascii="Times New Roman" w:hAnsi="Times New Roman" w:cs="Times New Roman"/>
          <w:color w:val="000000" w:themeColor="text1"/>
        </w:rPr>
        <w:t xml:space="preserve">ember checks </w:t>
      </w:r>
      <w:r w:rsidR="00C141C0" w:rsidRPr="0068584C">
        <w:rPr>
          <w:rFonts w:ascii="Times New Roman" w:hAnsi="Times New Roman" w:cs="Times New Roman"/>
          <w:color w:val="000000" w:themeColor="text1"/>
        </w:rPr>
        <w:t xml:space="preserve">in follow-up conversations </w:t>
      </w:r>
      <w:r w:rsidR="00322AFD" w:rsidRPr="0068584C">
        <w:rPr>
          <w:rFonts w:ascii="Times New Roman" w:hAnsi="Times New Roman" w:cs="Times New Roman"/>
          <w:color w:val="000000" w:themeColor="text1"/>
        </w:rPr>
        <w:t>with some key study participants.</w:t>
      </w:r>
      <w:r w:rsidR="00C141C0" w:rsidRPr="0068584C">
        <w:rPr>
          <w:rFonts w:ascii="Times New Roman" w:hAnsi="Times New Roman" w:cs="Times New Roman"/>
          <w:color w:val="000000" w:themeColor="text1"/>
        </w:rPr>
        <w:t xml:space="preserve"> Peer debriefings </w:t>
      </w:r>
      <w:r w:rsidR="0098212B" w:rsidRPr="0068584C">
        <w:rPr>
          <w:rFonts w:ascii="Times New Roman" w:hAnsi="Times New Roman" w:cs="Times New Roman"/>
          <w:color w:val="000000" w:themeColor="text1"/>
        </w:rPr>
        <w:t xml:space="preserve">with uninvolved scholars were used to discuss findings and check the conclusions for potential logical flaws. </w:t>
      </w:r>
      <w:r w:rsidR="003A578F">
        <w:rPr>
          <w:rFonts w:ascii="Times New Roman" w:hAnsi="Times New Roman" w:cs="Times New Roman"/>
          <w:color w:val="000000" w:themeColor="text1"/>
        </w:rPr>
        <w:fldChar w:fldCharType="begin"/>
      </w:r>
      <w:r w:rsidR="003A578F">
        <w:rPr>
          <w:rFonts w:ascii="Times New Roman" w:hAnsi="Times New Roman" w:cs="Times New Roman"/>
          <w:color w:val="000000" w:themeColor="text1"/>
        </w:rPr>
        <w:instrText xml:space="preserve"> REF _Ref357387206 \h </w:instrText>
      </w:r>
      <w:r w:rsidR="003A578F">
        <w:rPr>
          <w:rFonts w:ascii="Times New Roman" w:hAnsi="Times New Roman" w:cs="Times New Roman"/>
          <w:color w:val="000000" w:themeColor="text1"/>
        </w:rPr>
      </w:r>
      <w:r w:rsidR="003A578F">
        <w:rPr>
          <w:rFonts w:ascii="Times New Roman" w:hAnsi="Times New Roman" w:cs="Times New Roman"/>
          <w:color w:val="000000" w:themeColor="text1"/>
        </w:rPr>
        <w:fldChar w:fldCharType="separate"/>
      </w:r>
      <w:r w:rsidR="00C2793E">
        <w:t xml:space="preserve">Table </w:t>
      </w:r>
      <w:r w:rsidR="00C2793E">
        <w:rPr>
          <w:noProof/>
        </w:rPr>
        <w:t>8</w:t>
      </w:r>
      <w:r w:rsidR="003A578F">
        <w:rPr>
          <w:rFonts w:ascii="Times New Roman" w:hAnsi="Times New Roman" w:cs="Times New Roman"/>
          <w:color w:val="000000" w:themeColor="text1"/>
        </w:rPr>
        <w:fldChar w:fldCharType="end"/>
      </w:r>
      <w:r w:rsidR="003A578F">
        <w:rPr>
          <w:rFonts w:ascii="Times New Roman" w:hAnsi="Times New Roman" w:cs="Times New Roman"/>
          <w:color w:val="000000" w:themeColor="text1"/>
        </w:rPr>
        <w:t xml:space="preserve"> </w:t>
      </w:r>
      <w:r w:rsidR="0098212B" w:rsidRPr="0068584C">
        <w:rPr>
          <w:rFonts w:ascii="Times New Roman" w:hAnsi="Times New Roman" w:cs="Times New Roman"/>
          <w:color w:val="000000" w:themeColor="text1"/>
        </w:rPr>
        <w:t>summarizes how the four main criteria were applied in the study.</w:t>
      </w:r>
    </w:p>
    <w:p w14:paraId="0EA867F3" w14:textId="77777777" w:rsidR="00054A61" w:rsidRPr="0068584C" w:rsidRDefault="00054A61" w:rsidP="0035460B">
      <w:pPr>
        <w:spacing w:line="480" w:lineRule="auto"/>
        <w:rPr>
          <w:rFonts w:ascii="Times New Roman" w:hAnsi="Times New Roman" w:cs="Times New Roman"/>
          <w:color w:val="000000" w:themeColor="text1"/>
        </w:rPr>
      </w:pPr>
    </w:p>
    <w:p w14:paraId="37F21FAF" w14:textId="60A507B2" w:rsidR="009F1BED" w:rsidRDefault="009F1BED" w:rsidP="009F1BED">
      <w:pPr>
        <w:pStyle w:val="Caption"/>
        <w:keepNext/>
      </w:pPr>
      <w:bookmarkStart w:id="74" w:name="_Toc358326844"/>
      <w:bookmarkStart w:id="75" w:name="_Ref357387206"/>
      <w:r>
        <w:t xml:space="preserve">Table </w:t>
      </w:r>
      <w:fldSimple w:instr=" SEQ Table \* ARABIC ">
        <w:r w:rsidR="00C2793E">
          <w:rPr>
            <w:noProof/>
          </w:rPr>
          <w:t>8</w:t>
        </w:r>
        <w:bookmarkEnd w:id="74"/>
      </w:fldSimple>
      <w:bookmarkEnd w:id="75"/>
    </w:p>
    <w:p w14:paraId="46A8C25A" w14:textId="01864FC5" w:rsidR="00B3308E" w:rsidRPr="009F1BED" w:rsidRDefault="00714896" w:rsidP="009F1BED">
      <w:pPr>
        <w:rPr>
          <w:rFonts w:ascii="Times New Roman" w:hAnsi="Times New Roman" w:cs="Times New Roman"/>
          <w:b/>
          <w:color w:val="000000" w:themeColor="text1"/>
        </w:rPr>
      </w:pPr>
      <w:r w:rsidRPr="009F1BED">
        <w:rPr>
          <w:rFonts w:ascii="Times New Roman" w:hAnsi="Times New Roman" w:cs="Times New Roman"/>
          <w:b/>
          <w:color w:val="000000" w:themeColor="text1"/>
        </w:rPr>
        <w:t>Validity and Reliability</w:t>
      </w:r>
      <w:r w:rsidR="00C5251D" w:rsidRPr="009F1BED">
        <w:rPr>
          <w:rFonts w:ascii="Times New Roman" w:hAnsi="Times New Roman" w:cs="Times New Roman"/>
          <w:b/>
          <w:color w:val="000000" w:themeColor="text1"/>
        </w:rPr>
        <w:t xml:space="preserve"> </w:t>
      </w:r>
      <w:r w:rsidR="00C5251D" w:rsidRPr="009F1BED">
        <w:rPr>
          <w:rFonts w:ascii="Times New Roman" w:hAnsi="Times New Roman" w:cs="Times New Roman"/>
          <w:color w:val="000000" w:themeColor="text1"/>
        </w:rPr>
        <w:fldChar w:fldCharType="begin" w:fldLock="1"/>
      </w:r>
      <w:r w:rsidR="000E6ECE" w:rsidRPr="009F1BED">
        <w:rPr>
          <w:rFonts w:ascii="Times New Roman" w:hAnsi="Times New Roman" w:cs="Times New Roman"/>
          <w:color w:val="000000" w:themeColor="text1"/>
        </w:rPr>
        <w:instrText>ADDIN CSL_CITATION { "citationItems" : [ { "id" : "ITEM-1", "itemData" : { "author" : [ { "dropping-particle" : "", "family" : "Tate", "given" : "Wendy L", "non-dropping-particle" : "", "parse-names" : false, "suffix" : "" }, { "dropping-particle" : "", "family" : "Ellram", "given" : "Lisa M", "non-dropping-particle" : "", "parse-names" : false, "suffix" : "" } ], "container-title" : "Journal of Supply Chain Management", "id" : "ITEM-1", "issue" : "4", "issued" : { "date-parts" : [ [ "2012" ] ] }, "page" : "8-29", "title" : "SERVICE SUPPLY MANAGEMENT STRUCTURE IN OFFSHORE OUTSOURCING", "type" : "article-journal", "volume" : "48" }, "uris" : [ "http://www.mendeley.com/documents/?uuid=588a1c27-cf46-47bc-ad82-d13f5a1c954c" ] }, { "id" : "ITEM-2", "itemData" : { "author" : [ { "dropping-particle" : "", "family" : "Creswell", "given" : "John W", "non-dropping-particle" : "", "parse-names" : false, "suffix" : "" } ], "edition" : "4th", "id" : "ITEM-2", "issued" : { "date-parts" : [ [ "2014" ] ] }, "publisher" : "Sage Publications", "publisher-place" : "Thousand Oaks, CA", "title" : "Research Design: Qualitative, Quantitative, and Mixed Methods Appraoches", "type" : "book" }, "uris" : [ "http://www.mendeley.com/documents/?uuid=7e49577d-a28f-4ba6-aeba-ba2bd8f7db67" ] }, { "id" : "ITEM-3", "itemData" : { "author" : [ { "dropping-particle" : "", "family" : "Yin", "given" : "Robert K", "non-dropping-particle" : "", "parse-names" : false, "suffix" : "" } ], "edition" : "5th", "id" : "ITEM-3", "issued" : { "date-parts" : [ [ "2014" ] ] }, "publisher" : "Sage Publications", "publisher-place" : "Thousand Oaks, CA", "title" : "Case Study Research: Design and Methods", "type" : "book" }, "uris" : [ "http://www.mendeley.com/documents/?uuid=f8424e69-504e-44d8-930c-c76c3d211d90" ] } ], "mendeley" : { "formattedCitation" : "(Creswell, 2014; Tate &amp; Ellram, 2012; Yin, 2014)", "plainTextFormattedCitation" : "(Creswell, 2014; Tate &amp; Ellram, 2012; Yin, 2014)", "previouslyFormattedCitation" : "(Creswell, 2014; Tate &amp; Ellram, 2012; Yin, 2014)" }, "properties" : { "noteIndex" : 0 }, "schema" : "https://github.com/citation-style-language/schema/raw/master/csl-citation.json" }</w:instrText>
      </w:r>
      <w:r w:rsidR="00C5251D" w:rsidRPr="009F1BED">
        <w:rPr>
          <w:rFonts w:ascii="Times New Roman" w:hAnsi="Times New Roman" w:cs="Times New Roman"/>
          <w:color w:val="000000" w:themeColor="text1"/>
        </w:rPr>
        <w:fldChar w:fldCharType="separate"/>
      </w:r>
      <w:r w:rsidR="000E6ECE" w:rsidRPr="009F1BED">
        <w:rPr>
          <w:rFonts w:ascii="Times New Roman" w:hAnsi="Times New Roman" w:cs="Times New Roman"/>
          <w:noProof/>
          <w:color w:val="000000" w:themeColor="text1"/>
        </w:rPr>
        <w:t>(Creswell, 2014; Tate &amp; Ellram, 2012; Yin, 2014)</w:t>
      </w:r>
      <w:r w:rsidR="00C5251D" w:rsidRPr="009F1BED">
        <w:rPr>
          <w:rFonts w:ascii="Times New Roman" w:hAnsi="Times New Roman" w:cs="Times New Roman"/>
          <w:color w:val="000000" w:themeColor="text1"/>
        </w:rPr>
        <w:fldChar w:fldCharType="end"/>
      </w:r>
      <w:r w:rsidRPr="009F1BED">
        <w:rPr>
          <w:rFonts w:ascii="Times New Roman" w:hAnsi="Times New Roman" w:cs="Times New Roman"/>
          <w:b/>
          <w:color w:val="000000" w:themeColor="text1"/>
        </w:rPr>
        <w:t xml:space="preserve"> </w:t>
      </w:r>
    </w:p>
    <w:p w14:paraId="74D195DB" w14:textId="564D71B5" w:rsidR="00EA72F9" w:rsidRPr="0068584C" w:rsidRDefault="000870B7" w:rsidP="0035460B">
      <w:pPr>
        <w:spacing w:line="480" w:lineRule="auto"/>
        <w:rPr>
          <w:rFonts w:ascii="Times New Roman" w:hAnsi="Times New Roman" w:cs="Times New Roman"/>
          <w:color w:val="000000" w:themeColor="text1"/>
        </w:rPr>
      </w:pPr>
      <w:r w:rsidRPr="0068584C">
        <w:rPr>
          <w:rFonts w:ascii="Times New Roman" w:hAnsi="Times New Roman" w:cs="Times New Roman"/>
          <w:noProof/>
          <w:color w:val="000000" w:themeColor="text1"/>
        </w:rPr>
        <w:drawing>
          <wp:inline distT="0" distB="0" distL="0" distR="0" wp14:anchorId="1F8EB4A6" wp14:editId="613B21EA">
            <wp:extent cx="5486400" cy="305192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3051920"/>
                    </a:xfrm>
                    <a:prstGeom prst="rect">
                      <a:avLst/>
                    </a:prstGeom>
                    <a:noFill/>
                    <a:ln>
                      <a:noFill/>
                    </a:ln>
                  </pic:spPr>
                </pic:pic>
              </a:graphicData>
            </a:graphic>
          </wp:inline>
        </w:drawing>
      </w:r>
    </w:p>
    <w:p w14:paraId="1CC0FEE6" w14:textId="28603E36" w:rsidR="005D7A41" w:rsidRPr="0068584C" w:rsidRDefault="00F269B7"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lastRenderedPageBreak/>
        <w:t>To address the research questions</w:t>
      </w:r>
      <w:r w:rsidR="0035259B" w:rsidRPr="0068584C">
        <w:rPr>
          <w:rFonts w:ascii="Times New Roman" w:hAnsi="Times New Roman" w:cs="Times New Roman"/>
          <w:color w:val="000000" w:themeColor="text1"/>
        </w:rPr>
        <w:t xml:space="preserve"> and elaborate the theory</w:t>
      </w:r>
      <w:r w:rsidR="006C0CF2">
        <w:rPr>
          <w:rFonts w:ascii="Times New Roman" w:hAnsi="Times New Roman" w:cs="Times New Roman"/>
          <w:color w:val="000000" w:themeColor="text1"/>
        </w:rPr>
        <w:t xml:space="preserve"> </w:t>
      </w:r>
      <w:r w:rsidR="006C0CF2">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"10.1016/j.jom.2014.03.004", "ISSN" : "0272-6963", "author" : [ { "dropping-particle" : "", "family" : "Ketokivi", "given" : "Mikko", "non-dropping-particle" : "", "parse-names" : false, "suffix" : "" }, { "dropping-particle" : "", "family" : "Choi", "given" : "Thomas", "non-dropping-particle" : "", "parse-names" : false, "suffix" : "" } ], "container-title" : "Journal of Operations Management", "id" : "ITEM-1", "issue" : "5", "issued" : { "date-parts" : [ [ "2014" ] ] }, "page" : "232-240", "publisher" : "Elsevier B.V.", "title" : "Renaissance of case research as a scientific method", "type" : "article-journal", "volume" : "32" }, "uris" : [ "http://www.mendeley.com/documents/?uuid=d1c36dbd-61c8-47df-91bd-ba12cdfcdf11" ] } ], "mendeley" : { "formattedCitation" : "(Ketokivi &amp; Choi, 2014)", "plainTextFormattedCitation" : "(Ketokivi &amp; Choi, 2014)", "previouslyFormattedCitation" : "(Ketokivi &amp; Choi, 2014)" }, "properties" : { "noteIndex" : 0 }, "schema" : "https://github.com/citation-style-language/schema/raw/master/csl-citation.json" }</w:instrText>
      </w:r>
      <w:r w:rsidR="006C0CF2">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(Ketokivi &amp; Choi, 2014)</w:t>
      </w:r>
      <w:r w:rsidR="006C0CF2">
        <w:rPr>
          <w:rFonts w:ascii="Times New Roman" w:hAnsi="Times New Roman" w:cs="Times New Roman"/>
          <w:color w:val="000000" w:themeColor="text1"/>
        </w:rPr>
        <w:fldChar w:fldCharType="end"/>
      </w:r>
      <w:r w:rsidR="006C0CF2">
        <w:rPr>
          <w:rFonts w:ascii="Times New Roman" w:hAnsi="Times New Roman" w:cs="Times New Roman"/>
          <w:color w:val="000000" w:themeColor="text1"/>
        </w:rPr>
        <w:t>,</w:t>
      </w:r>
      <w:r w:rsidRPr="0068584C">
        <w:rPr>
          <w:rFonts w:ascii="Times New Roman" w:hAnsi="Times New Roman" w:cs="Times New Roman"/>
          <w:color w:val="000000" w:themeColor="text1"/>
        </w:rPr>
        <w:t xml:space="preserve"> </w:t>
      </w:r>
      <w:r w:rsidR="0035259B" w:rsidRPr="0068584C">
        <w:rPr>
          <w:rFonts w:ascii="Times New Roman" w:hAnsi="Times New Roman" w:cs="Times New Roman"/>
          <w:color w:val="000000" w:themeColor="text1"/>
        </w:rPr>
        <w:t>the inductive case study approach</w:t>
      </w:r>
      <w:r w:rsidR="000E4D4E" w:rsidRPr="0068584C">
        <w:rPr>
          <w:rFonts w:ascii="Times New Roman" w:hAnsi="Times New Roman" w:cs="Times New Roman"/>
          <w:color w:val="000000" w:themeColor="text1"/>
        </w:rPr>
        <w:t xml:space="preserve"> was used</w:t>
      </w:r>
      <w:r w:rsidR="00670361" w:rsidRPr="0068584C">
        <w:rPr>
          <w:rFonts w:ascii="Times New Roman" w:hAnsi="Times New Roman" w:cs="Times New Roman"/>
          <w:color w:val="000000" w:themeColor="text1"/>
        </w:rPr>
        <w:t xml:space="preserve">. Using the existing resource orchestration theory as </w:t>
      </w:r>
      <w:r w:rsidR="00C247D5" w:rsidRPr="0068584C">
        <w:rPr>
          <w:rFonts w:ascii="Times New Roman" w:hAnsi="Times New Roman" w:cs="Times New Roman"/>
          <w:color w:val="000000" w:themeColor="text1"/>
        </w:rPr>
        <w:t xml:space="preserve">a </w:t>
      </w:r>
      <w:r w:rsidR="00670361" w:rsidRPr="0068584C">
        <w:rPr>
          <w:rFonts w:ascii="Times New Roman" w:hAnsi="Times New Roman" w:cs="Times New Roman"/>
          <w:color w:val="000000" w:themeColor="text1"/>
        </w:rPr>
        <w:t xml:space="preserve">starting point, </w:t>
      </w:r>
      <w:r w:rsidR="0025549C" w:rsidRPr="0068584C">
        <w:rPr>
          <w:rFonts w:ascii="Times New Roman" w:hAnsi="Times New Roman" w:cs="Times New Roman"/>
          <w:color w:val="000000" w:themeColor="text1"/>
        </w:rPr>
        <w:t>the supply chain resource orchestration practices of the participant organizations</w:t>
      </w:r>
      <w:r w:rsidRPr="0068584C">
        <w:rPr>
          <w:rFonts w:ascii="Times New Roman" w:hAnsi="Times New Roman" w:cs="Times New Roman"/>
          <w:color w:val="000000" w:themeColor="text1"/>
        </w:rPr>
        <w:t xml:space="preserve"> and potential corporate culture implications</w:t>
      </w:r>
      <w:r w:rsidR="000E4D4E" w:rsidRPr="0068584C">
        <w:rPr>
          <w:rFonts w:ascii="Times New Roman" w:hAnsi="Times New Roman" w:cs="Times New Roman"/>
          <w:color w:val="000000" w:themeColor="text1"/>
        </w:rPr>
        <w:t xml:space="preserve"> were applied</w:t>
      </w:r>
      <w:r w:rsidR="0025549C" w:rsidRPr="0068584C">
        <w:rPr>
          <w:rFonts w:ascii="Times New Roman" w:hAnsi="Times New Roman" w:cs="Times New Roman"/>
          <w:color w:val="000000" w:themeColor="text1"/>
        </w:rPr>
        <w:t xml:space="preserve">. </w:t>
      </w:r>
      <w:r w:rsidR="00D90409" w:rsidRPr="0068584C">
        <w:rPr>
          <w:rFonts w:ascii="Times New Roman" w:hAnsi="Times New Roman" w:cs="Times New Roman"/>
          <w:color w:val="000000" w:themeColor="text1"/>
        </w:rPr>
        <w:t>T</w:t>
      </w:r>
      <w:r w:rsidR="005D7A41" w:rsidRPr="0068584C">
        <w:rPr>
          <w:rFonts w:ascii="Times New Roman" w:hAnsi="Times New Roman" w:cs="Times New Roman"/>
          <w:color w:val="000000" w:themeColor="text1"/>
        </w:rPr>
        <w:t xml:space="preserve">he </w:t>
      </w:r>
      <w:r w:rsidR="00884880">
        <w:rPr>
          <w:rFonts w:ascii="Times New Roman" w:hAnsi="Times New Roman" w:cs="Times New Roman"/>
          <w:color w:val="000000" w:themeColor="text1"/>
        </w:rPr>
        <w:t xml:space="preserve">following </w:t>
      </w:r>
      <w:r w:rsidR="005D7A41" w:rsidRPr="0068584C">
        <w:rPr>
          <w:rFonts w:ascii="Times New Roman" w:hAnsi="Times New Roman" w:cs="Times New Roman"/>
          <w:color w:val="000000" w:themeColor="text1"/>
        </w:rPr>
        <w:t>cross-case analysis</w:t>
      </w:r>
      <w:r w:rsidR="0095610C" w:rsidRPr="0068584C">
        <w:rPr>
          <w:rFonts w:ascii="Times New Roman" w:hAnsi="Times New Roman" w:cs="Times New Roman"/>
          <w:color w:val="000000" w:themeColor="text1"/>
        </w:rPr>
        <w:t xml:space="preserve"> </w:t>
      </w:r>
      <w:r w:rsidR="00884880">
        <w:rPr>
          <w:rFonts w:ascii="Times New Roman" w:hAnsi="Times New Roman" w:cs="Times New Roman"/>
          <w:color w:val="000000" w:themeColor="text1"/>
        </w:rPr>
        <w:t>and case</w:t>
      </w:r>
      <w:r w:rsidR="00884880" w:rsidRPr="0068584C">
        <w:rPr>
          <w:rFonts w:ascii="Times New Roman" w:hAnsi="Times New Roman" w:cs="Times New Roman"/>
          <w:color w:val="000000" w:themeColor="text1"/>
        </w:rPr>
        <w:t xml:space="preserve"> </w:t>
      </w:r>
      <w:r w:rsidR="0095610C" w:rsidRPr="0068584C">
        <w:rPr>
          <w:rFonts w:ascii="Times New Roman" w:hAnsi="Times New Roman" w:cs="Times New Roman"/>
          <w:color w:val="000000" w:themeColor="text1"/>
        </w:rPr>
        <w:t xml:space="preserve">discussion describes </w:t>
      </w:r>
      <w:r w:rsidR="005D7A41" w:rsidRPr="0068584C">
        <w:rPr>
          <w:rFonts w:ascii="Times New Roman" w:hAnsi="Times New Roman" w:cs="Times New Roman"/>
          <w:color w:val="000000" w:themeColor="text1"/>
        </w:rPr>
        <w:t xml:space="preserve">relevant SCRO </w:t>
      </w:r>
      <w:r w:rsidR="00F8385E" w:rsidRPr="0068584C">
        <w:rPr>
          <w:rFonts w:ascii="Times New Roman" w:hAnsi="Times New Roman" w:cs="Times New Roman"/>
          <w:color w:val="000000" w:themeColor="text1"/>
        </w:rPr>
        <w:t xml:space="preserve">categories and sub-categories </w:t>
      </w:r>
      <w:r w:rsidR="0095610C" w:rsidRPr="0068584C">
        <w:rPr>
          <w:rFonts w:ascii="Times New Roman" w:hAnsi="Times New Roman" w:cs="Times New Roman"/>
          <w:color w:val="000000" w:themeColor="text1"/>
        </w:rPr>
        <w:t>developed during the iterative process</w:t>
      </w:r>
      <w:r w:rsidR="005D7A41" w:rsidRPr="0068584C">
        <w:rPr>
          <w:rFonts w:ascii="Times New Roman" w:hAnsi="Times New Roman" w:cs="Times New Roman"/>
          <w:color w:val="000000" w:themeColor="text1"/>
        </w:rPr>
        <w:t xml:space="preserve">. </w:t>
      </w:r>
    </w:p>
    <w:p w14:paraId="62C57D6A" w14:textId="77777777" w:rsidR="009557D9" w:rsidRDefault="009557D9" w:rsidP="0035460B">
      <w:pPr>
        <w:spacing w:line="480" w:lineRule="auto"/>
        <w:rPr>
          <w:rFonts w:ascii="Times New Roman" w:hAnsi="Times New Roman" w:cs="Times New Roman"/>
          <w:color w:val="000000" w:themeColor="text1"/>
        </w:rPr>
      </w:pPr>
    </w:p>
    <w:p w14:paraId="6A68E48C" w14:textId="77777777" w:rsidR="00A10E6A" w:rsidRPr="0068584C" w:rsidRDefault="00A10E6A" w:rsidP="0035460B">
      <w:pPr>
        <w:spacing w:line="480" w:lineRule="auto"/>
        <w:rPr>
          <w:rFonts w:ascii="Times New Roman" w:hAnsi="Times New Roman" w:cs="Times New Roman"/>
          <w:color w:val="000000" w:themeColor="text1"/>
        </w:rPr>
      </w:pPr>
    </w:p>
    <w:p w14:paraId="54C3E047" w14:textId="4A25A8EA" w:rsidR="00754171" w:rsidRPr="00EE1D96" w:rsidRDefault="00514929" w:rsidP="00EE1D96">
      <w:pPr>
        <w:pStyle w:val="Heading2"/>
      </w:pPr>
      <w:bookmarkStart w:id="76" w:name="_Toc357382420"/>
      <w:bookmarkStart w:id="77" w:name="_Toc357383266"/>
      <w:bookmarkStart w:id="78" w:name="_Toc358326737"/>
      <w:r>
        <w:t>Case Analysis and Discussion</w:t>
      </w:r>
      <w:bookmarkEnd w:id="76"/>
      <w:bookmarkEnd w:id="77"/>
      <w:bookmarkEnd w:id="78"/>
    </w:p>
    <w:p w14:paraId="7C410A36" w14:textId="1E00D658" w:rsidR="008D0CB1" w:rsidRPr="0068584C" w:rsidRDefault="0017779D"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T</w:t>
      </w:r>
      <w:r w:rsidR="008D0CB1" w:rsidRPr="0068584C">
        <w:rPr>
          <w:rFonts w:ascii="Times New Roman" w:hAnsi="Times New Roman" w:cs="Times New Roman"/>
          <w:color w:val="000000" w:themeColor="text1"/>
        </w:rPr>
        <w:t xml:space="preserve">he conceptual model and the research propositions </w:t>
      </w:r>
      <w:r w:rsidR="00921BCE">
        <w:rPr>
          <w:rFonts w:ascii="Times New Roman" w:hAnsi="Times New Roman" w:cs="Times New Roman"/>
          <w:color w:val="000000" w:themeColor="text1"/>
        </w:rPr>
        <w:t xml:space="preserve">are </w:t>
      </w:r>
      <w:r w:rsidR="008D0CB1" w:rsidRPr="0068584C">
        <w:rPr>
          <w:rFonts w:ascii="Times New Roman" w:hAnsi="Times New Roman" w:cs="Times New Roman"/>
          <w:color w:val="000000" w:themeColor="text1"/>
        </w:rPr>
        <w:t>based on literature and theory</w:t>
      </w:r>
      <w:r w:rsidR="00921BCE">
        <w:rPr>
          <w:rFonts w:ascii="Times New Roman" w:hAnsi="Times New Roman" w:cs="Times New Roman"/>
          <w:color w:val="000000" w:themeColor="text1"/>
        </w:rPr>
        <w:t>, as ou</w:t>
      </w:r>
      <w:r w:rsidR="001D2440">
        <w:rPr>
          <w:rFonts w:ascii="Times New Roman" w:hAnsi="Times New Roman" w:cs="Times New Roman"/>
          <w:color w:val="000000" w:themeColor="text1"/>
        </w:rPr>
        <w:t>tlined in the previous sections</w:t>
      </w:r>
      <w:r w:rsidR="008D0CB1" w:rsidRPr="0068584C">
        <w:rPr>
          <w:rFonts w:ascii="Times New Roman" w:hAnsi="Times New Roman" w:cs="Times New Roman"/>
          <w:color w:val="000000" w:themeColor="text1"/>
        </w:rPr>
        <w:t xml:space="preserve">. However, the </w:t>
      </w:r>
      <w:r w:rsidR="001D2440">
        <w:rPr>
          <w:rFonts w:ascii="Times New Roman" w:hAnsi="Times New Roman" w:cs="Times New Roman"/>
          <w:color w:val="000000" w:themeColor="text1"/>
        </w:rPr>
        <w:t xml:space="preserve">theory-based </w:t>
      </w:r>
      <w:r w:rsidR="008D0CB1" w:rsidRPr="0068584C">
        <w:rPr>
          <w:rFonts w:ascii="Times New Roman" w:hAnsi="Times New Roman" w:cs="Times New Roman"/>
          <w:color w:val="000000" w:themeColor="text1"/>
        </w:rPr>
        <w:t xml:space="preserve">picture </w:t>
      </w:r>
      <w:r w:rsidR="00196E38" w:rsidRPr="0068584C">
        <w:rPr>
          <w:rFonts w:ascii="Times New Roman" w:hAnsi="Times New Roman" w:cs="Times New Roman"/>
          <w:color w:val="000000" w:themeColor="text1"/>
        </w:rPr>
        <w:t>remains</w:t>
      </w:r>
      <w:r w:rsidR="008D0CB1" w:rsidRPr="0068584C">
        <w:rPr>
          <w:rFonts w:ascii="Times New Roman" w:hAnsi="Times New Roman" w:cs="Times New Roman"/>
          <w:color w:val="000000" w:themeColor="text1"/>
        </w:rPr>
        <w:t xml:space="preserve"> incomplete. Thus, the </w:t>
      </w:r>
      <w:r w:rsidR="00062345">
        <w:rPr>
          <w:rFonts w:ascii="Times New Roman" w:hAnsi="Times New Roman" w:cs="Times New Roman"/>
          <w:color w:val="000000" w:themeColor="text1"/>
        </w:rPr>
        <w:t xml:space="preserve">following </w:t>
      </w:r>
      <w:r w:rsidR="008D0CB1" w:rsidRPr="0068584C">
        <w:rPr>
          <w:rFonts w:ascii="Times New Roman" w:hAnsi="Times New Roman" w:cs="Times New Roman"/>
          <w:color w:val="000000" w:themeColor="text1"/>
        </w:rPr>
        <w:t xml:space="preserve">analysis </w:t>
      </w:r>
      <w:r w:rsidR="00062345">
        <w:rPr>
          <w:rFonts w:ascii="Times New Roman" w:hAnsi="Times New Roman" w:cs="Times New Roman"/>
          <w:color w:val="000000" w:themeColor="text1"/>
        </w:rPr>
        <w:t xml:space="preserve">of the case evidence collected </w:t>
      </w:r>
      <w:r w:rsidR="008D0CB1" w:rsidRPr="0068584C">
        <w:rPr>
          <w:rFonts w:ascii="Times New Roman" w:hAnsi="Times New Roman" w:cs="Times New Roman"/>
          <w:color w:val="000000" w:themeColor="text1"/>
        </w:rPr>
        <w:t>provide</w:t>
      </w:r>
      <w:r w:rsidRPr="0068584C">
        <w:rPr>
          <w:rFonts w:ascii="Times New Roman" w:hAnsi="Times New Roman" w:cs="Times New Roman"/>
          <w:color w:val="000000" w:themeColor="text1"/>
        </w:rPr>
        <w:t>s</w:t>
      </w:r>
      <w:r w:rsidR="008D0CB1" w:rsidRPr="0068584C">
        <w:rPr>
          <w:rFonts w:ascii="Times New Roman" w:hAnsi="Times New Roman" w:cs="Times New Roman"/>
          <w:color w:val="000000" w:themeColor="text1"/>
        </w:rPr>
        <w:t xml:space="preserve"> additional insights and important new perspectives</w:t>
      </w:r>
      <w:r w:rsidR="001D2440">
        <w:rPr>
          <w:rFonts w:ascii="Times New Roman" w:hAnsi="Times New Roman" w:cs="Times New Roman"/>
          <w:color w:val="000000" w:themeColor="text1"/>
        </w:rPr>
        <w:t xml:space="preserve"> from practitioners</w:t>
      </w:r>
      <w:r w:rsidR="008D0CB1" w:rsidRPr="0068584C">
        <w:rPr>
          <w:rFonts w:ascii="Times New Roman" w:hAnsi="Times New Roman" w:cs="Times New Roman"/>
          <w:color w:val="000000" w:themeColor="text1"/>
        </w:rPr>
        <w:t xml:space="preserve"> to complement the prior conceptual development.</w:t>
      </w:r>
    </w:p>
    <w:p w14:paraId="1C78F27A" w14:textId="1EF2E4E0" w:rsidR="00500F6F" w:rsidRPr="0068584C" w:rsidRDefault="00A56D11" w:rsidP="0035460B">
      <w:pPr>
        <w:spacing w:line="480" w:lineRule="auto"/>
        <w:ind w:firstLine="720"/>
        <w:jc w:val="both"/>
        <w:rPr>
          <w:rFonts w:ascii="Times New Roman" w:hAnsi="Times New Roman" w:cs="Times New Roman"/>
          <w:color w:val="000000" w:themeColor="text1"/>
        </w:rPr>
      </w:pPr>
      <w:r w:rsidRPr="0068584C">
        <w:rPr>
          <w:rFonts w:ascii="Times New Roman" w:hAnsi="Times New Roman" w:cs="Times New Roman"/>
          <w:color w:val="000000" w:themeColor="text1"/>
        </w:rPr>
        <w:t>In thi</w:t>
      </w:r>
      <w:r w:rsidR="00DD1A6C" w:rsidRPr="0068584C">
        <w:rPr>
          <w:rFonts w:ascii="Times New Roman" w:hAnsi="Times New Roman" w:cs="Times New Roman"/>
          <w:color w:val="000000" w:themeColor="text1"/>
        </w:rPr>
        <w:t>s section, the interview data are</w:t>
      </w:r>
      <w:r w:rsidRPr="0068584C">
        <w:rPr>
          <w:rFonts w:ascii="Times New Roman" w:hAnsi="Times New Roman" w:cs="Times New Roman"/>
          <w:color w:val="000000" w:themeColor="text1"/>
        </w:rPr>
        <w:t xml:space="preserve"> analyzed and related to the four main concepts of resources, supply chain resource orchestration, organizational culture, and organizational performance. </w:t>
      </w:r>
      <w:r w:rsidR="00F83769" w:rsidRPr="0068584C">
        <w:rPr>
          <w:rFonts w:ascii="Times New Roman" w:hAnsi="Times New Roman" w:cs="Times New Roman"/>
          <w:color w:val="000000" w:themeColor="text1"/>
        </w:rPr>
        <w:t xml:space="preserve"> Each organization revealed a different approach to the management of external resources and noticeable differences in terms of innovation culture. </w:t>
      </w:r>
      <w:r w:rsidR="005874FF" w:rsidRPr="0068584C">
        <w:rPr>
          <w:rFonts w:ascii="Times New Roman" w:hAnsi="Times New Roman" w:cs="Times New Roman"/>
          <w:color w:val="000000" w:themeColor="text1"/>
        </w:rPr>
        <w:t>Most importantly, t</w:t>
      </w:r>
      <w:r w:rsidR="00C5307A" w:rsidRPr="0068584C">
        <w:rPr>
          <w:rFonts w:ascii="Times New Roman" w:hAnsi="Times New Roman" w:cs="Times New Roman"/>
          <w:color w:val="000000" w:themeColor="text1"/>
        </w:rPr>
        <w:t>he interviewed managers illustratively described important SCRO practices</w:t>
      </w:r>
      <w:r w:rsidR="0082036E">
        <w:rPr>
          <w:rFonts w:ascii="Times New Roman" w:hAnsi="Times New Roman" w:cs="Times New Roman"/>
          <w:color w:val="000000" w:themeColor="text1"/>
        </w:rPr>
        <w:t xml:space="preserve"> and its implications</w:t>
      </w:r>
      <w:r w:rsidR="005874FF" w:rsidRPr="0068584C">
        <w:rPr>
          <w:rFonts w:ascii="Times New Roman" w:hAnsi="Times New Roman" w:cs="Times New Roman"/>
          <w:color w:val="000000" w:themeColor="text1"/>
        </w:rPr>
        <w:t xml:space="preserve">. The interviews </w:t>
      </w:r>
      <w:r w:rsidR="00624B76">
        <w:rPr>
          <w:rFonts w:ascii="Times New Roman" w:hAnsi="Times New Roman" w:cs="Times New Roman"/>
          <w:color w:val="000000" w:themeColor="text1"/>
        </w:rPr>
        <w:t xml:space="preserve">also </w:t>
      </w:r>
      <w:r w:rsidR="005874FF" w:rsidRPr="0068584C">
        <w:rPr>
          <w:rFonts w:ascii="Times New Roman" w:hAnsi="Times New Roman" w:cs="Times New Roman"/>
          <w:color w:val="000000" w:themeColor="text1"/>
        </w:rPr>
        <w:t xml:space="preserve">revealed </w:t>
      </w:r>
      <w:r w:rsidR="00C5307A" w:rsidRPr="0068584C">
        <w:rPr>
          <w:rFonts w:ascii="Times New Roman" w:hAnsi="Times New Roman" w:cs="Times New Roman"/>
          <w:color w:val="000000" w:themeColor="text1"/>
        </w:rPr>
        <w:t>their companies’ organizational culture</w:t>
      </w:r>
      <w:r w:rsidR="00624B76">
        <w:rPr>
          <w:rFonts w:ascii="Times New Roman" w:hAnsi="Times New Roman" w:cs="Times New Roman"/>
          <w:color w:val="000000" w:themeColor="text1"/>
        </w:rPr>
        <w:t xml:space="preserve"> and indicated the level of fit with their SCRO practices</w:t>
      </w:r>
      <w:r w:rsidR="00C5307A" w:rsidRPr="0068584C">
        <w:rPr>
          <w:rFonts w:ascii="Times New Roman" w:hAnsi="Times New Roman" w:cs="Times New Roman"/>
          <w:color w:val="000000" w:themeColor="text1"/>
        </w:rPr>
        <w:t xml:space="preserve">. </w:t>
      </w:r>
      <w:r w:rsidR="00500F6F" w:rsidRPr="0068584C">
        <w:rPr>
          <w:rFonts w:ascii="Times New Roman" w:hAnsi="Times New Roman" w:cs="Times New Roman"/>
          <w:color w:val="000000" w:themeColor="text1"/>
        </w:rPr>
        <w:t xml:space="preserve">The </w:t>
      </w:r>
      <w:r w:rsidR="00F83769" w:rsidRPr="0068584C">
        <w:rPr>
          <w:rFonts w:ascii="Times New Roman" w:hAnsi="Times New Roman" w:cs="Times New Roman"/>
          <w:color w:val="000000" w:themeColor="text1"/>
        </w:rPr>
        <w:t xml:space="preserve">case </w:t>
      </w:r>
      <w:r w:rsidR="00500F6F" w:rsidRPr="0068584C">
        <w:rPr>
          <w:rFonts w:ascii="Times New Roman" w:hAnsi="Times New Roman" w:cs="Times New Roman"/>
          <w:color w:val="000000" w:themeColor="text1"/>
        </w:rPr>
        <w:t xml:space="preserve">analysis offers </w:t>
      </w:r>
      <w:r w:rsidR="000B458A">
        <w:rPr>
          <w:rFonts w:ascii="Times New Roman" w:hAnsi="Times New Roman" w:cs="Times New Roman"/>
          <w:color w:val="000000" w:themeColor="text1"/>
        </w:rPr>
        <w:t>some</w:t>
      </w:r>
      <w:r w:rsidR="00500F6F" w:rsidRPr="0068584C">
        <w:rPr>
          <w:rFonts w:ascii="Times New Roman" w:hAnsi="Times New Roman" w:cs="Times New Roman"/>
          <w:color w:val="000000" w:themeColor="text1"/>
        </w:rPr>
        <w:t xml:space="preserve"> vali</w:t>
      </w:r>
      <w:r w:rsidR="00F83769" w:rsidRPr="0068584C">
        <w:rPr>
          <w:rFonts w:ascii="Times New Roman" w:hAnsi="Times New Roman" w:cs="Times New Roman"/>
          <w:color w:val="000000" w:themeColor="text1"/>
        </w:rPr>
        <w:t>dation of the conceptual model and enrich</w:t>
      </w:r>
      <w:r w:rsidR="002866CB" w:rsidRPr="0068584C">
        <w:rPr>
          <w:rFonts w:ascii="Times New Roman" w:hAnsi="Times New Roman" w:cs="Times New Roman"/>
          <w:color w:val="000000" w:themeColor="text1"/>
        </w:rPr>
        <w:t>es</w:t>
      </w:r>
      <w:r w:rsidR="00500F6F" w:rsidRPr="0068584C">
        <w:rPr>
          <w:rFonts w:ascii="Times New Roman" w:hAnsi="Times New Roman" w:cs="Times New Roman"/>
          <w:color w:val="000000" w:themeColor="text1"/>
        </w:rPr>
        <w:t xml:space="preserve"> the mode</w:t>
      </w:r>
      <w:r w:rsidR="00F83769" w:rsidRPr="0068584C">
        <w:rPr>
          <w:rFonts w:ascii="Times New Roman" w:hAnsi="Times New Roman" w:cs="Times New Roman"/>
          <w:color w:val="000000" w:themeColor="text1"/>
        </w:rPr>
        <w:t xml:space="preserve">l. Furthermore, the cross-case analysis </w:t>
      </w:r>
      <w:r w:rsidR="002866CB" w:rsidRPr="0068584C">
        <w:rPr>
          <w:rFonts w:ascii="Times New Roman" w:hAnsi="Times New Roman" w:cs="Times New Roman"/>
          <w:color w:val="000000" w:themeColor="text1"/>
        </w:rPr>
        <w:t xml:space="preserve">substantiates the </w:t>
      </w:r>
      <w:r w:rsidR="007B2EA6" w:rsidRPr="0068584C">
        <w:rPr>
          <w:rFonts w:ascii="Times New Roman" w:hAnsi="Times New Roman" w:cs="Times New Roman"/>
          <w:color w:val="000000" w:themeColor="text1"/>
        </w:rPr>
        <w:t>theoretically derived</w:t>
      </w:r>
      <w:r w:rsidR="002866CB" w:rsidRPr="0068584C">
        <w:rPr>
          <w:rFonts w:ascii="Times New Roman" w:hAnsi="Times New Roman" w:cs="Times New Roman"/>
          <w:color w:val="000000" w:themeColor="text1"/>
        </w:rPr>
        <w:t xml:space="preserve"> propositions and </w:t>
      </w:r>
      <w:r w:rsidR="00F83769" w:rsidRPr="0068584C">
        <w:rPr>
          <w:rFonts w:ascii="Times New Roman" w:hAnsi="Times New Roman" w:cs="Times New Roman"/>
          <w:color w:val="000000" w:themeColor="text1"/>
        </w:rPr>
        <w:t>lead</w:t>
      </w:r>
      <w:r w:rsidR="002866CB" w:rsidRPr="0068584C">
        <w:rPr>
          <w:rFonts w:ascii="Times New Roman" w:hAnsi="Times New Roman" w:cs="Times New Roman"/>
          <w:color w:val="000000" w:themeColor="text1"/>
        </w:rPr>
        <w:t>s</w:t>
      </w:r>
      <w:r w:rsidR="00F83769" w:rsidRPr="0068584C">
        <w:rPr>
          <w:rFonts w:ascii="Times New Roman" w:hAnsi="Times New Roman" w:cs="Times New Roman"/>
          <w:color w:val="000000" w:themeColor="text1"/>
        </w:rPr>
        <w:t xml:space="preserve"> to </w:t>
      </w:r>
      <w:r w:rsidR="00500F6F" w:rsidRPr="0068584C">
        <w:rPr>
          <w:rFonts w:ascii="Times New Roman" w:hAnsi="Times New Roman" w:cs="Times New Roman"/>
          <w:color w:val="000000" w:themeColor="text1"/>
        </w:rPr>
        <w:t xml:space="preserve">interesting </w:t>
      </w:r>
      <w:r w:rsidR="00F83769" w:rsidRPr="0068584C">
        <w:rPr>
          <w:rFonts w:ascii="Times New Roman" w:hAnsi="Times New Roman" w:cs="Times New Roman"/>
          <w:color w:val="000000" w:themeColor="text1"/>
        </w:rPr>
        <w:t xml:space="preserve">future research </w:t>
      </w:r>
      <w:r w:rsidR="00500F6F" w:rsidRPr="0068584C">
        <w:rPr>
          <w:rFonts w:ascii="Times New Roman" w:hAnsi="Times New Roman" w:cs="Times New Roman"/>
          <w:color w:val="000000" w:themeColor="text1"/>
        </w:rPr>
        <w:t>questions</w:t>
      </w:r>
      <w:r w:rsidR="00F83769" w:rsidRPr="0068584C">
        <w:rPr>
          <w:rFonts w:ascii="Times New Roman" w:hAnsi="Times New Roman" w:cs="Times New Roman"/>
          <w:color w:val="000000" w:themeColor="text1"/>
        </w:rPr>
        <w:t>.</w:t>
      </w:r>
    </w:p>
    <w:p w14:paraId="7AF745BF" w14:textId="67433AF1" w:rsidR="006B44CC" w:rsidRPr="0068584C" w:rsidRDefault="003B3C59" w:rsidP="0035460B">
      <w:pPr>
        <w:spacing w:line="480" w:lineRule="auto"/>
        <w:jc w:val="both"/>
        <w:rPr>
          <w:rFonts w:ascii="Times New Roman" w:hAnsi="Times New Roman" w:cs="Times New Roman"/>
        </w:rPr>
      </w:pPr>
      <w:r>
        <w:rPr>
          <w:rFonts w:ascii="Times New Roman" w:hAnsi="Times New Roman" w:cs="Times New Roman"/>
        </w:rPr>
        <w:lastRenderedPageBreak/>
        <w:tab/>
      </w:r>
      <w:r w:rsidR="00850CC8">
        <w:rPr>
          <w:rFonts w:ascii="Times New Roman" w:hAnsi="Times New Roman" w:cs="Times New Roman"/>
        </w:rPr>
        <w:t>In terms of the research propositions, the</w:t>
      </w:r>
      <w:r w:rsidR="00850CC8" w:rsidRPr="0068584C">
        <w:rPr>
          <w:rFonts w:ascii="Times New Roman" w:hAnsi="Times New Roman" w:cs="Times New Roman"/>
        </w:rPr>
        <w:t xml:space="preserve"> </w:t>
      </w:r>
      <w:r w:rsidR="006B44CC" w:rsidRPr="0068584C">
        <w:rPr>
          <w:rFonts w:ascii="Times New Roman" w:hAnsi="Times New Roman" w:cs="Times New Roman"/>
        </w:rPr>
        <w:t>key question</w:t>
      </w:r>
      <w:r w:rsidR="0083122B" w:rsidRPr="0068584C">
        <w:rPr>
          <w:rFonts w:ascii="Times New Roman" w:hAnsi="Times New Roman" w:cs="Times New Roman"/>
        </w:rPr>
        <w:t>s</w:t>
      </w:r>
      <w:r w:rsidR="006B44CC" w:rsidRPr="0068584C">
        <w:rPr>
          <w:rFonts w:ascii="Times New Roman" w:hAnsi="Times New Roman" w:cs="Times New Roman"/>
        </w:rPr>
        <w:t xml:space="preserve"> </w:t>
      </w:r>
      <w:r w:rsidR="0083122B" w:rsidRPr="0068584C">
        <w:rPr>
          <w:rFonts w:ascii="Times New Roman" w:hAnsi="Times New Roman" w:cs="Times New Roman"/>
        </w:rPr>
        <w:t>to be addressed concern</w:t>
      </w:r>
      <w:r w:rsidR="006B44CC" w:rsidRPr="0068584C">
        <w:rPr>
          <w:rFonts w:ascii="Times New Roman" w:hAnsi="Times New Roman" w:cs="Times New Roman"/>
        </w:rPr>
        <w:t xml:space="preserve"> whether</w:t>
      </w:r>
      <w:r w:rsidR="0083122B" w:rsidRPr="0068584C">
        <w:rPr>
          <w:rFonts w:ascii="Times New Roman" w:hAnsi="Times New Roman" w:cs="Times New Roman"/>
        </w:rPr>
        <w:t xml:space="preserve"> SCRO</w:t>
      </w:r>
      <w:r w:rsidR="006B44CC" w:rsidRPr="0068584C">
        <w:rPr>
          <w:rFonts w:ascii="Times New Roman" w:hAnsi="Times New Roman" w:cs="Times New Roman"/>
        </w:rPr>
        <w:t xml:space="preserve"> practices </w:t>
      </w:r>
      <w:r w:rsidR="0083122B" w:rsidRPr="0068584C">
        <w:rPr>
          <w:rFonts w:ascii="Times New Roman" w:hAnsi="Times New Roman" w:cs="Times New Roman"/>
        </w:rPr>
        <w:t xml:space="preserve">influence </w:t>
      </w:r>
      <w:r w:rsidR="006B44CC" w:rsidRPr="0068584C">
        <w:rPr>
          <w:rFonts w:ascii="Times New Roman" w:hAnsi="Times New Roman" w:cs="Times New Roman"/>
        </w:rPr>
        <w:t>innovation performance</w:t>
      </w:r>
      <w:r w:rsidR="00850CC8">
        <w:rPr>
          <w:rFonts w:ascii="Times New Roman" w:hAnsi="Times New Roman" w:cs="Times New Roman"/>
        </w:rPr>
        <w:t xml:space="preserve"> </w:t>
      </w:r>
      <w:r w:rsidR="006B44CC" w:rsidRPr="0068584C">
        <w:rPr>
          <w:rFonts w:ascii="Times New Roman" w:hAnsi="Times New Roman" w:cs="Times New Roman"/>
        </w:rPr>
        <w:t>and how organizational culture comes into play in this relationship</w:t>
      </w:r>
      <w:r w:rsidR="00850CC8">
        <w:rPr>
          <w:rFonts w:ascii="Times New Roman" w:hAnsi="Times New Roman" w:cs="Times New Roman"/>
        </w:rPr>
        <w:t xml:space="preserve"> (directly or indirectly)</w:t>
      </w:r>
      <w:r w:rsidR="006B44CC" w:rsidRPr="0068584C">
        <w:rPr>
          <w:rFonts w:ascii="Times New Roman" w:hAnsi="Times New Roman" w:cs="Times New Roman"/>
        </w:rPr>
        <w:t xml:space="preserve">. The case study evidence, along with conceptual literature, appears to sustain a positive influence of SCRO and innovation-oriented culture on innovation performance. First, </w:t>
      </w:r>
      <w:r w:rsidR="00196E38" w:rsidRPr="0068584C">
        <w:rPr>
          <w:rFonts w:ascii="Times New Roman" w:hAnsi="Times New Roman" w:cs="Times New Roman"/>
        </w:rPr>
        <w:t xml:space="preserve">the </w:t>
      </w:r>
      <w:r w:rsidR="006B44CC" w:rsidRPr="0068584C">
        <w:rPr>
          <w:rFonts w:ascii="Times New Roman" w:hAnsi="Times New Roman" w:cs="Times New Roman"/>
        </w:rPr>
        <w:t xml:space="preserve">interviews with supply chain managers indicate that managerial practices related to fostering integration, coordination, and trust-building </w:t>
      </w:r>
      <w:r w:rsidR="00DD1A6C" w:rsidRPr="0068584C">
        <w:rPr>
          <w:rFonts w:ascii="Times New Roman" w:hAnsi="Times New Roman" w:cs="Times New Roman"/>
        </w:rPr>
        <w:t>can be</w:t>
      </w:r>
      <w:r w:rsidR="006B44CC" w:rsidRPr="0068584C">
        <w:rPr>
          <w:rFonts w:ascii="Times New Roman" w:hAnsi="Times New Roman" w:cs="Times New Roman"/>
        </w:rPr>
        <w:t xml:space="preserve"> viewed as essential building blocks to enhance innovativeness in the organization. </w:t>
      </w:r>
    </w:p>
    <w:p w14:paraId="3AF56DFC" w14:textId="19391A07" w:rsidR="006B44CC" w:rsidRPr="0068584C" w:rsidRDefault="003B3C59" w:rsidP="0035460B">
      <w:pPr>
        <w:spacing w:line="480" w:lineRule="auto"/>
        <w:jc w:val="both"/>
        <w:rPr>
          <w:rFonts w:ascii="Times New Roman" w:hAnsi="Times New Roman" w:cs="Times New Roman"/>
        </w:rPr>
      </w:pPr>
      <w:r>
        <w:rPr>
          <w:rFonts w:ascii="Times New Roman" w:hAnsi="Times New Roman" w:cs="Times New Roman"/>
        </w:rPr>
        <w:tab/>
      </w:r>
      <w:r w:rsidR="006B44CC" w:rsidRPr="0068584C">
        <w:rPr>
          <w:rFonts w:ascii="Times New Roman" w:hAnsi="Times New Roman" w:cs="Times New Roman"/>
        </w:rPr>
        <w:t xml:space="preserve">Second, the case study findings substantiate the </w:t>
      </w:r>
      <w:r w:rsidR="00DD1A6C" w:rsidRPr="0068584C">
        <w:rPr>
          <w:rFonts w:ascii="Times New Roman" w:hAnsi="Times New Roman" w:cs="Times New Roman"/>
        </w:rPr>
        <w:t xml:space="preserve">SCRO framework’s </w:t>
      </w:r>
      <w:r w:rsidR="006B44CC" w:rsidRPr="0068584C">
        <w:rPr>
          <w:rFonts w:ascii="Times New Roman" w:hAnsi="Times New Roman" w:cs="Times New Roman"/>
        </w:rPr>
        <w:t xml:space="preserve">assumption of cultural influences. Based on the interview analysis of supply chain managers, innovation appears to flourish less in more cost- and efficiency focused environments. In the </w:t>
      </w:r>
      <w:r w:rsidR="00DD1A6C" w:rsidRPr="0068584C">
        <w:rPr>
          <w:rFonts w:ascii="Times New Roman" w:hAnsi="Times New Roman" w:cs="Times New Roman"/>
        </w:rPr>
        <w:t xml:space="preserve">iterative </w:t>
      </w:r>
      <w:r w:rsidR="006B44CC" w:rsidRPr="0068584C">
        <w:rPr>
          <w:rFonts w:ascii="Times New Roman" w:hAnsi="Times New Roman" w:cs="Times New Roman"/>
        </w:rPr>
        <w:t xml:space="preserve">cross-case analysis of </w:t>
      </w:r>
      <w:r w:rsidR="00DD1A6C" w:rsidRPr="0068584C">
        <w:rPr>
          <w:rFonts w:ascii="Times New Roman" w:hAnsi="Times New Roman" w:cs="Times New Roman"/>
        </w:rPr>
        <w:t>these</w:t>
      </w:r>
      <w:r w:rsidR="006B44CC" w:rsidRPr="0068584C">
        <w:rPr>
          <w:rFonts w:ascii="Times New Roman" w:hAnsi="Times New Roman" w:cs="Times New Roman"/>
        </w:rPr>
        <w:t xml:space="preserve"> organizations, </w:t>
      </w:r>
      <w:r w:rsidR="00BA2306" w:rsidRPr="0068584C">
        <w:rPr>
          <w:rFonts w:ascii="Times New Roman" w:hAnsi="Times New Roman" w:cs="Times New Roman"/>
        </w:rPr>
        <w:t>distinctions between</w:t>
      </w:r>
      <w:r w:rsidR="006B44CC" w:rsidRPr="0068584C">
        <w:rPr>
          <w:rFonts w:ascii="Times New Roman" w:hAnsi="Times New Roman" w:cs="Times New Roman"/>
        </w:rPr>
        <w:t xml:space="preserve"> innovation-emphasizing </w:t>
      </w:r>
      <w:r w:rsidR="00BA2306" w:rsidRPr="0068584C">
        <w:rPr>
          <w:rFonts w:ascii="Times New Roman" w:hAnsi="Times New Roman" w:cs="Times New Roman"/>
        </w:rPr>
        <w:t>and</w:t>
      </w:r>
      <w:r w:rsidR="006B44CC" w:rsidRPr="0068584C">
        <w:rPr>
          <w:rFonts w:ascii="Times New Roman" w:hAnsi="Times New Roman" w:cs="Times New Roman"/>
        </w:rPr>
        <w:t xml:space="preserve"> cost-emphasizing </w:t>
      </w:r>
      <w:r w:rsidR="00FB37B2" w:rsidRPr="0068584C">
        <w:rPr>
          <w:rFonts w:ascii="Times New Roman" w:hAnsi="Times New Roman" w:cs="Times New Roman"/>
        </w:rPr>
        <w:t xml:space="preserve">organizations </w:t>
      </w:r>
      <w:r w:rsidR="006B44CC" w:rsidRPr="0068584C">
        <w:rPr>
          <w:rFonts w:ascii="Times New Roman" w:hAnsi="Times New Roman" w:cs="Times New Roman"/>
        </w:rPr>
        <w:t xml:space="preserve">emerged. </w:t>
      </w:r>
      <w:r w:rsidR="00DD1A6C" w:rsidRPr="0068584C">
        <w:rPr>
          <w:rFonts w:ascii="Times New Roman" w:hAnsi="Times New Roman" w:cs="Times New Roman"/>
        </w:rPr>
        <w:t>As t</w:t>
      </w:r>
      <w:r w:rsidR="006B44CC" w:rsidRPr="0068584C">
        <w:rPr>
          <w:rFonts w:ascii="Times New Roman" w:hAnsi="Times New Roman" w:cs="Times New Roman"/>
        </w:rPr>
        <w:t xml:space="preserve">he </w:t>
      </w:r>
      <w:r w:rsidR="00FB37B2" w:rsidRPr="0068584C">
        <w:rPr>
          <w:rFonts w:ascii="Times New Roman" w:hAnsi="Times New Roman" w:cs="Times New Roman"/>
        </w:rPr>
        <w:t>interview participants</w:t>
      </w:r>
      <w:r w:rsidR="006B44CC" w:rsidRPr="0068584C">
        <w:rPr>
          <w:rFonts w:ascii="Times New Roman" w:hAnsi="Times New Roman" w:cs="Times New Roman"/>
        </w:rPr>
        <w:t xml:space="preserve"> highlighted </w:t>
      </w:r>
      <w:r w:rsidR="00FB37B2" w:rsidRPr="0068584C">
        <w:rPr>
          <w:rFonts w:ascii="Times New Roman" w:hAnsi="Times New Roman" w:cs="Times New Roman"/>
        </w:rPr>
        <w:t>their</w:t>
      </w:r>
      <w:r w:rsidR="006B44CC" w:rsidRPr="0068584C">
        <w:rPr>
          <w:rFonts w:ascii="Times New Roman" w:hAnsi="Times New Roman" w:cs="Times New Roman"/>
        </w:rPr>
        <w:t xml:space="preserve"> </w:t>
      </w:r>
      <w:r w:rsidR="00FB37B2" w:rsidRPr="0068584C">
        <w:rPr>
          <w:rFonts w:ascii="Times New Roman" w:hAnsi="Times New Roman" w:cs="Times New Roman"/>
        </w:rPr>
        <w:t xml:space="preserve">managerial </w:t>
      </w:r>
      <w:r w:rsidR="006B44CC" w:rsidRPr="0068584C">
        <w:rPr>
          <w:rFonts w:ascii="Times New Roman" w:hAnsi="Times New Roman" w:cs="Times New Roman"/>
        </w:rPr>
        <w:t xml:space="preserve">lessons learned and </w:t>
      </w:r>
      <w:r w:rsidR="00FB37B2" w:rsidRPr="0068584C">
        <w:rPr>
          <w:rFonts w:ascii="Times New Roman" w:hAnsi="Times New Roman" w:cs="Times New Roman"/>
        </w:rPr>
        <w:t xml:space="preserve">shared their </w:t>
      </w:r>
      <w:r w:rsidR="006B44CC" w:rsidRPr="0068584C">
        <w:rPr>
          <w:rFonts w:ascii="Times New Roman" w:hAnsi="Times New Roman" w:cs="Times New Roman"/>
        </w:rPr>
        <w:t>per</w:t>
      </w:r>
      <w:r w:rsidR="00293A31" w:rsidRPr="0068584C">
        <w:rPr>
          <w:rFonts w:ascii="Times New Roman" w:hAnsi="Times New Roman" w:cs="Times New Roman"/>
        </w:rPr>
        <w:t>formance outcome experiences,</w:t>
      </w:r>
      <w:r w:rsidR="00914753" w:rsidRPr="0068584C">
        <w:rPr>
          <w:rFonts w:ascii="Times New Roman" w:hAnsi="Times New Roman" w:cs="Times New Roman"/>
        </w:rPr>
        <w:t xml:space="preserve"> </w:t>
      </w:r>
      <w:r w:rsidR="00293A31" w:rsidRPr="0068584C">
        <w:rPr>
          <w:rFonts w:ascii="Times New Roman" w:hAnsi="Times New Roman" w:cs="Times New Roman"/>
        </w:rPr>
        <w:t>t</w:t>
      </w:r>
      <w:r w:rsidR="004A25F6" w:rsidRPr="0068584C">
        <w:rPr>
          <w:rFonts w:ascii="Times New Roman" w:hAnsi="Times New Roman" w:cs="Times New Roman"/>
        </w:rPr>
        <w:t xml:space="preserve">he right balance between SCRO practices and either </w:t>
      </w:r>
      <w:r w:rsidR="00293A31" w:rsidRPr="0068584C">
        <w:rPr>
          <w:rFonts w:ascii="Times New Roman" w:hAnsi="Times New Roman" w:cs="Times New Roman"/>
        </w:rPr>
        <w:t>innovation or cost-focus appeared to be</w:t>
      </w:r>
      <w:r w:rsidR="004A25F6" w:rsidRPr="0068584C">
        <w:rPr>
          <w:rFonts w:ascii="Times New Roman" w:hAnsi="Times New Roman" w:cs="Times New Roman"/>
        </w:rPr>
        <w:t xml:space="preserve"> imminently important</w:t>
      </w:r>
      <w:r w:rsidR="00293A31" w:rsidRPr="0068584C">
        <w:rPr>
          <w:rFonts w:ascii="Times New Roman" w:hAnsi="Times New Roman" w:cs="Times New Roman"/>
        </w:rPr>
        <w:t xml:space="preserve"> for them</w:t>
      </w:r>
      <w:r w:rsidR="004A25F6" w:rsidRPr="0068584C">
        <w:rPr>
          <w:rFonts w:ascii="Times New Roman" w:hAnsi="Times New Roman" w:cs="Times New Roman"/>
        </w:rPr>
        <w:t xml:space="preserve">. </w:t>
      </w:r>
      <w:r w:rsidR="00914753" w:rsidRPr="0068584C">
        <w:rPr>
          <w:rFonts w:ascii="Times New Roman" w:hAnsi="Times New Roman" w:cs="Times New Roman"/>
        </w:rPr>
        <w:t>Some organizations appear</w:t>
      </w:r>
      <w:r w:rsidR="00293A31" w:rsidRPr="0068584C">
        <w:rPr>
          <w:rFonts w:ascii="Times New Roman" w:hAnsi="Times New Roman" w:cs="Times New Roman"/>
        </w:rPr>
        <w:t>ed</w:t>
      </w:r>
      <w:r w:rsidR="00914753" w:rsidRPr="0068584C">
        <w:rPr>
          <w:rFonts w:ascii="Times New Roman" w:hAnsi="Times New Roman" w:cs="Times New Roman"/>
        </w:rPr>
        <w:t xml:space="preserve"> to be “stuck in the middle” between innovation and cost focus</w:t>
      </w:r>
      <w:r w:rsidR="00BA59A9">
        <w:rPr>
          <w:rFonts w:ascii="Times New Roman" w:hAnsi="Times New Roman" w:cs="Times New Roman"/>
        </w:rPr>
        <w:t>. This situation led to a mismatch of their SCRO practices to their culture</w:t>
      </w:r>
      <w:r w:rsidR="00914753" w:rsidRPr="0068584C">
        <w:rPr>
          <w:rFonts w:ascii="Times New Roman" w:hAnsi="Times New Roman" w:cs="Times New Roman"/>
        </w:rPr>
        <w:t xml:space="preserve">, </w:t>
      </w:r>
      <w:r w:rsidR="00BA59A9">
        <w:rPr>
          <w:rFonts w:ascii="Times New Roman" w:hAnsi="Times New Roman" w:cs="Times New Roman"/>
        </w:rPr>
        <w:t>with</w:t>
      </w:r>
      <w:r w:rsidR="00914753" w:rsidRPr="0068584C">
        <w:rPr>
          <w:rFonts w:ascii="Times New Roman" w:hAnsi="Times New Roman" w:cs="Times New Roman"/>
        </w:rPr>
        <w:t xml:space="preserve"> detrimental </w:t>
      </w:r>
      <w:r w:rsidR="00BA59A9">
        <w:rPr>
          <w:rFonts w:ascii="Times New Roman" w:hAnsi="Times New Roman" w:cs="Times New Roman"/>
        </w:rPr>
        <w:t xml:space="preserve">impact on </w:t>
      </w:r>
      <w:r w:rsidR="00914753" w:rsidRPr="0068584C">
        <w:rPr>
          <w:rFonts w:ascii="Times New Roman" w:hAnsi="Times New Roman" w:cs="Times New Roman"/>
        </w:rPr>
        <w:t>their financial performance.</w:t>
      </w:r>
    </w:p>
    <w:p w14:paraId="09B8CF08" w14:textId="36C15936" w:rsidR="00754171" w:rsidRPr="0068584C" w:rsidRDefault="003B3C59" w:rsidP="0035460B">
      <w:pPr>
        <w:spacing w:line="480" w:lineRule="auto"/>
        <w:jc w:val="both"/>
        <w:rPr>
          <w:rFonts w:ascii="Times New Roman" w:hAnsi="Times New Roman" w:cs="Times New Roman"/>
          <w:color w:val="000000"/>
        </w:rPr>
      </w:pPr>
      <w:r>
        <w:rPr>
          <w:rFonts w:ascii="Times New Roman" w:hAnsi="Times New Roman" w:cs="Times New Roman"/>
          <w:color w:val="000000" w:themeColor="text1"/>
        </w:rPr>
        <w:tab/>
      </w:r>
      <w:r w:rsidR="00754171" w:rsidRPr="0068584C">
        <w:rPr>
          <w:rFonts w:ascii="Times New Roman" w:hAnsi="Times New Roman" w:cs="Times New Roman"/>
          <w:color w:val="000000" w:themeColor="text1"/>
        </w:rPr>
        <w:t xml:space="preserve">The following </w:t>
      </w:r>
      <w:r w:rsidR="007B2EA6" w:rsidRPr="0068584C">
        <w:rPr>
          <w:rFonts w:ascii="Times New Roman" w:hAnsi="Times New Roman" w:cs="Times New Roman"/>
          <w:color w:val="000000" w:themeColor="text1"/>
        </w:rPr>
        <w:t>analysis offers</w:t>
      </w:r>
      <w:r w:rsidR="00754171" w:rsidRPr="0068584C">
        <w:rPr>
          <w:rFonts w:ascii="Times New Roman" w:hAnsi="Times New Roman" w:cs="Times New Roman"/>
          <w:color w:val="000000" w:themeColor="text1"/>
        </w:rPr>
        <w:t xml:space="preserve"> essential case study </w:t>
      </w:r>
      <w:r w:rsidR="00F84600" w:rsidRPr="0068584C">
        <w:rPr>
          <w:rFonts w:ascii="Times New Roman" w:hAnsi="Times New Roman" w:cs="Times New Roman"/>
          <w:color w:val="000000" w:themeColor="text1"/>
        </w:rPr>
        <w:t xml:space="preserve">evidence </w:t>
      </w:r>
      <w:r w:rsidR="009B7DBF" w:rsidRPr="0068584C">
        <w:rPr>
          <w:rFonts w:ascii="Times New Roman" w:hAnsi="Times New Roman" w:cs="Times New Roman"/>
          <w:color w:val="000000" w:themeColor="text1"/>
        </w:rPr>
        <w:t>abou</w:t>
      </w:r>
      <w:r w:rsidR="001755ED" w:rsidRPr="0068584C">
        <w:rPr>
          <w:rFonts w:ascii="Times New Roman" w:hAnsi="Times New Roman" w:cs="Times New Roman"/>
          <w:color w:val="000000" w:themeColor="text1"/>
        </w:rPr>
        <w:t>t the SCRO framework. T</w:t>
      </w:r>
      <w:r w:rsidR="009B7DBF" w:rsidRPr="0068584C">
        <w:rPr>
          <w:rFonts w:ascii="Times New Roman" w:hAnsi="Times New Roman" w:cs="Times New Roman"/>
          <w:color w:val="000000" w:themeColor="text1"/>
        </w:rPr>
        <w:t xml:space="preserve">he data </w:t>
      </w:r>
      <w:r w:rsidR="00754171" w:rsidRPr="0068584C">
        <w:rPr>
          <w:rFonts w:ascii="Times New Roman" w:hAnsi="Times New Roman" w:cs="Times New Roman"/>
          <w:color w:val="000000" w:themeColor="text1"/>
        </w:rPr>
        <w:t>substantiate</w:t>
      </w:r>
      <w:r w:rsidR="00147DF2" w:rsidRPr="0068584C">
        <w:rPr>
          <w:rFonts w:ascii="Times New Roman" w:hAnsi="Times New Roman" w:cs="Times New Roman"/>
          <w:color w:val="000000" w:themeColor="text1"/>
        </w:rPr>
        <w:t>s</w:t>
      </w:r>
      <w:r w:rsidR="00754171" w:rsidRPr="0068584C">
        <w:rPr>
          <w:rFonts w:ascii="Times New Roman" w:hAnsi="Times New Roman" w:cs="Times New Roman"/>
          <w:color w:val="000000" w:themeColor="text1"/>
        </w:rPr>
        <w:t xml:space="preserve"> and summarize</w:t>
      </w:r>
      <w:r w:rsidR="00147DF2" w:rsidRPr="0068584C">
        <w:rPr>
          <w:rFonts w:ascii="Times New Roman" w:hAnsi="Times New Roman" w:cs="Times New Roman"/>
          <w:color w:val="000000" w:themeColor="text1"/>
        </w:rPr>
        <w:t>s</w:t>
      </w:r>
      <w:r w:rsidR="00754171" w:rsidRPr="0068584C">
        <w:rPr>
          <w:rFonts w:ascii="Times New Roman" w:hAnsi="Times New Roman" w:cs="Times New Roman"/>
          <w:color w:val="000000" w:themeColor="text1"/>
        </w:rPr>
        <w:t xml:space="preserve"> the important managerial perspectives of the two main concepts of supply chain resource orchestration and innovation culture.</w:t>
      </w:r>
      <w:r w:rsidR="008F4A31" w:rsidRPr="0068584C">
        <w:rPr>
          <w:rFonts w:ascii="Times New Roman" w:hAnsi="Times New Roman" w:cs="Times New Roman"/>
          <w:color w:val="000000" w:themeColor="text1"/>
        </w:rPr>
        <w:t xml:space="preserve"> </w:t>
      </w:r>
      <w:r w:rsidR="00754171" w:rsidRPr="0068584C">
        <w:rPr>
          <w:rFonts w:ascii="Times New Roman" w:hAnsi="Times New Roman" w:cs="Times New Roman"/>
          <w:color w:val="000000" w:themeColor="text1"/>
        </w:rPr>
        <w:t xml:space="preserve">Recall that SCRO </w:t>
      </w:r>
      <w:r w:rsidR="00254F7B">
        <w:rPr>
          <w:rFonts w:ascii="Times New Roman" w:hAnsi="Times New Roman" w:cs="Times New Roman"/>
          <w:color w:val="000000" w:themeColor="text1"/>
        </w:rPr>
        <w:t>relates to</w:t>
      </w:r>
      <w:r w:rsidR="00754171" w:rsidRPr="0068584C">
        <w:rPr>
          <w:rFonts w:ascii="Times New Roman" w:hAnsi="Times New Roman" w:cs="Times New Roman"/>
          <w:color w:val="000000" w:themeColor="text1"/>
        </w:rPr>
        <w:t xml:space="preserve"> </w:t>
      </w:r>
      <w:r w:rsidR="00861D73" w:rsidRPr="0068584C">
        <w:rPr>
          <w:rFonts w:ascii="Times New Roman" w:hAnsi="Times New Roman" w:cs="Times New Roman"/>
        </w:rPr>
        <w:t>the relevant processes of managing the acquisition, integration, and exploitation of critical external resources</w:t>
      </w:r>
      <w:r w:rsidR="00FF3B29" w:rsidRPr="0068584C">
        <w:rPr>
          <w:rFonts w:ascii="Times New Roman" w:hAnsi="Times New Roman" w:cs="Times New Roman"/>
          <w:color w:val="000000" w:themeColor="text1"/>
        </w:rPr>
        <w:t xml:space="preserve">. </w:t>
      </w:r>
      <w:r w:rsidR="00754171" w:rsidRPr="0068584C">
        <w:rPr>
          <w:rFonts w:ascii="Times New Roman" w:hAnsi="Times New Roman" w:cs="Times New Roman"/>
          <w:color w:val="000000" w:themeColor="text1"/>
        </w:rPr>
        <w:t xml:space="preserve">Based on the literature, innovation culture </w:t>
      </w:r>
      <w:r w:rsidR="00130D3B" w:rsidRPr="0068584C">
        <w:rPr>
          <w:rFonts w:ascii="Times New Roman" w:hAnsi="Times New Roman" w:cs="Times New Roman"/>
          <w:color w:val="000000" w:themeColor="text1"/>
        </w:rPr>
        <w:t>has been defined as</w:t>
      </w:r>
      <w:r w:rsidR="003C0646" w:rsidRPr="0068584C">
        <w:rPr>
          <w:rFonts w:ascii="Times New Roman" w:hAnsi="Times New Roman" w:cs="Times New Roman"/>
          <w:color w:val="000000" w:themeColor="text1"/>
        </w:rPr>
        <w:t xml:space="preserve"> an organizational</w:t>
      </w:r>
      <w:r w:rsidR="00130D3B" w:rsidRPr="0068584C">
        <w:rPr>
          <w:rFonts w:ascii="Times New Roman" w:hAnsi="Times New Roman" w:cs="Times New Roman"/>
          <w:color w:val="000000" w:themeColor="text1"/>
        </w:rPr>
        <w:t xml:space="preserve"> “</w:t>
      </w:r>
      <w:r w:rsidR="003C0646" w:rsidRPr="0068584C">
        <w:rPr>
          <w:rFonts w:ascii="Times New Roman" w:hAnsi="Times New Roman" w:cs="Times New Roman"/>
          <w:color w:val="000000" w:themeColor="text1"/>
        </w:rPr>
        <w:t>o</w:t>
      </w:r>
      <w:r w:rsidR="003C0646" w:rsidRPr="0068584C">
        <w:rPr>
          <w:rFonts w:ascii="Times New Roman" w:hAnsi="Times New Roman" w:cs="Times New Roman"/>
          <w:color w:val="000000"/>
        </w:rPr>
        <w:t xml:space="preserve">rientation toward experimenting with new alternatives or approaches by </w:t>
      </w:r>
      <w:r w:rsidR="003C0646" w:rsidRPr="0068584C">
        <w:rPr>
          <w:rFonts w:ascii="Times New Roman" w:hAnsi="Times New Roman" w:cs="Times New Roman"/>
          <w:color w:val="000000"/>
        </w:rPr>
        <w:lastRenderedPageBreak/>
        <w:t>exploring new resources, breaking through existing norms, and creating new products” to improve organizational performance</w:t>
      </w:r>
      <w:r w:rsidR="006A7231">
        <w:rPr>
          <w:rFonts w:ascii="Times New Roman" w:hAnsi="Times New Roman" w:cs="Times New Roman"/>
          <w:color w:val="000000"/>
        </w:rPr>
        <w:t xml:space="preserve"> </w:t>
      </w:r>
      <w:r w:rsidR="0032228C">
        <w:rPr>
          <w:rFonts w:ascii="Times New Roman" w:hAnsi="Times New Roman" w:cs="Times New Roman"/>
          <w:color w:val="000000"/>
        </w:rPr>
        <w:fldChar w:fldCharType="begin" w:fldLock="1"/>
      </w:r>
      <w:r w:rsidR="000E6ECE">
        <w:rPr>
          <w:rFonts w:ascii="Times New Roman" w:hAnsi="Times New Roman" w:cs="Times New Roman"/>
          <w:color w:val="000000"/>
        </w:rPr>
        <w:instrText>ADDIN CSL_CITATION { "citationItems" : [ { "id" : "ITEM-1", "itemData" : { "author" : [ { "dropping-particle" : "", "family" : "Wei", "given" : "Yinghong (Susan)", "non-dropping-particle" : "", "parse-names" : false, "suffix" : "" }, { "dropping-particle" : "", "family" : "Neill", "given" : "Hugh O", "non-dropping-particle" : "", "parse-names" : false, "suffix" : "" }, { "dropping-particle" : "", "family" : "Lee", "given" : "Ruby P", "non-dropping-particle" : "", "parse-names" : false, "suffix" : "" }, { "dropping-particle" : "", "family" : "Zhou", "given" : "Nan", "non-dropping-particle" : "", "parse-names" : false, "suffix" : "" } ], "container-title" : "Journal of Product Innovation Management", "id" : "ITEM-1", "issue" : "5", "issued" : { "date-parts" : [ [ "2013" ] ] }, "page" : "1027-1041", "title" : "The Impact of Innovative Culture on Individual Employees: The Moderating Role of Market Information Sharing", "type" : "article-journal", "volume" : "30" }, "locator" : "1029", "uris" : [ "http://www.mendeley.com/documents/?uuid=58a05069-b116-4108-8ffc-3e14f66b2ffc" ] } ], "mendeley" : { "formattedCitation" : "(Wei, Neill, Lee, &amp; Zhou, 2013, p. 1029)", "plainTextFormattedCitation" : "(Wei, Neill, Lee, &amp; Zhou, 2013, p. 1029)", "previouslyFormattedCitation" : "(Wei, Neill, Lee, &amp; Zhou, 2013, p. 1029)" }, "properties" : { "noteIndex" : 0 }, "schema" : "https://github.com/citation-style-language/schema/raw/master/csl-citation.json" }</w:instrText>
      </w:r>
      <w:r w:rsidR="0032228C">
        <w:rPr>
          <w:rFonts w:ascii="Times New Roman" w:hAnsi="Times New Roman" w:cs="Times New Roman"/>
          <w:color w:val="000000"/>
        </w:rPr>
        <w:fldChar w:fldCharType="separate"/>
      </w:r>
      <w:r w:rsidR="000E6ECE" w:rsidRPr="000E6ECE">
        <w:rPr>
          <w:rFonts w:ascii="Times New Roman" w:hAnsi="Times New Roman" w:cs="Times New Roman"/>
          <w:noProof/>
          <w:color w:val="000000"/>
        </w:rPr>
        <w:t>(Wei, Neill, Lee, &amp; Zhou, 2013, p. 1029)</w:t>
      </w:r>
      <w:r w:rsidR="0032228C">
        <w:rPr>
          <w:rFonts w:ascii="Times New Roman" w:hAnsi="Times New Roman" w:cs="Times New Roman"/>
          <w:color w:val="000000"/>
        </w:rPr>
        <w:fldChar w:fldCharType="end"/>
      </w:r>
      <w:r w:rsidR="00102320" w:rsidRPr="0068584C">
        <w:rPr>
          <w:rFonts w:ascii="Times New Roman" w:hAnsi="Times New Roman" w:cs="Times New Roman"/>
          <w:color w:val="000000"/>
        </w:rPr>
        <w:t>.</w:t>
      </w:r>
      <w:r w:rsidR="003F4556" w:rsidRPr="0068584C">
        <w:rPr>
          <w:rFonts w:ascii="Times New Roman" w:hAnsi="Times New Roman" w:cs="Times New Roman"/>
          <w:color w:val="000000"/>
        </w:rPr>
        <w:t xml:space="preserve"> </w:t>
      </w:r>
      <w:r w:rsidR="005562DC" w:rsidRPr="0068584C">
        <w:rPr>
          <w:rFonts w:ascii="Times New Roman" w:hAnsi="Times New Roman" w:cs="Times New Roman"/>
          <w:color w:val="000000"/>
        </w:rPr>
        <w:t>This section summarize</w:t>
      </w:r>
      <w:r w:rsidR="00DF2556" w:rsidRPr="0068584C">
        <w:rPr>
          <w:rFonts w:ascii="Times New Roman" w:hAnsi="Times New Roman" w:cs="Times New Roman"/>
          <w:color w:val="000000"/>
        </w:rPr>
        <w:t>s</w:t>
      </w:r>
      <w:r w:rsidR="005562DC" w:rsidRPr="0068584C">
        <w:rPr>
          <w:rFonts w:ascii="Times New Roman" w:hAnsi="Times New Roman" w:cs="Times New Roman"/>
          <w:color w:val="000000"/>
        </w:rPr>
        <w:t xml:space="preserve"> the case study findings toward the concepts of resources, SCRO, organizational culture, and organizational performance. </w:t>
      </w:r>
      <w:r w:rsidR="007F31C4">
        <w:rPr>
          <w:rFonts w:ascii="Times New Roman" w:hAnsi="Times New Roman" w:cs="Times New Roman"/>
          <w:color w:val="000000"/>
        </w:rPr>
        <w:t xml:space="preserve"> </w:t>
      </w:r>
    </w:p>
    <w:p w14:paraId="23E5DE3F" w14:textId="77777777" w:rsidR="00A32C13" w:rsidRPr="0068584C" w:rsidRDefault="00A32C13" w:rsidP="0035460B">
      <w:pPr>
        <w:spacing w:line="480" w:lineRule="auto"/>
        <w:rPr>
          <w:rFonts w:ascii="Times New Roman" w:hAnsi="Times New Roman" w:cs="Times New Roman"/>
          <w:color w:val="000000" w:themeColor="text1"/>
        </w:rPr>
      </w:pPr>
    </w:p>
    <w:p w14:paraId="3560A8B8" w14:textId="73F7DE70" w:rsidR="001A6EAA" w:rsidRPr="0068584C" w:rsidRDefault="00A35724" w:rsidP="00D524F8">
      <w:pPr>
        <w:pStyle w:val="Heading3new"/>
      </w:pPr>
      <w:r>
        <w:t>Resources (I</w:t>
      </w:r>
      <w:r w:rsidR="007865D9" w:rsidRPr="001466FE">
        <w:t xml:space="preserve">nternal and </w:t>
      </w:r>
      <w:r>
        <w:t>E</w:t>
      </w:r>
      <w:r w:rsidR="007865D9" w:rsidRPr="001466FE">
        <w:t>xternal)</w:t>
      </w:r>
    </w:p>
    <w:p w14:paraId="28D14C8B" w14:textId="432E66EF" w:rsidR="0030574D" w:rsidRPr="0068584C" w:rsidRDefault="003F4220"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Organizations seek t</w:t>
      </w:r>
      <w:r w:rsidR="009E60F6" w:rsidRPr="0068584C">
        <w:rPr>
          <w:rFonts w:ascii="Times New Roman" w:hAnsi="Times New Roman" w:cs="Times New Roman"/>
          <w:color w:val="000000" w:themeColor="text1"/>
        </w:rPr>
        <w:t>he effective and efficient configuration and (re-)combination of internal and external resources</w:t>
      </w:r>
      <w:r w:rsidRPr="0068584C">
        <w:rPr>
          <w:rFonts w:ascii="Times New Roman" w:hAnsi="Times New Roman" w:cs="Times New Roman"/>
          <w:color w:val="000000" w:themeColor="text1"/>
        </w:rPr>
        <w:t xml:space="preserve"> </w:t>
      </w:r>
      <w:r w:rsidR="009E60F6" w:rsidRPr="0068584C">
        <w:rPr>
          <w:rFonts w:ascii="Times New Roman" w:hAnsi="Times New Roman" w:cs="Times New Roman"/>
          <w:color w:val="000000" w:themeColor="text1"/>
        </w:rPr>
        <w:t xml:space="preserve">to develop new capabilities </w:t>
      </w:r>
      <w:r w:rsidR="009A6C1C" w:rsidRPr="0068584C">
        <w:rPr>
          <w:rFonts w:ascii="Times New Roman" w:hAnsi="Times New Roman" w:cs="Times New Roman"/>
          <w:color w:val="000000" w:themeColor="text1"/>
        </w:rPr>
        <w:t>(Teece 2007)</w:t>
      </w:r>
      <w:r w:rsidR="009E60F6" w:rsidRPr="0068584C">
        <w:rPr>
          <w:rFonts w:ascii="Times New Roman" w:hAnsi="Times New Roman" w:cs="Times New Roman"/>
          <w:color w:val="000000" w:themeColor="text1"/>
        </w:rPr>
        <w:t>.</w:t>
      </w:r>
      <w:r w:rsidR="006B45AE" w:rsidRPr="0068584C">
        <w:rPr>
          <w:rFonts w:ascii="Times New Roman" w:hAnsi="Times New Roman" w:cs="Times New Roman"/>
          <w:color w:val="000000" w:themeColor="text1"/>
        </w:rPr>
        <w:t xml:space="preserve">  </w:t>
      </w:r>
      <w:r w:rsidR="00983848">
        <w:rPr>
          <w:rFonts w:ascii="Times New Roman" w:hAnsi="Times New Roman" w:cs="Times New Roman"/>
          <w:color w:val="000000" w:themeColor="text1"/>
        </w:rPr>
        <w:t>They</w:t>
      </w:r>
      <w:r w:rsidR="00983848" w:rsidRPr="0068584C">
        <w:rPr>
          <w:rFonts w:ascii="Times New Roman" w:hAnsi="Times New Roman" w:cs="Times New Roman"/>
          <w:color w:val="000000" w:themeColor="text1"/>
        </w:rPr>
        <w:t xml:space="preserve"> </w:t>
      </w:r>
      <w:r w:rsidR="009A6C1C" w:rsidRPr="0068584C">
        <w:rPr>
          <w:rFonts w:ascii="Times New Roman" w:hAnsi="Times New Roman" w:cs="Times New Roman"/>
          <w:color w:val="000000" w:themeColor="text1"/>
        </w:rPr>
        <w:t xml:space="preserve">require </w:t>
      </w:r>
      <w:r w:rsidR="007330F9" w:rsidRPr="0068584C">
        <w:rPr>
          <w:rFonts w:ascii="Times New Roman" w:hAnsi="Times New Roman" w:cs="Times New Roman"/>
          <w:color w:val="000000" w:themeColor="text1"/>
        </w:rPr>
        <w:t>an</w:t>
      </w:r>
      <w:r w:rsidR="009A6C1C" w:rsidRPr="0068584C">
        <w:rPr>
          <w:rFonts w:ascii="Times New Roman" w:hAnsi="Times New Roman" w:cs="Times New Roman"/>
          <w:color w:val="000000" w:themeColor="text1"/>
        </w:rPr>
        <w:t xml:space="preserve"> effective integration of both internal and external resou</w:t>
      </w:r>
      <w:r w:rsidR="007330F9" w:rsidRPr="0068584C">
        <w:rPr>
          <w:rFonts w:ascii="Times New Roman" w:hAnsi="Times New Roman" w:cs="Times New Roman"/>
          <w:color w:val="000000" w:themeColor="text1"/>
        </w:rPr>
        <w:t xml:space="preserve">rces to stay competitive. </w:t>
      </w:r>
      <w:r w:rsidR="0088688F">
        <w:rPr>
          <w:rFonts w:ascii="Times New Roman" w:hAnsi="Times New Roman" w:cs="Times New Roman"/>
          <w:color w:val="000000" w:themeColor="text1"/>
        </w:rPr>
        <w:t>Critical</w:t>
      </w:r>
      <w:r w:rsidR="009A6C1C" w:rsidRPr="0068584C">
        <w:rPr>
          <w:rFonts w:ascii="Times New Roman" w:hAnsi="Times New Roman" w:cs="Times New Roman"/>
          <w:color w:val="000000" w:themeColor="text1"/>
        </w:rPr>
        <w:t xml:space="preserve"> resource</w:t>
      </w:r>
      <w:r w:rsidR="0088688F">
        <w:rPr>
          <w:rFonts w:ascii="Times New Roman" w:hAnsi="Times New Roman" w:cs="Times New Roman"/>
          <w:color w:val="000000" w:themeColor="text1"/>
        </w:rPr>
        <w:t xml:space="preserve"> attributes</w:t>
      </w:r>
      <w:r w:rsidR="009A6C1C" w:rsidRPr="0068584C">
        <w:rPr>
          <w:rFonts w:ascii="Times New Roman" w:hAnsi="Times New Roman" w:cs="Times New Roman"/>
          <w:color w:val="000000" w:themeColor="text1"/>
        </w:rPr>
        <w:t xml:space="preserve"> (Barney 1991) as well as the managerial practices in dealing with resources are relevant</w:t>
      </w:r>
      <w:r w:rsidR="00A4252A" w:rsidRPr="0068584C">
        <w:rPr>
          <w:rFonts w:ascii="Times New Roman" w:hAnsi="Times New Roman" w:cs="Times New Roman"/>
          <w:color w:val="000000" w:themeColor="text1"/>
        </w:rPr>
        <w:t xml:space="preserve"> to this effort</w:t>
      </w:r>
      <w:r w:rsidR="009A6C1C" w:rsidRPr="0068584C">
        <w:rPr>
          <w:rFonts w:ascii="Times New Roman" w:hAnsi="Times New Roman" w:cs="Times New Roman"/>
          <w:color w:val="000000" w:themeColor="text1"/>
        </w:rPr>
        <w:t>.</w:t>
      </w:r>
      <w:r w:rsidR="004E3539" w:rsidRPr="0068584C">
        <w:rPr>
          <w:rFonts w:ascii="Times New Roman" w:hAnsi="Times New Roman" w:cs="Times New Roman"/>
          <w:color w:val="000000" w:themeColor="text1"/>
        </w:rPr>
        <w:t xml:space="preserve"> </w:t>
      </w:r>
      <w:r w:rsidR="00DA5BCA" w:rsidRPr="0068584C">
        <w:rPr>
          <w:rFonts w:ascii="Times New Roman" w:hAnsi="Times New Roman" w:cs="Times New Roman"/>
          <w:color w:val="000000" w:themeColor="text1"/>
        </w:rPr>
        <w:t>While the dynamic capability literature has emphasized the ongoing resource re-configuration as critical, ROT has emphasized the aspect of synchronizing resource orchestration practices (Teece, 2007; Sirmon et al. 2011).</w:t>
      </w:r>
    </w:p>
    <w:p w14:paraId="3627527E" w14:textId="46F8D54D" w:rsidR="007865D9" w:rsidRPr="0068584C" w:rsidRDefault="003B3C59"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30574D" w:rsidRPr="0068584C">
        <w:rPr>
          <w:rFonts w:ascii="Times New Roman" w:hAnsi="Times New Roman" w:cs="Times New Roman"/>
          <w:color w:val="000000" w:themeColor="text1"/>
        </w:rPr>
        <w:t>The case study interviews revealed additional, interesting insights from the practitioners</w:t>
      </w:r>
      <w:r w:rsidR="000F27BB" w:rsidRPr="0068584C">
        <w:rPr>
          <w:rFonts w:ascii="Times New Roman" w:hAnsi="Times New Roman" w:cs="Times New Roman"/>
          <w:color w:val="000000" w:themeColor="text1"/>
        </w:rPr>
        <w:t>, especially in terms of external resources</w:t>
      </w:r>
      <w:r w:rsidR="0030574D" w:rsidRPr="0068584C">
        <w:rPr>
          <w:rFonts w:ascii="Times New Roman" w:hAnsi="Times New Roman" w:cs="Times New Roman"/>
          <w:color w:val="000000" w:themeColor="text1"/>
        </w:rPr>
        <w:t xml:space="preserve">. </w:t>
      </w:r>
      <w:r w:rsidR="0096731D" w:rsidRPr="0068584C">
        <w:rPr>
          <w:rFonts w:ascii="Times New Roman" w:hAnsi="Times New Roman" w:cs="Times New Roman"/>
          <w:color w:val="000000" w:themeColor="text1"/>
        </w:rPr>
        <w:t xml:space="preserve">One interesting revelation is the emphasis that participants gave to the </w:t>
      </w:r>
      <w:r w:rsidR="009E60F6" w:rsidRPr="0068584C">
        <w:rPr>
          <w:rFonts w:ascii="Times New Roman" w:hAnsi="Times New Roman" w:cs="Times New Roman"/>
          <w:color w:val="000000" w:themeColor="text1"/>
        </w:rPr>
        <w:t>suppliers’ processes</w:t>
      </w:r>
      <w:r w:rsidR="0088688F">
        <w:rPr>
          <w:rFonts w:ascii="Times New Roman" w:hAnsi="Times New Roman" w:cs="Times New Roman"/>
          <w:color w:val="000000" w:themeColor="text1"/>
        </w:rPr>
        <w:t>.</w:t>
      </w:r>
      <w:r w:rsidR="00B1139E" w:rsidRPr="0068584C">
        <w:rPr>
          <w:rFonts w:ascii="Times New Roman" w:hAnsi="Times New Roman" w:cs="Times New Roman"/>
          <w:color w:val="000000" w:themeColor="text1"/>
        </w:rPr>
        <w:t xml:space="preserve"> </w:t>
      </w:r>
      <w:r w:rsidR="009E60F6" w:rsidRPr="0068584C">
        <w:rPr>
          <w:rFonts w:ascii="Times New Roman" w:hAnsi="Times New Roman" w:cs="Times New Roman"/>
          <w:color w:val="000000" w:themeColor="text1"/>
        </w:rPr>
        <w:t xml:space="preserve">For example, </w:t>
      </w:r>
      <w:r w:rsidR="00A80FE4" w:rsidRPr="0068584C">
        <w:rPr>
          <w:rFonts w:ascii="Times New Roman" w:hAnsi="Times New Roman" w:cs="Times New Roman"/>
          <w:color w:val="000000" w:themeColor="text1"/>
        </w:rPr>
        <w:t xml:space="preserve">managers from </w:t>
      </w:r>
      <w:r w:rsidR="00BE1FFB" w:rsidRPr="0068584C">
        <w:rPr>
          <w:rFonts w:ascii="Times New Roman" w:hAnsi="Times New Roman" w:cs="Times New Roman"/>
          <w:color w:val="000000" w:themeColor="text1"/>
        </w:rPr>
        <w:t>TECH</w:t>
      </w:r>
      <w:r w:rsidR="009E60F6" w:rsidRPr="0068584C">
        <w:rPr>
          <w:rFonts w:ascii="Times New Roman" w:hAnsi="Times New Roman" w:cs="Times New Roman"/>
          <w:color w:val="000000" w:themeColor="text1"/>
        </w:rPr>
        <w:t xml:space="preserve">-2 </w:t>
      </w:r>
      <w:r w:rsidR="00A80FE4" w:rsidRPr="0068584C">
        <w:rPr>
          <w:rFonts w:ascii="Times New Roman" w:hAnsi="Times New Roman" w:cs="Times New Roman"/>
          <w:color w:val="000000" w:themeColor="text1"/>
        </w:rPr>
        <w:t xml:space="preserve">or LOG described how the recognition of a supplier’s </w:t>
      </w:r>
      <w:r w:rsidR="00360EFB" w:rsidRPr="0068584C">
        <w:rPr>
          <w:rFonts w:ascii="Times New Roman" w:hAnsi="Times New Roman" w:cs="Times New Roman"/>
          <w:color w:val="000000" w:themeColor="text1"/>
        </w:rPr>
        <w:t>superior processes has</w:t>
      </w:r>
      <w:r w:rsidR="00A80FE4" w:rsidRPr="0068584C">
        <w:rPr>
          <w:rFonts w:ascii="Times New Roman" w:hAnsi="Times New Roman" w:cs="Times New Roman"/>
          <w:color w:val="000000" w:themeColor="text1"/>
        </w:rPr>
        <w:t xml:space="preserve"> led to a change in the supply base.</w:t>
      </w:r>
      <w:r w:rsidR="003A3A1D" w:rsidRPr="0068584C">
        <w:rPr>
          <w:rFonts w:ascii="Times New Roman" w:hAnsi="Times New Roman" w:cs="Times New Roman"/>
          <w:color w:val="000000" w:themeColor="text1"/>
        </w:rPr>
        <w:t xml:space="preserve"> For instance, new suppliers have excellent R&amp;D capabilities but also </w:t>
      </w:r>
      <w:r w:rsidR="00D72395" w:rsidRPr="0068584C">
        <w:rPr>
          <w:rFonts w:ascii="Times New Roman" w:hAnsi="Times New Roman" w:cs="Times New Roman"/>
          <w:color w:val="000000" w:themeColor="text1"/>
        </w:rPr>
        <w:t xml:space="preserve">have </w:t>
      </w:r>
      <w:r w:rsidR="003A3A1D" w:rsidRPr="0068584C">
        <w:rPr>
          <w:rFonts w:ascii="Times New Roman" w:hAnsi="Times New Roman" w:cs="Times New Roman"/>
          <w:color w:val="000000" w:themeColor="text1"/>
        </w:rPr>
        <w:t>established processes to facilitate access to R&amp;D funding from outside (governmental) sources.</w:t>
      </w:r>
    </w:p>
    <w:p w14:paraId="1FF11024" w14:textId="77777777" w:rsidR="002A4FB2" w:rsidRPr="0068584C" w:rsidRDefault="002A4FB2" w:rsidP="0035460B">
      <w:pPr>
        <w:spacing w:line="480" w:lineRule="auto"/>
        <w:jc w:val="both"/>
        <w:rPr>
          <w:rFonts w:ascii="Times New Roman" w:hAnsi="Times New Roman" w:cs="Times New Roman"/>
          <w:color w:val="000000" w:themeColor="text1"/>
        </w:rPr>
      </w:pPr>
    </w:p>
    <w:p w14:paraId="7E0504CC" w14:textId="217BBF25" w:rsidR="002A4FB2" w:rsidRPr="0068584C" w:rsidRDefault="00CE22C3"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 </w:t>
      </w:r>
      <w:r w:rsidR="005D4D36" w:rsidRPr="0068584C">
        <w:rPr>
          <w:rFonts w:ascii="Times New Roman" w:hAnsi="Times New Roman" w:cs="Times New Roman"/>
          <w:color w:val="000000" w:themeColor="text1"/>
        </w:rPr>
        <w:t>[</w:t>
      </w:r>
      <w:r w:rsidR="005D4D36" w:rsidRPr="0068584C">
        <w:rPr>
          <w:rFonts w:ascii="Times New Roman" w:hAnsi="Times New Roman" w:cs="Times New Roman"/>
          <w:i/>
          <w:color w:val="000000" w:themeColor="text1"/>
        </w:rPr>
        <w:t>We</w:t>
      </w:r>
      <w:r w:rsidR="005D4D36" w:rsidRPr="0068584C">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 xml:space="preserve">had several meetings with our core team and our core strategy team and actually developed an alternative supply base of suppliers that we want to actually grow because they do have good quality. They are cooperative and they can provide other benefits because they can access government funding, be in U.S. or international </w:t>
      </w:r>
      <w:r w:rsidRPr="0068584C">
        <w:rPr>
          <w:rFonts w:ascii="Times New Roman" w:hAnsi="Times New Roman" w:cs="Times New Roman"/>
          <w:color w:val="000000" w:themeColor="text1"/>
        </w:rPr>
        <w:lastRenderedPageBreak/>
        <w:t xml:space="preserve">government funding. They have robust R&amp;D technology capabilities themselves.” (Hannah,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37413570" w14:textId="77777777" w:rsidR="00435BC1" w:rsidRPr="0068584C" w:rsidRDefault="00435BC1" w:rsidP="008C76D8">
      <w:pPr>
        <w:ind w:left="720"/>
        <w:jc w:val="both"/>
        <w:rPr>
          <w:rFonts w:ascii="Times New Roman" w:hAnsi="Times New Roman" w:cs="Times New Roman"/>
          <w:color w:val="000000" w:themeColor="text1"/>
        </w:rPr>
      </w:pPr>
    </w:p>
    <w:p w14:paraId="1338DF85" w14:textId="517829F3" w:rsidR="00CE22C3" w:rsidRPr="0068584C" w:rsidRDefault="005B162A"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I have my engine supplier sitting down with my engine engineer. We sit down and look at the target. We look at all the process for getting there, how we can make this at this price.”</w:t>
      </w:r>
      <w:r w:rsidR="00CB3665" w:rsidRPr="0068584C">
        <w:rPr>
          <w:rFonts w:ascii="Times New Roman" w:hAnsi="Times New Roman" w:cs="Times New Roman"/>
          <w:color w:val="000000" w:themeColor="text1"/>
        </w:rPr>
        <w:t xml:space="preserve"> (Thomas, LOG)</w:t>
      </w:r>
    </w:p>
    <w:p w14:paraId="7067997C" w14:textId="77777777" w:rsidR="00CB3665" w:rsidRPr="0068584C" w:rsidRDefault="00CB3665" w:rsidP="0035460B">
      <w:pPr>
        <w:spacing w:line="480" w:lineRule="auto"/>
        <w:jc w:val="both"/>
        <w:rPr>
          <w:rFonts w:ascii="Times New Roman" w:hAnsi="Times New Roman" w:cs="Times New Roman"/>
          <w:color w:val="000000" w:themeColor="text1"/>
        </w:rPr>
      </w:pPr>
    </w:p>
    <w:p w14:paraId="1503EB39" w14:textId="09C13CFF" w:rsidR="002A4FB2" w:rsidRPr="0068584C" w:rsidRDefault="002A4FB2"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In contrast, </w:t>
      </w:r>
      <w:r w:rsidR="000848A2" w:rsidRPr="0068584C">
        <w:rPr>
          <w:rFonts w:ascii="Times New Roman" w:hAnsi="Times New Roman" w:cs="Times New Roman"/>
          <w:color w:val="000000" w:themeColor="text1"/>
        </w:rPr>
        <w:t xml:space="preserve">the managers noted that </w:t>
      </w:r>
      <w:r w:rsidRPr="0068584C">
        <w:rPr>
          <w:rFonts w:ascii="Times New Roman" w:hAnsi="Times New Roman" w:cs="Times New Roman"/>
          <w:color w:val="000000" w:themeColor="text1"/>
        </w:rPr>
        <w:t>poor performing suppliers lack essential process capabilities in terms of lean</w:t>
      </w:r>
      <w:r w:rsidR="00963A99" w:rsidRPr="0068584C">
        <w:rPr>
          <w:rFonts w:ascii="Times New Roman" w:hAnsi="Times New Roman" w:cs="Times New Roman"/>
          <w:color w:val="000000" w:themeColor="text1"/>
        </w:rPr>
        <w:t xml:space="preserve"> manufacturing or design for manufacturability.</w:t>
      </w:r>
    </w:p>
    <w:p w14:paraId="7C63BA59" w14:textId="77777777" w:rsidR="0091015A" w:rsidRPr="0068584C" w:rsidRDefault="0091015A" w:rsidP="0035460B">
      <w:pPr>
        <w:spacing w:line="480" w:lineRule="auto"/>
        <w:jc w:val="both"/>
        <w:rPr>
          <w:rFonts w:ascii="Times New Roman" w:hAnsi="Times New Roman" w:cs="Times New Roman"/>
          <w:color w:val="000000" w:themeColor="text1"/>
        </w:rPr>
      </w:pPr>
    </w:p>
    <w:p w14:paraId="71CCE6F5" w14:textId="36A3B67B" w:rsidR="00963A99" w:rsidRPr="0068584C" w:rsidRDefault="0006249B"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 </w:t>
      </w:r>
      <w:r w:rsidR="00900D12" w:rsidRPr="0068584C">
        <w:rPr>
          <w:rFonts w:ascii="Times New Roman" w:hAnsi="Times New Roman" w:cs="Times New Roman"/>
          <w:color w:val="000000" w:themeColor="text1"/>
        </w:rPr>
        <w:t xml:space="preserve"> you </w:t>
      </w:r>
      <w:r w:rsidR="00132D4E" w:rsidRPr="0068584C">
        <w:rPr>
          <w:rFonts w:ascii="Times New Roman" w:hAnsi="Times New Roman" w:cs="Times New Roman"/>
          <w:color w:val="000000" w:themeColor="text1"/>
        </w:rPr>
        <w:t>[</w:t>
      </w:r>
      <w:r w:rsidR="00132D4E" w:rsidRPr="0068584C">
        <w:rPr>
          <w:rFonts w:ascii="Times New Roman" w:hAnsi="Times New Roman" w:cs="Times New Roman"/>
          <w:i/>
          <w:color w:val="000000" w:themeColor="text1"/>
        </w:rPr>
        <w:t>the supplier</w:t>
      </w:r>
      <w:r w:rsidR="00132D4E" w:rsidRPr="0068584C">
        <w:rPr>
          <w:rFonts w:ascii="Times New Roman" w:hAnsi="Times New Roman" w:cs="Times New Roman"/>
          <w:color w:val="000000" w:themeColor="text1"/>
        </w:rPr>
        <w:t xml:space="preserve">] </w:t>
      </w:r>
      <w:r w:rsidR="00900D12" w:rsidRPr="0068584C">
        <w:rPr>
          <w:rFonts w:ascii="Times New Roman" w:hAnsi="Times New Roman" w:cs="Times New Roman"/>
          <w:color w:val="000000" w:themeColor="text1"/>
        </w:rPr>
        <w:t>need [</w:t>
      </w:r>
      <w:r w:rsidR="00900D12" w:rsidRPr="0068584C">
        <w:rPr>
          <w:rFonts w:ascii="Times New Roman" w:hAnsi="Times New Roman" w:cs="Times New Roman"/>
          <w:i/>
          <w:color w:val="000000" w:themeColor="text1"/>
        </w:rPr>
        <w:t>our</w:t>
      </w:r>
      <w:r w:rsidR="00900D12" w:rsidRPr="0068584C">
        <w:rPr>
          <w:rFonts w:ascii="Times New Roman" w:hAnsi="Times New Roman" w:cs="Times New Roman"/>
          <w:color w:val="000000" w:themeColor="text1"/>
        </w:rPr>
        <w:t>] help in terms of lean manufacturing expertise, value engineering change</w:t>
      </w:r>
      <w:r w:rsidR="00132D4E" w:rsidRPr="0068584C">
        <w:rPr>
          <w:rFonts w:ascii="Times New Roman" w:hAnsi="Times New Roman" w:cs="Times New Roman"/>
          <w:color w:val="000000" w:themeColor="text1"/>
        </w:rPr>
        <w:t xml:space="preserve">s to make things more producible.” </w:t>
      </w:r>
      <w:r w:rsidR="00900D12" w:rsidRPr="0068584C">
        <w:rPr>
          <w:rFonts w:ascii="Times New Roman" w:hAnsi="Times New Roman" w:cs="Times New Roman"/>
          <w:color w:val="000000" w:themeColor="text1"/>
        </w:rPr>
        <w:t xml:space="preserve">(Hannah, </w:t>
      </w:r>
      <w:r w:rsidR="00BE1FFB" w:rsidRPr="0068584C">
        <w:rPr>
          <w:rFonts w:ascii="Times New Roman" w:hAnsi="Times New Roman" w:cs="Times New Roman"/>
          <w:color w:val="000000" w:themeColor="text1"/>
        </w:rPr>
        <w:t>TECH</w:t>
      </w:r>
      <w:r w:rsidR="00900D12" w:rsidRPr="0068584C">
        <w:rPr>
          <w:rFonts w:ascii="Times New Roman" w:hAnsi="Times New Roman" w:cs="Times New Roman"/>
          <w:color w:val="000000" w:themeColor="text1"/>
        </w:rPr>
        <w:t>-2)</w:t>
      </w:r>
    </w:p>
    <w:p w14:paraId="55EE6862" w14:textId="77777777" w:rsidR="007865D9" w:rsidRPr="0068584C" w:rsidRDefault="007865D9" w:rsidP="0035460B">
      <w:pPr>
        <w:spacing w:line="480" w:lineRule="auto"/>
        <w:jc w:val="both"/>
        <w:rPr>
          <w:rFonts w:ascii="Times New Roman" w:hAnsi="Times New Roman" w:cs="Times New Roman"/>
          <w:color w:val="000000" w:themeColor="text1"/>
        </w:rPr>
      </w:pPr>
    </w:p>
    <w:p w14:paraId="280C7DA2" w14:textId="21CDA40F" w:rsidR="002656EE" w:rsidRPr="0068584C" w:rsidRDefault="002656EE"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Thus,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 xml:space="preserve">-2 and LOG </w:t>
      </w:r>
      <w:r w:rsidR="00BF223C" w:rsidRPr="00010D2E">
        <w:rPr>
          <w:rFonts w:ascii="Times New Roman" w:hAnsi="Times New Roman" w:cs="Times New Roman"/>
          <w:color w:val="000000" w:themeColor="text1"/>
        </w:rPr>
        <w:t>considered the suppliers’ processes as critical external resources</w:t>
      </w:r>
      <w:r w:rsidR="00BF223C">
        <w:rPr>
          <w:rFonts w:ascii="Times New Roman" w:hAnsi="Times New Roman" w:cs="Times New Roman"/>
          <w:color w:val="000000" w:themeColor="text1"/>
        </w:rPr>
        <w:t xml:space="preserve">, </w:t>
      </w:r>
      <w:r w:rsidR="0006249B" w:rsidRPr="0068584C">
        <w:rPr>
          <w:rFonts w:ascii="Times New Roman" w:hAnsi="Times New Roman" w:cs="Times New Roman"/>
          <w:color w:val="000000" w:themeColor="text1"/>
        </w:rPr>
        <w:t>determin</w:t>
      </w:r>
      <w:r w:rsidR="00BF223C">
        <w:rPr>
          <w:rFonts w:ascii="Times New Roman" w:hAnsi="Times New Roman" w:cs="Times New Roman"/>
          <w:color w:val="000000" w:themeColor="text1"/>
        </w:rPr>
        <w:t>ing</w:t>
      </w:r>
      <w:r w:rsidRPr="0068584C">
        <w:rPr>
          <w:rFonts w:ascii="Times New Roman" w:hAnsi="Times New Roman" w:cs="Times New Roman"/>
          <w:color w:val="000000" w:themeColor="text1"/>
        </w:rPr>
        <w:t xml:space="preserve"> the target products and services to be procured. </w:t>
      </w:r>
      <w:r w:rsidR="00BF223C">
        <w:rPr>
          <w:rFonts w:ascii="Times New Roman" w:hAnsi="Times New Roman" w:cs="Times New Roman"/>
          <w:color w:val="000000" w:themeColor="text1"/>
        </w:rPr>
        <w:t>Both firms</w:t>
      </w:r>
      <w:r w:rsidRPr="0068584C">
        <w:rPr>
          <w:rFonts w:ascii="Times New Roman" w:hAnsi="Times New Roman" w:cs="Times New Roman"/>
          <w:color w:val="000000" w:themeColor="text1"/>
        </w:rPr>
        <w:t xml:space="preserve"> evaluated the quality of the entire process leading to the supplier’s final output (end product or service). Nonetheless,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 xml:space="preserve">-2 noted that they </w:t>
      </w:r>
      <w:r w:rsidR="00AD5526" w:rsidRPr="0068584C">
        <w:rPr>
          <w:rFonts w:ascii="Times New Roman" w:hAnsi="Times New Roman" w:cs="Times New Roman"/>
          <w:color w:val="000000" w:themeColor="text1"/>
        </w:rPr>
        <w:t>had undergone</w:t>
      </w:r>
      <w:r w:rsidRPr="0068584C">
        <w:rPr>
          <w:rFonts w:ascii="Times New Roman" w:hAnsi="Times New Roman" w:cs="Times New Roman"/>
          <w:color w:val="000000" w:themeColor="text1"/>
        </w:rPr>
        <w:t xml:space="preserve"> a learning process in the past. They recognized the need to pay more attention to the details of the </w:t>
      </w:r>
      <w:r w:rsidR="0054586E" w:rsidRPr="0068584C">
        <w:rPr>
          <w:rFonts w:ascii="Times New Roman" w:hAnsi="Times New Roman" w:cs="Times New Roman"/>
          <w:color w:val="000000" w:themeColor="text1"/>
        </w:rPr>
        <w:t xml:space="preserve">upstream </w:t>
      </w:r>
      <w:r w:rsidRPr="0068584C">
        <w:rPr>
          <w:rFonts w:ascii="Times New Roman" w:hAnsi="Times New Roman" w:cs="Times New Roman"/>
          <w:color w:val="000000" w:themeColor="text1"/>
        </w:rPr>
        <w:t>supply chain process resources and capabilities.</w:t>
      </w:r>
    </w:p>
    <w:p w14:paraId="1A97FF07" w14:textId="77777777" w:rsidR="0091015A" w:rsidRPr="0068584C" w:rsidRDefault="0091015A" w:rsidP="0035460B">
      <w:pPr>
        <w:spacing w:line="480" w:lineRule="auto"/>
        <w:jc w:val="both"/>
        <w:rPr>
          <w:rFonts w:ascii="Times New Roman" w:hAnsi="Times New Roman" w:cs="Times New Roman"/>
          <w:color w:val="000000" w:themeColor="text1"/>
        </w:rPr>
      </w:pPr>
    </w:p>
    <w:p w14:paraId="738A1EAC" w14:textId="4C9FEB19" w:rsidR="003444F4" w:rsidRPr="0068584C" w:rsidRDefault="003444F4"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 We spent a huge amount of time and money doing production readiness and digging into our tier one supply chain because, frankly, that’s where we found most of our failures, was way way down in the supply chain. We’re talking tier four, tier five. We had no clue that it was so deep and so I would say that is an area that we’re certainly more aware of, and we spend a lot of energy managing it.” (Hannah,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11EFF561" w14:textId="77777777" w:rsidR="001B7D65" w:rsidRPr="0068584C" w:rsidRDefault="001B7D65" w:rsidP="0035460B">
      <w:pPr>
        <w:spacing w:line="480" w:lineRule="auto"/>
        <w:ind w:left="1440"/>
        <w:jc w:val="both"/>
        <w:rPr>
          <w:rFonts w:ascii="Times New Roman" w:hAnsi="Times New Roman" w:cs="Times New Roman"/>
          <w:color w:val="000000" w:themeColor="text1"/>
        </w:rPr>
      </w:pPr>
    </w:p>
    <w:p w14:paraId="0DBECA46" w14:textId="2A3C5E9B" w:rsidR="001773D2" w:rsidRPr="0068584C" w:rsidRDefault="004D2063"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The category of internal resources is very broad and diverse. </w:t>
      </w:r>
      <w:r w:rsidR="00B84D3F" w:rsidRPr="0068584C">
        <w:rPr>
          <w:rFonts w:ascii="Times New Roman" w:hAnsi="Times New Roman" w:cs="Times New Roman"/>
          <w:color w:val="000000" w:themeColor="text1"/>
        </w:rPr>
        <w:t>The m</w:t>
      </w:r>
      <w:r w:rsidR="00222FBF" w:rsidRPr="0068584C">
        <w:rPr>
          <w:rFonts w:ascii="Times New Roman" w:hAnsi="Times New Roman" w:cs="Times New Roman"/>
          <w:color w:val="000000" w:themeColor="text1"/>
        </w:rPr>
        <w:t>anagers mentioned both tangible (e.g., financial and human resources) and intangible resources (e.g., a process to share information or a systematic procedure to deal with engineering changes).</w:t>
      </w:r>
      <w:r w:rsidR="000C7E04" w:rsidRPr="0068584C">
        <w:rPr>
          <w:rFonts w:ascii="Times New Roman" w:hAnsi="Times New Roman" w:cs="Times New Roman"/>
          <w:color w:val="000000" w:themeColor="text1"/>
        </w:rPr>
        <w:t xml:space="preserve"> Many aspects relate to </w:t>
      </w:r>
      <w:r w:rsidR="000C7E04" w:rsidRPr="0068584C">
        <w:rPr>
          <w:rFonts w:ascii="Times New Roman" w:hAnsi="Times New Roman" w:cs="Times New Roman"/>
          <w:color w:val="000000" w:themeColor="text1"/>
        </w:rPr>
        <w:lastRenderedPageBreak/>
        <w:t>cross-functional integration with aspects of communication, cooperation, collaboration, and coordination practices.</w:t>
      </w:r>
      <w:r w:rsidR="00EE0F4E" w:rsidRPr="0068584C">
        <w:rPr>
          <w:rFonts w:ascii="Times New Roman" w:hAnsi="Times New Roman" w:cs="Times New Roman"/>
          <w:color w:val="000000" w:themeColor="text1"/>
        </w:rPr>
        <w:t xml:space="preserve"> For example, manager</w:t>
      </w:r>
      <w:r w:rsidR="00147BE9" w:rsidRPr="0068584C">
        <w:rPr>
          <w:rFonts w:ascii="Times New Roman" w:hAnsi="Times New Roman" w:cs="Times New Roman"/>
          <w:color w:val="000000" w:themeColor="text1"/>
        </w:rPr>
        <w:t>s from AUTO, EQUIP</w:t>
      </w:r>
      <w:r w:rsidR="00EE0F4E" w:rsidRPr="0068584C">
        <w:rPr>
          <w:rFonts w:ascii="Times New Roman" w:hAnsi="Times New Roman" w:cs="Times New Roman"/>
          <w:color w:val="000000" w:themeColor="text1"/>
        </w:rPr>
        <w:t xml:space="preserve">, and </w:t>
      </w:r>
      <w:r w:rsidR="00BE1FFB" w:rsidRPr="0068584C">
        <w:rPr>
          <w:rFonts w:ascii="Times New Roman" w:hAnsi="Times New Roman" w:cs="Times New Roman"/>
          <w:color w:val="000000" w:themeColor="text1"/>
        </w:rPr>
        <w:t>TECH</w:t>
      </w:r>
      <w:r w:rsidR="00EE0F4E" w:rsidRPr="0068584C">
        <w:rPr>
          <w:rFonts w:ascii="Times New Roman" w:hAnsi="Times New Roman" w:cs="Times New Roman"/>
          <w:color w:val="000000" w:themeColor="text1"/>
        </w:rPr>
        <w:t>-2 described some core internal resources as follows.</w:t>
      </w:r>
    </w:p>
    <w:p w14:paraId="543C59E9" w14:textId="77777777" w:rsidR="00EE0F4E" w:rsidRPr="0068584C" w:rsidRDefault="00EE0F4E" w:rsidP="0035460B">
      <w:pPr>
        <w:spacing w:line="480" w:lineRule="auto"/>
        <w:jc w:val="both"/>
        <w:rPr>
          <w:rFonts w:ascii="Times New Roman" w:hAnsi="Times New Roman" w:cs="Times New Roman"/>
          <w:color w:val="000000" w:themeColor="text1"/>
        </w:rPr>
      </w:pPr>
    </w:p>
    <w:p w14:paraId="0FE89EBB" w14:textId="6AA0F9E5" w:rsidR="007C6927" w:rsidRPr="0068584C" w:rsidRDefault="007C6927"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“…I think the communication exchange, … the communication stage has to cover all the different functions, whether it’s the marketing information that’s transmitted across volume and the calendarization of that volume just for seasonality to pricing and cost of raw materials. There needs to be some level of sharing.</w:t>
      </w:r>
      <w:r w:rsidR="006B243E" w:rsidRPr="0068584C">
        <w:rPr>
          <w:rFonts w:ascii="Times New Roman" w:hAnsi="Times New Roman" w:cs="Times New Roman"/>
          <w:color w:val="000000" w:themeColor="text1"/>
        </w:rPr>
        <w:t>“</w:t>
      </w:r>
      <w:r w:rsidR="00147BE9" w:rsidRPr="0068584C">
        <w:rPr>
          <w:rFonts w:ascii="Times New Roman" w:hAnsi="Times New Roman" w:cs="Times New Roman"/>
          <w:color w:val="000000" w:themeColor="text1"/>
        </w:rPr>
        <w:t>(Rodney, AUTO)</w:t>
      </w:r>
    </w:p>
    <w:p w14:paraId="766DC1E3" w14:textId="77777777" w:rsidR="00147BE9" w:rsidRPr="0068584C" w:rsidRDefault="00147BE9" w:rsidP="008C76D8">
      <w:pPr>
        <w:ind w:left="720"/>
        <w:jc w:val="both"/>
        <w:rPr>
          <w:rFonts w:ascii="Times New Roman" w:hAnsi="Times New Roman" w:cs="Times New Roman"/>
          <w:color w:val="000000" w:themeColor="text1"/>
        </w:rPr>
      </w:pPr>
    </w:p>
    <w:p w14:paraId="65297B11" w14:textId="29AE8E7D" w:rsidR="00512973" w:rsidRPr="0068584C" w:rsidRDefault="00512973"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“…we have this problem. We have a plan. We need to make sure it happens.” Now there’s an </w:t>
      </w:r>
      <w:r w:rsidR="006B243E" w:rsidRPr="0068584C">
        <w:rPr>
          <w:rFonts w:ascii="Times New Roman" w:hAnsi="Times New Roman" w:cs="Times New Roman"/>
          <w:color w:val="000000" w:themeColor="text1"/>
        </w:rPr>
        <w:t>…</w:t>
      </w:r>
      <w:r w:rsidRPr="0068584C">
        <w:rPr>
          <w:rFonts w:ascii="Times New Roman" w:hAnsi="Times New Roman" w:cs="Times New Roman"/>
          <w:color w:val="000000" w:themeColor="text1"/>
        </w:rPr>
        <w:t xml:space="preserve"> in a system that we’re tracking and they have to come back with a formal corrective action plan and there’s a formal process in which it gets closed out, so that everybody understands and agrees</w:t>
      </w:r>
      <w:r w:rsidR="006B243E" w:rsidRPr="0068584C">
        <w:rPr>
          <w:rFonts w:ascii="Times New Roman" w:hAnsi="Times New Roman" w:cs="Times New Roman"/>
          <w:color w:val="000000" w:themeColor="text1"/>
        </w:rPr>
        <w:t>.</w:t>
      </w:r>
      <w:r w:rsidRPr="0068584C">
        <w:rPr>
          <w:rFonts w:ascii="Times New Roman" w:hAnsi="Times New Roman" w:cs="Times New Roman"/>
          <w:color w:val="000000" w:themeColor="text1"/>
        </w:rPr>
        <w:t>” (</w:t>
      </w:r>
      <w:r w:rsidR="00AD1140" w:rsidRPr="0068584C">
        <w:rPr>
          <w:rFonts w:ascii="Times New Roman" w:hAnsi="Times New Roman" w:cs="Times New Roman"/>
          <w:color w:val="000000" w:themeColor="text1"/>
        </w:rPr>
        <w:t>Amy,</w:t>
      </w:r>
      <w:r w:rsidRPr="0068584C">
        <w:rPr>
          <w:rFonts w:ascii="Times New Roman" w:hAnsi="Times New Roman" w:cs="Times New Roman"/>
          <w:color w:val="000000" w:themeColor="text1"/>
        </w:rPr>
        <w:t xml:space="preserve"> EQUIP)</w:t>
      </w:r>
    </w:p>
    <w:p w14:paraId="302E118E" w14:textId="77777777" w:rsidR="002F0756" w:rsidRPr="0068584C" w:rsidRDefault="002F0756" w:rsidP="008C76D8">
      <w:pPr>
        <w:ind w:left="720"/>
        <w:jc w:val="both"/>
        <w:rPr>
          <w:rFonts w:ascii="Times New Roman" w:hAnsi="Times New Roman" w:cs="Times New Roman"/>
          <w:color w:val="000000" w:themeColor="text1"/>
        </w:rPr>
      </w:pPr>
    </w:p>
    <w:p w14:paraId="6001F64C" w14:textId="2867327A" w:rsidR="00B96F08" w:rsidRPr="0068584C" w:rsidRDefault="002F0756"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“…I would say though generally, it’s preferred that we align internally and go out as a united front.” (Hannah,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6B530EBD" w14:textId="77777777" w:rsidR="00B96F08" w:rsidRPr="0068584C" w:rsidRDefault="00B96F08" w:rsidP="0035460B">
      <w:pPr>
        <w:spacing w:line="480" w:lineRule="auto"/>
        <w:jc w:val="both"/>
        <w:rPr>
          <w:rFonts w:ascii="Times New Roman" w:hAnsi="Times New Roman" w:cs="Times New Roman"/>
          <w:color w:val="000000" w:themeColor="text1"/>
        </w:rPr>
      </w:pPr>
    </w:p>
    <w:p w14:paraId="6C695993" w14:textId="465A8E14" w:rsidR="00B96F08" w:rsidRPr="0068584C" w:rsidRDefault="00B96F08"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Several organizations highlighted the issue of internal resource co</w:t>
      </w:r>
      <w:r w:rsidR="006530E4" w:rsidRPr="0068584C">
        <w:rPr>
          <w:rFonts w:ascii="Times New Roman" w:hAnsi="Times New Roman" w:cs="Times New Roman"/>
          <w:color w:val="000000" w:themeColor="text1"/>
        </w:rPr>
        <w:t>nstraints, especially in regard</w:t>
      </w:r>
      <w:r w:rsidRPr="0068584C">
        <w:rPr>
          <w:rFonts w:ascii="Times New Roman" w:hAnsi="Times New Roman" w:cs="Times New Roman"/>
          <w:color w:val="000000" w:themeColor="text1"/>
        </w:rPr>
        <w:t xml:space="preserve"> to</w:t>
      </w:r>
      <w:r w:rsidR="009F152D" w:rsidRPr="0068584C">
        <w:rPr>
          <w:rFonts w:ascii="Times New Roman" w:hAnsi="Times New Roman" w:cs="Times New Roman"/>
          <w:color w:val="000000" w:themeColor="text1"/>
        </w:rPr>
        <w:t xml:space="preserve"> tangible resources such as</w:t>
      </w:r>
      <w:r w:rsidRPr="0068584C">
        <w:rPr>
          <w:rFonts w:ascii="Times New Roman" w:hAnsi="Times New Roman" w:cs="Times New Roman"/>
          <w:color w:val="000000" w:themeColor="text1"/>
        </w:rPr>
        <w:t xml:space="preserve"> financial and human resources.</w:t>
      </w:r>
    </w:p>
    <w:p w14:paraId="74CC89A4" w14:textId="77777777" w:rsidR="00B96F08" w:rsidRPr="0068584C" w:rsidRDefault="00B96F08" w:rsidP="0035460B">
      <w:pPr>
        <w:spacing w:line="480" w:lineRule="auto"/>
        <w:jc w:val="both"/>
        <w:rPr>
          <w:rFonts w:ascii="Times New Roman" w:hAnsi="Times New Roman" w:cs="Times New Roman"/>
          <w:color w:val="000000" w:themeColor="text1"/>
        </w:rPr>
      </w:pPr>
    </w:p>
    <w:p w14:paraId="1FC1E145" w14:textId="457C1581" w:rsidR="006953A2" w:rsidRPr="0068584C" w:rsidRDefault="002F0756"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 </w:t>
      </w:r>
      <w:r w:rsidR="006953A2" w:rsidRPr="0068584C">
        <w:rPr>
          <w:rFonts w:ascii="Times New Roman" w:hAnsi="Times New Roman" w:cs="Times New Roman"/>
          <w:color w:val="000000" w:themeColor="text1"/>
        </w:rPr>
        <w:t>“…There are some constraints there in terms of the number of resources, especially if you don’t recognize that a big part of that process is going to take time. … that’s going to reduce the amount of time they can work on the projects they’re working on now” (</w:t>
      </w:r>
      <w:r w:rsidR="00CF1A20" w:rsidRPr="0068584C">
        <w:rPr>
          <w:rFonts w:ascii="Times New Roman" w:hAnsi="Times New Roman" w:cs="Times New Roman"/>
          <w:color w:val="000000" w:themeColor="text1"/>
        </w:rPr>
        <w:t>Brandon, AUTO)</w:t>
      </w:r>
      <w:r w:rsidR="006953A2" w:rsidRPr="0068584C">
        <w:rPr>
          <w:rFonts w:ascii="Times New Roman" w:hAnsi="Times New Roman" w:cs="Times New Roman"/>
          <w:color w:val="000000" w:themeColor="text1"/>
        </w:rPr>
        <w:t xml:space="preserve"> </w:t>
      </w:r>
    </w:p>
    <w:p w14:paraId="54F512AF" w14:textId="465E03BA" w:rsidR="002F0756" w:rsidRPr="0068584C" w:rsidRDefault="002F0756" w:rsidP="008C76D8">
      <w:pPr>
        <w:ind w:left="720"/>
        <w:jc w:val="both"/>
        <w:rPr>
          <w:rFonts w:ascii="Times New Roman" w:hAnsi="Times New Roman" w:cs="Times New Roman"/>
          <w:color w:val="000000" w:themeColor="text1"/>
        </w:rPr>
      </w:pPr>
    </w:p>
    <w:p w14:paraId="4D552D8A" w14:textId="53141E14" w:rsidR="009F7FB3" w:rsidRPr="0068584C" w:rsidRDefault="009F7FB3"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 … Where we run into problems is when many different projects are launching at the same time for different development centers. Then we start running into manpower issues.” (Hunter or Bob, LOG) </w:t>
      </w:r>
    </w:p>
    <w:p w14:paraId="72643612" w14:textId="3B9D0EA8" w:rsidR="002F0756" w:rsidRPr="0068584C" w:rsidRDefault="002F0756" w:rsidP="008C76D8">
      <w:pPr>
        <w:ind w:left="720"/>
        <w:jc w:val="both"/>
        <w:rPr>
          <w:rFonts w:ascii="Times New Roman" w:hAnsi="Times New Roman" w:cs="Times New Roman"/>
          <w:color w:val="000000" w:themeColor="text1"/>
        </w:rPr>
      </w:pPr>
    </w:p>
    <w:p w14:paraId="32469E60" w14:textId="1B0974CD" w:rsidR="00512973" w:rsidRPr="0068584C" w:rsidRDefault="00E7287D"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t>
      </w:r>
      <w:r w:rsidR="00C932D3" w:rsidRPr="0068584C">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 xml:space="preserve">there’s a big knowledge gap and skill gap right now that we’re dealing with.” (Hannah,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2C3529E0" w14:textId="5CBF4F00" w:rsidR="00EE0F4E" w:rsidRPr="0068584C" w:rsidRDefault="00EE0F4E" w:rsidP="0035460B">
      <w:pPr>
        <w:spacing w:line="480" w:lineRule="auto"/>
        <w:jc w:val="both"/>
        <w:rPr>
          <w:rFonts w:ascii="Times New Roman" w:hAnsi="Times New Roman" w:cs="Times New Roman"/>
          <w:color w:val="000000" w:themeColor="text1"/>
        </w:rPr>
      </w:pPr>
    </w:p>
    <w:p w14:paraId="0E943026" w14:textId="2EEBA53C" w:rsidR="00EE0F4E" w:rsidRPr="0068584C" w:rsidRDefault="00BF01CD"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Finally, </w:t>
      </w:r>
      <w:r w:rsidR="003C4A30" w:rsidRPr="0068584C">
        <w:rPr>
          <w:rFonts w:ascii="Times New Roman" w:hAnsi="Times New Roman" w:cs="Times New Roman"/>
          <w:color w:val="000000" w:themeColor="text1"/>
        </w:rPr>
        <w:t>an</w:t>
      </w:r>
      <w:r w:rsidRPr="0068584C">
        <w:rPr>
          <w:rFonts w:ascii="Times New Roman" w:hAnsi="Times New Roman" w:cs="Times New Roman"/>
          <w:color w:val="000000" w:themeColor="text1"/>
        </w:rPr>
        <w:t xml:space="preserve"> effective organizational learning process can be considered as an internal resource as well. Some companies have struggled to establish cross-functional learning or have neglected the </w:t>
      </w:r>
      <w:r w:rsidRPr="0068584C">
        <w:rPr>
          <w:rFonts w:ascii="Times New Roman" w:hAnsi="Times New Roman" w:cs="Times New Roman"/>
          <w:color w:val="000000" w:themeColor="text1"/>
        </w:rPr>
        <w:lastRenderedPageBreak/>
        <w:t>importance of internal transfer of knowledge within the organization.</w:t>
      </w:r>
      <w:r w:rsidR="001F0317" w:rsidRPr="0068584C">
        <w:rPr>
          <w:rFonts w:ascii="Times New Roman" w:hAnsi="Times New Roman" w:cs="Times New Roman"/>
          <w:color w:val="000000" w:themeColor="text1"/>
        </w:rPr>
        <w:t xml:space="preserve"> In the case of EQUIP, the managers noticed that </w:t>
      </w:r>
      <w:r w:rsidR="00070AF2" w:rsidRPr="0068584C">
        <w:rPr>
          <w:rFonts w:ascii="Times New Roman" w:hAnsi="Times New Roman" w:cs="Times New Roman"/>
          <w:color w:val="000000" w:themeColor="text1"/>
        </w:rPr>
        <w:t xml:space="preserve">the </w:t>
      </w:r>
      <w:r w:rsidR="001F0317" w:rsidRPr="0068584C">
        <w:rPr>
          <w:rFonts w:ascii="Times New Roman" w:hAnsi="Times New Roman" w:cs="Times New Roman"/>
          <w:color w:val="000000" w:themeColor="text1"/>
        </w:rPr>
        <w:t>cross-program information flow was particularly weak.</w:t>
      </w:r>
    </w:p>
    <w:p w14:paraId="77B63E7C" w14:textId="77777777" w:rsidR="0091015A" w:rsidRPr="0068584C" w:rsidRDefault="0091015A" w:rsidP="0035460B">
      <w:pPr>
        <w:spacing w:line="480" w:lineRule="auto"/>
        <w:jc w:val="both"/>
        <w:rPr>
          <w:rFonts w:ascii="Times New Roman" w:hAnsi="Times New Roman" w:cs="Times New Roman"/>
          <w:color w:val="000000" w:themeColor="text1"/>
        </w:rPr>
      </w:pPr>
    </w:p>
    <w:p w14:paraId="69B57D2A" w14:textId="420628B5" w:rsidR="001F0317" w:rsidRPr="0068584C" w:rsidRDefault="00975C52"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  </w:t>
      </w:r>
      <w:r w:rsidR="001F0317" w:rsidRPr="0068584C">
        <w:rPr>
          <w:rFonts w:ascii="Times New Roman" w:hAnsi="Times New Roman" w:cs="Times New Roman"/>
          <w:color w:val="000000" w:themeColor="text1"/>
        </w:rPr>
        <w:t xml:space="preserve">We’ve tried to set up databases that have lessons learned, that have ways to contact subject matter experts in certain areas on various programs, but they all rely on a pull, if you will, from the other program and what you find most of the time is they don’t pull. So we’ve </w:t>
      </w:r>
      <w:r w:rsidR="001F0317" w:rsidRPr="0068584C">
        <w:rPr>
          <w:rFonts w:ascii="Times New Roman" w:hAnsi="Times New Roman" w:cs="Times New Roman"/>
          <w:b/>
          <w:color w:val="000000" w:themeColor="text1"/>
        </w:rPr>
        <w:t>tried to find</w:t>
      </w:r>
      <w:r w:rsidR="001F0317" w:rsidRPr="0068584C">
        <w:rPr>
          <w:rFonts w:ascii="Times New Roman" w:hAnsi="Times New Roman" w:cs="Times New Roman"/>
          <w:color w:val="000000" w:themeColor="text1"/>
        </w:rPr>
        <w:t xml:space="preserve"> </w:t>
      </w:r>
      <w:r w:rsidR="001F0317" w:rsidRPr="0068584C">
        <w:rPr>
          <w:rFonts w:ascii="Times New Roman" w:hAnsi="Times New Roman" w:cs="Times New Roman"/>
          <w:b/>
          <w:color w:val="000000" w:themeColor="text1"/>
        </w:rPr>
        <w:t>ways to push information to programs</w:t>
      </w:r>
      <w:r w:rsidR="001F0317" w:rsidRPr="0068584C">
        <w:rPr>
          <w:rFonts w:ascii="Times New Roman" w:hAnsi="Times New Roman" w:cs="Times New Roman"/>
          <w:color w:val="000000" w:themeColor="text1"/>
        </w:rPr>
        <w:t xml:space="preserve"> when they don’t even know to ask questions but I would say that our success on that, I think, is more limited than our success in integrating across functions.” (Amy, EQUIP) </w:t>
      </w:r>
    </w:p>
    <w:p w14:paraId="0F3EF439" w14:textId="77777777" w:rsidR="006F2A86" w:rsidRPr="0068584C" w:rsidRDefault="006F2A86" w:rsidP="0035460B">
      <w:pPr>
        <w:spacing w:line="480" w:lineRule="auto"/>
        <w:rPr>
          <w:rFonts w:ascii="Times New Roman" w:hAnsi="Times New Roman" w:cs="Times New Roman"/>
          <w:color w:val="000000" w:themeColor="text1"/>
        </w:rPr>
      </w:pPr>
    </w:p>
    <w:p w14:paraId="7ED21768" w14:textId="3FFB4733" w:rsidR="00940B4B" w:rsidRPr="00D524F8" w:rsidRDefault="0091015A" w:rsidP="00D524F8">
      <w:pPr>
        <w:pStyle w:val="Heading3new"/>
      </w:pPr>
      <w:r w:rsidRPr="00D524F8">
        <w:t>S</w:t>
      </w:r>
      <w:r w:rsidR="00940B4B" w:rsidRPr="00D524F8">
        <w:t xml:space="preserve">upply </w:t>
      </w:r>
      <w:r w:rsidR="00AA764F" w:rsidRPr="00D524F8">
        <w:t>C</w:t>
      </w:r>
      <w:r w:rsidR="00940B4B" w:rsidRPr="00D524F8">
        <w:t xml:space="preserve">hain </w:t>
      </w:r>
      <w:r w:rsidR="00AA764F" w:rsidRPr="00D524F8">
        <w:t>R</w:t>
      </w:r>
      <w:r w:rsidR="00940B4B" w:rsidRPr="00D524F8">
        <w:t xml:space="preserve">esource </w:t>
      </w:r>
      <w:r w:rsidR="00AA764F" w:rsidRPr="00D524F8">
        <w:t>O</w:t>
      </w:r>
      <w:r w:rsidR="00940B4B" w:rsidRPr="00D524F8">
        <w:t xml:space="preserve">rchestration </w:t>
      </w:r>
    </w:p>
    <w:p w14:paraId="04F35E0A" w14:textId="3B3551DE" w:rsidR="00D369E3" w:rsidRPr="0068584C" w:rsidRDefault="00F9443D"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The next section provides the main case evidence </w:t>
      </w:r>
      <w:r w:rsidR="003C4A30" w:rsidRPr="0068584C">
        <w:rPr>
          <w:rFonts w:ascii="Times New Roman" w:hAnsi="Times New Roman" w:cs="Times New Roman"/>
          <w:color w:val="000000" w:themeColor="text1"/>
        </w:rPr>
        <w:t>of suppliers’</w:t>
      </w:r>
      <w:r w:rsidRPr="0068584C">
        <w:rPr>
          <w:rFonts w:ascii="Times New Roman" w:hAnsi="Times New Roman" w:cs="Times New Roman"/>
          <w:color w:val="000000" w:themeColor="text1"/>
        </w:rPr>
        <w:t xml:space="preserve"> SCRO practices. </w:t>
      </w:r>
      <w:r w:rsidR="00080F94">
        <w:rPr>
          <w:rFonts w:ascii="Times New Roman" w:hAnsi="Times New Roman" w:cs="Times New Roman"/>
          <w:color w:val="000000" w:themeColor="text1"/>
        </w:rPr>
        <w:t>Based on</w:t>
      </w:r>
      <w:r w:rsidR="006B1299" w:rsidRPr="0068584C">
        <w:rPr>
          <w:rFonts w:ascii="Times New Roman" w:hAnsi="Times New Roman" w:cs="Times New Roman"/>
          <w:color w:val="000000" w:themeColor="text1"/>
        </w:rPr>
        <w:t xml:space="preserve"> the literature, </w:t>
      </w:r>
      <w:r w:rsidR="00754171" w:rsidRPr="0068584C">
        <w:rPr>
          <w:rFonts w:ascii="Times New Roman" w:hAnsi="Times New Roman" w:cs="Times New Roman"/>
          <w:color w:val="000000" w:themeColor="text1"/>
        </w:rPr>
        <w:t xml:space="preserve">SCRO is a multi-faceted concept and entails </w:t>
      </w:r>
      <w:r w:rsidR="00777AEB" w:rsidRPr="0068584C">
        <w:rPr>
          <w:rFonts w:ascii="Times New Roman" w:hAnsi="Times New Roman" w:cs="Times New Roman"/>
          <w:color w:val="000000" w:themeColor="text1"/>
        </w:rPr>
        <w:t>three</w:t>
      </w:r>
      <w:r w:rsidR="00754171" w:rsidRPr="0068584C">
        <w:rPr>
          <w:rFonts w:ascii="Times New Roman" w:hAnsi="Times New Roman" w:cs="Times New Roman"/>
          <w:color w:val="000000" w:themeColor="text1"/>
        </w:rPr>
        <w:t xml:space="preserve"> important dimensions</w:t>
      </w:r>
      <w:r w:rsidR="00777AEB" w:rsidRPr="0068584C">
        <w:rPr>
          <w:rFonts w:ascii="Times New Roman" w:hAnsi="Times New Roman" w:cs="Times New Roman"/>
          <w:color w:val="000000" w:themeColor="text1"/>
        </w:rPr>
        <w:t xml:space="preserve"> of structuring, bundling, and leveraging</w:t>
      </w:r>
      <w:r w:rsidR="00A841B7">
        <w:rPr>
          <w:rFonts w:ascii="Times New Roman" w:hAnsi="Times New Roman" w:cs="Times New Roman"/>
          <w:color w:val="000000" w:themeColor="text1"/>
        </w:rPr>
        <w:t>, but little is known about its specific dimensions</w:t>
      </w:r>
      <w:r w:rsidR="00777AEB" w:rsidRPr="0068584C">
        <w:rPr>
          <w:rFonts w:ascii="Times New Roman" w:hAnsi="Times New Roman" w:cs="Times New Roman"/>
          <w:color w:val="000000" w:themeColor="text1"/>
        </w:rPr>
        <w:t xml:space="preserve">. The interviews with supply chain managers enabled </w:t>
      </w:r>
      <w:r w:rsidR="00A841B7">
        <w:rPr>
          <w:rFonts w:ascii="Times New Roman" w:hAnsi="Times New Roman" w:cs="Times New Roman"/>
          <w:color w:val="000000" w:themeColor="text1"/>
        </w:rPr>
        <w:t xml:space="preserve">now </w:t>
      </w:r>
      <w:r w:rsidR="00777AEB" w:rsidRPr="0068584C">
        <w:rPr>
          <w:rFonts w:ascii="Times New Roman" w:hAnsi="Times New Roman" w:cs="Times New Roman"/>
          <w:color w:val="000000" w:themeColor="text1"/>
        </w:rPr>
        <w:t xml:space="preserve">to obtain </w:t>
      </w:r>
      <w:r w:rsidR="00A32C13" w:rsidRPr="0068584C">
        <w:rPr>
          <w:rFonts w:ascii="Times New Roman" w:hAnsi="Times New Roman" w:cs="Times New Roman"/>
          <w:color w:val="000000" w:themeColor="text1"/>
        </w:rPr>
        <w:t xml:space="preserve">further </w:t>
      </w:r>
      <w:r w:rsidR="00777AEB" w:rsidRPr="0068584C">
        <w:rPr>
          <w:rFonts w:ascii="Times New Roman" w:hAnsi="Times New Roman" w:cs="Times New Roman"/>
          <w:color w:val="000000" w:themeColor="text1"/>
        </w:rPr>
        <w:t xml:space="preserve">insights into what these managerial activities really mean in practice. </w:t>
      </w:r>
      <w:r w:rsidR="00C5164C" w:rsidRPr="0068584C">
        <w:rPr>
          <w:rFonts w:ascii="Times New Roman" w:hAnsi="Times New Roman" w:cs="Times New Roman"/>
          <w:color w:val="000000" w:themeColor="text1"/>
        </w:rPr>
        <w:t xml:space="preserve">How are supply chain managers implementing SCRO? </w:t>
      </w:r>
      <w:r w:rsidR="00B81380" w:rsidRPr="0068584C">
        <w:rPr>
          <w:rFonts w:ascii="Times New Roman" w:hAnsi="Times New Roman" w:cs="Times New Roman"/>
          <w:color w:val="000000" w:themeColor="text1"/>
        </w:rPr>
        <w:t xml:space="preserve">And what practices are managers emphasizing and prioritizing? </w:t>
      </w:r>
      <w:r w:rsidR="00D369E3" w:rsidRPr="0068584C">
        <w:rPr>
          <w:rFonts w:ascii="Times New Roman" w:hAnsi="Times New Roman" w:cs="Times New Roman"/>
          <w:color w:val="000000" w:themeColor="text1"/>
        </w:rPr>
        <w:t xml:space="preserve">The interviews revealed that the organizations tend to emphasize the structuring and bundling sub-processes. </w:t>
      </w:r>
      <w:r w:rsidR="00D81F94" w:rsidRPr="0068584C">
        <w:rPr>
          <w:rFonts w:ascii="Times New Roman" w:hAnsi="Times New Roman" w:cs="Times New Roman"/>
          <w:color w:val="000000" w:themeColor="text1"/>
        </w:rPr>
        <w:t xml:space="preserve">Several case companies are highly engaged in identifying and integrating external resources. </w:t>
      </w:r>
      <w:r w:rsidR="00D369E3" w:rsidRPr="0068584C">
        <w:rPr>
          <w:rFonts w:ascii="Times New Roman" w:hAnsi="Times New Roman" w:cs="Times New Roman"/>
          <w:color w:val="000000" w:themeColor="text1"/>
        </w:rPr>
        <w:t>However, the managers were less concerned with strengthening the leveraging sub-process</w:t>
      </w:r>
      <w:r w:rsidR="00D81F94" w:rsidRPr="0068584C">
        <w:rPr>
          <w:rFonts w:ascii="Times New Roman" w:hAnsi="Times New Roman" w:cs="Times New Roman"/>
          <w:color w:val="000000" w:themeColor="text1"/>
        </w:rPr>
        <w:t xml:space="preserve"> and tended to neglect the commercialization aspects of resource management</w:t>
      </w:r>
      <w:r w:rsidR="00D369E3" w:rsidRPr="0068584C">
        <w:rPr>
          <w:rFonts w:ascii="Times New Roman" w:hAnsi="Times New Roman" w:cs="Times New Roman"/>
          <w:color w:val="000000" w:themeColor="text1"/>
        </w:rPr>
        <w:t xml:space="preserve">. In this way, the case study appears to indicate a </w:t>
      </w:r>
      <w:r w:rsidR="00A17FF4" w:rsidRPr="0068584C">
        <w:rPr>
          <w:rFonts w:ascii="Times New Roman" w:hAnsi="Times New Roman" w:cs="Times New Roman"/>
          <w:color w:val="000000" w:themeColor="text1"/>
        </w:rPr>
        <w:t>gap</w:t>
      </w:r>
      <w:r w:rsidR="00D369E3" w:rsidRPr="0068584C">
        <w:rPr>
          <w:rFonts w:ascii="Times New Roman" w:hAnsi="Times New Roman" w:cs="Times New Roman"/>
          <w:color w:val="000000" w:themeColor="text1"/>
        </w:rPr>
        <w:t xml:space="preserve"> between the </w:t>
      </w:r>
      <w:r w:rsidR="007B2EA6" w:rsidRPr="0068584C">
        <w:rPr>
          <w:rFonts w:ascii="Times New Roman" w:hAnsi="Times New Roman" w:cs="Times New Roman"/>
          <w:color w:val="000000" w:themeColor="text1"/>
        </w:rPr>
        <w:t>theoretically derived</w:t>
      </w:r>
      <w:r w:rsidR="00A17FF4" w:rsidRPr="0068584C">
        <w:rPr>
          <w:rFonts w:ascii="Times New Roman" w:hAnsi="Times New Roman" w:cs="Times New Roman"/>
          <w:color w:val="000000" w:themeColor="text1"/>
        </w:rPr>
        <w:t xml:space="preserve"> objective of fully synchronized orchestration practices and the implementation in practice.</w:t>
      </w:r>
      <w:r w:rsidR="00D369E3" w:rsidRPr="0068584C">
        <w:rPr>
          <w:rFonts w:ascii="Times New Roman" w:hAnsi="Times New Roman" w:cs="Times New Roman"/>
          <w:color w:val="000000" w:themeColor="text1"/>
        </w:rPr>
        <w:t xml:space="preserve"> </w:t>
      </w:r>
      <w:r w:rsidR="00A17FF4" w:rsidRPr="0068584C">
        <w:rPr>
          <w:rFonts w:ascii="Times New Roman" w:hAnsi="Times New Roman" w:cs="Times New Roman"/>
          <w:color w:val="000000" w:themeColor="text1"/>
        </w:rPr>
        <w:t xml:space="preserve"> </w:t>
      </w:r>
    </w:p>
    <w:p w14:paraId="3ADC2924" w14:textId="77777777" w:rsidR="00D369E3" w:rsidRPr="0068584C" w:rsidRDefault="00D369E3" w:rsidP="0035460B">
      <w:pPr>
        <w:spacing w:line="480" w:lineRule="auto"/>
        <w:rPr>
          <w:rFonts w:ascii="Times New Roman" w:hAnsi="Times New Roman" w:cs="Times New Roman"/>
          <w:color w:val="000000" w:themeColor="text1"/>
        </w:rPr>
      </w:pPr>
    </w:p>
    <w:p w14:paraId="2B2311A3" w14:textId="391201C5" w:rsidR="00D369E3" w:rsidRPr="0068584C" w:rsidRDefault="00680818" w:rsidP="00CF72B2">
      <w:pPr>
        <w:pStyle w:val="Heading4new"/>
      </w:pPr>
      <w:r w:rsidRPr="0068584C">
        <w:t>Structuring</w:t>
      </w:r>
    </w:p>
    <w:p w14:paraId="2B008933" w14:textId="5D3641CF" w:rsidR="00296D98" w:rsidRPr="0068584C" w:rsidRDefault="00052FB5" w:rsidP="0035460B">
      <w:pPr>
        <w:spacing w:line="480" w:lineRule="auto"/>
        <w:jc w:val="both"/>
        <w:rPr>
          <w:rFonts w:ascii="Times New Roman" w:hAnsi="Times New Roman" w:cs="Times New Roman"/>
        </w:rPr>
      </w:pPr>
      <w:r w:rsidRPr="0068584C">
        <w:rPr>
          <w:rFonts w:ascii="Times New Roman" w:hAnsi="Times New Roman" w:cs="Times New Roman"/>
          <w:color w:val="000000" w:themeColor="text1"/>
        </w:rPr>
        <w:lastRenderedPageBreak/>
        <w:t>Recall that</w:t>
      </w:r>
      <w:r w:rsidR="000E248B" w:rsidRPr="0068584C">
        <w:rPr>
          <w:rFonts w:ascii="Times New Roman" w:hAnsi="Times New Roman" w:cs="Times New Roman"/>
          <w:color w:val="000000" w:themeColor="text1"/>
        </w:rPr>
        <w:t xml:space="preserve"> the conceptualization of</w:t>
      </w:r>
      <w:r w:rsidRPr="0068584C">
        <w:rPr>
          <w:rFonts w:ascii="Times New Roman" w:hAnsi="Times New Roman" w:cs="Times New Roman"/>
          <w:color w:val="000000" w:themeColor="text1"/>
        </w:rPr>
        <w:t xml:space="preserve"> s</w:t>
      </w:r>
      <w:r w:rsidR="00777AEB" w:rsidRPr="0068584C">
        <w:rPr>
          <w:rFonts w:ascii="Times New Roman" w:hAnsi="Times New Roman" w:cs="Times New Roman"/>
          <w:color w:val="000000" w:themeColor="text1"/>
        </w:rPr>
        <w:t xml:space="preserve">tructuring </w:t>
      </w:r>
      <w:r w:rsidR="000E248B" w:rsidRPr="0068584C">
        <w:rPr>
          <w:rFonts w:ascii="Times New Roman" w:hAnsi="Times New Roman" w:cs="Times New Roman"/>
          <w:color w:val="000000" w:themeColor="text1"/>
        </w:rPr>
        <w:t xml:space="preserve">in the literature </w:t>
      </w:r>
      <w:r w:rsidR="00777AEB" w:rsidRPr="0068584C">
        <w:rPr>
          <w:rFonts w:ascii="Times New Roman" w:hAnsi="Times New Roman" w:cs="Times New Roman"/>
          <w:color w:val="000000" w:themeColor="text1"/>
        </w:rPr>
        <w:t xml:space="preserve">includes </w:t>
      </w:r>
      <w:r w:rsidRPr="0068584C">
        <w:rPr>
          <w:rFonts w:ascii="Times New Roman" w:hAnsi="Times New Roman" w:cs="Times New Roman"/>
        </w:rPr>
        <w:t>acquiring, accumulating, and divesting essential supply chain resources from external constituents</w:t>
      </w:r>
      <w:r w:rsidR="00682632">
        <w:rPr>
          <w:rFonts w:ascii="Times New Roman" w:hAnsi="Times New Roman" w:cs="Times New Roman"/>
        </w:rPr>
        <w:t xml:space="preserve"> </w:t>
      </w:r>
      <w:r w:rsidR="00682632">
        <w:rPr>
          <w:rFonts w:ascii="Times New Roman" w:hAnsi="Times New Roman" w:cs="Times New Roman"/>
        </w:rPr>
        <w:fldChar w:fldCharType="begin" w:fldLock="1"/>
      </w:r>
      <w:r w:rsidR="000E6ECE">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"id" : "ITEM-2",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"ITEM-2", "issue" : "May", "issued" : { "date-parts" : [ [ "2011" ] ] }, "page" : "57-75", "title" : "Strategic Entrepreneurship: Creating Value for Individuals, Organizations, and Society", "type" : "article-journal" }, "uris" : [ "http://www.mendeley.com/documents/?uuid=a440eb44-a14e-41a2-85e6-3af528235937" ] } ], "mendeley" : { "formattedCitation" : "(Hitt et al., 2011; Sirmon et al., 2011)", "plainTextFormattedCitation" : "(Hitt et al., 2011; Sirmon et al., 2011)", "previouslyFormattedCitation" : "(Hitt et al., 2011; Sirmon et al., 2011)" }, "properties" : { "noteIndex" : 0 }, "schema" : "https://github.com/citation-style-language/schema/raw/master/csl-citation.json" }</w:instrText>
      </w:r>
      <w:r w:rsidR="00682632">
        <w:rPr>
          <w:rFonts w:ascii="Times New Roman" w:hAnsi="Times New Roman" w:cs="Times New Roman"/>
        </w:rPr>
        <w:fldChar w:fldCharType="separate"/>
      </w:r>
      <w:r w:rsidR="000E6ECE" w:rsidRPr="000E6ECE">
        <w:rPr>
          <w:rFonts w:ascii="Times New Roman" w:hAnsi="Times New Roman" w:cs="Times New Roman"/>
          <w:noProof/>
        </w:rPr>
        <w:t>(Hitt et al., 2011; Sirmon et al., 2011)</w:t>
      </w:r>
      <w:r w:rsidR="00682632">
        <w:rPr>
          <w:rFonts w:ascii="Times New Roman" w:hAnsi="Times New Roman" w:cs="Times New Roman"/>
        </w:rPr>
        <w:fldChar w:fldCharType="end"/>
      </w:r>
      <w:r w:rsidR="00682632">
        <w:rPr>
          <w:rFonts w:ascii="Times New Roman" w:hAnsi="Times New Roman" w:cs="Times New Roman"/>
        </w:rPr>
        <w:t xml:space="preserve">. </w:t>
      </w:r>
      <w:r w:rsidR="000E248B" w:rsidRPr="0068584C">
        <w:rPr>
          <w:rFonts w:ascii="Times New Roman" w:hAnsi="Times New Roman" w:cs="Times New Roman"/>
        </w:rPr>
        <w:t>Interestingly, the supply chain managers from the case companies prioritized some of those structuring sub-processes such as the acquisition and accumulation</w:t>
      </w:r>
      <w:r w:rsidR="004B03D4" w:rsidRPr="0068584C">
        <w:rPr>
          <w:rFonts w:ascii="Times New Roman" w:hAnsi="Times New Roman" w:cs="Times New Roman"/>
        </w:rPr>
        <w:t xml:space="preserve">, which includes the </w:t>
      </w:r>
      <w:r w:rsidR="00A46CF9" w:rsidRPr="0068584C">
        <w:rPr>
          <w:rFonts w:ascii="Times New Roman" w:hAnsi="Times New Roman" w:cs="Times New Roman"/>
        </w:rPr>
        <w:t xml:space="preserve">opportunity recognition with the </w:t>
      </w:r>
      <w:r w:rsidR="004B03D4" w:rsidRPr="0068584C">
        <w:rPr>
          <w:rFonts w:ascii="Times New Roman" w:hAnsi="Times New Roman" w:cs="Times New Roman"/>
        </w:rPr>
        <w:t>detection of superior new sources (effective supply market scanning)</w:t>
      </w:r>
      <w:r w:rsidR="000E248B" w:rsidRPr="0068584C">
        <w:rPr>
          <w:rFonts w:ascii="Times New Roman" w:hAnsi="Times New Roman" w:cs="Times New Roman"/>
        </w:rPr>
        <w:t xml:space="preserve">. However, </w:t>
      </w:r>
      <w:r w:rsidR="002C431C" w:rsidRPr="0068584C">
        <w:rPr>
          <w:rFonts w:ascii="Times New Roman" w:hAnsi="Times New Roman" w:cs="Times New Roman"/>
        </w:rPr>
        <w:t xml:space="preserve">the divesture of resources to “clean up” the resource portfolio appears to </w:t>
      </w:r>
      <w:r w:rsidR="00B86AAE" w:rsidRPr="0068584C">
        <w:rPr>
          <w:rFonts w:ascii="Times New Roman" w:hAnsi="Times New Roman" w:cs="Times New Roman"/>
        </w:rPr>
        <w:t xml:space="preserve">be </w:t>
      </w:r>
      <w:r w:rsidR="002C431C" w:rsidRPr="0068584C">
        <w:rPr>
          <w:rFonts w:ascii="Times New Roman" w:hAnsi="Times New Roman" w:cs="Times New Roman"/>
        </w:rPr>
        <w:t>of lesser concern. The managers clearly emphasized resource acquisition over resource sale</w:t>
      </w:r>
      <w:r w:rsidR="007B23D6" w:rsidRPr="0068584C">
        <w:rPr>
          <w:rFonts w:ascii="Times New Roman" w:hAnsi="Times New Roman" w:cs="Times New Roman"/>
        </w:rPr>
        <w:t>, which is an interesting contrast to the literature.</w:t>
      </w:r>
      <w:r w:rsidR="007D2472" w:rsidRPr="0068584C">
        <w:rPr>
          <w:rFonts w:ascii="Times New Roman" w:hAnsi="Times New Roman" w:cs="Times New Roman"/>
        </w:rPr>
        <w:t xml:space="preserve"> </w:t>
      </w:r>
    </w:p>
    <w:p w14:paraId="0BB043C9" w14:textId="2D217DEF" w:rsidR="00E3424D" w:rsidRDefault="002E22D9" w:rsidP="0035460B">
      <w:pPr>
        <w:spacing w:line="480" w:lineRule="auto"/>
        <w:jc w:val="both"/>
        <w:rPr>
          <w:rFonts w:ascii="Times New Roman" w:hAnsi="Times New Roman" w:cs="Times New Roman"/>
        </w:rPr>
      </w:pPr>
      <w:r>
        <w:rPr>
          <w:rFonts w:ascii="Times New Roman" w:hAnsi="Times New Roman" w:cs="Times New Roman"/>
        </w:rPr>
        <w:tab/>
      </w:r>
      <w:r w:rsidR="00E3424D" w:rsidRPr="0068584C">
        <w:rPr>
          <w:rFonts w:ascii="Times New Roman" w:hAnsi="Times New Roman" w:cs="Times New Roman"/>
        </w:rPr>
        <w:t xml:space="preserve">A </w:t>
      </w:r>
      <w:r w:rsidR="00DB6D51" w:rsidRPr="00DB6D51">
        <w:rPr>
          <w:rFonts w:ascii="Times New Roman" w:hAnsi="Times New Roman" w:cs="Times New Roman"/>
        </w:rPr>
        <w:t>noteworthy</w:t>
      </w:r>
      <w:r w:rsidR="00E3424D" w:rsidRPr="00DB6D51">
        <w:rPr>
          <w:rFonts w:ascii="Times New Roman" w:hAnsi="Times New Roman" w:cs="Times New Roman"/>
        </w:rPr>
        <w:t xml:space="preserve"> </w:t>
      </w:r>
      <w:r w:rsidR="00E3424D" w:rsidRPr="0068584C">
        <w:rPr>
          <w:rFonts w:ascii="Times New Roman" w:hAnsi="Times New Roman" w:cs="Times New Roman"/>
        </w:rPr>
        <w:t xml:space="preserve">pattern emerged during the data analysis. </w:t>
      </w:r>
      <w:r w:rsidR="003D7AF2" w:rsidRPr="00C43817">
        <w:rPr>
          <w:rFonts w:ascii="Times New Roman" w:hAnsi="Times New Roman" w:cs="Times New Roman"/>
        </w:rPr>
        <w:t xml:space="preserve">In terms of structuring, </w:t>
      </w:r>
      <w:r w:rsidR="003D7AF2">
        <w:rPr>
          <w:rFonts w:ascii="Times New Roman" w:hAnsi="Times New Roman" w:cs="Times New Roman"/>
        </w:rPr>
        <w:t>strong SCRO-practicing firms differed noticeably from organizations with weak SCRO practices. Case companies</w:t>
      </w:r>
      <w:r w:rsidR="00E3424D" w:rsidRPr="0068584C">
        <w:rPr>
          <w:rFonts w:ascii="Times New Roman" w:hAnsi="Times New Roman" w:cs="Times New Roman"/>
        </w:rPr>
        <w:t xml:space="preserve"> that excel in structuring have emphasized a continuous scanning and monitoring of market trends outside of their current supply base. Thereby, they enhance awareness of </w:t>
      </w:r>
      <w:r w:rsidR="005E47CA" w:rsidRPr="0068584C">
        <w:rPr>
          <w:rFonts w:ascii="Times New Roman" w:hAnsi="Times New Roman" w:cs="Times New Roman"/>
        </w:rPr>
        <w:t xml:space="preserve">new, </w:t>
      </w:r>
      <w:r w:rsidR="00E3424D" w:rsidRPr="0068584C">
        <w:rPr>
          <w:rFonts w:ascii="Times New Roman" w:hAnsi="Times New Roman" w:cs="Times New Roman"/>
        </w:rPr>
        <w:t>potential</w:t>
      </w:r>
      <w:r w:rsidR="005E47CA" w:rsidRPr="0068584C">
        <w:rPr>
          <w:rFonts w:ascii="Times New Roman" w:hAnsi="Times New Roman" w:cs="Times New Roman"/>
        </w:rPr>
        <w:t xml:space="preserve">ly disruptive technologies and can initiate a response </w:t>
      </w:r>
      <w:r w:rsidR="00441164" w:rsidRPr="0068584C">
        <w:rPr>
          <w:rFonts w:ascii="Times New Roman" w:hAnsi="Times New Roman" w:cs="Times New Roman"/>
        </w:rPr>
        <w:t>early on</w:t>
      </w:r>
      <w:r w:rsidR="005E47CA" w:rsidRPr="0068584C">
        <w:rPr>
          <w:rFonts w:ascii="Times New Roman" w:hAnsi="Times New Roman" w:cs="Times New Roman"/>
        </w:rPr>
        <w:t>. They can determine how to best utilize those new technologies or possibly benefit from them.</w:t>
      </w:r>
    </w:p>
    <w:p w14:paraId="6AA9A25F" w14:textId="77777777" w:rsidR="00411297" w:rsidRPr="0068584C" w:rsidRDefault="00411297" w:rsidP="0035460B">
      <w:pPr>
        <w:spacing w:line="480" w:lineRule="auto"/>
        <w:jc w:val="both"/>
        <w:rPr>
          <w:rFonts w:ascii="Times New Roman" w:hAnsi="Times New Roman" w:cs="Times New Roman"/>
        </w:rPr>
      </w:pPr>
    </w:p>
    <w:p w14:paraId="0E93411F" w14:textId="32D9BCEF" w:rsidR="005E47CA" w:rsidRDefault="00080C3D" w:rsidP="008C76D8">
      <w:pPr>
        <w:ind w:left="720"/>
        <w:rPr>
          <w:rFonts w:ascii="Times New Roman" w:hAnsi="Times New Roman" w:cs="Times New Roman"/>
        </w:rPr>
      </w:pPr>
      <w:r w:rsidRPr="0068584C">
        <w:rPr>
          <w:rFonts w:ascii="Times New Roman" w:hAnsi="Times New Roman" w:cs="Times New Roman"/>
        </w:rPr>
        <w:t>“We do the best we can to scan and look for trends” (Hannah, TECH-2)</w:t>
      </w:r>
    </w:p>
    <w:p w14:paraId="4649C6D0" w14:textId="77777777" w:rsidR="0094698E" w:rsidRPr="0068584C" w:rsidRDefault="0094698E" w:rsidP="008C76D8">
      <w:pPr>
        <w:ind w:left="720"/>
        <w:rPr>
          <w:rFonts w:ascii="Times New Roman" w:hAnsi="Times New Roman" w:cs="Times New Roman"/>
        </w:rPr>
      </w:pPr>
    </w:p>
    <w:p w14:paraId="10E4C156" w14:textId="7A5E94B4" w:rsidR="00080C3D" w:rsidRPr="0068584C" w:rsidRDefault="00080C3D" w:rsidP="008C76D8">
      <w:pPr>
        <w:ind w:left="720"/>
        <w:rPr>
          <w:rFonts w:ascii="Times New Roman" w:hAnsi="Times New Roman" w:cs="Times New Roman"/>
        </w:rPr>
      </w:pPr>
      <w:r w:rsidRPr="0068584C">
        <w:rPr>
          <w:rFonts w:ascii="Times New Roman" w:hAnsi="Times New Roman" w:cs="Times New Roman"/>
        </w:rPr>
        <w:t>“Scanning the world for solutions …, for example, we created an innovation department .. [</w:t>
      </w:r>
      <w:r w:rsidRPr="0068584C">
        <w:rPr>
          <w:rFonts w:ascii="Times New Roman" w:hAnsi="Times New Roman" w:cs="Times New Roman"/>
          <w:i/>
        </w:rPr>
        <w:t>to become</w:t>
      </w:r>
      <w:r w:rsidRPr="0068584C">
        <w:rPr>
          <w:rFonts w:ascii="Times New Roman" w:hAnsi="Times New Roman" w:cs="Times New Roman"/>
        </w:rPr>
        <w:t>] aware of disruptive technologies that would impact our business” (David, EQUIP)</w:t>
      </w:r>
    </w:p>
    <w:p w14:paraId="24B90D54" w14:textId="77777777" w:rsidR="00080C3D" w:rsidRPr="0068584C" w:rsidRDefault="00080C3D" w:rsidP="0035460B">
      <w:pPr>
        <w:spacing w:line="480" w:lineRule="auto"/>
        <w:rPr>
          <w:rFonts w:ascii="Times New Roman" w:hAnsi="Times New Roman" w:cs="Times New Roman"/>
        </w:rPr>
      </w:pPr>
    </w:p>
    <w:p w14:paraId="42360792" w14:textId="5BE932D1" w:rsidR="005E47CA" w:rsidRPr="0068584C" w:rsidRDefault="005E47CA" w:rsidP="0035460B">
      <w:pPr>
        <w:spacing w:line="480" w:lineRule="auto"/>
        <w:jc w:val="both"/>
        <w:rPr>
          <w:rFonts w:ascii="Times New Roman" w:hAnsi="Times New Roman" w:cs="Times New Roman"/>
        </w:rPr>
      </w:pPr>
      <w:r w:rsidRPr="0068584C">
        <w:rPr>
          <w:rFonts w:ascii="Times New Roman" w:hAnsi="Times New Roman" w:cs="Times New Roman"/>
        </w:rPr>
        <w:t>In contrast, firms with weak structuring sub-processes are solely looking at their current supply base. For a number of reasons, they consider the world outside of their supply base as either not relevant or as infeasible to evaluate the implications of those developments.</w:t>
      </w:r>
    </w:p>
    <w:p w14:paraId="2C25F79A" w14:textId="77777777" w:rsidR="00E1443F" w:rsidRPr="0068584C" w:rsidRDefault="00E1443F" w:rsidP="0035460B">
      <w:pPr>
        <w:spacing w:line="480" w:lineRule="auto"/>
        <w:rPr>
          <w:rFonts w:ascii="Times New Roman" w:hAnsi="Times New Roman" w:cs="Times New Roman"/>
        </w:rPr>
      </w:pPr>
    </w:p>
    <w:p w14:paraId="04251D5C" w14:textId="1C61D227" w:rsidR="00E3424D" w:rsidRPr="0068584C" w:rsidRDefault="00937293" w:rsidP="008C76D8">
      <w:pPr>
        <w:ind w:left="720"/>
        <w:jc w:val="both"/>
        <w:rPr>
          <w:rFonts w:ascii="Times New Roman" w:hAnsi="Times New Roman" w:cs="Times New Roman"/>
        </w:rPr>
      </w:pPr>
      <w:r w:rsidRPr="0068584C">
        <w:rPr>
          <w:rFonts w:ascii="Times New Roman" w:hAnsi="Times New Roman" w:cs="Times New Roman"/>
        </w:rPr>
        <w:lastRenderedPageBreak/>
        <w:t>“It was not possible so much to look really outside the world of … business companies so much” (Charles, TECH-1)</w:t>
      </w:r>
    </w:p>
    <w:p w14:paraId="5B5E43FE" w14:textId="77777777" w:rsidR="00296D98" w:rsidRPr="0068584C" w:rsidRDefault="00296D98" w:rsidP="0035460B">
      <w:pPr>
        <w:spacing w:line="480" w:lineRule="auto"/>
        <w:rPr>
          <w:rFonts w:ascii="Times New Roman" w:hAnsi="Times New Roman" w:cs="Times New Roman"/>
        </w:rPr>
      </w:pPr>
    </w:p>
    <w:p w14:paraId="6A93F867" w14:textId="3FF54AC9" w:rsidR="006C3160" w:rsidRPr="0068584C" w:rsidRDefault="007D2472" w:rsidP="0035460B">
      <w:pPr>
        <w:spacing w:line="480" w:lineRule="auto"/>
        <w:jc w:val="both"/>
        <w:rPr>
          <w:rFonts w:ascii="Times New Roman" w:hAnsi="Times New Roman" w:cs="Times New Roman"/>
        </w:rPr>
      </w:pPr>
      <w:r w:rsidRPr="0068584C">
        <w:rPr>
          <w:rFonts w:ascii="Times New Roman" w:hAnsi="Times New Roman" w:cs="Times New Roman"/>
        </w:rPr>
        <w:t>The main structuring-related categories mentioned in the interviews were scanning the market, developing external interfaces, building trust and partnering relationships, and finally updating the in-house portfolio with externally-acquired technology.</w:t>
      </w:r>
      <w:r w:rsidR="00296D98" w:rsidRPr="0068584C">
        <w:rPr>
          <w:rFonts w:ascii="Times New Roman" w:hAnsi="Times New Roman" w:cs="Times New Roman"/>
        </w:rPr>
        <w:t xml:space="preserve"> </w:t>
      </w:r>
      <w:r w:rsidR="00131887" w:rsidRPr="0068584C">
        <w:rPr>
          <w:rFonts w:ascii="Times New Roman" w:hAnsi="Times New Roman" w:cs="Times New Roman"/>
        </w:rPr>
        <w:t xml:space="preserve">In comparison to the bundling and leveraging sub-processes, the case companies </w:t>
      </w:r>
      <w:r w:rsidR="008E0E9A" w:rsidRPr="0068584C">
        <w:rPr>
          <w:rFonts w:ascii="Times New Roman" w:hAnsi="Times New Roman" w:cs="Times New Roman"/>
        </w:rPr>
        <w:t>showed relatively high agreement</w:t>
      </w:r>
      <w:r w:rsidR="00131887" w:rsidRPr="0068584C">
        <w:rPr>
          <w:rFonts w:ascii="Times New Roman" w:hAnsi="Times New Roman" w:cs="Times New Roman"/>
        </w:rPr>
        <w:t xml:space="preserve"> upon the main categories of structuring. </w:t>
      </w:r>
      <w:r w:rsidR="00F2335B" w:rsidRPr="0068584C">
        <w:rPr>
          <w:rFonts w:ascii="Times New Roman" w:hAnsi="Times New Roman" w:cs="Times New Roman"/>
        </w:rPr>
        <w:t xml:space="preserve">For example, all managers noted the importance (to a higher or lesser degree) </w:t>
      </w:r>
      <w:r w:rsidR="00C5164C" w:rsidRPr="0068584C">
        <w:rPr>
          <w:rFonts w:ascii="Times New Roman" w:hAnsi="Times New Roman" w:cs="Times New Roman"/>
        </w:rPr>
        <w:t xml:space="preserve">of defining/developing interfaces to the supplier, developing partnerships to build trust between the organizations, or developing effective scanning practices to become aware of new opportunities in the supply market. </w:t>
      </w:r>
      <w:r w:rsidR="00A17FF4" w:rsidRPr="0068584C">
        <w:rPr>
          <w:rFonts w:ascii="Times New Roman" w:hAnsi="Times New Roman" w:cs="Times New Roman"/>
        </w:rPr>
        <w:t>Some</w:t>
      </w:r>
      <w:r w:rsidR="00A30D2D" w:rsidRPr="0068584C">
        <w:rPr>
          <w:rFonts w:ascii="Times New Roman" w:hAnsi="Times New Roman" w:cs="Times New Roman"/>
        </w:rPr>
        <w:t xml:space="preserve"> interviewed managers </w:t>
      </w:r>
      <w:r w:rsidR="00A17FF4" w:rsidRPr="0068584C">
        <w:rPr>
          <w:rFonts w:ascii="Times New Roman" w:hAnsi="Times New Roman" w:cs="Times New Roman"/>
        </w:rPr>
        <w:t>acknowledged</w:t>
      </w:r>
      <w:r w:rsidR="00A30D2D" w:rsidRPr="0068584C">
        <w:rPr>
          <w:rFonts w:ascii="Times New Roman" w:hAnsi="Times New Roman" w:cs="Times New Roman"/>
        </w:rPr>
        <w:t xml:space="preserve"> </w:t>
      </w:r>
      <w:r w:rsidR="007B2EA6">
        <w:rPr>
          <w:rFonts w:ascii="Times New Roman" w:hAnsi="Times New Roman" w:cs="Times New Roman"/>
        </w:rPr>
        <w:t xml:space="preserve">the fundamental need for </w:t>
      </w:r>
      <w:r w:rsidR="00A17FF4" w:rsidRPr="0068584C">
        <w:rPr>
          <w:rFonts w:ascii="Times New Roman" w:hAnsi="Times New Roman" w:cs="Times New Roman"/>
        </w:rPr>
        <w:t>an</w:t>
      </w:r>
      <w:r w:rsidR="007B2EA6">
        <w:rPr>
          <w:rFonts w:ascii="Times New Roman" w:hAnsi="Times New Roman" w:cs="Times New Roman"/>
        </w:rPr>
        <w:t>y</w:t>
      </w:r>
      <w:r w:rsidR="00A17FF4" w:rsidRPr="0068584C">
        <w:rPr>
          <w:rFonts w:ascii="Times New Roman" w:hAnsi="Times New Roman" w:cs="Times New Roman"/>
        </w:rPr>
        <w:t xml:space="preserve"> </w:t>
      </w:r>
      <w:r w:rsidR="00C85A58" w:rsidRPr="0068584C">
        <w:rPr>
          <w:rFonts w:ascii="Times New Roman" w:hAnsi="Times New Roman" w:cs="Times New Roman"/>
        </w:rPr>
        <w:t>organization to establish a purchasing strategy and prepare the make or buy decision.</w:t>
      </w:r>
    </w:p>
    <w:p w14:paraId="0ABFE75E" w14:textId="44F3F165" w:rsidR="007E2267" w:rsidRPr="0068584C" w:rsidRDefault="00C85A58" w:rsidP="0035460B">
      <w:pPr>
        <w:spacing w:line="480" w:lineRule="auto"/>
        <w:rPr>
          <w:rFonts w:ascii="Times New Roman" w:hAnsi="Times New Roman" w:cs="Times New Roman"/>
        </w:rPr>
      </w:pPr>
      <w:r w:rsidRPr="0068584C">
        <w:rPr>
          <w:rFonts w:ascii="Times New Roman" w:hAnsi="Times New Roman" w:cs="Times New Roman"/>
        </w:rPr>
        <w:t xml:space="preserve"> </w:t>
      </w:r>
    </w:p>
    <w:p w14:paraId="45DAD5DD" w14:textId="02F7F9EB" w:rsidR="007E2267" w:rsidRPr="0068584C" w:rsidRDefault="00C85A58" w:rsidP="008C76D8">
      <w:pPr>
        <w:ind w:left="720"/>
        <w:jc w:val="both"/>
        <w:rPr>
          <w:rFonts w:ascii="Times New Roman" w:hAnsi="Times New Roman" w:cs="Times New Roman"/>
        </w:rPr>
      </w:pPr>
      <w:r w:rsidRPr="0068584C">
        <w:rPr>
          <w:rFonts w:ascii="Times New Roman" w:hAnsi="Times New Roman" w:cs="Times New Roman"/>
        </w:rPr>
        <w:t>“You need to define what you want to do and what [</w:t>
      </w:r>
      <w:r w:rsidRPr="0068584C">
        <w:rPr>
          <w:rFonts w:ascii="Times New Roman" w:hAnsi="Times New Roman" w:cs="Times New Roman"/>
          <w:i/>
        </w:rPr>
        <w:t>to</w:t>
      </w:r>
      <w:r w:rsidR="00B10983" w:rsidRPr="0068584C">
        <w:rPr>
          <w:rFonts w:ascii="Times New Roman" w:hAnsi="Times New Roman" w:cs="Times New Roman"/>
          <w:i/>
        </w:rPr>
        <w:t xml:space="preserve"> </w:t>
      </w:r>
      <w:r w:rsidRPr="0068584C">
        <w:rPr>
          <w:rFonts w:ascii="Times New Roman" w:hAnsi="Times New Roman" w:cs="Times New Roman"/>
          <w:i/>
        </w:rPr>
        <w:t>source</w:t>
      </w:r>
      <w:r w:rsidRPr="0068584C">
        <w:rPr>
          <w:rFonts w:ascii="Times New Roman" w:hAnsi="Times New Roman" w:cs="Times New Roman"/>
        </w:rPr>
        <w:t>]…</w:t>
      </w:r>
      <w:r w:rsidR="006C3160" w:rsidRPr="0068584C">
        <w:rPr>
          <w:rFonts w:ascii="Times New Roman" w:hAnsi="Times New Roman" w:cs="Times New Roman"/>
        </w:rPr>
        <w:t xml:space="preserve"> </w:t>
      </w:r>
      <w:r w:rsidR="00E457AE" w:rsidRPr="0068584C">
        <w:rPr>
          <w:rFonts w:ascii="Times New Roman" w:hAnsi="Times New Roman" w:cs="Times New Roman"/>
        </w:rPr>
        <w:t>first thing is understanding who are those strategic suppliers and why</w:t>
      </w:r>
      <w:r w:rsidRPr="0068584C">
        <w:rPr>
          <w:rFonts w:ascii="Times New Roman" w:hAnsi="Times New Roman" w:cs="Times New Roman"/>
        </w:rPr>
        <w:t>” (</w:t>
      </w:r>
      <w:r w:rsidR="00CD13EC" w:rsidRPr="0068584C">
        <w:rPr>
          <w:rFonts w:ascii="Times New Roman" w:hAnsi="Times New Roman" w:cs="Times New Roman"/>
        </w:rPr>
        <w:t xml:space="preserve">David, </w:t>
      </w:r>
      <w:r w:rsidR="0010599E" w:rsidRPr="0068584C">
        <w:rPr>
          <w:rFonts w:ascii="Times New Roman" w:hAnsi="Times New Roman" w:cs="Times New Roman"/>
        </w:rPr>
        <w:t>EQUIP</w:t>
      </w:r>
      <w:r w:rsidRPr="0068584C">
        <w:rPr>
          <w:rFonts w:ascii="Times New Roman" w:hAnsi="Times New Roman" w:cs="Times New Roman"/>
        </w:rPr>
        <w:t xml:space="preserve">). </w:t>
      </w:r>
    </w:p>
    <w:p w14:paraId="2108ADE7" w14:textId="77777777" w:rsidR="007E2267" w:rsidRPr="0068584C" w:rsidRDefault="007E2267" w:rsidP="0035460B">
      <w:pPr>
        <w:spacing w:line="480" w:lineRule="auto"/>
        <w:rPr>
          <w:rFonts w:ascii="Times New Roman" w:hAnsi="Times New Roman" w:cs="Times New Roman"/>
        </w:rPr>
      </w:pPr>
    </w:p>
    <w:p w14:paraId="571CB15E" w14:textId="45494B7C" w:rsidR="006C3160" w:rsidRPr="0068584C" w:rsidRDefault="00C85A58" w:rsidP="0035460B">
      <w:pPr>
        <w:spacing w:line="480" w:lineRule="auto"/>
        <w:jc w:val="both"/>
        <w:rPr>
          <w:rFonts w:ascii="Times New Roman" w:hAnsi="Times New Roman" w:cs="Times New Roman"/>
        </w:rPr>
      </w:pPr>
      <w:r w:rsidRPr="0068584C">
        <w:rPr>
          <w:rFonts w:ascii="Times New Roman" w:hAnsi="Times New Roman" w:cs="Times New Roman"/>
        </w:rPr>
        <w:t>Structuring</w:t>
      </w:r>
      <w:r w:rsidR="00C5164C" w:rsidRPr="0068584C">
        <w:rPr>
          <w:rFonts w:ascii="Times New Roman" w:hAnsi="Times New Roman" w:cs="Times New Roman"/>
        </w:rPr>
        <w:t xml:space="preserve"> also involves the</w:t>
      </w:r>
      <w:r w:rsidRPr="0068584C">
        <w:rPr>
          <w:rFonts w:ascii="Times New Roman" w:hAnsi="Times New Roman" w:cs="Times New Roman"/>
        </w:rPr>
        <w:t xml:space="preserve"> continuous renewal of the resource portfolio with external input. </w:t>
      </w:r>
      <w:r w:rsidR="006C3160" w:rsidRPr="0068584C">
        <w:rPr>
          <w:rFonts w:ascii="Times New Roman" w:hAnsi="Times New Roman" w:cs="Times New Roman"/>
        </w:rPr>
        <w:t>The p</w:t>
      </w:r>
      <w:r w:rsidRPr="0068584C">
        <w:rPr>
          <w:rFonts w:ascii="Times New Roman" w:hAnsi="Times New Roman" w:cs="Times New Roman"/>
        </w:rPr>
        <w:t>urchasing function plays a decisive role in this regard</w:t>
      </w:r>
      <w:r w:rsidR="005C77A6" w:rsidRPr="0068584C">
        <w:rPr>
          <w:rFonts w:ascii="Times New Roman" w:hAnsi="Times New Roman" w:cs="Times New Roman"/>
        </w:rPr>
        <w:t xml:space="preserve"> and needs to be attentive to new </w:t>
      </w:r>
      <w:r w:rsidR="00F2734B" w:rsidRPr="0068584C">
        <w:rPr>
          <w:rFonts w:ascii="Times New Roman" w:hAnsi="Times New Roman" w:cs="Times New Roman"/>
        </w:rPr>
        <w:t xml:space="preserve">capabilities that the supply network is offering. </w:t>
      </w:r>
    </w:p>
    <w:p w14:paraId="0D92430B" w14:textId="77777777" w:rsidR="0091456B" w:rsidRPr="0068584C" w:rsidRDefault="0091456B" w:rsidP="0035460B">
      <w:pPr>
        <w:spacing w:line="480" w:lineRule="auto"/>
        <w:jc w:val="both"/>
        <w:rPr>
          <w:rFonts w:ascii="Times New Roman" w:hAnsi="Times New Roman" w:cs="Times New Roman"/>
        </w:rPr>
      </w:pPr>
    </w:p>
    <w:p w14:paraId="41D9C58C" w14:textId="6BBB5AD3" w:rsidR="00754171" w:rsidRPr="0068584C" w:rsidRDefault="00C85A58" w:rsidP="008C76D8">
      <w:pPr>
        <w:ind w:left="720"/>
        <w:jc w:val="both"/>
        <w:rPr>
          <w:rFonts w:ascii="Times New Roman" w:hAnsi="Times New Roman" w:cs="Times New Roman"/>
        </w:rPr>
      </w:pPr>
      <w:r w:rsidRPr="0068584C">
        <w:rPr>
          <w:rFonts w:ascii="Times New Roman" w:hAnsi="Times New Roman" w:cs="Times New Roman"/>
        </w:rPr>
        <w:t>“Purchasing’s main function was [</w:t>
      </w:r>
      <w:r w:rsidRPr="0068584C">
        <w:rPr>
          <w:rFonts w:ascii="Times New Roman" w:hAnsi="Times New Roman" w:cs="Times New Roman"/>
          <w:i/>
        </w:rPr>
        <w:t>to monitor</w:t>
      </w:r>
      <w:r w:rsidRPr="0068584C">
        <w:rPr>
          <w:rFonts w:ascii="Times New Roman" w:hAnsi="Times New Roman" w:cs="Times New Roman"/>
        </w:rPr>
        <w:t>] supplier capability and supplier capacity” (</w:t>
      </w:r>
      <w:r w:rsidR="004B6261" w:rsidRPr="0068584C">
        <w:rPr>
          <w:rFonts w:ascii="Times New Roman" w:hAnsi="Times New Roman" w:cs="Times New Roman"/>
        </w:rPr>
        <w:t xml:space="preserve">Henk, </w:t>
      </w:r>
      <w:r w:rsidR="0010599E" w:rsidRPr="0068584C">
        <w:rPr>
          <w:rFonts w:ascii="Times New Roman" w:hAnsi="Times New Roman" w:cs="Times New Roman"/>
        </w:rPr>
        <w:t>EQUIP</w:t>
      </w:r>
      <w:r w:rsidRPr="0068584C">
        <w:rPr>
          <w:rFonts w:ascii="Times New Roman" w:hAnsi="Times New Roman" w:cs="Times New Roman"/>
        </w:rPr>
        <w:t xml:space="preserve">). </w:t>
      </w:r>
    </w:p>
    <w:p w14:paraId="3C24066A" w14:textId="77777777" w:rsidR="005C77A6" w:rsidRPr="0068584C" w:rsidRDefault="005C77A6" w:rsidP="008C76D8">
      <w:pPr>
        <w:ind w:left="1440"/>
        <w:jc w:val="both"/>
        <w:rPr>
          <w:rFonts w:ascii="Times New Roman" w:hAnsi="Times New Roman" w:cs="Times New Roman"/>
        </w:rPr>
      </w:pPr>
    </w:p>
    <w:p w14:paraId="71F78863" w14:textId="449B597E" w:rsidR="00247FF8" w:rsidRPr="0068584C" w:rsidRDefault="00682632" w:rsidP="008C76D8">
      <w:pPr>
        <w:ind w:left="720"/>
        <w:jc w:val="both"/>
        <w:rPr>
          <w:rFonts w:ascii="Times New Roman" w:hAnsi="Times New Roman" w:cs="Times New Roman"/>
          <w:color w:val="000000" w:themeColor="text1"/>
        </w:rPr>
      </w:pPr>
      <w:r>
        <w:rPr>
          <w:rFonts w:ascii="Times New Roman" w:hAnsi="Times New Roman" w:cs="Times New Roman"/>
          <w:color w:val="000000" w:themeColor="text1"/>
        </w:rPr>
        <w:t>“</w:t>
      </w:r>
      <w:r w:rsidR="00F2734B" w:rsidRPr="0068584C">
        <w:rPr>
          <w:rFonts w:ascii="Times New Roman" w:hAnsi="Times New Roman" w:cs="Times New Roman"/>
          <w:color w:val="000000" w:themeColor="text1"/>
        </w:rPr>
        <w:t>Why are we not tapping into the value that they can bring to the table with those research and development funds as well as the fact that they’re a good supplier too?</w:t>
      </w:r>
      <w:r>
        <w:rPr>
          <w:rFonts w:ascii="Times New Roman" w:hAnsi="Times New Roman" w:cs="Times New Roman"/>
          <w:color w:val="000000" w:themeColor="text1"/>
        </w:rPr>
        <w:t>”</w:t>
      </w:r>
      <w:r w:rsidR="00F2734B" w:rsidRPr="0068584C">
        <w:rPr>
          <w:rFonts w:ascii="Times New Roman" w:hAnsi="Times New Roman" w:cs="Times New Roman"/>
          <w:color w:val="000000" w:themeColor="text1"/>
        </w:rPr>
        <w:t xml:space="preserve"> (</w:t>
      </w:r>
      <w:r w:rsidR="00876041" w:rsidRPr="0068584C">
        <w:rPr>
          <w:rFonts w:ascii="Times New Roman" w:hAnsi="Times New Roman" w:cs="Times New Roman"/>
          <w:color w:val="000000" w:themeColor="text1"/>
        </w:rPr>
        <w:t>Hannah</w:t>
      </w:r>
      <w:r w:rsidR="00F2734B" w:rsidRPr="0068584C">
        <w:rPr>
          <w:rFonts w:ascii="Times New Roman" w:hAnsi="Times New Roman" w:cs="Times New Roman"/>
          <w:color w:val="000000" w:themeColor="text1"/>
        </w:rPr>
        <w:t xml:space="preserve">, </w:t>
      </w:r>
      <w:r w:rsidR="00BE1FFB" w:rsidRPr="0068584C">
        <w:rPr>
          <w:rFonts w:ascii="Times New Roman" w:hAnsi="Times New Roman" w:cs="Times New Roman"/>
          <w:color w:val="000000" w:themeColor="text1"/>
        </w:rPr>
        <w:t>TECH</w:t>
      </w:r>
      <w:r w:rsidR="00F2734B" w:rsidRPr="0068584C">
        <w:rPr>
          <w:rFonts w:ascii="Times New Roman" w:hAnsi="Times New Roman" w:cs="Times New Roman"/>
          <w:color w:val="000000" w:themeColor="text1"/>
        </w:rPr>
        <w:t>-2)</w:t>
      </w:r>
    </w:p>
    <w:p w14:paraId="4942A2F5" w14:textId="77777777" w:rsidR="00247FF8" w:rsidRPr="0068584C" w:rsidRDefault="00247FF8" w:rsidP="0035460B">
      <w:pPr>
        <w:spacing w:line="480" w:lineRule="auto"/>
        <w:rPr>
          <w:rFonts w:ascii="Times New Roman" w:hAnsi="Times New Roman" w:cs="Times New Roman"/>
          <w:color w:val="000000" w:themeColor="text1"/>
        </w:rPr>
      </w:pPr>
    </w:p>
    <w:p w14:paraId="45183C2B" w14:textId="786EF4E3" w:rsidR="006C3160" w:rsidRPr="0068584C" w:rsidRDefault="008D5230"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lastRenderedPageBreak/>
        <w:t>To enable such a resource renewal, the focal organizations depends upon effective scanning practices (scanning continuously the supply market for opportunities</w:t>
      </w:r>
      <w:r w:rsidR="00DF4DA6" w:rsidRPr="0068584C">
        <w:rPr>
          <w:rFonts w:ascii="Times New Roman" w:hAnsi="Times New Roman" w:cs="Times New Roman"/>
          <w:color w:val="000000" w:themeColor="text1"/>
        </w:rPr>
        <w:t>, as described in the literature</w:t>
      </w:r>
      <w:r w:rsidR="00D635ED">
        <w:rPr>
          <w:rFonts w:ascii="Times New Roman" w:hAnsi="Times New Roman" w:cs="Times New Roman"/>
          <w:color w:val="000000" w:themeColor="text1"/>
        </w:rPr>
        <w:t xml:space="preserve"> </w:t>
      </w:r>
      <w:r w:rsidR="00D635ED">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"10.1108/SCM-10-2014-0364", "ISBN" : "1020140364", "author" : [ { "dropping-particle" : "", "family" : "Zsidisin", "given" : "George A", "non-dropping-particle" : "", "parse-names" : false, "suffix" : "" }, { "dropping-particle" : "", "family" : "Hartley", "given" : "Janet L", "non-dropping-particle" : "", "parse-names" : false, "suffix" : "" }, { "dropping-particle" : "", "family" : "Bernardes", "given" : "Ednilson S", "non-dropping-particle" : "", "parse-names" : false, "suffix" : "" }, { "dropping-particle" : "", "family" : "Saunders", "given" : "Lance W", "non-dropping-particle" : "", "parse-names" : false, "suffix" : "" } ], "container-title" : "Supply Chain Management: An International Journal", "id" : "ITEM-1", "issue" : "5", "issued" : { "date-parts" : [ [ "2015" ] ] }, "page" : "549-560", "title" : "Examining supply market scanning and internal communication climate as facilitators of supply chain integration", "type" : "article-journal", "volume" : "20" }, "uris" : [ "http://www.mendeley.com/documents/?uuid=299cd463-3af4-41c7-8e7f-bc7713d833ac" ] } ], "mendeley" : { "formattedCitation" : "(Zsidisin, Hartley, Bernardes, &amp; Saunders, 2015)", "plainTextFormattedCitation" : "(Zsidisin, Hartley, Bernardes, &amp; Saunders, 2015)", "previouslyFormattedCitation" : "(Zsidisin, Hartley, Bernardes, &amp; Saunders, 2015)" }, "properties" : { "noteIndex" : 0 }, "schema" : "https://github.com/citation-style-language/schema/raw/master/csl-citation.json" }</w:instrText>
      </w:r>
      <w:r w:rsidR="00D635ED">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(Zsidisin, Hartley, Bernardes, &amp; Saunders, 2015)</w:t>
      </w:r>
      <w:r w:rsidR="00D635ED">
        <w:rPr>
          <w:rFonts w:ascii="Times New Roman" w:hAnsi="Times New Roman" w:cs="Times New Roman"/>
          <w:color w:val="000000" w:themeColor="text1"/>
        </w:rPr>
        <w:fldChar w:fldCharType="end"/>
      </w:r>
      <w:r w:rsidR="00D635ED">
        <w:rPr>
          <w:rFonts w:ascii="Times New Roman" w:hAnsi="Times New Roman" w:cs="Times New Roman"/>
          <w:color w:val="000000" w:themeColor="text1"/>
        </w:rPr>
        <w:t>.</w:t>
      </w:r>
      <w:r w:rsidR="00DF4DA6" w:rsidRPr="0068584C">
        <w:rPr>
          <w:rFonts w:ascii="Times New Roman" w:hAnsi="Times New Roman" w:cs="Times New Roman"/>
          <w:color w:val="000000" w:themeColor="text1"/>
        </w:rPr>
        <w:t xml:space="preserve"> </w:t>
      </w:r>
    </w:p>
    <w:p w14:paraId="7E0B3ACE" w14:textId="77777777" w:rsidR="008D5230" w:rsidRPr="0068584C" w:rsidRDefault="008D5230" w:rsidP="0035460B">
      <w:pPr>
        <w:spacing w:line="480" w:lineRule="auto"/>
        <w:jc w:val="both"/>
        <w:rPr>
          <w:rFonts w:ascii="Times New Roman" w:hAnsi="Times New Roman" w:cs="Times New Roman"/>
          <w:color w:val="000000" w:themeColor="text1"/>
        </w:rPr>
      </w:pPr>
    </w:p>
    <w:p w14:paraId="3D2A28B1" w14:textId="13DAA567" w:rsidR="00AD6FEF" w:rsidRPr="0068584C" w:rsidRDefault="000C756A"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“Scanning the world for solutions.  … for example, we created an innovation department … [</w:t>
      </w:r>
      <w:r w:rsidRPr="0068584C">
        <w:rPr>
          <w:rFonts w:ascii="Times New Roman" w:hAnsi="Times New Roman" w:cs="Times New Roman"/>
          <w:i/>
          <w:color w:val="000000" w:themeColor="text1"/>
        </w:rPr>
        <w:t>to become</w:t>
      </w:r>
      <w:r w:rsidRPr="0068584C">
        <w:rPr>
          <w:rFonts w:ascii="Times New Roman" w:hAnsi="Times New Roman" w:cs="Times New Roman"/>
          <w:color w:val="000000" w:themeColor="text1"/>
        </w:rPr>
        <w:t>] aware of disruptive technologies tha</w:t>
      </w:r>
      <w:r w:rsidR="008F210F" w:rsidRPr="0068584C">
        <w:rPr>
          <w:rFonts w:ascii="Times New Roman" w:hAnsi="Times New Roman" w:cs="Times New Roman"/>
          <w:color w:val="000000" w:themeColor="text1"/>
        </w:rPr>
        <w:t>t would impact our business.” (David, EQUIP)</w:t>
      </w:r>
    </w:p>
    <w:p w14:paraId="4AD60509" w14:textId="77777777" w:rsidR="00AD6FEF" w:rsidRPr="0068584C" w:rsidRDefault="00AD6FEF" w:rsidP="008C76D8">
      <w:pPr>
        <w:ind w:left="1440"/>
        <w:jc w:val="both"/>
        <w:rPr>
          <w:rFonts w:ascii="Times New Roman" w:hAnsi="Times New Roman" w:cs="Times New Roman"/>
          <w:color w:val="000000" w:themeColor="text1"/>
        </w:rPr>
      </w:pPr>
    </w:p>
    <w:p w14:paraId="0ACE291B" w14:textId="262D14A7" w:rsidR="00AD6FEF" w:rsidRPr="0068584C" w:rsidRDefault="0091359F"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“We do the best we can to scan and look for trends.” (</w:t>
      </w:r>
      <w:r w:rsidR="00876041" w:rsidRPr="0068584C">
        <w:rPr>
          <w:rFonts w:ascii="Times New Roman" w:hAnsi="Times New Roman" w:cs="Times New Roman"/>
          <w:color w:val="000000" w:themeColor="text1"/>
        </w:rPr>
        <w:t xml:space="preserve">Hannah </w:t>
      </w:r>
      <w:r w:rsidRPr="0068584C">
        <w:rPr>
          <w:rFonts w:ascii="Times New Roman" w:hAnsi="Times New Roman" w:cs="Times New Roman"/>
          <w:color w:val="000000" w:themeColor="text1"/>
        </w:rPr>
        <w:t xml:space="preserve">,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1567D509" w14:textId="77777777" w:rsidR="00AD6FEF" w:rsidRPr="0068584C" w:rsidRDefault="00AD6FEF" w:rsidP="0035460B">
      <w:pPr>
        <w:spacing w:line="480" w:lineRule="auto"/>
        <w:ind w:left="1440"/>
        <w:jc w:val="both"/>
        <w:rPr>
          <w:rFonts w:ascii="Times New Roman" w:hAnsi="Times New Roman" w:cs="Times New Roman"/>
          <w:color w:val="000000" w:themeColor="text1"/>
        </w:rPr>
      </w:pPr>
    </w:p>
    <w:p w14:paraId="20697D8D" w14:textId="2A7DFF6B" w:rsidR="006C3160" w:rsidRPr="0068584C" w:rsidRDefault="009E340E"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Effective structuring entails building trust and nurturing the partnering relationship with suppliers. Treating suppliers in a fair and consistent manner is a necessity for effective supply chain resource orchestration.</w:t>
      </w:r>
    </w:p>
    <w:p w14:paraId="0E2832F9" w14:textId="77777777" w:rsidR="009E340E" w:rsidRPr="0068584C" w:rsidRDefault="009E340E" w:rsidP="0035460B">
      <w:pPr>
        <w:spacing w:line="480" w:lineRule="auto"/>
        <w:jc w:val="both"/>
        <w:rPr>
          <w:rFonts w:ascii="Times New Roman" w:hAnsi="Times New Roman" w:cs="Times New Roman"/>
          <w:color w:val="000000" w:themeColor="text1"/>
        </w:rPr>
      </w:pPr>
    </w:p>
    <w:p w14:paraId="014CBB3E" w14:textId="46CD99EA" w:rsidR="009E340E" w:rsidRPr="0068584C" w:rsidRDefault="004D3812"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“New viewpoint from a certain set of suppliers to be more partners, to be more collaborative, to understand how you’re going to share intellectual property and manage a mutually beneficial type of a program.” (Doug, EQUIP)</w:t>
      </w:r>
    </w:p>
    <w:p w14:paraId="0136FB5A" w14:textId="48817CAC" w:rsidR="008D5230" w:rsidRPr="0068584C" w:rsidRDefault="000C756A" w:rsidP="008C76D8">
      <w:pPr>
        <w:ind w:left="144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                     </w:t>
      </w:r>
    </w:p>
    <w:p w14:paraId="35556817" w14:textId="60AA7110" w:rsidR="008D5230" w:rsidRPr="0068584C" w:rsidRDefault="000617A6"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t>
      </w:r>
      <w:r w:rsidR="00733033" w:rsidRPr="0068584C">
        <w:rPr>
          <w:rFonts w:ascii="Times New Roman" w:hAnsi="Times New Roman" w:cs="Times New Roman"/>
          <w:color w:val="000000" w:themeColor="text1"/>
        </w:rPr>
        <w:t>It’s our job to ensure that we have a robust supply chain and that doesn’t just mean ensuring supply.  It means that we’re partnering with companies … where we can drive the greatest value.</w:t>
      </w:r>
      <w:r w:rsidRPr="0068584C">
        <w:rPr>
          <w:rFonts w:ascii="Times New Roman" w:hAnsi="Times New Roman" w:cs="Times New Roman"/>
          <w:color w:val="000000" w:themeColor="text1"/>
        </w:rPr>
        <w:t>”</w:t>
      </w:r>
      <w:r w:rsidR="00733033" w:rsidRPr="0068584C">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w:t>
      </w:r>
      <w:r w:rsidR="007F6174" w:rsidRPr="0068584C">
        <w:rPr>
          <w:rFonts w:ascii="Times New Roman" w:hAnsi="Times New Roman" w:cs="Times New Roman"/>
          <w:color w:val="000000" w:themeColor="text1"/>
        </w:rPr>
        <w:t>Hannah</w:t>
      </w:r>
      <w:r w:rsidR="00733033" w:rsidRPr="0068584C">
        <w:rPr>
          <w:rFonts w:ascii="Times New Roman" w:hAnsi="Times New Roman" w:cs="Times New Roman"/>
          <w:color w:val="000000" w:themeColor="text1"/>
        </w:rPr>
        <w:t xml:space="preserve">, </w:t>
      </w:r>
      <w:r w:rsidR="00BE1FFB" w:rsidRPr="0068584C">
        <w:rPr>
          <w:rFonts w:ascii="Times New Roman" w:hAnsi="Times New Roman" w:cs="Times New Roman"/>
          <w:color w:val="000000" w:themeColor="text1"/>
        </w:rPr>
        <w:t>TECH</w:t>
      </w:r>
      <w:r w:rsidR="00733033" w:rsidRPr="0068584C">
        <w:rPr>
          <w:rFonts w:ascii="Times New Roman" w:hAnsi="Times New Roman" w:cs="Times New Roman"/>
          <w:color w:val="000000" w:themeColor="text1"/>
        </w:rPr>
        <w:t>-2)</w:t>
      </w:r>
    </w:p>
    <w:p w14:paraId="60347FBE" w14:textId="77777777" w:rsidR="006F384E" w:rsidRPr="0068584C" w:rsidRDefault="006F384E" w:rsidP="008C76D8">
      <w:pPr>
        <w:ind w:left="1440"/>
        <w:jc w:val="both"/>
        <w:rPr>
          <w:rFonts w:ascii="Times New Roman" w:hAnsi="Times New Roman" w:cs="Times New Roman"/>
          <w:color w:val="000000" w:themeColor="text1"/>
        </w:rPr>
      </w:pPr>
    </w:p>
    <w:p w14:paraId="7F41BBA0" w14:textId="6C5A0FD9" w:rsidR="006F384E" w:rsidRPr="0068584C" w:rsidRDefault="002B7132"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One thing that we never do enough of is communicating and sharing.  When there is that communication and sharing of projects, ideas, status, ideas are generated or a-ha moments where you go, “Did you think about…?” or “Did you include…?”  So the more communications we can have on some of these activities, the better the connection and integration (Katie</w:t>
      </w:r>
      <w:r w:rsidR="006F384E" w:rsidRPr="0068584C">
        <w:rPr>
          <w:rFonts w:ascii="Times New Roman" w:hAnsi="Times New Roman" w:cs="Times New Roman"/>
          <w:color w:val="000000" w:themeColor="text1"/>
        </w:rPr>
        <w:t>, TECH-2)</w:t>
      </w:r>
    </w:p>
    <w:p w14:paraId="068EA5B9" w14:textId="77777777" w:rsidR="008D5230" w:rsidRPr="0068584C" w:rsidRDefault="008D5230" w:rsidP="0035460B">
      <w:pPr>
        <w:spacing w:line="480" w:lineRule="auto"/>
        <w:rPr>
          <w:rFonts w:ascii="Times New Roman" w:hAnsi="Times New Roman" w:cs="Times New Roman"/>
          <w:color w:val="000000" w:themeColor="text1"/>
        </w:rPr>
      </w:pPr>
    </w:p>
    <w:p w14:paraId="22CFBF48" w14:textId="05C06DC6" w:rsidR="006C3160" w:rsidRPr="0068584C" w:rsidRDefault="00AB472D"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However, supply chain resource orchestration appears to be still a weak spot in many instances, and its</w:t>
      </w:r>
      <w:r w:rsidR="00C85A58" w:rsidRPr="0068584C">
        <w:rPr>
          <w:rFonts w:ascii="Times New Roman" w:hAnsi="Times New Roman" w:cs="Times New Roman"/>
          <w:color w:val="000000" w:themeColor="text1"/>
        </w:rPr>
        <w:t xml:space="preserve"> structuring aspect is not well implemented in many organizations yet. Some managers were critical and noted a lack of openness in their organization. </w:t>
      </w:r>
    </w:p>
    <w:p w14:paraId="4BA357FC" w14:textId="77777777" w:rsidR="007E2267" w:rsidRPr="0068584C" w:rsidRDefault="007E2267" w:rsidP="0035460B">
      <w:pPr>
        <w:spacing w:line="480" w:lineRule="auto"/>
        <w:jc w:val="both"/>
        <w:rPr>
          <w:rFonts w:ascii="Times New Roman" w:hAnsi="Times New Roman" w:cs="Times New Roman"/>
          <w:color w:val="000000" w:themeColor="text1"/>
        </w:rPr>
      </w:pPr>
    </w:p>
    <w:p w14:paraId="5A0DAE29" w14:textId="423FFB2E" w:rsidR="007E2267" w:rsidRPr="0068584C" w:rsidRDefault="00C85A58"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lastRenderedPageBreak/>
        <w:t>“</w:t>
      </w:r>
      <w:r w:rsidR="007E2267" w:rsidRPr="0068584C">
        <w:rPr>
          <w:rFonts w:ascii="Times New Roman" w:hAnsi="Times New Roman" w:cs="Times New Roman"/>
          <w:color w:val="000000" w:themeColor="text1"/>
        </w:rPr>
        <w:t xml:space="preserve">When we’re making decisions, right now we look at a narrow subset of indicators in which to make that decision but we need to broaden that and look at the value a supplier can bring … Why are we not tapping into the value that they can bring to the table with those research and development funds as well as the fact that they’re a good supplier too?” </w:t>
      </w:r>
      <w:r w:rsidR="007E2267" w:rsidRPr="0068584C">
        <w:rPr>
          <w:rFonts w:ascii="Times New Roman" w:hAnsi="Times New Roman" w:cs="Times New Roman"/>
        </w:rPr>
        <w:t>(</w:t>
      </w:r>
      <w:r w:rsidR="007B6344" w:rsidRPr="0068584C">
        <w:rPr>
          <w:rFonts w:ascii="Times New Roman" w:hAnsi="Times New Roman" w:cs="Times New Roman"/>
        </w:rPr>
        <w:t>Hannah,</w:t>
      </w:r>
      <w:r w:rsidR="007E2267" w:rsidRPr="0068584C">
        <w:rPr>
          <w:rFonts w:ascii="Times New Roman" w:hAnsi="Times New Roman" w:cs="Times New Roman"/>
        </w:rPr>
        <w:t xml:space="preserve">  </w:t>
      </w:r>
      <w:r w:rsidR="00BE1FFB" w:rsidRPr="0068584C">
        <w:rPr>
          <w:rFonts w:ascii="Times New Roman" w:hAnsi="Times New Roman" w:cs="Times New Roman"/>
        </w:rPr>
        <w:t>TECH</w:t>
      </w:r>
      <w:r w:rsidR="007B6344" w:rsidRPr="0068584C">
        <w:rPr>
          <w:rFonts w:ascii="Times New Roman" w:hAnsi="Times New Roman" w:cs="Times New Roman"/>
        </w:rPr>
        <w:t>-</w:t>
      </w:r>
      <w:r w:rsidR="007E2267" w:rsidRPr="0068584C">
        <w:rPr>
          <w:rFonts w:ascii="Times New Roman" w:hAnsi="Times New Roman" w:cs="Times New Roman"/>
        </w:rPr>
        <w:t xml:space="preserve">2). </w:t>
      </w:r>
    </w:p>
    <w:p w14:paraId="35912427" w14:textId="212D1865" w:rsidR="00754171" w:rsidRPr="0068584C" w:rsidRDefault="00754171" w:rsidP="0035460B">
      <w:pPr>
        <w:spacing w:line="480" w:lineRule="auto"/>
        <w:jc w:val="both"/>
        <w:rPr>
          <w:rFonts w:ascii="Times New Roman" w:hAnsi="Times New Roman" w:cs="Times New Roman"/>
          <w:color w:val="000000" w:themeColor="text1"/>
        </w:rPr>
      </w:pPr>
    </w:p>
    <w:p w14:paraId="3BBBE117" w14:textId="77777777" w:rsidR="00C2793E" w:rsidRDefault="007E2267" w:rsidP="000B457B">
      <w:pPr>
        <w:pStyle w:val="Caption"/>
        <w:keepNext/>
      </w:pPr>
      <w:r w:rsidRPr="0068584C">
        <w:rPr>
          <w:rFonts w:cs="Times New Roman"/>
        </w:rPr>
        <w:t xml:space="preserve">Thus, opportunities in the supply network are easily overlooked and neglected, which limits the effective utilization of external resources. </w:t>
      </w:r>
      <w:r w:rsidR="00FF739E" w:rsidRPr="0068584C">
        <w:rPr>
          <w:rFonts w:cs="Times New Roman"/>
        </w:rPr>
        <w:t>More effective</w:t>
      </w:r>
      <w:r w:rsidR="00DB0B4E" w:rsidRPr="0068584C">
        <w:rPr>
          <w:rFonts w:cs="Times New Roman"/>
        </w:rPr>
        <w:t xml:space="preserve"> structuring </w:t>
      </w:r>
      <w:r w:rsidR="00FF739E" w:rsidRPr="0068584C">
        <w:rPr>
          <w:rFonts w:cs="Times New Roman"/>
        </w:rPr>
        <w:t xml:space="preserve">activities should help </w:t>
      </w:r>
      <w:r w:rsidR="00FF739E" w:rsidRPr="00A56F09">
        <w:rPr>
          <w:rFonts w:cs="Times New Roman"/>
        </w:rPr>
        <w:t xml:space="preserve">organizations to prevent such mishaps. </w:t>
      </w:r>
      <w:r w:rsidR="005D52EA">
        <w:rPr>
          <w:rFonts w:cs="Times New Roman"/>
        </w:rPr>
        <w:fldChar w:fldCharType="begin"/>
      </w:r>
      <w:r w:rsidR="005D52EA">
        <w:rPr>
          <w:rFonts w:cs="Times New Roman"/>
        </w:rPr>
        <w:instrText xml:space="preserve"> REF _Ref357387303 \h </w:instrText>
      </w:r>
      <w:r w:rsidR="005D52EA">
        <w:rPr>
          <w:rFonts w:cs="Times New Roman"/>
        </w:rPr>
      </w:r>
      <w:r w:rsidR="005D52EA">
        <w:rPr>
          <w:rFonts w:cs="Times New Roman"/>
        </w:rPr>
        <w:fldChar w:fldCharType="separate"/>
      </w:r>
      <w:r w:rsidR="00C2793E">
        <w:t xml:space="preserve">Table </w:t>
      </w:r>
      <w:r w:rsidR="00C2793E">
        <w:rPr>
          <w:noProof/>
        </w:rPr>
        <w:t>10</w:t>
      </w:r>
      <w:r w:rsidR="005D52EA">
        <w:rPr>
          <w:rFonts w:cs="Times New Roman"/>
        </w:rPr>
        <w:fldChar w:fldCharType="end"/>
      </w:r>
      <w:r w:rsidR="005D52EA">
        <w:rPr>
          <w:rFonts w:cs="Times New Roman"/>
        </w:rPr>
        <w:t xml:space="preserve"> </w:t>
      </w:r>
      <w:r w:rsidR="00B02ED3" w:rsidRPr="00A56F09">
        <w:rPr>
          <w:rFonts w:cs="Times New Roman"/>
        </w:rPr>
        <w:t xml:space="preserve">provides an overview of the main structuring </w:t>
      </w:r>
      <w:r w:rsidR="009E4B33" w:rsidRPr="00A56F09">
        <w:rPr>
          <w:rFonts w:cs="Times New Roman"/>
        </w:rPr>
        <w:t>categories</w:t>
      </w:r>
      <w:r w:rsidR="00B02ED3" w:rsidRPr="00A56F09">
        <w:rPr>
          <w:rFonts w:cs="Times New Roman"/>
        </w:rPr>
        <w:t xml:space="preserve"> that the interviewed managers have highlighted</w:t>
      </w:r>
      <w:r w:rsidR="009E340E" w:rsidRPr="00A56F09">
        <w:rPr>
          <w:rFonts w:cs="Times New Roman"/>
        </w:rPr>
        <w:t>, especially in terms of managing the interfaces</w:t>
      </w:r>
      <w:r w:rsidR="00B02ED3" w:rsidRPr="00A56F09">
        <w:rPr>
          <w:rFonts w:cs="Times New Roman"/>
        </w:rPr>
        <w:t>.</w:t>
      </w:r>
      <w:r w:rsidR="00D7389F" w:rsidRPr="00A56F09">
        <w:rPr>
          <w:rFonts w:cs="Times New Roman"/>
        </w:rPr>
        <w:t xml:space="preserve"> The </w:t>
      </w:r>
      <w:r w:rsidR="00906781" w:rsidRPr="00A56F09">
        <w:rPr>
          <w:rFonts w:cs="Times New Roman"/>
        </w:rPr>
        <w:t>prior</w:t>
      </w:r>
      <w:r w:rsidR="00D7389F" w:rsidRPr="00A56F09">
        <w:rPr>
          <w:rFonts w:cs="Times New Roman"/>
        </w:rPr>
        <w:t xml:space="preserve"> </w:t>
      </w:r>
      <w:r w:rsidR="005D52EA">
        <w:rPr>
          <w:rFonts w:cs="Times New Roman"/>
        </w:rPr>
        <w:fldChar w:fldCharType="begin"/>
      </w:r>
      <w:r w:rsidR="005D52EA">
        <w:rPr>
          <w:rFonts w:cs="Times New Roman"/>
        </w:rPr>
        <w:instrText xml:space="preserve"> REF _Ref357387274 \h </w:instrText>
      </w:r>
      <w:r w:rsidR="005D52EA">
        <w:rPr>
          <w:rFonts w:cs="Times New Roman"/>
        </w:rPr>
      </w:r>
      <w:r w:rsidR="005D52EA">
        <w:rPr>
          <w:rFonts w:cs="Times New Roman"/>
        </w:rPr>
        <w:fldChar w:fldCharType="separate"/>
      </w:r>
    </w:p>
    <w:p w14:paraId="31B6FFD4" w14:textId="77777777" w:rsidR="00C2793E" w:rsidRDefault="00C2793E">
      <w:pPr>
        <w:rPr>
          <w:rFonts w:ascii="Times New Roman" w:hAnsi="Times New Roman"/>
          <w:b/>
          <w:bCs/>
          <w:color w:val="000000" w:themeColor="text1"/>
          <w:szCs w:val="18"/>
        </w:rPr>
      </w:pPr>
      <w:r>
        <w:br w:type="page"/>
      </w:r>
    </w:p>
    <w:p w14:paraId="2DE0001F" w14:textId="330B34CF" w:rsidR="00F628CA" w:rsidRPr="0068584C" w:rsidRDefault="00C2793E" w:rsidP="00F628CA">
      <w:pPr>
        <w:spacing w:line="480" w:lineRule="auto"/>
        <w:jc w:val="both"/>
        <w:rPr>
          <w:rFonts w:ascii="Times New Roman" w:hAnsi="Times New Roman" w:cs="Times New Roman"/>
          <w:color w:val="000000" w:themeColor="text1"/>
        </w:rPr>
      </w:pPr>
      <w:r>
        <w:lastRenderedPageBreak/>
        <w:t xml:space="preserve">Table </w:t>
      </w:r>
      <w:r>
        <w:rPr>
          <w:noProof/>
        </w:rPr>
        <w:t>9</w:t>
      </w:r>
      <w:r w:rsidR="005D52EA">
        <w:rPr>
          <w:rFonts w:ascii="Times New Roman" w:hAnsi="Times New Roman" w:cs="Times New Roman"/>
          <w:color w:val="000000" w:themeColor="text1"/>
        </w:rPr>
        <w:fldChar w:fldCharType="end"/>
      </w:r>
      <w:r w:rsidR="00CB73D6" w:rsidRPr="00A56F09">
        <w:rPr>
          <w:rFonts w:ascii="Times New Roman" w:hAnsi="Times New Roman" w:cs="Times New Roman"/>
          <w:color w:val="000000" w:themeColor="text1"/>
        </w:rPr>
        <w:t xml:space="preserve"> will explain the</w:t>
      </w:r>
      <w:r w:rsidR="00F628CA" w:rsidRPr="00A56F09">
        <w:rPr>
          <w:rFonts w:ascii="Times New Roman" w:hAnsi="Times New Roman" w:cs="Times New Roman"/>
          <w:color w:val="000000" w:themeColor="text1"/>
        </w:rPr>
        <w:t xml:space="preserve"> criter</w:t>
      </w:r>
      <w:r w:rsidR="00CB73D6" w:rsidRPr="00A56F09">
        <w:rPr>
          <w:rFonts w:ascii="Times New Roman" w:hAnsi="Times New Roman" w:cs="Times New Roman"/>
          <w:color w:val="000000" w:themeColor="text1"/>
        </w:rPr>
        <w:t>ia for scoring the structuring sub-p</w:t>
      </w:r>
      <w:r w:rsidR="00F628CA" w:rsidRPr="00A56F09">
        <w:rPr>
          <w:rFonts w:ascii="Times New Roman" w:hAnsi="Times New Roman" w:cs="Times New Roman"/>
          <w:color w:val="000000" w:themeColor="text1"/>
        </w:rPr>
        <w:t>rocess for</w:t>
      </w:r>
      <w:r w:rsidR="00F628CA" w:rsidRPr="0068584C">
        <w:rPr>
          <w:rFonts w:ascii="Times New Roman" w:hAnsi="Times New Roman" w:cs="Times New Roman"/>
          <w:color w:val="000000" w:themeColor="text1"/>
        </w:rPr>
        <w:t xml:space="preserve"> the case companies. The table also exemplifies the characteristics of both low and high structuring scores for the four </w:t>
      </w:r>
      <w:r w:rsidR="00CB73D6">
        <w:rPr>
          <w:rFonts w:ascii="Times New Roman" w:hAnsi="Times New Roman" w:cs="Times New Roman"/>
          <w:color w:val="000000" w:themeColor="text1"/>
        </w:rPr>
        <w:t xml:space="preserve">structuring </w:t>
      </w:r>
      <w:r w:rsidR="00F628CA" w:rsidRPr="0068584C">
        <w:rPr>
          <w:rFonts w:ascii="Times New Roman" w:hAnsi="Times New Roman" w:cs="Times New Roman"/>
          <w:color w:val="000000" w:themeColor="text1"/>
        </w:rPr>
        <w:t>categories.</w:t>
      </w:r>
      <w:r w:rsidR="00CB73D6" w:rsidRPr="00CB73D6">
        <w:rPr>
          <w:rFonts w:ascii="Times New Roman" w:hAnsi="Times New Roman" w:cs="Times New Roman"/>
          <w:color w:val="000000" w:themeColor="text1"/>
        </w:rPr>
        <w:t xml:space="preserve"> </w:t>
      </w:r>
      <w:r w:rsidR="00CB73D6">
        <w:rPr>
          <w:rFonts w:ascii="Times New Roman" w:hAnsi="Times New Roman" w:cs="Times New Roman"/>
          <w:color w:val="000000" w:themeColor="text1"/>
        </w:rPr>
        <w:t>For the discussion of the remaining SCRO sub-processes (bundling and leveraging) and of innovation and efficiency culture, a similar table will be provided to explain the specific scoring of the interview data.</w:t>
      </w:r>
    </w:p>
    <w:p w14:paraId="0571639B" w14:textId="77777777" w:rsidR="00F628CA" w:rsidRPr="0068584C" w:rsidRDefault="00F628CA" w:rsidP="00F628CA">
      <w:pPr>
        <w:spacing w:line="480" w:lineRule="auto"/>
        <w:rPr>
          <w:rFonts w:ascii="Times New Roman" w:hAnsi="Times New Roman" w:cs="Times New Roman"/>
          <w:color w:val="000000" w:themeColor="text1"/>
        </w:rPr>
      </w:pPr>
    </w:p>
    <w:p w14:paraId="57F3E595" w14:textId="77777777" w:rsidR="005D52EA" w:rsidRDefault="005D52EA" w:rsidP="000B457B">
      <w:pPr>
        <w:pStyle w:val="Caption"/>
        <w:keepNext/>
      </w:pPr>
      <w:bookmarkStart w:id="79" w:name="_Ref357387274"/>
    </w:p>
    <w:p w14:paraId="7AF18302" w14:textId="77777777" w:rsidR="00C47D97" w:rsidRDefault="00C47D97">
      <w:pPr>
        <w:rPr>
          <w:rFonts w:ascii="Times New Roman" w:hAnsi="Times New Roman"/>
          <w:b/>
          <w:bCs/>
          <w:color w:val="000000" w:themeColor="text1"/>
          <w:szCs w:val="18"/>
        </w:rPr>
      </w:pPr>
      <w:r>
        <w:br w:type="page"/>
      </w:r>
    </w:p>
    <w:p w14:paraId="6AB33635" w14:textId="649D206B" w:rsidR="000B457B" w:rsidRDefault="000B457B" w:rsidP="000B457B">
      <w:pPr>
        <w:pStyle w:val="Caption"/>
        <w:keepNext/>
      </w:pPr>
      <w:bookmarkStart w:id="80" w:name="_Toc358326845"/>
      <w:r>
        <w:lastRenderedPageBreak/>
        <w:t xml:space="preserve">Table </w:t>
      </w:r>
      <w:fldSimple w:instr=" SEQ Table \* ARABIC ">
        <w:r w:rsidR="00C2793E">
          <w:rPr>
            <w:noProof/>
          </w:rPr>
          <w:t>9</w:t>
        </w:r>
        <w:bookmarkEnd w:id="80"/>
      </w:fldSimple>
      <w:bookmarkEnd w:id="79"/>
    </w:p>
    <w:p w14:paraId="6A06E994" w14:textId="4B029383" w:rsidR="00F628CA" w:rsidRPr="000B457B" w:rsidRDefault="00F628CA" w:rsidP="00CB73D6">
      <w:pPr>
        <w:rPr>
          <w:rFonts w:ascii="Times New Roman" w:hAnsi="Times New Roman" w:cs="Times New Roman"/>
          <w:b/>
          <w:color w:val="000000" w:themeColor="text1"/>
        </w:rPr>
      </w:pPr>
      <w:r w:rsidRPr="000B457B">
        <w:rPr>
          <w:rFonts w:ascii="Times New Roman" w:hAnsi="Times New Roman" w:cs="Times New Roman"/>
          <w:b/>
          <w:color w:val="000000" w:themeColor="text1"/>
        </w:rPr>
        <w:t>Structuring Criteria</w:t>
      </w:r>
    </w:p>
    <w:tbl>
      <w:tblPr>
        <w:tblStyle w:val="TableGrid"/>
        <w:tblW w:w="8367" w:type="dxa"/>
        <w:tblLayout w:type="fixed"/>
        <w:tblLook w:val="04A0" w:firstRow="1" w:lastRow="0" w:firstColumn="1" w:lastColumn="0" w:noHBand="0" w:noVBand="1"/>
      </w:tblPr>
      <w:tblGrid>
        <w:gridCol w:w="1368"/>
        <w:gridCol w:w="3354"/>
        <w:gridCol w:w="3645"/>
      </w:tblGrid>
      <w:tr w:rsidR="00CB73D6" w:rsidRPr="0002452F" w14:paraId="1A16DD9D" w14:textId="77777777" w:rsidTr="00E55783">
        <w:tc>
          <w:tcPr>
            <w:tcW w:w="1368" w:type="dxa"/>
          </w:tcPr>
          <w:p w14:paraId="63DD4813" w14:textId="77777777" w:rsidR="00CB73D6" w:rsidRPr="0068584C" w:rsidRDefault="00CB73D6" w:rsidP="005D52EA">
            <w:pPr>
              <w:keepNext/>
              <w:keepLines/>
              <w:spacing w:line="360" w:lineRule="auto"/>
              <w:ind w:left="144"/>
              <w:outlineLvl w:val="5"/>
              <w:rPr>
                <w:rFonts w:ascii="Times New Roman" w:hAnsi="Times New Roman" w:cs="Times New Roman"/>
                <w:b/>
                <w:color w:val="000000" w:themeColor="text1"/>
                <w:sz w:val="20"/>
                <w:szCs w:val="20"/>
              </w:rPr>
            </w:pPr>
            <w:r w:rsidRPr="0068584C">
              <w:rPr>
                <w:rFonts w:ascii="Times New Roman" w:hAnsi="Times New Roman" w:cs="Times New Roman"/>
                <w:b/>
                <w:color w:val="000000" w:themeColor="text1"/>
                <w:sz w:val="20"/>
                <w:szCs w:val="20"/>
              </w:rPr>
              <w:t>Category</w:t>
            </w:r>
          </w:p>
        </w:tc>
        <w:tc>
          <w:tcPr>
            <w:tcW w:w="3354" w:type="dxa"/>
          </w:tcPr>
          <w:p w14:paraId="3B22F258" w14:textId="77777777" w:rsidR="00CB73D6" w:rsidRPr="0068584C" w:rsidRDefault="00CB73D6" w:rsidP="005D52EA">
            <w:pPr>
              <w:spacing w:line="360" w:lineRule="auto"/>
              <w:ind w:left="144"/>
              <w:jc w:val="center"/>
              <w:rPr>
                <w:rFonts w:ascii="Times New Roman" w:hAnsi="Times New Roman" w:cs="Times New Roman"/>
                <w:b/>
                <w:color w:val="000000" w:themeColor="text1"/>
                <w:sz w:val="20"/>
                <w:szCs w:val="20"/>
              </w:rPr>
            </w:pPr>
            <w:r w:rsidRPr="0068584C">
              <w:rPr>
                <w:rFonts w:ascii="Times New Roman" w:hAnsi="Times New Roman" w:cs="Times New Roman"/>
                <w:b/>
                <w:color w:val="000000" w:themeColor="text1"/>
                <w:sz w:val="20"/>
                <w:szCs w:val="20"/>
              </w:rPr>
              <w:t>Low = 1</w:t>
            </w:r>
          </w:p>
        </w:tc>
        <w:tc>
          <w:tcPr>
            <w:tcW w:w="3645" w:type="dxa"/>
          </w:tcPr>
          <w:p w14:paraId="46B7F3F5" w14:textId="77777777" w:rsidR="00CB73D6" w:rsidRPr="0068584C" w:rsidRDefault="00CB73D6" w:rsidP="005D52EA">
            <w:pPr>
              <w:spacing w:line="360" w:lineRule="auto"/>
              <w:ind w:left="144"/>
              <w:jc w:val="center"/>
              <w:rPr>
                <w:rFonts w:ascii="Times New Roman" w:hAnsi="Times New Roman" w:cs="Times New Roman"/>
                <w:b/>
                <w:color w:val="000000" w:themeColor="text1"/>
                <w:sz w:val="20"/>
                <w:szCs w:val="20"/>
              </w:rPr>
            </w:pPr>
            <w:r w:rsidRPr="0068584C">
              <w:rPr>
                <w:rFonts w:ascii="Times New Roman" w:hAnsi="Times New Roman" w:cs="Times New Roman"/>
                <w:b/>
                <w:color w:val="000000" w:themeColor="text1"/>
                <w:sz w:val="20"/>
                <w:szCs w:val="20"/>
              </w:rPr>
              <w:t>High = 5</w:t>
            </w:r>
          </w:p>
        </w:tc>
      </w:tr>
      <w:tr w:rsidR="00CB73D6" w:rsidRPr="0002452F" w14:paraId="2F643BF1" w14:textId="77777777" w:rsidTr="00E55783">
        <w:tc>
          <w:tcPr>
            <w:tcW w:w="1368" w:type="dxa"/>
          </w:tcPr>
          <w:p w14:paraId="7A40A12E" w14:textId="77777777" w:rsidR="00CB73D6" w:rsidRPr="0068584C" w:rsidRDefault="00CB73D6" w:rsidP="005D52EA">
            <w:pPr>
              <w:keepNext/>
              <w:keepLines/>
              <w:spacing w:line="360" w:lineRule="auto"/>
              <w:ind w:left="144"/>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Market Scanning</w:t>
            </w:r>
          </w:p>
          <w:p w14:paraId="1C74570D" w14:textId="77777777" w:rsidR="00CB73D6" w:rsidRPr="0002452F" w:rsidRDefault="00CB73D6" w:rsidP="005D52EA">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354" w:type="dxa"/>
          </w:tcPr>
          <w:p w14:paraId="363C5295"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 xml:space="preserve">Little/No systematic scanning processes </w:t>
            </w:r>
          </w:p>
          <w:p w14:paraId="4338F532"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Emphasis on existing supply network</w:t>
            </w:r>
          </w:p>
        </w:tc>
        <w:tc>
          <w:tcPr>
            <w:tcW w:w="3645" w:type="dxa"/>
          </w:tcPr>
          <w:p w14:paraId="7B235B8C"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Active scanning to detect new suppliers</w:t>
            </w:r>
          </w:p>
          <w:p w14:paraId="167C08A4"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Processes to monitor other industries</w:t>
            </w:r>
          </w:p>
        </w:tc>
      </w:tr>
      <w:tr w:rsidR="00CB73D6" w:rsidRPr="0002452F" w14:paraId="40099484" w14:textId="77777777" w:rsidTr="00E55783">
        <w:tc>
          <w:tcPr>
            <w:tcW w:w="1368" w:type="dxa"/>
          </w:tcPr>
          <w:p w14:paraId="335C6784" w14:textId="77777777" w:rsidR="00CB73D6" w:rsidRPr="0068584C" w:rsidRDefault="00CB73D6" w:rsidP="005D52EA">
            <w:pPr>
              <w:keepNext/>
              <w:keepLines/>
              <w:spacing w:line="360" w:lineRule="auto"/>
              <w:ind w:left="144"/>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 xml:space="preserve">Interface to Supplier </w:t>
            </w:r>
          </w:p>
          <w:p w14:paraId="7AFBFA0F" w14:textId="77777777" w:rsidR="00CB73D6" w:rsidRPr="0002452F" w:rsidRDefault="00CB73D6" w:rsidP="005D52EA">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354" w:type="dxa"/>
          </w:tcPr>
          <w:p w14:paraId="2FB4F9C0"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Relatively unclear interfaces</w:t>
            </w:r>
          </w:p>
          <w:p w14:paraId="4CDE0E98"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Suppliers are “left alone” and suffer from insufficient data</w:t>
            </w:r>
          </w:p>
          <w:p w14:paraId="7DE2C0DF"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Constraints and requirements are unclear to the supplier</w:t>
            </w:r>
          </w:p>
          <w:p w14:paraId="7F0E1B2D" w14:textId="77777777" w:rsidR="00CB73D6" w:rsidRPr="0002452F" w:rsidRDefault="00CB73D6" w:rsidP="005D52EA">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645" w:type="dxa"/>
          </w:tcPr>
          <w:p w14:paraId="5B358A67"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Clear specification of interfaces</w:t>
            </w:r>
          </w:p>
          <w:p w14:paraId="300B7167"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Detailed exchange about requirements</w:t>
            </w:r>
          </w:p>
          <w:p w14:paraId="420A4A0B"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Supplier has timely access to all  relevant data</w:t>
            </w:r>
          </w:p>
          <w:p w14:paraId="1FC768BB"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Established liaison process</w:t>
            </w:r>
          </w:p>
        </w:tc>
      </w:tr>
      <w:tr w:rsidR="00CB73D6" w:rsidRPr="0002452F" w14:paraId="17DDB279" w14:textId="77777777" w:rsidTr="00E55783">
        <w:tc>
          <w:tcPr>
            <w:tcW w:w="1368" w:type="dxa"/>
          </w:tcPr>
          <w:p w14:paraId="4A9369D7" w14:textId="77777777" w:rsidR="00CB73D6" w:rsidRPr="0068584C" w:rsidRDefault="00CB73D6" w:rsidP="005D52EA">
            <w:pPr>
              <w:keepNext/>
              <w:keepLines/>
              <w:spacing w:line="360" w:lineRule="auto"/>
              <w:ind w:left="144"/>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Trust Building</w:t>
            </w:r>
          </w:p>
        </w:tc>
        <w:tc>
          <w:tcPr>
            <w:tcW w:w="3354" w:type="dxa"/>
          </w:tcPr>
          <w:p w14:paraId="14502770"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Arm’s length relationships with suppliers</w:t>
            </w:r>
          </w:p>
          <w:p w14:paraId="6205AE5B"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“Contractual spirit”</w:t>
            </w:r>
          </w:p>
          <w:p w14:paraId="0EFEBB85"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Only minimum interaction</w:t>
            </w:r>
          </w:p>
          <w:p w14:paraId="5D6C845A" w14:textId="77777777" w:rsidR="00CB73D6" w:rsidRPr="0002452F" w:rsidRDefault="00CB73D6" w:rsidP="005D52EA">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645" w:type="dxa"/>
          </w:tcPr>
          <w:p w14:paraId="271E62E3"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Focal firm provides development support</w:t>
            </w:r>
          </w:p>
          <w:p w14:paraId="53C47169"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“Partnering spirit” with mutually shared objectives</w:t>
            </w:r>
          </w:p>
          <w:p w14:paraId="323FA5E8"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Frequent interaction</w:t>
            </w:r>
          </w:p>
          <w:p w14:paraId="4ECC8A2D" w14:textId="77777777" w:rsidR="00CB73D6" w:rsidRPr="0002452F" w:rsidRDefault="00CB73D6" w:rsidP="005D52EA">
            <w:pPr>
              <w:tabs>
                <w:tab w:val="center" w:pos="4320"/>
                <w:tab w:val="right" w:pos="8640"/>
              </w:tabs>
              <w:spacing w:line="360" w:lineRule="auto"/>
              <w:ind w:left="144"/>
              <w:rPr>
                <w:rFonts w:ascii="Times New Roman" w:hAnsi="Times New Roman" w:cs="Times New Roman"/>
                <w:color w:val="000000" w:themeColor="text1"/>
                <w:sz w:val="20"/>
                <w:szCs w:val="20"/>
              </w:rPr>
            </w:pPr>
          </w:p>
        </w:tc>
      </w:tr>
      <w:tr w:rsidR="00CB73D6" w:rsidRPr="0002452F" w14:paraId="42E4E770" w14:textId="77777777" w:rsidTr="00E55783">
        <w:tc>
          <w:tcPr>
            <w:tcW w:w="1368" w:type="dxa"/>
          </w:tcPr>
          <w:p w14:paraId="2F14826E" w14:textId="77777777" w:rsidR="00CB73D6" w:rsidRPr="0068584C" w:rsidRDefault="00CB73D6" w:rsidP="005D52EA">
            <w:pPr>
              <w:keepNext/>
              <w:keepLines/>
              <w:spacing w:line="360" w:lineRule="auto"/>
              <w:ind w:left="144"/>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Updating of Technology</w:t>
            </w:r>
          </w:p>
        </w:tc>
        <w:tc>
          <w:tcPr>
            <w:tcW w:w="3354" w:type="dxa"/>
          </w:tcPr>
          <w:p w14:paraId="40DC91D3"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Little knowledge about supplier technological capabilities</w:t>
            </w:r>
          </w:p>
          <w:p w14:paraId="68D319A7"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Little/No awareness of recent developments of suppliers</w:t>
            </w:r>
          </w:p>
          <w:p w14:paraId="058BF8E2" w14:textId="77777777" w:rsidR="00CB73D6" w:rsidRPr="0068584C" w:rsidRDefault="00CB73D6" w:rsidP="005D52EA">
            <w:pPr>
              <w:pStyle w:val="ListParagraph"/>
              <w:keepNext/>
              <w:keepLines/>
              <w:numPr>
                <w:ilvl w:val="0"/>
                <w:numId w:val="8"/>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No systematic process to utilize external technology</w:t>
            </w:r>
          </w:p>
        </w:tc>
        <w:tc>
          <w:tcPr>
            <w:tcW w:w="3645" w:type="dxa"/>
          </w:tcPr>
          <w:p w14:paraId="65D7A814"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Established process to assess supplier capabilities</w:t>
            </w:r>
          </w:p>
          <w:p w14:paraId="1D57E707" w14:textId="77777777" w:rsidR="00CB73D6" w:rsidRPr="0068584C" w:rsidRDefault="00CB73D6" w:rsidP="005D52EA">
            <w:pPr>
              <w:pStyle w:val="ListParagraph"/>
              <w:keepNext/>
              <w:keepLines/>
              <w:numPr>
                <w:ilvl w:val="0"/>
                <w:numId w:val="9"/>
              </w:numPr>
              <w:spacing w:line="360" w:lineRule="auto"/>
              <w:outlineLvl w:val="5"/>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Systematic use of external expertise</w:t>
            </w:r>
          </w:p>
          <w:p w14:paraId="5046B043" w14:textId="77777777" w:rsidR="00CB73D6" w:rsidRPr="0068584C" w:rsidRDefault="00CB73D6" w:rsidP="005D52EA">
            <w:pPr>
              <w:pStyle w:val="ListParagraph"/>
              <w:keepNext/>
              <w:keepLines/>
              <w:numPr>
                <w:ilvl w:val="0"/>
                <w:numId w:val="9"/>
              </w:numPr>
              <w:spacing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Monitoring of technological readiness and compatibilities of supply base</w:t>
            </w:r>
          </w:p>
        </w:tc>
      </w:tr>
    </w:tbl>
    <w:p w14:paraId="1371E2AB" w14:textId="77777777" w:rsidR="00F628CA" w:rsidRDefault="00F628CA" w:rsidP="0035460B">
      <w:pPr>
        <w:spacing w:line="480" w:lineRule="auto"/>
        <w:jc w:val="both"/>
        <w:rPr>
          <w:rFonts w:ascii="Times New Roman" w:hAnsi="Times New Roman" w:cs="Times New Roman"/>
          <w:color w:val="000000" w:themeColor="text1"/>
        </w:rPr>
      </w:pPr>
    </w:p>
    <w:p w14:paraId="76B34A78" w14:textId="77777777" w:rsidR="00576061" w:rsidRPr="0068584C" w:rsidRDefault="00576061" w:rsidP="00CB73D6">
      <w:pPr>
        <w:spacing w:line="480" w:lineRule="auto"/>
        <w:rPr>
          <w:rFonts w:ascii="Times New Roman" w:hAnsi="Times New Roman" w:cs="Times New Roman"/>
          <w:color w:val="000000" w:themeColor="text1"/>
        </w:rPr>
        <w:sectPr w:rsidR="00576061" w:rsidRPr="0068584C" w:rsidSect="00B27280">
          <w:pgSz w:w="12240" w:h="15840"/>
          <w:pgMar w:top="1440" w:right="1440" w:bottom="1800" w:left="1440" w:header="576" w:footer="720" w:gutter="0"/>
          <w:cols w:space="720"/>
          <w:titlePg/>
          <w:docGrid w:linePitch="360"/>
        </w:sectPr>
      </w:pPr>
    </w:p>
    <w:p w14:paraId="63F847C4" w14:textId="471BB2DC" w:rsidR="000B457B" w:rsidRDefault="000B457B" w:rsidP="000B457B">
      <w:pPr>
        <w:pStyle w:val="Caption"/>
        <w:keepNext/>
      </w:pPr>
      <w:bookmarkStart w:id="81" w:name="_Toc358326846"/>
      <w:bookmarkStart w:id="82" w:name="_Ref357387303"/>
      <w:r>
        <w:lastRenderedPageBreak/>
        <w:t xml:space="preserve">Table </w:t>
      </w:r>
      <w:fldSimple w:instr=" SEQ Table \* ARABIC ">
        <w:r w:rsidR="00C2793E">
          <w:rPr>
            <w:noProof/>
          </w:rPr>
          <w:t>10</w:t>
        </w:r>
        <w:bookmarkEnd w:id="81"/>
      </w:fldSimple>
      <w:bookmarkEnd w:id="82"/>
    </w:p>
    <w:p w14:paraId="4B821EEB" w14:textId="2522A70C" w:rsidR="00B02ED3" w:rsidRPr="000B457B" w:rsidRDefault="006909D7" w:rsidP="009E4B33">
      <w:pPr>
        <w:rPr>
          <w:rFonts w:ascii="Times New Roman" w:hAnsi="Times New Roman" w:cs="Times New Roman"/>
          <w:b/>
          <w:color w:val="000000" w:themeColor="text1"/>
        </w:rPr>
      </w:pPr>
      <w:r w:rsidRPr="000B457B">
        <w:rPr>
          <w:rFonts w:ascii="Times New Roman" w:hAnsi="Times New Roman" w:cs="Times New Roman"/>
          <w:b/>
          <w:color w:val="000000" w:themeColor="text1"/>
        </w:rPr>
        <w:t>S</w:t>
      </w:r>
      <w:r w:rsidR="00B02ED3" w:rsidRPr="000B457B">
        <w:rPr>
          <w:rFonts w:ascii="Times New Roman" w:hAnsi="Times New Roman" w:cs="Times New Roman"/>
          <w:b/>
          <w:color w:val="000000" w:themeColor="text1"/>
        </w:rPr>
        <w:t>tructuring</w:t>
      </w:r>
    </w:p>
    <w:p w14:paraId="59E8F7E2" w14:textId="55EE901E" w:rsidR="00B02ED3" w:rsidRPr="0068584C" w:rsidRDefault="0003751D" w:rsidP="0035460B">
      <w:pPr>
        <w:spacing w:line="480" w:lineRule="auto"/>
        <w:rPr>
          <w:rFonts w:ascii="Times New Roman" w:hAnsi="Times New Roman" w:cs="Times New Roman"/>
          <w:color w:val="000000" w:themeColor="text1"/>
        </w:rPr>
      </w:pPr>
      <w:r w:rsidRPr="0068584C">
        <w:rPr>
          <w:rFonts w:ascii="Times New Roman" w:hAnsi="Times New Roman" w:cs="Times New Roman"/>
          <w:noProof/>
          <w:color w:val="000000" w:themeColor="text1"/>
        </w:rPr>
        <w:drawing>
          <wp:inline distT="0" distB="0" distL="0" distR="0" wp14:anchorId="07F055C8" wp14:editId="4F08B069">
            <wp:extent cx="8331200" cy="4919345"/>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331200" cy="4919345"/>
                    </a:xfrm>
                    <a:prstGeom prst="rect">
                      <a:avLst/>
                    </a:prstGeom>
                    <a:noFill/>
                    <a:ln>
                      <a:noFill/>
                    </a:ln>
                  </pic:spPr>
                </pic:pic>
              </a:graphicData>
            </a:graphic>
          </wp:inline>
        </w:drawing>
      </w:r>
    </w:p>
    <w:p w14:paraId="616F652E" w14:textId="77777777" w:rsidR="00363AFE" w:rsidRPr="0068584C" w:rsidRDefault="00363AFE" w:rsidP="0035460B">
      <w:pPr>
        <w:spacing w:line="480" w:lineRule="auto"/>
        <w:rPr>
          <w:rFonts w:ascii="Times New Roman" w:hAnsi="Times New Roman" w:cs="Times New Roman"/>
          <w:color w:val="000000" w:themeColor="text1"/>
        </w:rPr>
      </w:pPr>
    </w:p>
    <w:p w14:paraId="09898941" w14:textId="715FF0A5" w:rsidR="00363AFE" w:rsidRPr="000B457B" w:rsidRDefault="002716EB" w:rsidP="002716EB">
      <w:pPr>
        <w:rPr>
          <w:rFonts w:ascii="Times New Roman" w:hAnsi="Times New Roman" w:cs="Times New Roman"/>
          <w:b/>
          <w:color w:val="000000" w:themeColor="text1"/>
        </w:rPr>
      </w:pPr>
      <w:r w:rsidRPr="000B457B">
        <w:rPr>
          <w:rFonts w:ascii="Times New Roman" w:hAnsi="Times New Roman" w:cs="Times New Roman"/>
          <w:b/>
          <w:color w:val="000000" w:themeColor="text1"/>
        </w:rPr>
        <w:t xml:space="preserve">Table </w:t>
      </w:r>
      <w:r w:rsidR="000B457B" w:rsidRPr="000B457B">
        <w:rPr>
          <w:rFonts w:ascii="Times New Roman" w:hAnsi="Times New Roman" w:cs="Times New Roman"/>
          <w:b/>
          <w:color w:val="000000" w:themeColor="text1"/>
        </w:rPr>
        <w:t>10</w:t>
      </w:r>
      <w:r w:rsidR="00A0360B" w:rsidRPr="000B457B">
        <w:rPr>
          <w:rFonts w:ascii="Times New Roman" w:hAnsi="Times New Roman" w:cs="Times New Roman"/>
          <w:b/>
          <w:color w:val="000000" w:themeColor="text1"/>
        </w:rPr>
        <w:t>: Structuring (continued)</w:t>
      </w:r>
    </w:p>
    <w:p w14:paraId="3BD357A5" w14:textId="3C1BA418" w:rsidR="00576061" w:rsidRPr="0068584C" w:rsidRDefault="0078070A" w:rsidP="0035460B">
      <w:pPr>
        <w:spacing w:line="480" w:lineRule="auto"/>
        <w:rPr>
          <w:rFonts w:ascii="Times New Roman" w:hAnsi="Times New Roman" w:cs="Times New Roman"/>
          <w:color w:val="000000" w:themeColor="text1"/>
        </w:rPr>
        <w:sectPr w:rsidR="00576061" w:rsidRPr="0068584C" w:rsidSect="003245FB">
          <w:pgSz w:w="15840" w:h="12240" w:orient="landscape"/>
          <w:pgMar w:top="1800" w:right="1008" w:bottom="1800" w:left="1224" w:header="576" w:footer="720" w:gutter="0"/>
          <w:cols w:space="720"/>
          <w:titlePg/>
          <w:docGrid w:linePitch="360"/>
        </w:sectPr>
      </w:pPr>
      <w:r w:rsidRPr="0068584C">
        <w:rPr>
          <w:rFonts w:ascii="Times New Roman" w:hAnsi="Times New Roman" w:cs="Times New Roman"/>
          <w:noProof/>
          <w:color w:val="000000" w:themeColor="text1"/>
        </w:rPr>
        <w:drawing>
          <wp:inline distT="0" distB="0" distL="0" distR="0" wp14:anchorId="47C20F29" wp14:editId="0FAF7823">
            <wp:extent cx="8373745" cy="4538345"/>
            <wp:effectExtent l="0" t="0" r="8255"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373745" cy="4538345"/>
                    </a:xfrm>
                    <a:prstGeom prst="rect">
                      <a:avLst/>
                    </a:prstGeom>
                    <a:noFill/>
                    <a:ln>
                      <a:noFill/>
                    </a:ln>
                  </pic:spPr>
                </pic:pic>
              </a:graphicData>
            </a:graphic>
          </wp:inline>
        </w:drawing>
      </w:r>
    </w:p>
    <w:p w14:paraId="7E4D37E0" w14:textId="2E2A71E8" w:rsidR="00D40653" w:rsidRPr="0068584C" w:rsidRDefault="00D40653"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lastRenderedPageBreak/>
        <w:t xml:space="preserve">Overall, </w:t>
      </w:r>
      <w:r w:rsidR="00661384">
        <w:rPr>
          <w:rFonts w:ascii="Times New Roman" w:hAnsi="Times New Roman" w:cs="Times New Roman"/>
          <w:color w:val="000000" w:themeColor="text1"/>
        </w:rPr>
        <w:t>the interviews revealed a number of different SCRO practices in terms of structuring the resource portfolio. T</w:t>
      </w:r>
      <w:r w:rsidRPr="0068584C">
        <w:rPr>
          <w:rFonts w:ascii="Times New Roman" w:hAnsi="Times New Roman" w:cs="Times New Roman"/>
          <w:color w:val="000000" w:themeColor="text1"/>
        </w:rPr>
        <w:t>he more effective organizations were able to better understand their external environment and the need to adapt their constrained resource portfolio accordingly.</w:t>
      </w:r>
      <w:r w:rsidR="00B86AAE" w:rsidRPr="0068584C">
        <w:rPr>
          <w:rFonts w:ascii="Times New Roman" w:hAnsi="Times New Roman" w:cs="Times New Roman"/>
          <w:color w:val="000000" w:themeColor="text1"/>
        </w:rPr>
        <w:t xml:space="preserve"> All case companies</w:t>
      </w:r>
      <w:r w:rsidRPr="0068584C">
        <w:rPr>
          <w:rFonts w:ascii="Times New Roman" w:hAnsi="Times New Roman" w:cs="Times New Roman"/>
          <w:color w:val="000000" w:themeColor="text1"/>
        </w:rPr>
        <w:t xml:space="preserve"> </w:t>
      </w:r>
      <w:r w:rsidR="00AC3614" w:rsidRPr="0068584C">
        <w:rPr>
          <w:rFonts w:ascii="Times New Roman" w:hAnsi="Times New Roman" w:cs="Times New Roman"/>
          <w:color w:val="000000" w:themeColor="text1"/>
        </w:rPr>
        <w:t>had established some form of identification and acquisition processes for external resources.</w:t>
      </w:r>
      <w:r w:rsidR="00FA3804" w:rsidRPr="0068584C">
        <w:rPr>
          <w:rFonts w:ascii="Times New Roman" w:hAnsi="Times New Roman" w:cs="Times New Roman"/>
          <w:color w:val="000000" w:themeColor="text1"/>
        </w:rPr>
        <w:t xml:space="preserve"> However, some organizations</w:t>
      </w:r>
      <w:r w:rsidR="00087988" w:rsidRPr="0068584C">
        <w:rPr>
          <w:rFonts w:ascii="Times New Roman" w:hAnsi="Times New Roman" w:cs="Times New Roman"/>
          <w:color w:val="000000" w:themeColor="text1"/>
        </w:rPr>
        <w:t xml:space="preserve"> such as TECH-1</w:t>
      </w:r>
      <w:r w:rsidR="00FA3804" w:rsidRPr="0068584C">
        <w:rPr>
          <w:rFonts w:ascii="Times New Roman" w:hAnsi="Times New Roman" w:cs="Times New Roman"/>
          <w:color w:val="000000" w:themeColor="text1"/>
        </w:rPr>
        <w:t xml:space="preserve"> are only looking within their industry and thereby risk neglecting essential technological developments and trends outside of their common domain.</w:t>
      </w:r>
      <w:r w:rsidR="00620883" w:rsidRPr="0068584C">
        <w:rPr>
          <w:rFonts w:ascii="Times New Roman" w:hAnsi="Times New Roman" w:cs="Times New Roman"/>
          <w:color w:val="000000" w:themeColor="text1"/>
        </w:rPr>
        <w:t xml:space="preserve"> The better structuring practices of </w:t>
      </w:r>
      <w:r w:rsidR="00852F7C" w:rsidRPr="0068584C">
        <w:rPr>
          <w:rFonts w:ascii="Times New Roman" w:hAnsi="Times New Roman" w:cs="Times New Roman"/>
          <w:color w:val="000000" w:themeColor="text1"/>
        </w:rPr>
        <w:t>TECH-2 and EQUIP were incorporating the scanning of other industries as well. Interestingly, all five case companies prioritized the acquisition of external resources over the divesture of resources.</w:t>
      </w:r>
    </w:p>
    <w:p w14:paraId="037A1A3D" w14:textId="77777777" w:rsidR="00D40653" w:rsidRPr="0068584C" w:rsidRDefault="00D40653" w:rsidP="0035460B">
      <w:pPr>
        <w:spacing w:line="480" w:lineRule="auto"/>
        <w:rPr>
          <w:rFonts w:ascii="Times New Roman" w:hAnsi="Times New Roman" w:cs="Times New Roman"/>
          <w:color w:val="000000" w:themeColor="text1"/>
        </w:rPr>
      </w:pPr>
    </w:p>
    <w:p w14:paraId="16AF628C" w14:textId="2A0DCBFE" w:rsidR="00DE513A" w:rsidRPr="00CF72B2" w:rsidRDefault="003704EF" w:rsidP="00CF72B2">
      <w:pPr>
        <w:pStyle w:val="Heading4new"/>
      </w:pPr>
      <w:r w:rsidRPr="00CF72B2">
        <w:t>Bundling</w:t>
      </w:r>
    </w:p>
    <w:p w14:paraId="1F724948" w14:textId="2D691C20" w:rsidR="00225D0A" w:rsidRPr="0068584C" w:rsidRDefault="0026381B" w:rsidP="0035460B">
      <w:pPr>
        <w:spacing w:line="480" w:lineRule="auto"/>
        <w:jc w:val="both"/>
        <w:rPr>
          <w:rFonts w:ascii="Times New Roman" w:hAnsi="Times New Roman" w:cs="Times New Roman"/>
        </w:rPr>
      </w:pPr>
      <w:r>
        <w:rPr>
          <w:rFonts w:ascii="Times New Roman" w:hAnsi="Times New Roman" w:cs="Times New Roman"/>
        </w:rPr>
        <w:t>Bundling r</w:t>
      </w:r>
      <w:r w:rsidR="003704EF" w:rsidRPr="0068584C">
        <w:rPr>
          <w:rFonts w:ascii="Times New Roman" w:hAnsi="Times New Roman" w:cs="Times New Roman"/>
        </w:rPr>
        <w:t>efers to the integration of external (SC) resources to shape new capabilities</w:t>
      </w:r>
      <w:r w:rsidR="000B0D23" w:rsidRPr="0068584C">
        <w:rPr>
          <w:rFonts w:ascii="Times New Roman" w:hAnsi="Times New Roman" w:cs="Times New Roman"/>
        </w:rPr>
        <w:t xml:space="preserve"> (Sirmon et al., 2011)</w:t>
      </w:r>
      <w:r w:rsidR="003704EF" w:rsidRPr="0068584C">
        <w:rPr>
          <w:rFonts w:ascii="Times New Roman" w:hAnsi="Times New Roman" w:cs="Times New Roman"/>
        </w:rPr>
        <w:t xml:space="preserve">.  </w:t>
      </w:r>
      <w:r w:rsidR="00A00601" w:rsidRPr="0068584C">
        <w:rPr>
          <w:rFonts w:ascii="Times New Roman" w:hAnsi="Times New Roman" w:cs="Times New Roman"/>
        </w:rPr>
        <w:t xml:space="preserve">Hence, organizations combine internal and external resources to </w:t>
      </w:r>
      <w:r w:rsidR="00CF7BCA">
        <w:rPr>
          <w:rFonts w:ascii="Times New Roman" w:hAnsi="Times New Roman" w:cs="Times New Roman"/>
        </w:rPr>
        <w:t>develop</w:t>
      </w:r>
      <w:r w:rsidR="00CF7BCA" w:rsidRPr="0068584C">
        <w:rPr>
          <w:rFonts w:ascii="Times New Roman" w:hAnsi="Times New Roman" w:cs="Times New Roman"/>
        </w:rPr>
        <w:t xml:space="preserve"> </w:t>
      </w:r>
      <w:r w:rsidR="00A00601" w:rsidRPr="0068584C">
        <w:rPr>
          <w:rFonts w:ascii="Times New Roman" w:hAnsi="Times New Roman" w:cs="Times New Roman"/>
        </w:rPr>
        <w:t xml:space="preserve">new, competitive capabilities. </w:t>
      </w:r>
      <w:r w:rsidR="00AF7FF5" w:rsidRPr="0068584C">
        <w:rPr>
          <w:rFonts w:ascii="Times New Roman" w:hAnsi="Times New Roman" w:cs="Times New Roman"/>
        </w:rPr>
        <w:t>In the interviews, the supply chain managers emphasized the categories of (internal) coordination and alignment, the integration of external knowledge, and co-location (fostering external integration). However, t</w:t>
      </w:r>
      <w:r w:rsidR="003F6C27" w:rsidRPr="0068584C">
        <w:rPr>
          <w:rFonts w:ascii="Times New Roman" w:hAnsi="Times New Roman" w:cs="Times New Roman"/>
        </w:rPr>
        <w:t>he interviews revealed a diversity</w:t>
      </w:r>
      <w:r w:rsidR="00F916AF" w:rsidRPr="0068584C">
        <w:rPr>
          <w:rFonts w:ascii="Times New Roman" w:hAnsi="Times New Roman" w:cs="Times New Roman"/>
        </w:rPr>
        <w:t xml:space="preserve"> of opinion</w:t>
      </w:r>
      <w:r w:rsidR="003F6C27" w:rsidRPr="0068584C">
        <w:rPr>
          <w:rFonts w:ascii="Times New Roman" w:hAnsi="Times New Roman" w:cs="Times New Roman"/>
        </w:rPr>
        <w:t xml:space="preserve"> across the cases. </w:t>
      </w:r>
      <w:r w:rsidR="00F916AF" w:rsidRPr="0068584C">
        <w:rPr>
          <w:rFonts w:ascii="Times New Roman" w:hAnsi="Times New Roman" w:cs="Times New Roman"/>
        </w:rPr>
        <w:t xml:space="preserve">Several companies tend to be constrained by functional silos and thereby overlooking the supply-chain wide implications. </w:t>
      </w:r>
      <w:r w:rsidR="00225D0A" w:rsidRPr="0068584C">
        <w:rPr>
          <w:rFonts w:ascii="Times New Roman" w:hAnsi="Times New Roman" w:cs="Times New Roman"/>
        </w:rPr>
        <w:t xml:space="preserve">Furthermore, the cross-case analysis revealed that some organizations are more adaptive to their environment than others. Thereby, the cases illustrated the context-dependency of resource management practices.  </w:t>
      </w:r>
      <w:r w:rsidR="0074733C" w:rsidRPr="0068584C">
        <w:rPr>
          <w:rFonts w:ascii="Times New Roman" w:hAnsi="Times New Roman" w:cs="Times New Roman"/>
        </w:rPr>
        <w:t xml:space="preserve"> </w:t>
      </w:r>
      <w:r w:rsidR="00225D0A" w:rsidRPr="0068584C">
        <w:rPr>
          <w:rFonts w:ascii="Times New Roman" w:hAnsi="Times New Roman" w:cs="Times New Roman"/>
        </w:rPr>
        <w:t xml:space="preserve"> </w:t>
      </w:r>
    </w:p>
    <w:p w14:paraId="6F113AE2" w14:textId="6532A804" w:rsidR="00F7139B" w:rsidRPr="0068584C" w:rsidRDefault="002E22D9" w:rsidP="0035460B">
      <w:pPr>
        <w:spacing w:line="480" w:lineRule="auto"/>
        <w:jc w:val="both"/>
        <w:rPr>
          <w:rFonts w:ascii="Times New Roman" w:hAnsi="Times New Roman" w:cs="Times New Roman"/>
        </w:rPr>
      </w:pPr>
      <w:r>
        <w:rPr>
          <w:rFonts w:ascii="Times New Roman" w:hAnsi="Times New Roman" w:cs="Times New Roman"/>
        </w:rPr>
        <w:tab/>
      </w:r>
      <w:r w:rsidR="00EB68DF" w:rsidRPr="0068584C">
        <w:rPr>
          <w:rFonts w:ascii="Times New Roman" w:hAnsi="Times New Roman" w:cs="Times New Roman"/>
        </w:rPr>
        <w:t>A noticeable pattern relates to the internal alignment. In terms of this sub-process of bundling, TECH-2 and EQUIP demonstrated</w:t>
      </w:r>
      <w:r w:rsidR="008D54B7" w:rsidRPr="0068584C">
        <w:rPr>
          <w:rFonts w:ascii="Times New Roman" w:hAnsi="Times New Roman" w:cs="Times New Roman"/>
        </w:rPr>
        <w:t xml:space="preserve"> relatively</w:t>
      </w:r>
      <w:r w:rsidR="00EB68DF" w:rsidRPr="0068584C">
        <w:rPr>
          <w:rFonts w:ascii="Times New Roman" w:hAnsi="Times New Roman" w:cs="Times New Roman"/>
        </w:rPr>
        <w:t xml:space="preserve"> strong bundling practices which were distinctive from other case companies with relatively weak SCRO practices.</w:t>
      </w:r>
      <w:r w:rsidR="008D54B7" w:rsidRPr="0068584C">
        <w:rPr>
          <w:rFonts w:ascii="Times New Roman" w:hAnsi="Times New Roman" w:cs="Times New Roman"/>
        </w:rPr>
        <w:t xml:space="preserve"> </w:t>
      </w:r>
      <w:r w:rsidR="008D54B7" w:rsidRPr="0068584C">
        <w:rPr>
          <w:rFonts w:ascii="Times New Roman" w:hAnsi="Times New Roman" w:cs="Times New Roman"/>
        </w:rPr>
        <w:lastRenderedPageBreak/>
        <w:t>For instance, the former companies ensured data availability for other functions and took decisive measures in enhancing transparency and cross-functional communication. Consequently, internal functions utilize the same data, a</w:t>
      </w:r>
      <w:r w:rsidR="00F7139B" w:rsidRPr="0068584C">
        <w:rPr>
          <w:rFonts w:ascii="Times New Roman" w:hAnsi="Times New Roman" w:cs="Times New Roman"/>
        </w:rPr>
        <w:t>re well-informed</w:t>
      </w:r>
      <w:r w:rsidR="008D54B7" w:rsidRPr="0068584C">
        <w:rPr>
          <w:rFonts w:ascii="Times New Roman" w:hAnsi="Times New Roman" w:cs="Times New Roman"/>
        </w:rPr>
        <w:t xml:space="preserve"> and consistent in their decision-making. </w:t>
      </w:r>
      <w:r w:rsidR="00795D7C" w:rsidRPr="0068584C">
        <w:rPr>
          <w:rFonts w:ascii="Times New Roman" w:hAnsi="Times New Roman" w:cs="Times New Roman"/>
        </w:rPr>
        <w:t>Those efforts to align internal departments and functions are</w:t>
      </w:r>
      <w:r w:rsidR="00F7139B" w:rsidRPr="0068584C">
        <w:rPr>
          <w:rFonts w:ascii="Times New Roman" w:hAnsi="Times New Roman" w:cs="Times New Roman"/>
        </w:rPr>
        <w:t xml:space="preserve"> illustrative of s</w:t>
      </w:r>
      <w:r w:rsidR="008D54B7" w:rsidRPr="0068584C">
        <w:rPr>
          <w:rFonts w:ascii="Times New Roman" w:hAnsi="Times New Roman" w:cs="Times New Roman"/>
        </w:rPr>
        <w:t>trong bundling practices</w:t>
      </w:r>
      <w:r w:rsidR="00F7139B" w:rsidRPr="0068584C">
        <w:rPr>
          <w:rFonts w:ascii="Times New Roman" w:hAnsi="Times New Roman" w:cs="Times New Roman"/>
        </w:rPr>
        <w:t>.</w:t>
      </w:r>
    </w:p>
    <w:p w14:paraId="65270F49" w14:textId="77777777" w:rsidR="00DE513A" w:rsidRPr="0068584C" w:rsidRDefault="00DE513A" w:rsidP="0035460B">
      <w:pPr>
        <w:spacing w:line="480" w:lineRule="auto"/>
        <w:jc w:val="both"/>
        <w:rPr>
          <w:rFonts w:ascii="Times New Roman" w:hAnsi="Times New Roman" w:cs="Times New Roman"/>
        </w:rPr>
      </w:pPr>
    </w:p>
    <w:p w14:paraId="27B4850E" w14:textId="6D6F9A03" w:rsidR="00B05EA2" w:rsidRPr="0068584C" w:rsidRDefault="00B05EA2" w:rsidP="008C76D8">
      <w:pPr>
        <w:ind w:left="720"/>
        <w:jc w:val="both"/>
        <w:rPr>
          <w:rFonts w:ascii="Times New Roman" w:hAnsi="Times New Roman" w:cs="Times New Roman"/>
        </w:rPr>
      </w:pPr>
      <w:r w:rsidRPr="0068584C">
        <w:rPr>
          <w:rFonts w:ascii="Times New Roman" w:hAnsi="Times New Roman" w:cs="Times New Roman"/>
        </w:rPr>
        <w:t>[</w:t>
      </w:r>
      <w:r w:rsidRPr="0068584C">
        <w:rPr>
          <w:rFonts w:ascii="Times New Roman" w:hAnsi="Times New Roman" w:cs="Times New Roman"/>
          <w:i/>
        </w:rPr>
        <w:t>We</w:t>
      </w:r>
      <w:r w:rsidRPr="0068584C">
        <w:rPr>
          <w:rFonts w:ascii="Times New Roman" w:hAnsi="Times New Roman" w:cs="Times New Roman"/>
        </w:rPr>
        <w:t xml:space="preserve">] </w:t>
      </w:r>
      <w:r w:rsidR="00B1004E" w:rsidRPr="0068584C">
        <w:rPr>
          <w:rFonts w:ascii="Times New Roman" w:hAnsi="Times New Roman" w:cs="Times New Roman"/>
        </w:rPr>
        <w:t>“</w:t>
      </w:r>
      <w:r w:rsidRPr="0068584C">
        <w:rPr>
          <w:rFonts w:ascii="Times New Roman" w:hAnsi="Times New Roman" w:cs="Times New Roman"/>
        </w:rPr>
        <w:t>would be making information available to people in the NPI process that know nothing about logistics in a form that’s consumable for them and they can apply it to their particular program.” (David, EQUIP)</w:t>
      </w:r>
    </w:p>
    <w:p w14:paraId="3BF4C502" w14:textId="77777777" w:rsidR="00DE513A" w:rsidRPr="0068584C" w:rsidRDefault="00DE513A" w:rsidP="008C76D8">
      <w:pPr>
        <w:ind w:left="720"/>
        <w:jc w:val="both"/>
        <w:rPr>
          <w:rFonts w:ascii="Times New Roman" w:hAnsi="Times New Roman" w:cs="Times New Roman"/>
        </w:rPr>
      </w:pPr>
    </w:p>
    <w:p w14:paraId="3EE910CA" w14:textId="6D7463B7" w:rsidR="00EB68DF" w:rsidRPr="0068584C" w:rsidRDefault="00B05EA2" w:rsidP="008C76D8">
      <w:pPr>
        <w:ind w:left="720"/>
        <w:jc w:val="both"/>
        <w:rPr>
          <w:rFonts w:ascii="Times New Roman" w:hAnsi="Times New Roman" w:cs="Times New Roman"/>
        </w:rPr>
      </w:pPr>
      <w:r w:rsidRPr="0068584C">
        <w:rPr>
          <w:rFonts w:ascii="Times New Roman" w:hAnsi="Times New Roman" w:cs="Times New Roman"/>
        </w:rPr>
        <w:t>“</w:t>
      </w:r>
      <w:r w:rsidR="00B4067C" w:rsidRPr="0068584C">
        <w:rPr>
          <w:rFonts w:ascii="Times New Roman" w:hAnsi="Times New Roman" w:cs="Times New Roman"/>
        </w:rPr>
        <w:t xml:space="preserve">We </w:t>
      </w:r>
      <w:r w:rsidRPr="0068584C">
        <w:rPr>
          <w:rFonts w:ascii="Times New Roman" w:hAnsi="Times New Roman" w:cs="Times New Roman"/>
        </w:rPr>
        <w:t>really heavily rely on and communicate back with our core procurement team to make sure that we’re aligned in the steps that we’re taking” (Hannah, TECH-2)</w:t>
      </w:r>
      <w:r w:rsidRPr="0068584C">
        <w:rPr>
          <w:rFonts w:ascii="Times New Roman" w:hAnsi="Times New Roman" w:cs="Times New Roman"/>
        </w:rPr>
        <w:br/>
      </w:r>
      <w:r w:rsidR="008D54B7" w:rsidRPr="0068584C">
        <w:rPr>
          <w:rFonts w:ascii="Times New Roman" w:hAnsi="Times New Roman" w:cs="Times New Roman"/>
        </w:rPr>
        <w:t xml:space="preserve"> </w:t>
      </w:r>
    </w:p>
    <w:p w14:paraId="5E7693C9" w14:textId="03D38334" w:rsidR="004471D7" w:rsidRPr="0068584C" w:rsidRDefault="004471D7" w:rsidP="0035460B">
      <w:pPr>
        <w:spacing w:line="480" w:lineRule="auto"/>
        <w:jc w:val="both"/>
        <w:rPr>
          <w:rFonts w:ascii="Times New Roman" w:hAnsi="Times New Roman" w:cs="Times New Roman"/>
        </w:rPr>
      </w:pPr>
      <w:r w:rsidRPr="0068584C">
        <w:rPr>
          <w:rFonts w:ascii="Times New Roman" w:hAnsi="Times New Roman" w:cs="Times New Roman"/>
        </w:rPr>
        <w:t>In contrast, t</w:t>
      </w:r>
      <w:r w:rsidR="00292585" w:rsidRPr="0068584C">
        <w:rPr>
          <w:rFonts w:ascii="Times New Roman" w:hAnsi="Times New Roman" w:cs="Times New Roman"/>
        </w:rPr>
        <w:t xml:space="preserve">he AUTO and TECH-1 case companies, for example, showed </w:t>
      </w:r>
      <w:r w:rsidRPr="0068584C">
        <w:rPr>
          <w:rFonts w:ascii="Times New Roman" w:hAnsi="Times New Roman" w:cs="Times New Roman"/>
        </w:rPr>
        <w:t xml:space="preserve">weaknesses in this regard and </w:t>
      </w:r>
      <w:r w:rsidR="00292585" w:rsidRPr="0068584C">
        <w:rPr>
          <w:rFonts w:ascii="Times New Roman" w:hAnsi="Times New Roman" w:cs="Times New Roman"/>
        </w:rPr>
        <w:t xml:space="preserve">relatively little internal alignment. </w:t>
      </w:r>
    </w:p>
    <w:p w14:paraId="1D8287C8" w14:textId="77777777" w:rsidR="00DE513A" w:rsidRPr="0068584C" w:rsidRDefault="00DE513A" w:rsidP="0035460B">
      <w:pPr>
        <w:spacing w:line="480" w:lineRule="auto"/>
        <w:ind w:left="720"/>
        <w:jc w:val="both"/>
        <w:rPr>
          <w:rFonts w:ascii="Times New Roman" w:hAnsi="Times New Roman" w:cs="Times New Roman"/>
        </w:rPr>
      </w:pPr>
    </w:p>
    <w:p w14:paraId="3DE10518" w14:textId="5C56D4D4" w:rsidR="004471D7" w:rsidRPr="0068584C" w:rsidRDefault="004471D7" w:rsidP="008C76D8">
      <w:pPr>
        <w:ind w:left="720"/>
        <w:jc w:val="both"/>
        <w:rPr>
          <w:rFonts w:ascii="Times New Roman" w:hAnsi="Times New Roman" w:cs="Times New Roman"/>
        </w:rPr>
      </w:pPr>
      <w:r w:rsidRPr="0068584C">
        <w:rPr>
          <w:rFonts w:ascii="Times New Roman" w:hAnsi="Times New Roman" w:cs="Times New Roman"/>
        </w:rPr>
        <w:t>“Everybody looks for their own and is not looking left and right” (Kurt, TECH-1)</w:t>
      </w:r>
    </w:p>
    <w:p w14:paraId="00D625DF" w14:textId="77777777" w:rsidR="00E90112" w:rsidRPr="0068584C" w:rsidRDefault="00E90112" w:rsidP="008C76D8">
      <w:pPr>
        <w:ind w:left="720"/>
        <w:jc w:val="both"/>
        <w:rPr>
          <w:rFonts w:ascii="Times New Roman" w:hAnsi="Times New Roman" w:cs="Times New Roman"/>
        </w:rPr>
      </w:pPr>
    </w:p>
    <w:p w14:paraId="7B5DE63E" w14:textId="252262C9" w:rsidR="004471D7" w:rsidRPr="0068584C" w:rsidRDefault="004471D7" w:rsidP="008C76D8">
      <w:pPr>
        <w:ind w:left="720"/>
        <w:jc w:val="both"/>
        <w:rPr>
          <w:rFonts w:ascii="Times New Roman" w:hAnsi="Times New Roman" w:cs="Times New Roman"/>
        </w:rPr>
      </w:pPr>
      <w:r w:rsidRPr="0068584C">
        <w:rPr>
          <w:rFonts w:ascii="Times New Roman" w:hAnsi="Times New Roman" w:cs="Times New Roman"/>
        </w:rPr>
        <w:t>“That’s a problem. Often, sometimes I find that R&amp;D has stepped down the road and done some work ahead of time [</w:t>
      </w:r>
      <w:r w:rsidRPr="0068584C">
        <w:rPr>
          <w:rFonts w:ascii="Times New Roman" w:hAnsi="Times New Roman" w:cs="Times New Roman"/>
          <w:i/>
        </w:rPr>
        <w:t>without consulting other functions</w:t>
      </w:r>
      <w:r w:rsidRPr="0068584C">
        <w:rPr>
          <w:rFonts w:ascii="Times New Roman" w:hAnsi="Times New Roman" w:cs="Times New Roman"/>
        </w:rPr>
        <w:t>]” (Thomas, AUTO)</w:t>
      </w:r>
    </w:p>
    <w:p w14:paraId="7C8D3A43" w14:textId="77777777" w:rsidR="004471D7" w:rsidRPr="0068584C" w:rsidRDefault="004471D7" w:rsidP="0035460B">
      <w:pPr>
        <w:spacing w:line="480" w:lineRule="auto"/>
        <w:jc w:val="both"/>
        <w:rPr>
          <w:rFonts w:ascii="Times New Roman" w:hAnsi="Times New Roman" w:cs="Times New Roman"/>
        </w:rPr>
      </w:pPr>
    </w:p>
    <w:p w14:paraId="1B691CAB" w14:textId="218664F6" w:rsidR="000275DF" w:rsidRPr="0068584C" w:rsidRDefault="00292585" w:rsidP="0035460B">
      <w:pPr>
        <w:spacing w:line="480" w:lineRule="auto"/>
        <w:jc w:val="both"/>
        <w:rPr>
          <w:rFonts w:ascii="Times New Roman" w:hAnsi="Times New Roman" w:cs="Times New Roman"/>
        </w:rPr>
      </w:pPr>
      <w:r w:rsidRPr="0068584C">
        <w:rPr>
          <w:rFonts w:ascii="Times New Roman" w:hAnsi="Times New Roman" w:cs="Times New Roman"/>
        </w:rPr>
        <w:t>Nonetheless, most managers strongly argued for the need to achieve both internal, cross-functional and cross-program integration on one hand and strong external integration with the suppliers on the other hand.</w:t>
      </w:r>
      <w:r w:rsidR="002E22D9">
        <w:rPr>
          <w:rFonts w:ascii="Times New Roman" w:hAnsi="Times New Roman" w:cs="Times New Roman"/>
        </w:rPr>
        <w:t xml:space="preserve"> </w:t>
      </w:r>
      <w:r w:rsidR="000A5D27" w:rsidRPr="0068584C">
        <w:rPr>
          <w:rFonts w:ascii="Times New Roman" w:hAnsi="Times New Roman" w:cs="Times New Roman"/>
        </w:rPr>
        <w:t xml:space="preserve">The supply chain managers emphasized </w:t>
      </w:r>
      <w:r w:rsidR="00756684" w:rsidRPr="0068584C">
        <w:rPr>
          <w:rFonts w:ascii="Times New Roman" w:hAnsi="Times New Roman" w:cs="Times New Roman"/>
        </w:rPr>
        <w:t>the necessity to coordinate between internal NPD activities and the external suppliers, to facilitate internal cross-functional alignment and communication (speaking with one voice to the supplier), utilizing co-location opportunities, and fostering knowledge enrichment and integration</w:t>
      </w:r>
      <w:r w:rsidR="00632F79" w:rsidRPr="0068584C">
        <w:rPr>
          <w:rFonts w:ascii="Times New Roman" w:hAnsi="Times New Roman" w:cs="Times New Roman"/>
        </w:rPr>
        <w:t>, for example</w:t>
      </w:r>
      <w:r w:rsidR="00200EE6">
        <w:rPr>
          <w:rFonts w:ascii="Times New Roman" w:hAnsi="Times New Roman" w:cs="Times New Roman"/>
        </w:rPr>
        <w:t xml:space="preserve">. </w:t>
      </w:r>
      <w:r w:rsidR="000275DF" w:rsidRPr="0068584C">
        <w:rPr>
          <w:rFonts w:ascii="Times New Roman" w:hAnsi="Times New Roman" w:cs="Times New Roman"/>
        </w:rPr>
        <w:t xml:space="preserve">An essential aspect of bundling relates to </w:t>
      </w:r>
      <w:r w:rsidR="000275DF" w:rsidRPr="0068584C">
        <w:rPr>
          <w:rFonts w:ascii="Times New Roman" w:hAnsi="Times New Roman" w:cs="Times New Roman"/>
        </w:rPr>
        <w:lastRenderedPageBreak/>
        <w:t>enriching in-house capabilities by using external knowledge.</w:t>
      </w:r>
      <w:r w:rsidR="001C62DC" w:rsidRPr="0068584C">
        <w:rPr>
          <w:rFonts w:ascii="Times New Roman" w:hAnsi="Times New Roman" w:cs="Times New Roman"/>
        </w:rPr>
        <w:t xml:space="preserve"> This was particularly evident in the cases of LOG</w:t>
      </w:r>
      <w:r w:rsidR="00502CF1" w:rsidRPr="0068584C">
        <w:rPr>
          <w:rFonts w:ascii="Times New Roman" w:hAnsi="Times New Roman" w:cs="Times New Roman"/>
        </w:rPr>
        <w:t>, AUTO,</w:t>
      </w:r>
      <w:r w:rsidR="001C62DC" w:rsidRPr="0068584C">
        <w:rPr>
          <w:rFonts w:ascii="Times New Roman" w:hAnsi="Times New Roman" w:cs="Times New Roman"/>
        </w:rPr>
        <w:t xml:space="preserve"> and EQUIP.</w:t>
      </w:r>
    </w:p>
    <w:p w14:paraId="2F4C5773" w14:textId="77777777" w:rsidR="000275DF" w:rsidRPr="0068584C" w:rsidRDefault="000275DF" w:rsidP="0035460B">
      <w:pPr>
        <w:spacing w:line="480" w:lineRule="auto"/>
        <w:jc w:val="both"/>
        <w:rPr>
          <w:rFonts w:ascii="Times New Roman" w:hAnsi="Times New Roman" w:cs="Times New Roman"/>
        </w:rPr>
      </w:pPr>
    </w:p>
    <w:p w14:paraId="33638585" w14:textId="7660FC99" w:rsidR="000C734D" w:rsidRPr="0068584C" w:rsidRDefault="000C734D" w:rsidP="008C76D8">
      <w:pPr>
        <w:ind w:left="720"/>
        <w:jc w:val="both"/>
        <w:rPr>
          <w:rFonts w:ascii="Times New Roman" w:hAnsi="Times New Roman" w:cs="Times New Roman"/>
        </w:rPr>
      </w:pPr>
      <w:r w:rsidRPr="0068584C">
        <w:rPr>
          <w:rFonts w:ascii="Times New Roman" w:hAnsi="Times New Roman" w:cs="Times New Roman"/>
        </w:rPr>
        <w:t>[</w:t>
      </w:r>
      <w:r w:rsidRPr="0068584C">
        <w:rPr>
          <w:rFonts w:ascii="Times New Roman" w:hAnsi="Times New Roman" w:cs="Times New Roman"/>
          <w:i/>
        </w:rPr>
        <w:t>We</w:t>
      </w:r>
      <w:r w:rsidRPr="0068584C">
        <w:rPr>
          <w:rFonts w:ascii="Times New Roman" w:hAnsi="Times New Roman" w:cs="Times New Roman"/>
        </w:rPr>
        <w:t>] “say, ‘At this point, help us design it. What materials do we use? Do you have any more technologies that we’re not aware of? How would you make this happen?’ and in some cases, we pull in maybe more than one supplier.” (Thomas, LOG)</w:t>
      </w:r>
    </w:p>
    <w:p w14:paraId="7DDF53B6" w14:textId="77777777" w:rsidR="00CA3E01" w:rsidRPr="0068584C" w:rsidRDefault="00CA3E01" w:rsidP="008C76D8">
      <w:pPr>
        <w:ind w:left="1440"/>
        <w:jc w:val="both"/>
        <w:rPr>
          <w:rFonts w:ascii="Times New Roman" w:hAnsi="Times New Roman" w:cs="Times New Roman"/>
        </w:rPr>
      </w:pPr>
    </w:p>
    <w:p w14:paraId="7B9B72A3" w14:textId="5883ED89" w:rsidR="00CA3E01" w:rsidRPr="0068584C" w:rsidRDefault="00CA3E01" w:rsidP="008C76D8">
      <w:pPr>
        <w:ind w:left="720"/>
        <w:jc w:val="both"/>
        <w:rPr>
          <w:rFonts w:ascii="Times New Roman" w:hAnsi="Times New Roman" w:cs="Times New Roman"/>
        </w:rPr>
      </w:pPr>
      <w:r w:rsidRPr="0068584C">
        <w:rPr>
          <w:rFonts w:ascii="Times New Roman" w:hAnsi="Times New Roman" w:cs="Times New Roman"/>
        </w:rPr>
        <w:t>Quite often, even today, it’s really not uncommon where you’re developing a product and you will use another company to help you enable that product. (Rodney, AUTO)</w:t>
      </w:r>
    </w:p>
    <w:p w14:paraId="5116F4B4" w14:textId="77777777" w:rsidR="000275DF" w:rsidRPr="0068584C" w:rsidRDefault="000275DF" w:rsidP="008C76D8">
      <w:pPr>
        <w:ind w:left="1440"/>
        <w:jc w:val="both"/>
        <w:rPr>
          <w:rFonts w:ascii="Times New Roman" w:hAnsi="Times New Roman" w:cs="Times New Roman"/>
        </w:rPr>
      </w:pPr>
    </w:p>
    <w:p w14:paraId="1CE9965A" w14:textId="4BB40514" w:rsidR="005F07A3" w:rsidRPr="0068584C" w:rsidRDefault="001C62DC" w:rsidP="008C76D8">
      <w:pPr>
        <w:ind w:left="720"/>
        <w:jc w:val="both"/>
        <w:rPr>
          <w:rFonts w:ascii="Times New Roman" w:hAnsi="Times New Roman" w:cs="Times New Roman"/>
        </w:rPr>
      </w:pPr>
      <w:r w:rsidRPr="0068584C">
        <w:rPr>
          <w:rFonts w:ascii="Times New Roman" w:hAnsi="Times New Roman" w:cs="Times New Roman"/>
        </w:rPr>
        <w:t>“In the electronics area where they knew that we didn’t have the technical subject matter expertise and depth that our suppliers did, so how do we work with them to help innovative?” (David, EQUIP)</w:t>
      </w:r>
    </w:p>
    <w:p w14:paraId="4839C7CC" w14:textId="77777777" w:rsidR="005F07A3" w:rsidRPr="0068584C" w:rsidRDefault="005F07A3" w:rsidP="008C76D8">
      <w:pPr>
        <w:ind w:left="1440"/>
        <w:jc w:val="both"/>
        <w:rPr>
          <w:rFonts w:ascii="Times New Roman" w:hAnsi="Times New Roman" w:cs="Times New Roman"/>
        </w:rPr>
      </w:pPr>
    </w:p>
    <w:p w14:paraId="419A4007" w14:textId="6B430462" w:rsidR="005F07A3" w:rsidRPr="0068584C" w:rsidRDefault="005F07A3" w:rsidP="008C76D8">
      <w:pPr>
        <w:ind w:left="720"/>
        <w:jc w:val="both"/>
        <w:rPr>
          <w:rFonts w:ascii="Times New Roman" w:hAnsi="Times New Roman" w:cs="Times New Roman"/>
        </w:rPr>
      </w:pPr>
      <w:r w:rsidRPr="0068584C">
        <w:rPr>
          <w:rFonts w:ascii="Times New Roman" w:hAnsi="Times New Roman" w:cs="Times New Roman"/>
        </w:rPr>
        <w:t>“As they started to realize that there’s a very effective supply base out there that can look at and use technology and knowledge that they have gained through their business and apply that … we started to do more effective supplier integration in the design process.” (David, EQUIP)</w:t>
      </w:r>
    </w:p>
    <w:p w14:paraId="2A7D9866" w14:textId="77777777" w:rsidR="000275DF" w:rsidRPr="0068584C" w:rsidRDefault="000275DF" w:rsidP="0035460B">
      <w:pPr>
        <w:spacing w:line="480" w:lineRule="auto"/>
        <w:jc w:val="both"/>
        <w:rPr>
          <w:rFonts w:ascii="Times New Roman" w:hAnsi="Times New Roman" w:cs="Times New Roman"/>
        </w:rPr>
      </w:pPr>
    </w:p>
    <w:p w14:paraId="188CDED2" w14:textId="7793C3C6" w:rsidR="00D411B2" w:rsidRPr="0068584C" w:rsidRDefault="005A47B2" w:rsidP="0035460B">
      <w:pPr>
        <w:spacing w:line="480" w:lineRule="auto"/>
        <w:jc w:val="both"/>
        <w:rPr>
          <w:rFonts w:ascii="Times New Roman" w:hAnsi="Times New Roman" w:cs="Times New Roman"/>
        </w:rPr>
      </w:pPr>
      <w:r w:rsidRPr="0068584C">
        <w:rPr>
          <w:rFonts w:ascii="Times New Roman" w:hAnsi="Times New Roman" w:cs="Times New Roman"/>
        </w:rPr>
        <w:t>In the</w:t>
      </w:r>
      <w:r w:rsidR="001F1194" w:rsidRPr="0068584C">
        <w:rPr>
          <w:rFonts w:ascii="Times New Roman" w:hAnsi="Times New Roman" w:cs="Times New Roman"/>
        </w:rPr>
        <w:t xml:space="preserve"> case of TECH-2 from a</w:t>
      </w:r>
      <w:r w:rsidRPr="0068584C">
        <w:rPr>
          <w:rFonts w:ascii="Times New Roman" w:hAnsi="Times New Roman" w:cs="Times New Roman"/>
        </w:rPr>
        <w:t xml:space="preserve"> </w:t>
      </w:r>
      <w:r w:rsidR="001F1194" w:rsidRPr="0068584C">
        <w:rPr>
          <w:rFonts w:ascii="Times New Roman" w:hAnsi="Times New Roman" w:cs="Times New Roman"/>
        </w:rPr>
        <w:t>high-</w:t>
      </w:r>
      <w:r w:rsidR="00BE1FFB" w:rsidRPr="0068584C">
        <w:rPr>
          <w:rFonts w:ascii="Times New Roman" w:hAnsi="Times New Roman" w:cs="Times New Roman"/>
        </w:rPr>
        <w:t xml:space="preserve">technology </w:t>
      </w:r>
      <w:r w:rsidRPr="0068584C">
        <w:rPr>
          <w:rFonts w:ascii="Times New Roman" w:hAnsi="Times New Roman" w:cs="Times New Roman"/>
        </w:rPr>
        <w:t>industry</w:t>
      </w:r>
      <w:r w:rsidR="001F1194" w:rsidRPr="0068584C">
        <w:rPr>
          <w:rFonts w:ascii="Times New Roman" w:hAnsi="Times New Roman" w:cs="Times New Roman"/>
        </w:rPr>
        <w:t xml:space="preserve"> environment</w:t>
      </w:r>
      <w:r w:rsidRPr="0068584C">
        <w:rPr>
          <w:rFonts w:ascii="Times New Roman" w:hAnsi="Times New Roman" w:cs="Times New Roman"/>
        </w:rPr>
        <w:t xml:space="preserve">, one manager </w:t>
      </w:r>
      <w:r w:rsidR="0028137F" w:rsidRPr="0068584C">
        <w:rPr>
          <w:rFonts w:ascii="Times New Roman" w:hAnsi="Times New Roman" w:cs="Times New Roman"/>
        </w:rPr>
        <w:t xml:space="preserve">described </w:t>
      </w:r>
      <w:r w:rsidRPr="0068584C">
        <w:rPr>
          <w:rFonts w:ascii="Times New Roman" w:hAnsi="Times New Roman" w:cs="Times New Roman"/>
        </w:rPr>
        <w:t xml:space="preserve">the criticality of coordinating the internal and external activities within new product development. </w:t>
      </w:r>
    </w:p>
    <w:p w14:paraId="55ECBF59" w14:textId="77777777" w:rsidR="005A47B2" w:rsidRPr="0068584C" w:rsidRDefault="005A47B2" w:rsidP="0035460B">
      <w:pPr>
        <w:spacing w:line="480" w:lineRule="auto"/>
        <w:jc w:val="both"/>
        <w:rPr>
          <w:rFonts w:ascii="Times New Roman" w:hAnsi="Times New Roman" w:cs="Times New Roman"/>
        </w:rPr>
      </w:pPr>
    </w:p>
    <w:p w14:paraId="7CC1B4F5" w14:textId="00B3ED77" w:rsidR="00A54566" w:rsidRPr="0068584C" w:rsidRDefault="005A47B2" w:rsidP="008C76D8">
      <w:pPr>
        <w:ind w:left="720"/>
        <w:jc w:val="both"/>
        <w:rPr>
          <w:rFonts w:ascii="Times New Roman" w:hAnsi="Times New Roman" w:cs="Times New Roman"/>
        </w:rPr>
      </w:pPr>
      <w:r w:rsidRPr="0068584C">
        <w:rPr>
          <w:rFonts w:ascii="Times New Roman" w:hAnsi="Times New Roman" w:cs="Times New Roman"/>
        </w:rPr>
        <w:t xml:space="preserve">“We coordinate with the engineering team to understand and create a collaboration plan of what that new technology might look like and who the potential suppliers might be and then develop </w:t>
      </w:r>
      <w:r w:rsidR="00A54566" w:rsidRPr="0068584C">
        <w:rPr>
          <w:rFonts w:ascii="Times New Roman" w:hAnsi="Times New Roman" w:cs="Times New Roman"/>
        </w:rPr>
        <w:t xml:space="preserve">a list and work through collaboration agreements with the suppliers and then we coordinate with our core organizations, which are the ones responsible for doing the production programs right now.  Make sure that they’re understanding the business applications or implications those agreements might have and coordinate between the cores, the engineering, and our product development supply management group to align and integrate our strategy and establish and execute the agreement. … We have a collaboration organization that we work with to identify potential projects and project manage some of the activities.  Then they coordinate between the engineers and our supply management product development team. … they’re focused and coordinate and integrate with the other organizations with the marketing and some of the programs, but for the most part, they interface with the engineering team.  They do the project management and they interface with our </w:t>
      </w:r>
      <w:r w:rsidR="00A54566" w:rsidRPr="0068584C">
        <w:rPr>
          <w:rFonts w:ascii="Times New Roman" w:hAnsi="Times New Roman" w:cs="Times New Roman"/>
        </w:rPr>
        <w:lastRenderedPageBreak/>
        <w:t>teams for the agreements in helping to facilitate and, in some cases, negotiate those agreements.”</w:t>
      </w:r>
      <w:r w:rsidR="00261E9A" w:rsidRPr="0068584C">
        <w:rPr>
          <w:rFonts w:ascii="Times New Roman" w:hAnsi="Times New Roman" w:cs="Times New Roman"/>
        </w:rPr>
        <w:t xml:space="preserve">  (Katie, </w:t>
      </w:r>
      <w:r w:rsidR="00BE1FFB" w:rsidRPr="0068584C">
        <w:rPr>
          <w:rFonts w:ascii="Times New Roman" w:hAnsi="Times New Roman" w:cs="Times New Roman"/>
        </w:rPr>
        <w:t>TECH</w:t>
      </w:r>
      <w:r w:rsidR="00261E9A" w:rsidRPr="0068584C">
        <w:rPr>
          <w:rFonts w:ascii="Times New Roman" w:hAnsi="Times New Roman" w:cs="Times New Roman"/>
        </w:rPr>
        <w:t>-2)</w:t>
      </w:r>
    </w:p>
    <w:p w14:paraId="1F7911D1" w14:textId="77777777" w:rsidR="00FF739E" w:rsidRPr="0068584C" w:rsidRDefault="00FF739E" w:rsidP="0035460B">
      <w:pPr>
        <w:spacing w:line="480" w:lineRule="auto"/>
        <w:jc w:val="both"/>
        <w:rPr>
          <w:rFonts w:ascii="Times New Roman" w:hAnsi="Times New Roman" w:cs="Times New Roman"/>
          <w:color w:val="000000" w:themeColor="text1"/>
        </w:rPr>
      </w:pPr>
    </w:p>
    <w:p w14:paraId="3AD282E6" w14:textId="380793C5" w:rsidR="00D411B2" w:rsidRPr="0068584C" w:rsidRDefault="00261E9A"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Similarly, </w:t>
      </w:r>
      <w:r w:rsidR="00DF707D" w:rsidRPr="0068584C">
        <w:rPr>
          <w:rFonts w:ascii="Times New Roman" w:hAnsi="Times New Roman" w:cs="Times New Roman"/>
          <w:color w:val="000000" w:themeColor="text1"/>
        </w:rPr>
        <w:t xml:space="preserve">several </w:t>
      </w:r>
      <w:r w:rsidRPr="0068584C">
        <w:rPr>
          <w:rFonts w:ascii="Times New Roman" w:hAnsi="Times New Roman" w:cs="Times New Roman"/>
          <w:color w:val="000000" w:themeColor="text1"/>
        </w:rPr>
        <w:t>manager</w:t>
      </w:r>
      <w:r w:rsidR="00DF707D" w:rsidRPr="0068584C">
        <w:rPr>
          <w:rFonts w:ascii="Times New Roman" w:hAnsi="Times New Roman" w:cs="Times New Roman"/>
          <w:color w:val="000000" w:themeColor="text1"/>
        </w:rPr>
        <w:t>s</w:t>
      </w:r>
      <w:r w:rsidRPr="0068584C">
        <w:rPr>
          <w:rFonts w:ascii="Times New Roman" w:hAnsi="Times New Roman" w:cs="Times New Roman"/>
          <w:color w:val="000000" w:themeColor="text1"/>
        </w:rPr>
        <w:t xml:space="preserve"> from another </w:t>
      </w:r>
      <w:r w:rsidR="00FD05A0" w:rsidRPr="0068584C">
        <w:rPr>
          <w:rFonts w:ascii="Times New Roman" w:hAnsi="Times New Roman" w:cs="Times New Roman"/>
          <w:color w:val="000000" w:themeColor="text1"/>
        </w:rPr>
        <w:t xml:space="preserve">large high-technology </w:t>
      </w:r>
      <w:r w:rsidRPr="0068584C">
        <w:rPr>
          <w:rFonts w:ascii="Times New Roman" w:hAnsi="Times New Roman" w:cs="Times New Roman"/>
          <w:color w:val="000000" w:themeColor="text1"/>
        </w:rPr>
        <w:t>company describe</w:t>
      </w:r>
      <w:r w:rsidR="00DF707D" w:rsidRPr="0068584C">
        <w:rPr>
          <w:rFonts w:ascii="Times New Roman" w:hAnsi="Times New Roman" w:cs="Times New Roman"/>
          <w:color w:val="000000" w:themeColor="text1"/>
        </w:rPr>
        <w:t xml:space="preserve"> the coordination and integration aspects of</w:t>
      </w:r>
      <w:r w:rsidRPr="0068584C">
        <w:rPr>
          <w:rFonts w:ascii="Times New Roman" w:hAnsi="Times New Roman" w:cs="Times New Roman"/>
          <w:color w:val="000000" w:themeColor="text1"/>
        </w:rPr>
        <w:t xml:space="preserve"> the resource bundling practices in his environment. </w:t>
      </w:r>
    </w:p>
    <w:p w14:paraId="342B0022" w14:textId="77777777" w:rsidR="00261E9A" w:rsidRPr="0068584C" w:rsidRDefault="00261E9A" w:rsidP="0035460B">
      <w:pPr>
        <w:spacing w:line="480" w:lineRule="auto"/>
        <w:jc w:val="both"/>
        <w:rPr>
          <w:rFonts w:ascii="Times New Roman" w:hAnsi="Times New Roman" w:cs="Times New Roman"/>
          <w:color w:val="000000" w:themeColor="text1"/>
        </w:rPr>
      </w:pPr>
    </w:p>
    <w:p w14:paraId="6A803665" w14:textId="06EF0509" w:rsidR="00DB3F11" w:rsidRPr="0068584C" w:rsidRDefault="0010599E" w:rsidP="008C76D8">
      <w:pPr>
        <w:ind w:left="720"/>
        <w:jc w:val="both"/>
        <w:rPr>
          <w:rFonts w:ascii="Times New Roman" w:hAnsi="Times New Roman" w:cs="Times New Roman"/>
        </w:rPr>
      </w:pPr>
      <w:r w:rsidRPr="0068584C">
        <w:rPr>
          <w:rFonts w:ascii="Times New Roman" w:hAnsi="Times New Roman" w:cs="Times New Roman"/>
          <w:color w:val="000000" w:themeColor="text1"/>
        </w:rPr>
        <w:t>“We</w:t>
      </w:r>
      <w:r w:rsidR="00261E9A" w:rsidRPr="0068584C">
        <w:rPr>
          <w:rFonts w:ascii="Times New Roman" w:hAnsi="Times New Roman" w:cs="Times New Roman"/>
          <w:color w:val="000000" w:themeColor="text1"/>
        </w:rPr>
        <w:t xml:space="preserve"> have to coordinate between our </w:t>
      </w:r>
      <w:r w:rsidR="00B301E0" w:rsidRPr="0068584C">
        <w:rPr>
          <w:rFonts w:ascii="Times New Roman" w:hAnsi="Times New Roman" w:cs="Times New Roman"/>
          <w:color w:val="000000" w:themeColor="text1"/>
        </w:rPr>
        <w:t>suppliers</w:t>
      </w:r>
      <w:r w:rsidR="00261E9A" w:rsidRPr="0068584C">
        <w:rPr>
          <w:rFonts w:ascii="Times New Roman" w:hAnsi="Times New Roman" w:cs="Times New Roman"/>
          <w:color w:val="000000" w:themeColor="text1"/>
        </w:rPr>
        <w:t>.  I mean, a simple example is the interfaces, the physical interfaces of the [product] structure have to match later on.  They have to fit.  Of course, also the electronic and IT computer interface have to work.  So all that has to be harmonized</w:t>
      </w:r>
      <w:r w:rsidR="00D66885" w:rsidRPr="0068584C">
        <w:rPr>
          <w:rFonts w:ascii="Times New Roman" w:hAnsi="Times New Roman" w:cs="Times New Roman"/>
          <w:color w:val="000000" w:themeColor="text1"/>
        </w:rPr>
        <w:t>.</w:t>
      </w:r>
      <w:r w:rsidRPr="0068584C">
        <w:rPr>
          <w:rFonts w:ascii="Times New Roman" w:hAnsi="Times New Roman" w:cs="Times New Roman"/>
          <w:color w:val="000000" w:themeColor="text1"/>
        </w:rPr>
        <w:t>”</w:t>
      </w:r>
      <w:r w:rsidR="00DB3F11" w:rsidRPr="0068584C">
        <w:rPr>
          <w:rFonts w:ascii="Times New Roman" w:hAnsi="Times New Roman" w:cs="Times New Roman"/>
          <w:color w:val="000000" w:themeColor="text1"/>
        </w:rPr>
        <w:t xml:space="preserve"> </w:t>
      </w:r>
      <w:r w:rsidR="00DB3F11" w:rsidRPr="0068584C">
        <w:rPr>
          <w:rFonts w:ascii="Times New Roman" w:hAnsi="Times New Roman" w:cs="Times New Roman"/>
        </w:rPr>
        <w:t xml:space="preserve">(Charles, </w:t>
      </w:r>
      <w:r w:rsidR="00BE1FFB" w:rsidRPr="0068584C">
        <w:rPr>
          <w:rFonts w:ascii="Times New Roman" w:hAnsi="Times New Roman" w:cs="Times New Roman"/>
        </w:rPr>
        <w:t>TECH</w:t>
      </w:r>
      <w:r w:rsidR="00DB3F11" w:rsidRPr="0068584C">
        <w:rPr>
          <w:rFonts w:ascii="Times New Roman" w:hAnsi="Times New Roman" w:cs="Times New Roman"/>
        </w:rPr>
        <w:t xml:space="preserve">-1) </w:t>
      </w:r>
    </w:p>
    <w:p w14:paraId="290A1E6A" w14:textId="06E71794" w:rsidR="00261E9A" w:rsidRPr="0068584C" w:rsidRDefault="00261E9A" w:rsidP="008C76D8">
      <w:pPr>
        <w:ind w:left="720"/>
        <w:jc w:val="both"/>
        <w:rPr>
          <w:rFonts w:ascii="Times New Roman" w:hAnsi="Times New Roman" w:cs="Times New Roman"/>
          <w:color w:val="000000" w:themeColor="text1"/>
        </w:rPr>
      </w:pPr>
    </w:p>
    <w:p w14:paraId="1F19A05B" w14:textId="1AA0DC8D" w:rsidR="00DF707D" w:rsidRPr="0068584C" w:rsidRDefault="009C2578"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“We have those integration meetings and then everybody has to come on the same level and in the end, we have to put out a good product.” (Kurt,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-1)</w:t>
      </w:r>
    </w:p>
    <w:p w14:paraId="6D54F128" w14:textId="77777777" w:rsidR="00DF707D" w:rsidRPr="0068584C" w:rsidRDefault="00DF707D" w:rsidP="008C76D8">
      <w:pPr>
        <w:ind w:left="1440"/>
        <w:jc w:val="both"/>
        <w:rPr>
          <w:rFonts w:ascii="Times New Roman" w:hAnsi="Times New Roman" w:cs="Times New Roman"/>
          <w:color w:val="000000" w:themeColor="text1"/>
        </w:rPr>
      </w:pPr>
    </w:p>
    <w:p w14:paraId="6EB489DC" w14:textId="5392927F" w:rsidR="00DF707D" w:rsidRPr="0068584C" w:rsidRDefault="009C2578"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“The only way of doing it is to work a lot closer with the suppliers but in the technical way, not in our commercial perspective. … We really have face to face meetings all the time, continuously, so they always can see what issue could come up.</w:t>
      </w:r>
      <w:r w:rsidR="00372B09" w:rsidRPr="0068584C">
        <w:rPr>
          <w:rFonts w:ascii="Times New Roman" w:hAnsi="Times New Roman" w:cs="Times New Roman"/>
          <w:color w:val="000000" w:themeColor="text1"/>
        </w:rPr>
        <w:t>”</w:t>
      </w:r>
      <w:r w:rsidRPr="0068584C">
        <w:rPr>
          <w:rFonts w:ascii="Times New Roman" w:hAnsi="Times New Roman" w:cs="Times New Roman"/>
          <w:color w:val="000000" w:themeColor="text1"/>
        </w:rPr>
        <w:t xml:space="preserve"> (Jim,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-1)</w:t>
      </w:r>
    </w:p>
    <w:p w14:paraId="4CE59AA3" w14:textId="77777777" w:rsidR="00D1754C" w:rsidRPr="0068584C" w:rsidRDefault="00D1754C" w:rsidP="0035460B">
      <w:pPr>
        <w:spacing w:line="480" w:lineRule="auto"/>
        <w:jc w:val="both"/>
        <w:rPr>
          <w:rFonts w:ascii="Times New Roman" w:hAnsi="Times New Roman" w:cs="Times New Roman"/>
          <w:color w:val="000000" w:themeColor="text1"/>
        </w:rPr>
      </w:pPr>
    </w:p>
    <w:p w14:paraId="7189A2C2" w14:textId="49F30C96" w:rsidR="00D22B79" w:rsidRPr="0068584C" w:rsidRDefault="00D22B79"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In both </w:t>
      </w:r>
      <w:r w:rsidR="00FD05A0" w:rsidRPr="0068584C">
        <w:rPr>
          <w:rFonts w:ascii="Times New Roman" w:hAnsi="Times New Roman" w:cs="Times New Roman"/>
          <w:color w:val="000000" w:themeColor="text1"/>
        </w:rPr>
        <w:t xml:space="preserve">technology </w:t>
      </w:r>
      <w:r w:rsidRPr="0068584C">
        <w:rPr>
          <w:rFonts w:ascii="Times New Roman" w:hAnsi="Times New Roman" w:cs="Times New Roman"/>
          <w:color w:val="000000" w:themeColor="text1"/>
        </w:rPr>
        <w:t>case companies, managers strongly emphasized the need to remain accountable, honor commitments, and keeping promises. Those principles remain essential for both sides, the focal organization as well as the suppliers.</w:t>
      </w:r>
      <w:r w:rsidR="00D1754C" w:rsidRPr="0068584C">
        <w:rPr>
          <w:rFonts w:ascii="Times New Roman" w:hAnsi="Times New Roman" w:cs="Times New Roman"/>
          <w:color w:val="000000" w:themeColor="text1"/>
        </w:rPr>
        <w:t xml:space="preserve"> This should enable the necessary fairness in dealing across organizational boundaries.</w:t>
      </w:r>
    </w:p>
    <w:p w14:paraId="4835CE2F" w14:textId="77777777" w:rsidR="00D22B79" w:rsidRPr="0068584C" w:rsidRDefault="00D22B79" w:rsidP="0035460B">
      <w:pPr>
        <w:spacing w:line="480" w:lineRule="auto"/>
        <w:jc w:val="both"/>
        <w:rPr>
          <w:rFonts w:ascii="Times New Roman" w:hAnsi="Times New Roman" w:cs="Times New Roman"/>
          <w:color w:val="000000" w:themeColor="text1"/>
        </w:rPr>
      </w:pPr>
    </w:p>
    <w:p w14:paraId="01C77DFF" w14:textId="0C36C517" w:rsidR="00D22B79" w:rsidRPr="0068584C" w:rsidRDefault="00BF371A"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“We internally work too slow sometimes to solve problems and it is unfair towards the suppliers but when it comes to developing things, the supplier is always open and the supplier is always continuing even when someone has, for example, difficulty in other programs, which is really really good.” (</w:t>
      </w:r>
      <w:r w:rsidR="000E7DED" w:rsidRPr="0068584C">
        <w:rPr>
          <w:rFonts w:ascii="Times New Roman" w:hAnsi="Times New Roman" w:cs="Times New Roman"/>
          <w:color w:val="000000" w:themeColor="text1"/>
        </w:rPr>
        <w:t xml:space="preserve">Jim,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-1)</w:t>
      </w:r>
    </w:p>
    <w:p w14:paraId="3F292127" w14:textId="77777777" w:rsidR="00D1754C" w:rsidRPr="0068584C" w:rsidRDefault="00D1754C" w:rsidP="008C76D8">
      <w:pPr>
        <w:ind w:left="1440"/>
        <w:jc w:val="both"/>
        <w:rPr>
          <w:rFonts w:ascii="Times New Roman" w:hAnsi="Times New Roman" w:cs="Times New Roman"/>
          <w:color w:val="000000" w:themeColor="text1"/>
        </w:rPr>
      </w:pPr>
    </w:p>
    <w:p w14:paraId="27E9BC32" w14:textId="2C33BABB" w:rsidR="00D1754C" w:rsidRPr="0068584C" w:rsidRDefault="00D1754C"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“One of the main tenants in the … principles is you make a commitment and you keep a commitment.  It sounds very very simple.” (Hannah,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78D86BE0" w14:textId="77777777" w:rsidR="00BF371A" w:rsidRPr="0068584C" w:rsidRDefault="00BF371A" w:rsidP="0035460B">
      <w:pPr>
        <w:spacing w:line="480" w:lineRule="auto"/>
        <w:ind w:left="1440"/>
        <w:jc w:val="both"/>
        <w:rPr>
          <w:rFonts w:ascii="Times New Roman" w:hAnsi="Times New Roman" w:cs="Times New Roman"/>
          <w:color w:val="000000" w:themeColor="text1"/>
        </w:rPr>
      </w:pPr>
    </w:p>
    <w:p w14:paraId="637024A6" w14:textId="2A8A3FF8" w:rsidR="00BF371A" w:rsidRPr="0068584C" w:rsidRDefault="00A506A6"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Finally, David (EQUIP) remarks on further collaboration opportunities with suppliers in the future.</w:t>
      </w:r>
    </w:p>
    <w:p w14:paraId="54C1D160" w14:textId="77777777" w:rsidR="00A506A6" w:rsidRPr="0068584C" w:rsidRDefault="00A506A6" w:rsidP="0035460B">
      <w:pPr>
        <w:spacing w:line="480" w:lineRule="auto"/>
        <w:jc w:val="both"/>
        <w:rPr>
          <w:rFonts w:ascii="Times New Roman" w:hAnsi="Times New Roman" w:cs="Times New Roman"/>
          <w:color w:val="000000" w:themeColor="text1"/>
        </w:rPr>
      </w:pPr>
    </w:p>
    <w:p w14:paraId="14C4DCBF" w14:textId="24914FF6" w:rsidR="00A506A6" w:rsidRPr="0068584C" w:rsidRDefault="00573070"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t>
      </w:r>
      <w:r w:rsidR="00E205EC" w:rsidRPr="0068584C">
        <w:rPr>
          <w:rFonts w:ascii="Times New Roman" w:hAnsi="Times New Roman" w:cs="Times New Roman"/>
          <w:color w:val="000000" w:themeColor="text1"/>
        </w:rPr>
        <w:t>There’s an opportunity to do more design collaboration activity so that suppliers could take over some of the core functions of the components that we’re using and own that design and we’re just applying it to the product.</w:t>
      </w:r>
      <w:r w:rsidRPr="0068584C">
        <w:rPr>
          <w:rFonts w:ascii="Times New Roman" w:hAnsi="Times New Roman" w:cs="Times New Roman"/>
          <w:color w:val="000000" w:themeColor="text1"/>
        </w:rPr>
        <w:t>”</w:t>
      </w:r>
      <w:r w:rsidR="00E205EC" w:rsidRPr="0068584C">
        <w:rPr>
          <w:rFonts w:ascii="Times New Roman" w:hAnsi="Times New Roman" w:cs="Times New Roman"/>
          <w:color w:val="000000" w:themeColor="text1"/>
        </w:rPr>
        <w:t xml:space="preserve"> (David, EQUIP)</w:t>
      </w:r>
    </w:p>
    <w:p w14:paraId="043D952A" w14:textId="77777777" w:rsidR="00261E9A" w:rsidRPr="0068584C" w:rsidRDefault="00261E9A" w:rsidP="0035460B">
      <w:pPr>
        <w:spacing w:line="480" w:lineRule="auto"/>
        <w:jc w:val="both"/>
        <w:rPr>
          <w:rFonts w:ascii="Times New Roman" w:hAnsi="Times New Roman" w:cs="Times New Roman"/>
          <w:color w:val="000000" w:themeColor="text1"/>
        </w:rPr>
      </w:pPr>
    </w:p>
    <w:p w14:paraId="64FB20BC" w14:textId="0E3387CF" w:rsidR="00E55783" w:rsidRPr="0068584C" w:rsidRDefault="002A0D1C" w:rsidP="00E55783">
      <w:pPr>
        <w:spacing w:line="480" w:lineRule="auto"/>
        <w:rPr>
          <w:rFonts w:ascii="Times New Roman" w:hAnsi="Times New Roman" w:cs="Times New Roman"/>
          <w:color w:val="000000" w:themeColor="text1"/>
        </w:rPr>
      </w:pPr>
      <w:r w:rsidRPr="0068584C">
        <w:rPr>
          <w:rFonts w:ascii="Times New Roman" w:hAnsi="Times New Roman" w:cs="Times New Roman"/>
          <w:color w:val="000000" w:themeColor="text1"/>
        </w:rPr>
        <w:t xml:space="preserve">Hence, strong supply chain resource </w:t>
      </w:r>
      <w:r w:rsidR="00B44696" w:rsidRPr="0068584C">
        <w:rPr>
          <w:rFonts w:ascii="Times New Roman" w:hAnsi="Times New Roman" w:cs="Times New Roman"/>
          <w:color w:val="000000" w:themeColor="text1"/>
        </w:rPr>
        <w:t xml:space="preserve">bundling practices </w:t>
      </w:r>
      <w:r w:rsidRPr="0068584C">
        <w:rPr>
          <w:rFonts w:ascii="Times New Roman" w:hAnsi="Times New Roman" w:cs="Times New Roman"/>
          <w:color w:val="000000" w:themeColor="text1"/>
        </w:rPr>
        <w:t>require an emphasis on coordination</w:t>
      </w:r>
      <w:r w:rsidR="00B44696" w:rsidRPr="0068584C">
        <w:rPr>
          <w:rFonts w:ascii="Times New Roman" w:hAnsi="Times New Roman" w:cs="Times New Roman"/>
          <w:color w:val="000000" w:themeColor="text1"/>
        </w:rPr>
        <w:t>, collaboration</w:t>
      </w:r>
      <w:r w:rsidRPr="0068584C">
        <w:rPr>
          <w:rFonts w:ascii="Times New Roman" w:hAnsi="Times New Roman" w:cs="Times New Roman"/>
          <w:color w:val="000000" w:themeColor="text1"/>
        </w:rPr>
        <w:t xml:space="preserve"> and alignment both among internal functions and across the organizational boundaries with the suppliers. </w:t>
      </w:r>
      <w:r w:rsidR="005D52EA">
        <w:rPr>
          <w:rFonts w:ascii="Times New Roman" w:hAnsi="Times New Roman" w:cs="Times New Roman"/>
          <w:color w:val="000000" w:themeColor="text1"/>
        </w:rPr>
        <w:fldChar w:fldCharType="begin"/>
      </w:r>
      <w:r w:rsidR="005D52EA">
        <w:rPr>
          <w:rFonts w:ascii="Times New Roman" w:hAnsi="Times New Roman" w:cs="Times New Roman"/>
          <w:color w:val="000000" w:themeColor="text1"/>
        </w:rPr>
        <w:instrText xml:space="preserve"> REF _Ref357387445 \h </w:instrText>
      </w:r>
      <w:r w:rsidR="005D52EA">
        <w:rPr>
          <w:rFonts w:ascii="Times New Roman" w:hAnsi="Times New Roman" w:cs="Times New Roman"/>
          <w:color w:val="000000" w:themeColor="text1"/>
        </w:rPr>
      </w:r>
      <w:r w:rsidR="005D52EA">
        <w:rPr>
          <w:rFonts w:ascii="Times New Roman" w:hAnsi="Times New Roman" w:cs="Times New Roman"/>
          <w:color w:val="000000" w:themeColor="text1"/>
        </w:rPr>
        <w:fldChar w:fldCharType="separate"/>
      </w:r>
      <w:r w:rsidR="00C2793E">
        <w:t xml:space="preserve">Table </w:t>
      </w:r>
      <w:r w:rsidR="00C2793E">
        <w:rPr>
          <w:noProof/>
        </w:rPr>
        <w:t>12</w:t>
      </w:r>
      <w:r w:rsidR="005D52EA">
        <w:rPr>
          <w:rFonts w:ascii="Times New Roman" w:hAnsi="Times New Roman" w:cs="Times New Roman"/>
          <w:color w:val="000000" w:themeColor="text1"/>
        </w:rPr>
        <w:fldChar w:fldCharType="end"/>
      </w:r>
      <w:r w:rsidR="005D52EA">
        <w:rPr>
          <w:rFonts w:ascii="Times New Roman" w:hAnsi="Times New Roman" w:cs="Times New Roman"/>
          <w:color w:val="000000" w:themeColor="text1"/>
        </w:rPr>
        <w:t xml:space="preserve"> </w:t>
      </w:r>
      <w:r w:rsidR="00DE0C1A" w:rsidRPr="0068584C">
        <w:rPr>
          <w:rFonts w:ascii="Times New Roman" w:hAnsi="Times New Roman" w:cs="Times New Roman"/>
          <w:color w:val="000000" w:themeColor="text1"/>
        </w:rPr>
        <w:t>summarize</w:t>
      </w:r>
      <w:r w:rsidR="0059732F">
        <w:rPr>
          <w:rFonts w:ascii="Times New Roman" w:hAnsi="Times New Roman" w:cs="Times New Roman"/>
          <w:color w:val="000000" w:themeColor="text1"/>
        </w:rPr>
        <w:t>s</w:t>
      </w:r>
      <w:r w:rsidR="00DE0C1A" w:rsidRPr="0068584C">
        <w:rPr>
          <w:rFonts w:ascii="Times New Roman" w:hAnsi="Times New Roman" w:cs="Times New Roman"/>
          <w:color w:val="000000" w:themeColor="text1"/>
        </w:rPr>
        <w:t xml:space="preserve"> the main bundling </w:t>
      </w:r>
      <w:r w:rsidRPr="0068584C">
        <w:rPr>
          <w:rFonts w:ascii="Times New Roman" w:hAnsi="Times New Roman" w:cs="Times New Roman"/>
          <w:color w:val="000000" w:themeColor="text1"/>
        </w:rPr>
        <w:t>practices</w:t>
      </w:r>
      <w:r w:rsidR="00DE0C1A" w:rsidRPr="0068584C">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from the interviews</w:t>
      </w:r>
      <w:r w:rsidR="005D52EA">
        <w:rPr>
          <w:rFonts w:ascii="Times New Roman" w:hAnsi="Times New Roman" w:cs="Times New Roman"/>
          <w:color w:val="000000" w:themeColor="text1"/>
        </w:rPr>
        <w:t xml:space="preserve"> with the supply chain managers</w:t>
      </w:r>
      <w:r w:rsidRPr="0068584C">
        <w:rPr>
          <w:rFonts w:ascii="Times New Roman" w:hAnsi="Times New Roman" w:cs="Times New Roman"/>
          <w:color w:val="000000" w:themeColor="text1"/>
        </w:rPr>
        <w:t xml:space="preserve">. </w:t>
      </w:r>
      <w:r w:rsidR="005D52EA">
        <w:rPr>
          <w:rFonts w:ascii="Times New Roman" w:hAnsi="Times New Roman" w:cs="Times New Roman"/>
          <w:color w:val="000000" w:themeColor="text1"/>
        </w:rPr>
        <w:t>Four main categories emerged during the data analysis.</w:t>
      </w:r>
      <w:r w:rsidRPr="0068584C">
        <w:rPr>
          <w:rFonts w:ascii="Times New Roman" w:hAnsi="Times New Roman" w:cs="Times New Roman"/>
          <w:color w:val="000000" w:themeColor="text1"/>
        </w:rPr>
        <w:t xml:space="preserve"> </w:t>
      </w:r>
      <w:r w:rsidR="00BA0B11" w:rsidRPr="0068584C">
        <w:rPr>
          <w:rFonts w:ascii="Times New Roman" w:hAnsi="Times New Roman" w:cs="Times New Roman"/>
          <w:color w:val="000000" w:themeColor="text1"/>
        </w:rPr>
        <w:t>This includes the practice of co-location and alignment/coordination practices</w:t>
      </w:r>
      <w:r w:rsidR="005D52EA">
        <w:rPr>
          <w:rFonts w:ascii="Times New Roman" w:hAnsi="Times New Roman" w:cs="Times New Roman"/>
          <w:color w:val="000000" w:themeColor="text1"/>
        </w:rPr>
        <w:t>, for example</w:t>
      </w:r>
      <w:r w:rsidR="00C50360" w:rsidRPr="0068584C">
        <w:rPr>
          <w:rFonts w:ascii="Times New Roman" w:hAnsi="Times New Roman" w:cs="Times New Roman"/>
          <w:color w:val="000000" w:themeColor="text1"/>
        </w:rPr>
        <w:t>.</w:t>
      </w:r>
      <w:r w:rsidR="00E55783">
        <w:rPr>
          <w:rFonts w:ascii="Times New Roman" w:hAnsi="Times New Roman" w:cs="Times New Roman"/>
          <w:color w:val="000000" w:themeColor="text1"/>
        </w:rPr>
        <w:t xml:space="preserve"> </w:t>
      </w:r>
      <w:r w:rsidR="00E55783" w:rsidRPr="0068584C">
        <w:rPr>
          <w:rFonts w:ascii="Times New Roman" w:hAnsi="Times New Roman" w:cs="Times New Roman"/>
          <w:color w:val="000000" w:themeColor="text1"/>
        </w:rPr>
        <w:t xml:space="preserve">The </w:t>
      </w:r>
      <w:r w:rsidR="00E55783">
        <w:rPr>
          <w:rFonts w:ascii="Times New Roman" w:hAnsi="Times New Roman" w:cs="Times New Roman"/>
          <w:color w:val="000000" w:themeColor="text1"/>
        </w:rPr>
        <w:t>scoring c</w:t>
      </w:r>
      <w:r w:rsidR="00E55783" w:rsidRPr="0068584C">
        <w:rPr>
          <w:rFonts w:ascii="Times New Roman" w:hAnsi="Times New Roman" w:cs="Times New Roman"/>
          <w:color w:val="000000" w:themeColor="text1"/>
        </w:rPr>
        <w:t xml:space="preserve">riteria for </w:t>
      </w:r>
      <w:r w:rsidR="00B66CE3">
        <w:rPr>
          <w:rFonts w:ascii="Times New Roman" w:hAnsi="Times New Roman" w:cs="Times New Roman"/>
          <w:color w:val="000000" w:themeColor="text1"/>
        </w:rPr>
        <w:t xml:space="preserve">low and high </w:t>
      </w:r>
      <w:r w:rsidR="00E55783" w:rsidRPr="0068584C">
        <w:rPr>
          <w:rFonts w:ascii="Times New Roman" w:hAnsi="Times New Roman" w:cs="Times New Roman"/>
          <w:color w:val="000000" w:themeColor="text1"/>
        </w:rPr>
        <w:t xml:space="preserve">bundling </w:t>
      </w:r>
      <w:r w:rsidR="00E55783">
        <w:rPr>
          <w:rFonts w:ascii="Times New Roman" w:hAnsi="Times New Roman" w:cs="Times New Roman"/>
          <w:color w:val="000000" w:themeColor="text1"/>
        </w:rPr>
        <w:t xml:space="preserve">practices </w:t>
      </w:r>
      <w:r w:rsidR="00E55783" w:rsidRPr="0068584C">
        <w:rPr>
          <w:rFonts w:ascii="Times New Roman" w:hAnsi="Times New Roman" w:cs="Times New Roman"/>
          <w:color w:val="000000" w:themeColor="text1"/>
        </w:rPr>
        <w:t xml:space="preserve">are described in the </w:t>
      </w:r>
      <w:r w:rsidR="005D52EA">
        <w:rPr>
          <w:rFonts w:ascii="Times New Roman" w:hAnsi="Times New Roman" w:cs="Times New Roman"/>
          <w:color w:val="000000" w:themeColor="text1"/>
        </w:rPr>
        <w:fldChar w:fldCharType="begin"/>
      </w:r>
      <w:r w:rsidR="005D52EA">
        <w:rPr>
          <w:rFonts w:ascii="Times New Roman" w:hAnsi="Times New Roman" w:cs="Times New Roman"/>
          <w:color w:val="000000" w:themeColor="text1"/>
        </w:rPr>
        <w:instrText xml:space="preserve"> REF _Ref357387423 \h </w:instrText>
      </w:r>
      <w:r w:rsidR="005D52EA">
        <w:rPr>
          <w:rFonts w:ascii="Times New Roman" w:hAnsi="Times New Roman" w:cs="Times New Roman"/>
          <w:color w:val="000000" w:themeColor="text1"/>
        </w:rPr>
      </w:r>
      <w:r w:rsidR="005D52EA">
        <w:rPr>
          <w:rFonts w:ascii="Times New Roman" w:hAnsi="Times New Roman" w:cs="Times New Roman"/>
          <w:color w:val="000000" w:themeColor="text1"/>
        </w:rPr>
        <w:fldChar w:fldCharType="separate"/>
      </w:r>
      <w:r w:rsidR="00C2793E">
        <w:t xml:space="preserve">Table </w:t>
      </w:r>
      <w:r w:rsidR="00C2793E">
        <w:rPr>
          <w:noProof/>
        </w:rPr>
        <w:t>11</w:t>
      </w:r>
      <w:r w:rsidR="005D52EA">
        <w:rPr>
          <w:rFonts w:ascii="Times New Roman" w:hAnsi="Times New Roman" w:cs="Times New Roman"/>
          <w:color w:val="000000" w:themeColor="text1"/>
        </w:rPr>
        <w:fldChar w:fldCharType="end"/>
      </w:r>
      <w:r w:rsidR="00E55783" w:rsidRPr="0068584C">
        <w:rPr>
          <w:rFonts w:ascii="Times New Roman" w:hAnsi="Times New Roman" w:cs="Times New Roman"/>
          <w:color w:val="000000" w:themeColor="text1"/>
        </w:rPr>
        <w:t>.</w:t>
      </w:r>
    </w:p>
    <w:p w14:paraId="1123B4AD" w14:textId="77777777" w:rsidR="00E55783" w:rsidRPr="0068584C" w:rsidRDefault="00E55783" w:rsidP="00E55783">
      <w:pPr>
        <w:spacing w:line="480" w:lineRule="auto"/>
        <w:rPr>
          <w:rFonts w:ascii="Times New Roman" w:hAnsi="Times New Roman" w:cs="Times New Roman"/>
          <w:color w:val="000000" w:themeColor="text1"/>
        </w:rPr>
      </w:pPr>
    </w:p>
    <w:p w14:paraId="4195B748" w14:textId="77777777" w:rsidR="001346DF" w:rsidRDefault="001346DF" w:rsidP="00E55783">
      <w:pPr>
        <w:spacing w:line="480" w:lineRule="auto"/>
        <w:rPr>
          <w:rFonts w:ascii="Times New Roman" w:hAnsi="Times New Roman" w:cs="Times New Roman"/>
          <w:color w:val="000000" w:themeColor="text1"/>
        </w:rPr>
      </w:pPr>
    </w:p>
    <w:p w14:paraId="27A528D0" w14:textId="77777777" w:rsidR="001346DF" w:rsidRDefault="001346DF" w:rsidP="00E55783">
      <w:pPr>
        <w:spacing w:line="480" w:lineRule="auto"/>
        <w:rPr>
          <w:rFonts w:ascii="Times New Roman" w:hAnsi="Times New Roman" w:cs="Times New Roman"/>
          <w:color w:val="000000" w:themeColor="text1"/>
        </w:rPr>
      </w:pPr>
    </w:p>
    <w:p w14:paraId="061B7D5F" w14:textId="77777777" w:rsidR="001346DF" w:rsidRDefault="001346DF" w:rsidP="00E55783">
      <w:pPr>
        <w:spacing w:line="480" w:lineRule="auto"/>
        <w:rPr>
          <w:rFonts w:ascii="Times New Roman" w:hAnsi="Times New Roman" w:cs="Times New Roman"/>
          <w:color w:val="000000" w:themeColor="text1"/>
        </w:rPr>
      </w:pPr>
    </w:p>
    <w:p w14:paraId="67A555C3" w14:textId="77777777" w:rsidR="001346DF" w:rsidRDefault="001346DF" w:rsidP="00E55783">
      <w:pPr>
        <w:spacing w:line="480" w:lineRule="auto"/>
        <w:rPr>
          <w:rFonts w:ascii="Times New Roman" w:hAnsi="Times New Roman" w:cs="Times New Roman"/>
          <w:color w:val="000000" w:themeColor="text1"/>
        </w:rPr>
      </w:pPr>
    </w:p>
    <w:p w14:paraId="4CD81924" w14:textId="77777777" w:rsidR="001346DF" w:rsidRDefault="001346DF" w:rsidP="00E55783">
      <w:pPr>
        <w:spacing w:line="480" w:lineRule="auto"/>
        <w:rPr>
          <w:rFonts w:ascii="Times New Roman" w:hAnsi="Times New Roman" w:cs="Times New Roman"/>
          <w:color w:val="000000" w:themeColor="text1"/>
        </w:rPr>
      </w:pPr>
    </w:p>
    <w:p w14:paraId="19496B39" w14:textId="77777777" w:rsidR="001346DF" w:rsidRDefault="001346DF" w:rsidP="00E55783">
      <w:pPr>
        <w:spacing w:line="480" w:lineRule="auto"/>
        <w:rPr>
          <w:rFonts w:ascii="Times New Roman" w:hAnsi="Times New Roman" w:cs="Times New Roman"/>
          <w:color w:val="000000" w:themeColor="text1"/>
        </w:rPr>
      </w:pPr>
    </w:p>
    <w:p w14:paraId="30A327D3" w14:textId="77777777" w:rsidR="001346DF" w:rsidRDefault="001346DF" w:rsidP="00E55783">
      <w:pPr>
        <w:spacing w:line="480" w:lineRule="auto"/>
        <w:rPr>
          <w:rFonts w:ascii="Times New Roman" w:hAnsi="Times New Roman" w:cs="Times New Roman"/>
          <w:color w:val="000000" w:themeColor="text1"/>
        </w:rPr>
      </w:pPr>
    </w:p>
    <w:p w14:paraId="7E3B9361" w14:textId="77777777" w:rsidR="001346DF" w:rsidRDefault="001346DF" w:rsidP="00E55783">
      <w:pPr>
        <w:spacing w:line="480" w:lineRule="auto"/>
        <w:rPr>
          <w:rFonts w:ascii="Times New Roman" w:hAnsi="Times New Roman" w:cs="Times New Roman"/>
          <w:color w:val="000000" w:themeColor="text1"/>
        </w:rPr>
      </w:pPr>
    </w:p>
    <w:p w14:paraId="4E91E640" w14:textId="77777777" w:rsidR="001346DF" w:rsidRDefault="001346DF" w:rsidP="00E55783">
      <w:pPr>
        <w:spacing w:line="480" w:lineRule="auto"/>
        <w:rPr>
          <w:rFonts w:ascii="Times New Roman" w:hAnsi="Times New Roman" w:cs="Times New Roman"/>
          <w:color w:val="000000" w:themeColor="text1"/>
        </w:rPr>
      </w:pPr>
    </w:p>
    <w:p w14:paraId="4E3B0263" w14:textId="77777777" w:rsidR="001346DF" w:rsidRDefault="001346DF" w:rsidP="00E55783">
      <w:pPr>
        <w:spacing w:line="480" w:lineRule="auto"/>
        <w:rPr>
          <w:rFonts w:ascii="Times New Roman" w:hAnsi="Times New Roman" w:cs="Times New Roman"/>
          <w:color w:val="000000" w:themeColor="text1"/>
        </w:rPr>
      </w:pPr>
    </w:p>
    <w:p w14:paraId="48D76156" w14:textId="77777777" w:rsidR="001346DF" w:rsidRDefault="001346DF" w:rsidP="00E55783">
      <w:pPr>
        <w:spacing w:line="480" w:lineRule="auto"/>
        <w:rPr>
          <w:rFonts w:ascii="Times New Roman" w:hAnsi="Times New Roman" w:cs="Times New Roman"/>
          <w:color w:val="000000" w:themeColor="text1"/>
        </w:rPr>
      </w:pPr>
    </w:p>
    <w:p w14:paraId="09BE0420" w14:textId="77777777" w:rsidR="001346DF" w:rsidRDefault="001346DF" w:rsidP="00E55783">
      <w:pPr>
        <w:spacing w:line="480" w:lineRule="auto"/>
        <w:rPr>
          <w:rFonts w:ascii="Times New Roman" w:hAnsi="Times New Roman" w:cs="Times New Roman"/>
          <w:color w:val="000000" w:themeColor="text1"/>
        </w:rPr>
      </w:pPr>
    </w:p>
    <w:p w14:paraId="59B0F7F8" w14:textId="77777777" w:rsidR="001346DF" w:rsidRDefault="001346DF" w:rsidP="00E55783">
      <w:pPr>
        <w:spacing w:line="480" w:lineRule="auto"/>
        <w:rPr>
          <w:rFonts w:ascii="Times New Roman" w:hAnsi="Times New Roman" w:cs="Times New Roman"/>
          <w:color w:val="000000" w:themeColor="text1"/>
        </w:rPr>
      </w:pPr>
    </w:p>
    <w:p w14:paraId="7525D5B5" w14:textId="77777777" w:rsidR="001346DF" w:rsidRDefault="001346DF" w:rsidP="00E55783">
      <w:pPr>
        <w:spacing w:line="480" w:lineRule="auto"/>
        <w:rPr>
          <w:rFonts w:ascii="Times New Roman" w:hAnsi="Times New Roman" w:cs="Times New Roman"/>
          <w:color w:val="000000" w:themeColor="text1"/>
        </w:rPr>
      </w:pPr>
    </w:p>
    <w:p w14:paraId="686C7FD4" w14:textId="48FD5921" w:rsidR="000B457B" w:rsidRDefault="000B457B" w:rsidP="000B457B">
      <w:pPr>
        <w:pStyle w:val="Caption"/>
        <w:keepNext/>
      </w:pPr>
      <w:bookmarkStart w:id="83" w:name="_Toc358326847"/>
      <w:bookmarkStart w:id="84" w:name="_Ref357387423"/>
      <w:r>
        <w:t xml:space="preserve">Table </w:t>
      </w:r>
      <w:fldSimple w:instr=" SEQ Table \* ARABIC ">
        <w:r w:rsidR="00C2793E">
          <w:rPr>
            <w:noProof/>
          </w:rPr>
          <w:t>11</w:t>
        </w:r>
        <w:bookmarkEnd w:id="83"/>
      </w:fldSimple>
      <w:bookmarkEnd w:id="84"/>
    </w:p>
    <w:p w14:paraId="21D7054D" w14:textId="57A155CD" w:rsidR="00E55783" w:rsidRPr="000B457B" w:rsidRDefault="00E55783" w:rsidP="001346DF">
      <w:pPr>
        <w:rPr>
          <w:rFonts w:ascii="Times New Roman" w:hAnsi="Times New Roman" w:cs="Times New Roman"/>
          <w:b/>
          <w:color w:val="000000" w:themeColor="text1"/>
        </w:rPr>
      </w:pPr>
      <w:r w:rsidRPr="000B457B">
        <w:rPr>
          <w:rFonts w:ascii="Times New Roman" w:hAnsi="Times New Roman" w:cs="Times New Roman"/>
          <w:b/>
          <w:color w:val="000000" w:themeColor="text1"/>
        </w:rPr>
        <w:t>Bundling Criteria</w:t>
      </w:r>
    </w:p>
    <w:tbl>
      <w:tblPr>
        <w:tblStyle w:val="TableGrid"/>
        <w:tblW w:w="0" w:type="auto"/>
        <w:tblLayout w:type="fixed"/>
        <w:tblLook w:val="04A0" w:firstRow="1" w:lastRow="0" w:firstColumn="1" w:lastColumn="0" w:noHBand="0" w:noVBand="1"/>
      </w:tblPr>
      <w:tblGrid>
        <w:gridCol w:w="1440"/>
        <w:gridCol w:w="3600"/>
        <w:gridCol w:w="3600"/>
      </w:tblGrid>
      <w:tr w:rsidR="001346DF" w:rsidRPr="0068584C" w14:paraId="14A6D160" w14:textId="77777777" w:rsidTr="007A457A">
        <w:tc>
          <w:tcPr>
            <w:tcW w:w="1440" w:type="dxa"/>
          </w:tcPr>
          <w:p w14:paraId="3BA9CB05" w14:textId="77777777" w:rsidR="001346DF" w:rsidRPr="0068584C" w:rsidRDefault="001346DF" w:rsidP="007A457A">
            <w:pPr>
              <w:keepNext/>
              <w:keepLines/>
              <w:spacing w:before="200" w:line="360" w:lineRule="auto"/>
              <w:ind w:left="-90"/>
              <w:contextualSpacing/>
              <w:jc w:val="both"/>
              <w:outlineLvl w:val="7"/>
              <w:rPr>
                <w:rFonts w:ascii="Times New Roman" w:hAnsi="Times New Roman" w:cs="Times New Roman"/>
                <w:b/>
                <w:color w:val="000000" w:themeColor="text1"/>
                <w:sz w:val="20"/>
                <w:szCs w:val="20"/>
              </w:rPr>
            </w:pPr>
            <w:r w:rsidRPr="0068584C">
              <w:rPr>
                <w:rFonts w:ascii="Times New Roman" w:hAnsi="Times New Roman" w:cs="Times New Roman"/>
                <w:b/>
                <w:color w:val="000000" w:themeColor="text1"/>
                <w:sz w:val="20"/>
                <w:szCs w:val="20"/>
              </w:rPr>
              <w:t>Category</w:t>
            </w:r>
          </w:p>
        </w:tc>
        <w:tc>
          <w:tcPr>
            <w:tcW w:w="3600" w:type="dxa"/>
          </w:tcPr>
          <w:p w14:paraId="7BDE5581" w14:textId="77777777" w:rsidR="001346DF" w:rsidRPr="0068584C" w:rsidRDefault="001346DF" w:rsidP="007A457A">
            <w:pPr>
              <w:spacing w:line="360" w:lineRule="auto"/>
              <w:jc w:val="center"/>
              <w:rPr>
                <w:rFonts w:ascii="Times New Roman" w:hAnsi="Times New Roman" w:cs="Times New Roman"/>
                <w:b/>
                <w:color w:val="000000" w:themeColor="text1"/>
                <w:sz w:val="20"/>
                <w:szCs w:val="20"/>
              </w:rPr>
            </w:pPr>
            <w:r w:rsidRPr="0068584C">
              <w:rPr>
                <w:rFonts w:ascii="Times New Roman" w:hAnsi="Times New Roman" w:cs="Times New Roman"/>
                <w:b/>
                <w:color w:val="000000" w:themeColor="text1"/>
                <w:sz w:val="20"/>
                <w:szCs w:val="20"/>
              </w:rPr>
              <w:t>Low = 1</w:t>
            </w:r>
          </w:p>
        </w:tc>
        <w:tc>
          <w:tcPr>
            <w:tcW w:w="3600" w:type="dxa"/>
          </w:tcPr>
          <w:p w14:paraId="1B833C23" w14:textId="77777777" w:rsidR="001346DF" w:rsidRPr="0068584C" w:rsidRDefault="001346DF" w:rsidP="007A457A">
            <w:pPr>
              <w:spacing w:line="360" w:lineRule="auto"/>
              <w:jc w:val="center"/>
              <w:rPr>
                <w:rFonts w:ascii="Times New Roman" w:hAnsi="Times New Roman" w:cs="Times New Roman"/>
                <w:b/>
                <w:color w:val="000000" w:themeColor="text1"/>
                <w:sz w:val="20"/>
                <w:szCs w:val="20"/>
              </w:rPr>
            </w:pPr>
            <w:r w:rsidRPr="0068584C">
              <w:rPr>
                <w:rFonts w:ascii="Times New Roman" w:hAnsi="Times New Roman" w:cs="Times New Roman"/>
                <w:b/>
                <w:color w:val="000000" w:themeColor="text1"/>
                <w:sz w:val="20"/>
                <w:szCs w:val="20"/>
              </w:rPr>
              <w:t>High = 5</w:t>
            </w:r>
          </w:p>
        </w:tc>
      </w:tr>
      <w:tr w:rsidR="001346DF" w:rsidRPr="0068584C" w14:paraId="5A1DC44E" w14:textId="77777777" w:rsidTr="007A457A">
        <w:tc>
          <w:tcPr>
            <w:tcW w:w="1440" w:type="dxa"/>
          </w:tcPr>
          <w:p w14:paraId="5EBB0E5D" w14:textId="77777777" w:rsidR="001346DF" w:rsidRPr="0068584C" w:rsidRDefault="001346DF" w:rsidP="007A457A">
            <w:pPr>
              <w:keepNext/>
              <w:keepLines/>
              <w:spacing w:before="200" w:line="360" w:lineRule="auto"/>
              <w:ind w:left="-90"/>
              <w:contextualSpacing/>
              <w:jc w:val="both"/>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 xml:space="preserve"> </w:t>
            </w:r>
          </w:p>
          <w:p w14:paraId="4922F25B" w14:textId="77777777" w:rsidR="001346DF" w:rsidRPr="0068584C" w:rsidRDefault="001346DF" w:rsidP="007A457A">
            <w:pPr>
              <w:keepNext/>
              <w:keepLines/>
              <w:spacing w:before="200" w:line="360" w:lineRule="auto"/>
              <w:ind w:left="-90"/>
              <w:contextualSpacing/>
              <w:jc w:val="both"/>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External Coordination</w:t>
            </w:r>
          </w:p>
        </w:tc>
        <w:tc>
          <w:tcPr>
            <w:tcW w:w="3600" w:type="dxa"/>
          </w:tcPr>
          <w:p w14:paraId="5CB86E77"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Little/ No coordination between focal firm and suppliers’ processes</w:t>
            </w:r>
          </w:p>
          <w:p w14:paraId="2A72AA2B"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No procedures to coordinate workflows/actions and schedules</w:t>
            </w:r>
          </w:p>
          <w:p w14:paraId="0BF6EC6C" w14:textId="77777777" w:rsidR="001346DF" w:rsidRPr="0002452F" w:rsidRDefault="001346DF" w:rsidP="007A457A">
            <w:pPr>
              <w:tabs>
                <w:tab w:val="center" w:pos="4320"/>
                <w:tab w:val="right" w:pos="8640"/>
              </w:tabs>
              <w:spacing w:line="360" w:lineRule="auto"/>
              <w:rPr>
                <w:rFonts w:ascii="Times New Roman" w:hAnsi="Times New Roman" w:cs="Times New Roman"/>
                <w:color w:val="000000" w:themeColor="text1"/>
                <w:sz w:val="20"/>
                <w:szCs w:val="20"/>
              </w:rPr>
            </w:pPr>
          </w:p>
        </w:tc>
        <w:tc>
          <w:tcPr>
            <w:tcW w:w="3600" w:type="dxa"/>
          </w:tcPr>
          <w:p w14:paraId="1AD89293"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 xml:space="preserve"> Strong coordination between focal firm and suppliers’ processes</w:t>
            </w:r>
          </w:p>
          <w:p w14:paraId="017BD2BE"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Established procedures to coordinate workflows/actions and schedules</w:t>
            </w:r>
          </w:p>
          <w:p w14:paraId="0650857D"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Synchronized activities between focal firm and suppliers</w:t>
            </w:r>
          </w:p>
        </w:tc>
      </w:tr>
      <w:tr w:rsidR="001346DF" w:rsidRPr="0002452F" w14:paraId="2A436150" w14:textId="77777777" w:rsidTr="007A457A">
        <w:tc>
          <w:tcPr>
            <w:tcW w:w="1440" w:type="dxa"/>
          </w:tcPr>
          <w:p w14:paraId="4300DD01" w14:textId="77777777" w:rsidR="001346DF" w:rsidRPr="0068584C" w:rsidRDefault="001346DF" w:rsidP="007A457A">
            <w:pPr>
              <w:keepNext/>
              <w:keepLines/>
              <w:spacing w:before="200" w:line="360" w:lineRule="auto"/>
              <w:ind w:left="-90"/>
              <w:contextualSpacing/>
              <w:jc w:val="both"/>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Internal Alignment</w:t>
            </w:r>
          </w:p>
          <w:p w14:paraId="132B42D6" w14:textId="77777777" w:rsidR="001346DF" w:rsidRPr="0002452F" w:rsidRDefault="001346DF" w:rsidP="007A457A">
            <w:pPr>
              <w:tabs>
                <w:tab w:val="center" w:pos="4320"/>
                <w:tab w:val="right" w:pos="8640"/>
              </w:tabs>
              <w:spacing w:line="360" w:lineRule="auto"/>
              <w:ind w:left="-90"/>
              <w:jc w:val="both"/>
              <w:rPr>
                <w:rFonts w:ascii="Times New Roman" w:hAnsi="Times New Roman" w:cs="Times New Roman"/>
                <w:color w:val="000000" w:themeColor="text1"/>
                <w:sz w:val="20"/>
                <w:szCs w:val="20"/>
              </w:rPr>
            </w:pPr>
          </w:p>
        </w:tc>
        <w:tc>
          <w:tcPr>
            <w:tcW w:w="3600" w:type="dxa"/>
          </w:tcPr>
          <w:p w14:paraId="7DAFCC8D"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Functional silos</w:t>
            </w:r>
          </w:p>
          <w:p w14:paraId="5C4741FF"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Little internal communication among departments/functions</w:t>
            </w:r>
          </w:p>
          <w:p w14:paraId="34BBA862"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No central platform to share data internally (functions suffer from data inconsistencies or incomplete data)</w:t>
            </w:r>
          </w:p>
        </w:tc>
        <w:tc>
          <w:tcPr>
            <w:tcW w:w="3600" w:type="dxa"/>
          </w:tcPr>
          <w:p w14:paraId="1E377BCA" w14:textId="77777777" w:rsidR="001346DF" w:rsidRPr="0068584C" w:rsidRDefault="001346DF" w:rsidP="007A457A">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Internal data sharing (e.g. central information platform for other functions)</w:t>
            </w:r>
          </w:p>
          <w:p w14:paraId="5194B319"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Cross-functional alignment and joint decision-making toward suppliers (one voice to the supplier)</w:t>
            </w:r>
          </w:p>
          <w:p w14:paraId="50A7A132"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Frequent communication</w:t>
            </w:r>
          </w:p>
          <w:p w14:paraId="49DFD035" w14:textId="77777777" w:rsidR="001346DF" w:rsidRPr="0002452F" w:rsidRDefault="001346DF" w:rsidP="007A457A">
            <w:pPr>
              <w:tabs>
                <w:tab w:val="center" w:pos="4320"/>
                <w:tab w:val="right" w:pos="8640"/>
              </w:tabs>
              <w:spacing w:line="360" w:lineRule="auto"/>
              <w:rPr>
                <w:rFonts w:ascii="Times New Roman" w:hAnsi="Times New Roman" w:cs="Times New Roman"/>
                <w:color w:val="000000" w:themeColor="text1"/>
                <w:sz w:val="20"/>
                <w:szCs w:val="20"/>
              </w:rPr>
            </w:pPr>
          </w:p>
        </w:tc>
      </w:tr>
      <w:tr w:rsidR="001346DF" w:rsidRPr="0002452F" w14:paraId="5481D53B" w14:textId="77777777" w:rsidTr="007A457A">
        <w:tc>
          <w:tcPr>
            <w:tcW w:w="1440" w:type="dxa"/>
          </w:tcPr>
          <w:p w14:paraId="75F90EA7" w14:textId="77777777" w:rsidR="001346DF" w:rsidRPr="0068584C" w:rsidRDefault="001346DF" w:rsidP="007A457A">
            <w:pPr>
              <w:keepNext/>
              <w:keepLines/>
              <w:spacing w:before="200" w:line="360" w:lineRule="auto"/>
              <w:ind w:left="-90"/>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Integration of Knowledge</w:t>
            </w:r>
          </w:p>
          <w:p w14:paraId="6EB41FA4" w14:textId="77777777" w:rsidR="001346DF" w:rsidRPr="0002452F" w:rsidRDefault="001346DF" w:rsidP="007A457A">
            <w:pPr>
              <w:tabs>
                <w:tab w:val="center" w:pos="4320"/>
                <w:tab w:val="right" w:pos="8640"/>
              </w:tabs>
              <w:spacing w:line="360" w:lineRule="auto"/>
              <w:ind w:left="-90"/>
              <w:jc w:val="both"/>
              <w:rPr>
                <w:rFonts w:ascii="Times New Roman" w:hAnsi="Times New Roman" w:cs="Times New Roman"/>
                <w:color w:val="000000" w:themeColor="text1"/>
                <w:sz w:val="20"/>
                <w:szCs w:val="20"/>
              </w:rPr>
            </w:pPr>
          </w:p>
        </w:tc>
        <w:tc>
          <w:tcPr>
            <w:tcW w:w="3600" w:type="dxa"/>
          </w:tcPr>
          <w:p w14:paraId="0F2EC3E7"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Little/No collaboration with suppliers on technical level</w:t>
            </w:r>
          </w:p>
          <w:p w14:paraId="101E28FF"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Neglect of suppliers’ knowledge</w:t>
            </w:r>
          </w:p>
          <w:p w14:paraId="70177B53"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Little/No learning from suppliers</w:t>
            </w:r>
          </w:p>
          <w:p w14:paraId="4FE3244D" w14:textId="77777777" w:rsidR="001346DF" w:rsidRPr="0002452F" w:rsidRDefault="001346DF" w:rsidP="007A457A">
            <w:pPr>
              <w:tabs>
                <w:tab w:val="center" w:pos="4320"/>
                <w:tab w:val="right" w:pos="8640"/>
              </w:tabs>
              <w:spacing w:line="360" w:lineRule="auto"/>
              <w:rPr>
                <w:rFonts w:ascii="Times New Roman" w:hAnsi="Times New Roman" w:cs="Times New Roman"/>
                <w:color w:val="000000" w:themeColor="text1"/>
                <w:sz w:val="20"/>
                <w:szCs w:val="20"/>
              </w:rPr>
            </w:pPr>
          </w:p>
          <w:p w14:paraId="57F46F45" w14:textId="77777777" w:rsidR="001346DF" w:rsidRPr="0002452F" w:rsidRDefault="001346DF" w:rsidP="007A457A">
            <w:pPr>
              <w:tabs>
                <w:tab w:val="center" w:pos="4320"/>
                <w:tab w:val="right" w:pos="8640"/>
              </w:tabs>
              <w:spacing w:line="360" w:lineRule="auto"/>
              <w:rPr>
                <w:rFonts w:ascii="Times New Roman" w:hAnsi="Times New Roman" w:cs="Times New Roman"/>
                <w:color w:val="000000" w:themeColor="text1"/>
                <w:sz w:val="20"/>
                <w:szCs w:val="20"/>
              </w:rPr>
            </w:pPr>
          </w:p>
        </w:tc>
        <w:tc>
          <w:tcPr>
            <w:tcW w:w="3600" w:type="dxa"/>
          </w:tcPr>
          <w:p w14:paraId="575D86FA" w14:textId="77777777" w:rsidR="001346DF" w:rsidRPr="0068584C" w:rsidRDefault="001346DF" w:rsidP="007A457A">
            <w:pPr>
              <w:keepNext/>
              <w:keepLines/>
              <w:numPr>
                <w:ilvl w:val="0"/>
                <w:numId w:val="4"/>
              </w:numPr>
              <w:spacing w:before="200" w:line="360" w:lineRule="auto"/>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Close in-depth collaboration with suppliers on technical level</w:t>
            </w:r>
          </w:p>
          <w:p w14:paraId="3A1007A7"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Processes to effectively utilize suppliers’ knowledge</w:t>
            </w:r>
          </w:p>
          <w:p w14:paraId="14025B8D"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Systematic learning from suppliers</w:t>
            </w:r>
          </w:p>
          <w:p w14:paraId="397EE772" w14:textId="77777777" w:rsidR="001346DF" w:rsidRPr="0002452F" w:rsidRDefault="001346DF" w:rsidP="007A457A">
            <w:pPr>
              <w:tabs>
                <w:tab w:val="center" w:pos="4320"/>
                <w:tab w:val="right" w:pos="8640"/>
              </w:tabs>
              <w:spacing w:line="360" w:lineRule="auto"/>
              <w:rPr>
                <w:rFonts w:ascii="Times New Roman" w:hAnsi="Times New Roman" w:cs="Times New Roman"/>
                <w:color w:val="000000" w:themeColor="text1"/>
                <w:sz w:val="20"/>
                <w:szCs w:val="20"/>
              </w:rPr>
            </w:pPr>
          </w:p>
        </w:tc>
      </w:tr>
      <w:tr w:rsidR="001346DF" w:rsidRPr="0002452F" w14:paraId="42C95A30" w14:textId="77777777" w:rsidTr="007A457A">
        <w:tc>
          <w:tcPr>
            <w:tcW w:w="1440" w:type="dxa"/>
          </w:tcPr>
          <w:p w14:paraId="13DE29F4" w14:textId="77777777" w:rsidR="001346DF" w:rsidRPr="0068584C" w:rsidRDefault="001346DF" w:rsidP="007A457A">
            <w:pPr>
              <w:keepNext/>
              <w:keepLines/>
              <w:spacing w:before="200" w:line="360" w:lineRule="auto"/>
              <w:ind w:left="-90"/>
              <w:contextualSpacing/>
              <w:jc w:val="both"/>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Co-Location</w:t>
            </w:r>
          </w:p>
        </w:tc>
        <w:tc>
          <w:tcPr>
            <w:tcW w:w="3600" w:type="dxa"/>
          </w:tcPr>
          <w:p w14:paraId="4CFC303C"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 xml:space="preserve"> No ongoing physical presence of suppliers’ staff members</w:t>
            </w:r>
          </w:p>
          <w:p w14:paraId="01D3494A"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Use of only (temporary) business travel</w:t>
            </w:r>
          </w:p>
        </w:tc>
        <w:tc>
          <w:tcPr>
            <w:tcW w:w="3600" w:type="dxa"/>
          </w:tcPr>
          <w:p w14:paraId="21AF470B"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Suppliers send staff to focal firm (ongoing continuous presence)</w:t>
            </w:r>
          </w:p>
          <w:p w14:paraId="5C453C73" w14:textId="77777777" w:rsidR="001346DF" w:rsidRPr="0068584C" w:rsidRDefault="001346DF"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Supplier’s engineers are physically on-site and integrated in development teams</w:t>
            </w:r>
          </w:p>
          <w:p w14:paraId="672CF53F" w14:textId="77777777" w:rsidR="001346DF" w:rsidRPr="0002452F" w:rsidRDefault="001346DF" w:rsidP="007A457A">
            <w:pPr>
              <w:tabs>
                <w:tab w:val="center" w:pos="4320"/>
                <w:tab w:val="right" w:pos="8640"/>
              </w:tabs>
              <w:spacing w:line="360" w:lineRule="auto"/>
              <w:rPr>
                <w:rFonts w:ascii="Times New Roman" w:hAnsi="Times New Roman" w:cs="Times New Roman"/>
                <w:color w:val="000000" w:themeColor="text1"/>
                <w:sz w:val="20"/>
                <w:szCs w:val="20"/>
              </w:rPr>
            </w:pPr>
          </w:p>
        </w:tc>
      </w:tr>
    </w:tbl>
    <w:p w14:paraId="0D2BF693" w14:textId="7DFCC414" w:rsidR="00DE0C1A" w:rsidRPr="0068584C" w:rsidRDefault="00DE0C1A" w:rsidP="0035460B">
      <w:pPr>
        <w:spacing w:line="480" w:lineRule="auto"/>
        <w:jc w:val="both"/>
        <w:rPr>
          <w:rFonts w:ascii="Times New Roman" w:hAnsi="Times New Roman" w:cs="Times New Roman"/>
          <w:color w:val="000000" w:themeColor="text1"/>
        </w:rPr>
      </w:pPr>
    </w:p>
    <w:p w14:paraId="29B0B29A" w14:textId="77777777" w:rsidR="008D36D4" w:rsidRPr="0068584C" w:rsidRDefault="008D36D4" w:rsidP="0035460B">
      <w:pPr>
        <w:spacing w:line="480" w:lineRule="auto"/>
        <w:rPr>
          <w:rFonts w:ascii="Times New Roman" w:hAnsi="Times New Roman" w:cs="Times New Roman"/>
          <w:color w:val="000000" w:themeColor="text1"/>
        </w:rPr>
      </w:pPr>
    </w:p>
    <w:p w14:paraId="332CE099" w14:textId="77777777" w:rsidR="00732588" w:rsidRPr="0068584C" w:rsidRDefault="00732588" w:rsidP="0035460B">
      <w:pPr>
        <w:spacing w:line="480" w:lineRule="auto"/>
        <w:rPr>
          <w:rFonts w:ascii="Times New Roman" w:hAnsi="Times New Roman" w:cs="Times New Roman"/>
          <w:color w:val="000000" w:themeColor="text1"/>
        </w:rPr>
        <w:sectPr w:rsidR="00732588" w:rsidRPr="0068584C" w:rsidSect="001511DD">
          <w:pgSz w:w="12240" w:h="15840"/>
          <w:pgMar w:top="1224" w:right="1800" w:bottom="1008" w:left="1800" w:header="576" w:footer="720" w:gutter="0"/>
          <w:cols w:space="720"/>
          <w:titlePg/>
          <w:docGrid w:linePitch="360"/>
        </w:sectPr>
      </w:pPr>
    </w:p>
    <w:p w14:paraId="6708D40C" w14:textId="08FE948D" w:rsidR="000B457B" w:rsidRDefault="000B457B" w:rsidP="000B457B">
      <w:pPr>
        <w:pStyle w:val="Caption"/>
        <w:keepNext/>
      </w:pPr>
      <w:bookmarkStart w:id="85" w:name="_Toc358326848"/>
      <w:bookmarkStart w:id="86" w:name="_Ref357387445"/>
      <w:r>
        <w:lastRenderedPageBreak/>
        <w:t xml:space="preserve">Table </w:t>
      </w:r>
      <w:fldSimple w:instr=" SEQ Table \* ARABIC ">
        <w:r w:rsidR="00C2793E">
          <w:rPr>
            <w:noProof/>
          </w:rPr>
          <w:t>12</w:t>
        </w:r>
        <w:bookmarkEnd w:id="85"/>
      </w:fldSimple>
      <w:bookmarkEnd w:id="86"/>
    </w:p>
    <w:p w14:paraId="180DB224" w14:textId="44661C3E" w:rsidR="00C50360" w:rsidRPr="003B769C" w:rsidRDefault="006909D7" w:rsidP="008C76D8">
      <w:pPr>
        <w:rPr>
          <w:rFonts w:ascii="Times New Roman" w:hAnsi="Times New Roman" w:cs="Times New Roman"/>
          <w:b/>
          <w:color w:val="000000" w:themeColor="text1"/>
        </w:rPr>
      </w:pPr>
      <w:r w:rsidRPr="003B769C">
        <w:rPr>
          <w:rFonts w:ascii="Times New Roman" w:hAnsi="Times New Roman" w:cs="Times New Roman"/>
          <w:b/>
          <w:color w:val="000000" w:themeColor="text1"/>
        </w:rPr>
        <w:t>Bundling</w:t>
      </w:r>
    </w:p>
    <w:p w14:paraId="6CB1DBCA" w14:textId="30A2DD6E" w:rsidR="00C50360" w:rsidRDefault="00774882" w:rsidP="0035460B">
      <w:pPr>
        <w:spacing w:line="480" w:lineRule="auto"/>
        <w:rPr>
          <w:rFonts w:ascii="Times New Roman" w:hAnsi="Times New Roman" w:cs="Times New Roman"/>
          <w:color w:val="000000" w:themeColor="text1"/>
        </w:rPr>
      </w:pPr>
      <w:r w:rsidRPr="0068584C">
        <w:rPr>
          <w:rFonts w:ascii="Times New Roman" w:hAnsi="Times New Roman" w:cs="Times New Roman"/>
          <w:noProof/>
          <w:color w:val="000000" w:themeColor="text1"/>
        </w:rPr>
        <w:drawing>
          <wp:inline distT="0" distB="0" distL="0" distR="0" wp14:anchorId="5C7818E6" wp14:editId="39CCBDB2">
            <wp:extent cx="7770707" cy="5060064"/>
            <wp:effectExtent l="0" t="0" r="1905"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70780" cy="5060111"/>
                    </a:xfrm>
                    <a:prstGeom prst="rect">
                      <a:avLst/>
                    </a:prstGeom>
                    <a:noFill/>
                    <a:ln>
                      <a:noFill/>
                    </a:ln>
                  </pic:spPr>
                </pic:pic>
              </a:graphicData>
            </a:graphic>
          </wp:inline>
        </w:drawing>
      </w:r>
    </w:p>
    <w:p w14:paraId="4265670C" w14:textId="435B1ED3" w:rsidR="002A423C" w:rsidRPr="003B769C" w:rsidRDefault="002A423C" w:rsidP="008C76D8">
      <w:pPr>
        <w:rPr>
          <w:rFonts w:ascii="Times New Roman" w:hAnsi="Times New Roman" w:cs="Times New Roman"/>
          <w:b/>
          <w:color w:val="000000" w:themeColor="text1"/>
        </w:rPr>
      </w:pPr>
      <w:r w:rsidRPr="003B769C">
        <w:rPr>
          <w:rFonts w:ascii="Times New Roman" w:hAnsi="Times New Roman" w:cs="Times New Roman"/>
          <w:b/>
          <w:color w:val="000000" w:themeColor="text1"/>
        </w:rPr>
        <w:lastRenderedPageBreak/>
        <w:t xml:space="preserve">Table </w:t>
      </w:r>
      <w:r w:rsidR="003B769C" w:rsidRPr="003B769C">
        <w:rPr>
          <w:rFonts w:ascii="Times New Roman" w:hAnsi="Times New Roman" w:cs="Times New Roman"/>
          <w:b/>
          <w:color w:val="000000" w:themeColor="text1"/>
        </w:rPr>
        <w:t>12</w:t>
      </w:r>
      <w:r w:rsidRPr="003B769C">
        <w:rPr>
          <w:rFonts w:ascii="Times New Roman" w:hAnsi="Times New Roman" w:cs="Times New Roman"/>
          <w:b/>
          <w:color w:val="000000" w:themeColor="text1"/>
        </w:rPr>
        <w:t>: Bundling (continued)</w:t>
      </w:r>
    </w:p>
    <w:p w14:paraId="3AA62968" w14:textId="0610D436" w:rsidR="00261E9A" w:rsidRPr="0068584C" w:rsidRDefault="00E94377" w:rsidP="0035460B">
      <w:pPr>
        <w:spacing w:line="480" w:lineRule="auto"/>
        <w:rPr>
          <w:rFonts w:ascii="Times New Roman" w:hAnsi="Times New Roman" w:cs="Times New Roman"/>
          <w:color w:val="000000" w:themeColor="text1"/>
        </w:rPr>
      </w:pPr>
      <w:r w:rsidRPr="0068584C">
        <w:rPr>
          <w:rFonts w:ascii="Times New Roman" w:hAnsi="Times New Roman" w:cs="Times New Roman"/>
          <w:noProof/>
          <w:color w:val="000000" w:themeColor="text1"/>
        </w:rPr>
        <w:drawing>
          <wp:inline distT="0" distB="0" distL="0" distR="0" wp14:anchorId="168DB7FA" wp14:editId="079BFBA0">
            <wp:extent cx="8373745" cy="4919345"/>
            <wp:effectExtent l="0" t="0" r="825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73745" cy="4919345"/>
                    </a:xfrm>
                    <a:prstGeom prst="rect">
                      <a:avLst/>
                    </a:prstGeom>
                    <a:noFill/>
                    <a:ln>
                      <a:noFill/>
                    </a:ln>
                  </pic:spPr>
                </pic:pic>
              </a:graphicData>
            </a:graphic>
          </wp:inline>
        </w:drawing>
      </w:r>
    </w:p>
    <w:p w14:paraId="1CB888AE" w14:textId="1AE804C8" w:rsidR="00057012" w:rsidRPr="0068584C" w:rsidRDefault="00057012" w:rsidP="0035460B">
      <w:pPr>
        <w:spacing w:line="480" w:lineRule="auto"/>
        <w:rPr>
          <w:rFonts w:ascii="Times New Roman" w:hAnsi="Times New Roman" w:cs="Times New Roman"/>
          <w:color w:val="000000" w:themeColor="text1"/>
        </w:rPr>
        <w:sectPr w:rsidR="00057012" w:rsidRPr="0068584C" w:rsidSect="003245FB">
          <w:pgSz w:w="15840" w:h="12240" w:orient="landscape"/>
          <w:pgMar w:top="1800" w:right="1008" w:bottom="1800" w:left="1224" w:header="576" w:footer="720" w:gutter="0"/>
          <w:cols w:space="720"/>
          <w:titlePg/>
          <w:docGrid w:linePitch="360"/>
        </w:sectPr>
      </w:pPr>
    </w:p>
    <w:p w14:paraId="1FA4CE32" w14:textId="5319B819" w:rsidR="00D34E13" w:rsidRPr="0068584C" w:rsidRDefault="00D34E13" w:rsidP="0035460B">
      <w:pPr>
        <w:spacing w:line="480" w:lineRule="auto"/>
        <w:rPr>
          <w:rFonts w:ascii="Times New Roman" w:hAnsi="Times New Roman" w:cs="Times New Roman"/>
          <w:color w:val="000000" w:themeColor="text1"/>
        </w:rPr>
      </w:pPr>
    </w:p>
    <w:p w14:paraId="1F72C332" w14:textId="512E8202" w:rsidR="00B95384" w:rsidRPr="0068584C" w:rsidRDefault="00174866"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To summarize the assessment of bundling practices in the technology equipment industry: While all companies exercised integration both across and within organizations, the balance between internal and external integration appears to differ.  The use of co-location of supplier representatives physically residing on the customer premises can be interpreted as a substantial investment in external integration. Overall, LOG showed a very strong attention to external integration while AUTO demonstrated only a medium emphasis in this regard. One explanation might be that AUTO is the only case company in a Tier-1 position compared to the other case companies who are the OEM’s in their supply chain. Hence, AUTO is frequently dealing with rather medium-sized Tier-2 suppliers that don’t have sufficient resources to send company representatives to their customer AUTO. </w:t>
      </w:r>
    </w:p>
    <w:p w14:paraId="2B326BCC" w14:textId="36AC4DDC" w:rsidR="00174866" w:rsidRPr="0068584C" w:rsidRDefault="002E22D9"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B95384" w:rsidRPr="0068584C">
        <w:rPr>
          <w:rFonts w:ascii="Times New Roman" w:hAnsi="Times New Roman" w:cs="Times New Roman"/>
          <w:color w:val="000000" w:themeColor="text1"/>
        </w:rPr>
        <w:t>As the case study revealed</w:t>
      </w:r>
      <w:r w:rsidR="00174866" w:rsidRPr="0068584C">
        <w:rPr>
          <w:rFonts w:ascii="Times New Roman" w:hAnsi="Times New Roman" w:cs="Times New Roman"/>
          <w:color w:val="000000" w:themeColor="text1"/>
        </w:rPr>
        <w:t xml:space="preserve">, the bundling practices are context-dependent. In </w:t>
      </w:r>
      <w:r w:rsidR="00B95384" w:rsidRPr="0068584C">
        <w:rPr>
          <w:rFonts w:ascii="Times New Roman" w:hAnsi="Times New Roman" w:cs="Times New Roman"/>
          <w:color w:val="000000" w:themeColor="text1"/>
        </w:rPr>
        <w:t>many</w:t>
      </w:r>
      <w:r w:rsidR="00174866" w:rsidRPr="0068584C">
        <w:rPr>
          <w:rFonts w:ascii="Times New Roman" w:hAnsi="Times New Roman" w:cs="Times New Roman"/>
          <w:color w:val="000000" w:themeColor="text1"/>
        </w:rPr>
        <w:t xml:space="preserve"> markets, the OEM is the most powerful player in the supply chain</w:t>
      </w:r>
      <w:r w:rsidR="00B95384" w:rsidRPr="0068584C">
        <w:rPr>
          <w:rFonts w:ascii="Times New Roman" w:hAnsi="Times New Roman" w:cs="Times New Roman"/>
          <w:color w:val="000000" w:themeColor="text1"/>
        </w:rPr>
        <w:t>.</w:t>
      </w:r>
      <w:r w:rsidR="00174866" w:rsidRPr="0068584C">
        <w:rPr>
          <w:rFonts w:ascii="Times New Roman" w:hAnsi="Times New Roman" w:cs="Times New Roman"/>
          <w:color w:val="000000" w:themeColor="text1"/>
        </w:rPr>
        <w:t xml:space="preserve"> </w:t>
      </w:r>
      <w:r w:rsidR="00B95384" w:rsidRPr="0068584C">
        <w:rPr>
          <w:rFonts w:ascii="Times New Roman" w:hAnsi="Times New Roman" w:cs="Times New Roman"/>
          <w:color w:val="000000" w:themeColor="text1"/>
        </w:rPr>
        <w:t>However, in other environments</w:t>
      </w:r>
      <w:r w:rsidR="00174866" w:rsidRPr="0068584C">
        <w:rPr>
          <w:rFonts w:ascii="Times New Roman" w:hAnsi="Times New Roman" w:cs="Times New Roman"/>
          <w:color w:val="000000" w:themeColor="text1"/>
        </w:rPr>
        <w:t>, either downstream distribution (e.g., retailers) or upstream supply chain partners (e.g., key suppliers with valuable external resources) can exercise more power</w:t>
      </w:r>
      <w:r w:rsidR="00B95384" w:rsidRPr="0068584C">
        <w:rPr>
          <w:rFonts w:ascii="Times New Roman" w:hAnsi="Times New Roman" w:cs="Times New Roman"/>
          <w:color w:val="000000" w:themeColor="text1"/>
        </w:rPr>
        <w:t xml:space="preserve"> and thereby determine and influence the appropriate mix of bundling practices</w:t>
      </w:r>
      <w:r w:rsidR="00174866" w:rsidRPr="0068584C">
        <w:rPr>
          <w:rFonts w:ascii="Times New Roman" w:hAnsi="Times New Roman" w:cs="Times New Roman"/>
          <w:color w:val="000000" w:themeColor="text1"/>
        </w:rPr>
        <w:t>.</w:t>
      </w:r>
      <w:r w:rsidR="0020395C" w:rsidRPr="0068584C">
        <w:rPr>
          <w:rFonts w:ascii="Times New Roman" w:hAnsi="Times New Roman" w:cs="Times New Roman"/>
          <w:color w:val="000000" w:themeColor="text1"/>
        </w:rPr>
        <w:t xml:space="preserve"> Successful e</w:t>
      </w:r>
      <w:r w:rsidR="000D33B6" w:rsidRPr="0068584C">
        <w:rPr>
          <w:rFonts w:ascii="Times New Roman" w:hAnsi="Times New Roman" w:cs="Times New Roman"/>
          <w:color w:val="000000" w:themeColor="text1"/>
        </w:rPr>
        <w:t xml:space="preserve">xternal integration </w:t>
      </w:r>
      <w:r w:rsidR="0020395C" w:rsidRPr="0068584C">
        <w:rPr>
          <w:rFonts w:ascii="Times New Roman" w:hAnsi="Times New Roman" w:cs="Times New Roman"/>
          <w:color w:val="000000" w:themeColor="text1"/>
        </w:rPr>
        <w:t>requires</w:t>
      </w:r>
      <w:r w:rsidR="00174866" w:rsidRPr="0068584C">
        <w:rPr>
          <w:rFonts w:ascii="Times New Roman" w:hAnsi="Times New Roman" w:cs="Times New Roman"/>
          <w:color w:val="000000" w:themeColor="text1"/>
        </w:rPr>
        <w:t xml:space="preserve"> </w:t>
      </w:r>
      <w:r w:rsidR="0020395C" w:rsidRPr="0068584C">
        <w:rPr>
          <w:rFonts w:ascii="Times New Roman" w:hAnsi="Times New Roman" w:cs="Times New Roman"/>
          <w:color w:val="000000" w:themeColor="text1"/>
        </w:rPr>
        <w:t>the attention and commitment of both sides.</w:t>
      </w:r>
      <w:r w:rsidR="002D30E3" w:rsidRPr="0068584C">
        <w:rPr>
          <w:rFonts w:ascii="Times New Roman" w:hAnsi="Times New Roman" w:cs="Times New Roman"/>
          <w:color w:val="000000" w:themeColor="text1"/>
        </w:rPr>
        <w:t xml:space="preserve"> </w:t>
      </w:r>
      <w:r w:rsidR="00D40653" w:rsidRPr="0068584C">
        <w:rPr>
          <w:rFonts w:ascii="Times New Roman" w:hAnsi="Times New Roman" w:cs="Times New Roman"/>
          <w:color w:val="000000" w:themeColor="text1"/>
        </w:rPr>
        <w:t xml:space="preserve"> Accordingly, external integration efforts of bundling are influenced by environmental factors. Similarly, the internal bundling practices of coordination were prioritized by AERO-2, LOG, and EQUIP</w:t>
      </w:r>
      <w:r w:rsidR="00AC0A99" w:rsidRPr="0068584C">
        <w:rPr>
          <w:rFonts w:ascii="Times New Roman" w:hAnsi="Times New Roman" w:cs="Times New Roman"/>
          <w:color w:val="000000" w:themeColor="text1"/>
        </w:rPr>
        <w:t xml:space="preserve"> due to a number of influences, which might not be sufficiently understood at this time.</w:t>
      </w:r>
      <w:r w:rsidR="00D40653" w:rsidRPr="0068584C">
        <w:rPr>
          <w:rFonts w:ascii="Times New Roman" w:hAnsi="Times New Roman" w:cs="Times New Roman"/>
          <w:color w:val="000000" w:themeColor="text1"/>
        </w:rPr>
        <w:t xml:space="preserve"> </w:t>
      </w:r>
      <w:r w:rsidR="00174866" w:rsidRPr="0068584C">
        <w:rPr>
          <w:rFonts w:ascii="Times New Roman" w:hAnsi="Times New Roman" w:cs="Times New Roman"/>
          <w:color w:val="000000" w:themeColor="text1"/>
        </w:rPr>
        <w:t>Th</w:t>
      </w:r>
      <w:r>
        <w:rPr>
          <w:rFonts w:ascii="Times New Roman" w:hAnsi="Times New Roman" w:cs="Times New Roman"/>
          <w:color w:val="000000" w:themeColor="text1"/>
        </w:rPr>
        <w:t>is</w:t>
      </w:r>
      <w:r w:rsidR="00174866" w:rsidRPr="0068584C">
        <w:rPr>
          <w:rFonts w:ascii="Times New Roman" w:hAnsi="Times New Roman" w:cs="Times New Roman"/>
          <w:color w:val="000000" w:themeColor="text1"/>
        </w:rPr>
        <w:t xml:space="preserve"> case analysis </w:t>
      </w:r>
      <w:r>
        <w:rPr>
          <w:rFonts w:ascii="Times New Roman" w:hAnsi="Times New Roman" w:cs="Times New Roman"/>
          <w:color w:val="000000" w:themeColor="text1"/>
        </w:rPr>
        <w:t>indicated some gaps and</w:t>
      </w:r>
      <w:r w:rsidRPr="0068584C">
        <w:rPr>
          <w:rFonts w:ascii="Times New Roman" w:hAnsi="Times New Roman" w:cs="Times New Roman"/>
          <w:color w:val="000000" w:themeColor="text1"/>
        </w:rPr>
        <w:t xml:space="preserve"> </w:t>
      </w:r>
      <w:r w:rsidR="00174866" w:rsidRPr="0068584C">
        <w:rPr>
          <w:rFonts w:ascii="Times New Roman" w:hAnsi="Times New Roman" w:cs="Times New Roman"/>
          <w:color w:val="000000" w:themeColor="text1"/>
        </w:rPr>
        <w:t xml:space="preserve">suggestions for future research. Possibly, the current resource orchestration literature needs to differentiate </w:t>
      </w:r>
      <w:r>
        <w:rPr>
          <w:rFonts w:ascii="Times New Roman" w:hAnsi="Times New Roman" w:cs="Times New Roman"/>
          <w:color w:val="000000" w:themeColor="text1"/>
        </w:rPr>
        <w:t>in more depth</w:t>
      </w:r>
      <w:r w:rsidRPr="0068584C">
        <w:rPr>
          <w:rFonts w:ascii="Times New Roman" w:hAnsi="Times New Roman" w:cs="Times New Roman"/>
          <w:color w:val="000000" w:themeColor="text1"/>
        </w:rPr>
        <w:t xml:space="preserve"> </w:t>
      </w:r>
      <w:r w:rsidR="00174866" w:rsidRPr="0068584C">
        <w:rPr>
          <w:rFonts w:ascii="Times New Roman" w:hAnsi="Times New Roman" w:cs="Times New Roman"/>
          <w:color w:val="000000" w:themeColor="text1"/>
        </w:rPr>
        <w:t xml:space="preserve">in terms of what particular bundling activities need to be emphasized in which particular environment. So far, the general guideline of </w:t>
      </w:r>
      <w:r w:rsidR="00174866" w:rsidRPr="0068584C">
        <w:rPr>
          <w:rFonts w:ascii="Times New Roman" w:hAnsi="Times New Roman" w:cs="Times New Roman"/>
          <w:color w:val="000000" w:themeColor="text1"/>
        </w:rPr>
        <w:lastRenderedPageBreak/>
        <w:t xml:space="preserve">synchronizing bundling with the other two sub-processes </w:t>
      </w:r>
      <w:r w:rsidR="005F4F35">
        <w:rPr>
          <w:rFonts w:ascii="Times New Roman" w:hAnsi="Times New Roman" w:cs="Times New Roman"/>
          <w:color w:val="000000" w:themeColor="text1"/>
        </w:rPr>
        <w:t>might not yet be detailed enough in specific circumstances</w:t>
      </w:r>
      <w:r w:rsidR="00174866" w:rsidRPr="0068584C">
        <w:rPr>
          <w:rFonts w:ascii="Times New Roman" w:hAnsi="Times New Roman" w:cs="Times New Roman"/>
          <w:color w:val="000000" w:themeColor="text1"/>
        </w:rPr>
        <w:t>.</w:t>
      </w:r>
    </w:p>
    <w:p w14:paraId="1087216B" w14:textId="77777777" w:rsidR="00D34E13" w:rsidRPr="0068584C" w:rsidRDefault="00D34E13" w:rsidP="0035460B">
      <w:pPr>
        <w:spacing w:line="480" w:lineRule="auto"/>
        <w:rPr>
          <w:rFonts w:ascii="Times New Roman" w:hAnsi="Times New Roman" w:cs="Times New Roman"/>
          <w:color w:val="000000" w:themeColor="text1"/>
        </w:rPr>
      </w:pPr>
    </w:p>
    <w:p w14:paraId="238DF315" w14:textId="7C99F8BF" w:rsidR="00580345" w:rsidRPr="00595058" w:rsidRDefault="009B09AB" w:rsidP="00595058">
      <w:pPr>
        <w:pStyle w:val="Heading4new"/>
      </w:pPr>
      <w:r w:rsidRPr="00595058">
        <w:t>Leveraging</w:t>
      </w:r>
    </w:p>
    <w:p w14:paraId="2BB2C4A9" w14:textId="67D7618B" w:rsidR="00DB48DE" w:rsidRPr="0068584C" w:rsidRDefault="00333023"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One interesting finding is an apparent neglect of leveraging. </w:t>
      </w:r>
      <w:r w:rsidR="00DB48DE" w:rsidRPr="0068584C">
        <w:rPr>
          <w:rFonts w:ascii="Times New Roman" w:hAnsi="Times New Roman" w:cs="Times New Roman"/>
          <w:color w:val="000000" w:themeColor="text1"/>
        </w:rPr>
        <w:t xml:space="preserve">In contrast to the emphasis placed upon structuring and bundling activities, the interview participants did not focus very much on leveraging practices. </w:t>
      </w:r>
      <w:r w:rsidR="00875958" w:rsidRPr="0068584C">
        <w:rPr>
          <w:rFonts w:ascii="Times New Roman" w:hAnsi="Times New Roman" w:cs="Times New Roman"/>
          <w:color w:val="000000" w:themeColor="text1"/>
        </w:rPr>
        <w:t xml:space="preserve">In particular, the commercialization aspects appear neglected. At least, customer orientation was considered as essential. </w:t>
      </w:r>
      <w:r w:rsidR="005E0A65" w:rsidRPr="0068584C">
        <w:rPr>
          <w:rFonts w:ascii="Times New Roman" w:hAnsi="Times New Roman" w:cs="Times New Roman"/>
          <w:color w:val="000000" w:themeColor="text1"/>
        </w:rPr>
        <w:t xml:space="preserve">The three most important leveraging categories were the capturing of customer needs, the management of the interface to the customer, and the commercialization of the new product or service. </w:t>
      </w:r>
      <w:r w:rsidR="00DB48DE" w:rsidRPr="0068584C">
        <w:rPr>
          <w:rFonts w:ascii="Times New Roman" w:hAnsi="Times New Roman" w:cs="Times New Roman"/>
          <w:color w:val="000000" w:themeColor="text1"/>
        </w:rPr>
        <w:t>Overall, all five cases were relatively poor in terms of leveraging performance, when compared to structuring and bundling. Nonetheless, there are still noticeable differences between the cases in terms of leveraging.</w:t>
      </w:r>
    </w:p>
    <w:p w14:paraId="0F98D7A0" w14:textId="0B33AF31" w:rsidR="005E7177" w:rsidRPr="0068584C" w:rsidRDefault="0029586C"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B607D2" w:rsidRPr="0068584C">
        <w:rPr>
          <w:rFonts w:ascii="Times New Roman" w:hAnsi="Times New Roman" w:cs="Times New Roman"/>
          <w:color w:val="000000" w:themeColor="text1"/>
        </w:rPr>
        <w:t xml:space="preserve">The AUTO case company </w:t>
      </w:r>
      <w:r w:rsidR="001F641E">
        <w:rPr>
          <w:rFonts w:ascii="Times New Roman" w:hAnsi="Times New Roman" w:cs="Times New Roman"/>
          <w:color w:val="000000" w:themeColor="text1"/>
        </w:rPr>
        <w:t xml:space="preserve">distinctively </w:t>
      </w:r>
      <w:r w:rsidR="00B607D2" w:rsidRPr="0068584C">
        <w:rPr>
          <w:rFonts w:ascii="Times New Roman" w:hAnsi="Times New Roman" w:cs="Times New Roman"/>
          <w:color w:val="000000" w:themeColor="text1"/>
        </w:rPr>
        <w:t>showed relatively strong leveraging practices</w:t>
      </w:r>
      <w:r w:rsidR="001F641E">
        <w:rPr>
          <w:rFonts w:ascii="Times New Roman" w:hAnsi="Times New Roman" w:cs="Times New Roman"/>
          <w:color w:val="000000" w:themeColor="text1"/>
        </w:rPr>
        <w:t>.</w:t>
      </w:r>
      <w:r w:rsidR="00B607D2" w:rsidRPr="0068584C">
        <w:rPr>
          <w:rFonts w:ascii="Times New Roman" w:hAnsi="Times New Roman" w:cs="Times New Roman"/>
          <w:color w:val="000000" w:themeColor="text1"/>
        </w:rPr>
        <w:t xml:space="preserve"> </w:t>
      </w:r>
      <w:r w:rsidR="001F641E">
        <w:rPr>
          <w:rFonts w:ascii="Times New Roman" w:hAnsi="Times New Roman" w:cs="Times New Roman"/>
          <w:color w:val="000000" w:themeColor="text1"/>
        </w:rPr>
        <w:t>S</w:t>
      </w:r>
      <w:r w:rsidR="00B607D2" w:rsidRPr="0068584C">
        <w:rPr>
          <w:rFonts w:ascii="Times New Roman" w:hAnsi="Times New Roman" w:cs="Times New Roman"/>
          <w:color w:val="000000" w:themeColor="text1"/>
        </w:rPr>
        <w:t xml:space="preserve">everal managers emphasized the need to consider the commercialization opportunities of the newly developed goods and services. </w:t>
      </w:r>
      <w:r w:rsidR="005E7177" w:rsidRPr="0068584C">
        <w:rPr>
          <w:rFonts w:ascii="Times New Roman" w:hAnsi="Times New Roman" w:cs="Times New Roman"/>
          <w:color w:val="000000" w:themeColor="text1"/>
        </w:rPr>
        <w:t xml:space="preserve"> They were attentive to seasonality constraints and time windows not to jeopardize a  commercialization opportunity</w:t>
      </w:r>
      <w:r w:rsidR="00957E93" w:rsidRPr="0068584C">
        <w:rPr>
          <w:rFonts w:ascii="Times New Roman" w:hAnsi="Times New Roman" w:cs="Times New Roman"/>
          <w:color w:val="000000" w:themeColor="text1"/>
        </w:rPr>
        <w:t>.</w:t>
      </w:r>
    </w:p>
    <w:p w14:paraId="118B512D" w14:textId="77777777" w:rsidR="00576E27" w:rsidRPr="0068584C" w:rsidRDefault="00576E27" w:rsidP="0035460B">
      <w:pPr>
        <w:spacing w:line="480" w:lineRule="auto"/>
        <w:jc w:val="both"/>
        <w:rPr>
          <w:rFonts w:ascii="Times New Roman" w:hAnsi="Times New Roman" w:cs="Times New Roman"/>
          <w:color w:val="000000" w:themeColor="text1"/>
        </w:rPr>
      </w:pPr>
    </w:p>
    <w:p w14:paraId="48B9935E" w14:textId="3EE1BBB9" w:rsidR="00DD013E" w:rsidRPr="00273281" w:rsidRDefault="007F1267" w:rsidP="008C76D8">
      <w:pPr>
        <w:ind w:left="720"/>
        <w:jc w:val="both"/>
        <w:rPr>
          <w:rFonts w:ascii="Times New Roman" w:hAnsi="Times New Roman" w:cs="Times New Roman"/>
          <w:color w:val="000000" w:themeColor="text1"/>
        </w:rPr>
      </w:pPr>
      <w:r w:rsidRPr="00273281">
        <w:rPr>
          <w:rFonts w:ascii="Times New Roman" w:hAnsi="Times New Roman" w:cs="Times New Roman"/>
          <w:color w:val="000000" w:themeColor="text1"/>
        </w:rPr>
        <w:t>“… eventually getting purchase orders. That’s the final result that we’re looking for” (Brandon, AUTO)</w:t>
      </w:r>
    </w:p>
    <w:p w14:paraId="0364498B" w14:textId="77777777" w:rsidR="00E833D1" w:rsidRPr="00273281" w:rsidRDefault="00E833D1" w:rsidP="008C76D8">
      <w:pPr>
        <w:ind w:left="720"/>
        <w:jc w:val="both"/>
        <w:rPr>
          <w:rFonts w:ascii="Times New Roman" w:hAnsi="Times New Roman" w:cs="Times New Roman"/>
          <w:color w:val="000000" w:themeColor="text1"/>
        </w:rPr>
      </w:pPr>
    </w:p>
    <w:p w14:paraId="292EAFB1" w14:textId="2AABF49F" w:rsidR="007F1267" w:rsidRPr="00273281" w:rsidRDefault="007F1267" w:rsidP="008C76D8">
      <w:pPr>
        <w:ind w:left="720"/>
        <w:jc w:val="both"/>
        <w:rPr>
          <w:rFonts w:ascii="Times New Roman" w:hAnsi="Times New Roman" w:cs="Times New Roman"/>
          <w:color w:val="000000" w:themeColor="text1"/>
        </w:rPr>
      </w:pPr>
      <w:r w:rsidRPr="00273281">
        <w:rPr>
          <w:rFonts w:ascii="Times New Roman" w:hAnsi="Times New Roman" w:cs="Times New Roman"/>
          <w:color w:val="000000" w:themeColor="text1"/>
        </w:rPr>
        <w:t>“The bad side is you could spend a lot of time developing something and they’ll never order it. So that could be a customer risk there.” (Rodney, AUTO)</w:t>
      </w:r>
    </w:p>
    <w:p w14:paraId="396613DE" w14:textId="77777777" w:rsidR="00E833D1" w:rsidRPr="00273281" w:rsidRDefault="00E833D1" w:rsidP="008C76D8">
      <w:pPr>
        <w:ind w:left="720"/>
        <w:jc w:val="both"/>
        <w:rPr>
          <w:rFonts w:ascii="Times New Roman" w:hAnsi="Times New Roman" w:cs="Times New Roman"/>
          <w:color w:val="000000" w:themeColor="text1"/>
        </w:rPr>
      </w:pPr>
    </w:p>
    <w:p w14:paraId="7027A59D" w14:textId="744A6DBA" w:rsidR="007006B8" w:rsidRPr="00273281" w:rsidRDefault="007006B8" w:rsidP="008C76D8">
      <w:pPr>
        <w:ind w:left="720"/>
        <w:jc w:val="both"/>
        <w:rPr>
          <w:rFonts w:ascii="Times New Roman" w:hAnsi="Times New Roman" w:cs="Times New Roman"/>
          <w:color w:val="000000" w:themeColor="text1"/>
        </w:rPr>
      </w:pPr>
      <w:r w:rsidRPr="00273281">
        <w:rPr>
          <w:rFonts w:ascii="Times New Roman" w:hAnsi="Times New Roman" w:cs="Times New Roman"/>
          <w:color w:val="000000" w:themeColor="text1"/>
        </w:rPr>
        <w:t>“A lot of our stuff is seasonal and so for new equipment, it’s kind of … If you don’t get it by a certain date, then the next model year</w:t>
      </w:r>
      <w:r w:rsidR="005E7177" w:rsidRPr="00273281">
        <w:rPr>
          <w:rFonts w:ascii="Times New Roman" w:hAnsi="Times New Roman" w:cs="Times New Roman"/>
          <w:color w:val="000000" w:themeColor="text1"/>
        </w:rPr>
        <w:t>, you can’t get on that one</w:t>
      </w:r>
      <w:r w:rsidR="00576E27" w:rsidRPr="00273281">
        <w:rPr>
          <w:rFonts w:ascii="Times New Roman" w:hAnsi="Times New Roman" w:cs="Times New Roman"/>
          <w:color w:val="000000" w:themeColor="text1"/>
        </w:rPr>
        <w:t>. It has to wait for the next year”</w:t>
      </w:r>
      <w:r w:rsidRPr="00273281">
        <w:rPr>
          <w:rFonts w:ascii="Times New Roman" w:hAnsi="Times New Roman" w:cs="Times New Roman"/>
          <w:color w:val="000000" w:themeColor="text1"/>
        </w:rPr>
        <w:t xml:space="preserve"> </w:t>
      </w:r>
      <w:r w:rsidR="00D878C1" w:rsidRPr="00273281">
        <w:rPr>
          <w:rFonts w:ascii="Times New Roman" w:hAnsi="Times New Roman" w:cs="Times New Roman"/>
          <w:color w:val="000000" w:themeColor="text1"/>
        </w:rPr>
        <w:t>(Brandon, AUTO)</w:t>
      </w:r>
    </w:p>
    <w:p w14:paraId="1257471B" w14:textId="77777777" w:rsidR="00DD013E" w:rsidRPr="0068584C" w:rsidRDefault="00DD013E" w:rsidP="0035460B">
      <w:pPr>
        <w:spacing w:line="480" w:lineRule="auto"/>
        <w:ind w:left="720"/>
        <w:rPr>
          <w:rFonts w:ascii="Times New Roman" w:hAnsi="Times New Roman" w:cs="Times New Roman"/>
          <w:color w:val="000000" w:themeColor="text1"/>
        </w:rPr>
      </w:pPr>
    </w:p>
    <w:p w14:paraId="548CF2D3" w14:textId="07D372C5" w:rsidR="009C0DAD" w:rsidRPr="0068584C" w:rsidRDefault="00DD013E"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lastRenderedPageBreak/>
        <w:t>However, interview participants from other companies were noticeably silent about this aspect of leveraging.</w:t>
      </w:r>
      <w:r w:rsidR="005D129C" w:rsidRPr="0068584C">
        <w:rPr>
          <w:rFonts w:ascii="Times New Roman" w:hAnsi="Times New Roman" w:cs="Times New Roman"/>
          <w:color w:val="000000" w:themeColor="text1"/>
        </w:rPr>
        <w:t xml:space="preserve"> This difference among the case companies was interesting to observe.</w:t>
      </w:r>
      <w:r w:rsidR="005451AA" w:rsidRPr="0068584C">
        <w:rPr>
          <w:rFonts w:ascii="Times New Roman" w:hAnsi="Times New Roman" w:cs="Times New Roman"/>
          <w:color w:val="000000" w:themeColor="text1"/>
        </w:rPr>
        <w:t xml:space="preserve"> </w:t>
      </w:r>
      <w:r w:rsidR="009C0DAD" w:rsidRPr="0068584C">
        <w:rPr>
          <w:rFonts w:ascii="Times New Roman" w:hAnsi="Times New Roman" w:cs="Times New Roman"/>
          <w:color w:val="000000" w:themeColor="text1"/>
        </w:rPr>
        <w:t xml:space="preserve"> When comparing the cases, TECH-1 and AUTO are relatively strong in their leveraging practices (scoring 11 and 12) compared to the other three cases (scoring 5, 8, and 9)</w:t>
      </w:r>
      <w:r w:rsidR="001F641E">
        <w:rPr>
          <w:rFonts w:ascii="Times New Roman" w:hAnsi="Times New Roman" w:cs="Times New Roman"/>
          <w:color w:val="000000" w:themeColor="text1"/>
        </w:rPr>
        <w:t xml:space="preserve"> (Table 10)</w:t>
      </w:r>
      <w:r w:rsidR="009C0DAD" w:rsidRPr="0068584C">
        <w:rPr>
          <w:rFonts w:ascii="Times New Roman" w:hAnsi="Times New Roman" w:cs="Times New Roman"/>
          <w:color w:val="000000" w:themeColor="text1"/>
        </w:rPr>
        <w:t>. This observation is in stark contrast to the assessment of structuring and bundling where TECH-1 and AUTO exhibited relatively weak practices and were lagging behind the other three organizations. Hence, within the three sub-processes of SCRO, the leveraging sub-process appears to have unique characteristics compared to the other two.</w:t>
      </w:r>
    </w:p>
    <w:p w14:paraId="7734C206" w14:textId="1E6A9B72" w:rsidR="00330BE8" w:rsidRPr="0068584C" w:rsidRDefault="005F4F35" w:rsidP="00330BE8">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5451AA" w:rsidRPr="0068584C">
        <w:rPr>
          <w:rFonts w:ascii="Times New Roman" w:hAnsi="Times New Roman" w:cs="Times New Roman"/>
          <w:color w:val="000000" w:themeColor="text1"/>
        </w:rPr>
        <w:t xml:space="preserve">The following </w:t>
      </w:r>
      <w:r w:rsidR="006947F8">
        <w:rPr>
          <w:rFonts w:ascii="Times New Roman" w:hAnsi="Times New Roman" w:cs="Times New Roman"/>
          <w:color w:val="000000" w:themeColor="text1"/>
        </w:rPr>
        <w:fldChar w:fldCharType="begin"/>
      </w:r>
      <w:r w:rsidR="006947F8">
        <w:rPr>
          <w:rFonts w:ascii="Times New Roman" w:hAnsi="Times New Roman" w:cs="Times New Roman"/>
          <w:color w:val="000000" w:themeColor="text1"/>
        </w:rPr>
        <w:instrText xml:space="preserve"> REF _Ref357387561 \h </w:instrText>
      </w:r>
      <w:r w:rsidR="006947F8">
        <w:rPr>
          <w:rFonts w:ascii="Times New Roman" w:hAnsi="Times New Roman" w:cs="Times New Roman"/>
          <w:color w:val="000000" w:themeColor="text1"/>
        </w:rPr>
      </w:r>
      <w:r w:rsidR="006947F8">
        <w:rPr>
          <w:rFonts w:ascii="Times New Roman" w:hAnsi="Times New Roman" w:cs="Times New Roman"/>
          <w:color w:val="000000" w:themeColor="text1"/>
        </w:rPr>
        <w:fldChar w:fldCharType="separate"/>
      </w:r>
      <w:r w:rsidR="00C2793E">
        <w:t xml:space="preserve">Table </w:t>
      </w:r>
      <w:r w:rsidR="00C2793E">
        <w:rPr>
          <w:noProof/>
        </w:rPr>
        <w:t>14</w:t>
      </w:r>
      <w:r w:rsidR="006947F8">
        <w:rPr>
          <w:rFonts w:ascii="Times New Roman" w:hAnsi="Times New Roman" w:cs="Times New Roman"/>
          <w:color w:val="000000" w:themeColor="text1"/>
        </w:rPr>
        <w:fldChar w:fldCharType="end"/>
      </w:r>
      <w:r w:rsidR="006947F8">
        <w:rPr>
          <w:rFonts w:ascii="Times New Roman" w:hAnsi="Times New Roman" w:cs="Times New Roman"/>
          <w:color w:val="000000" w:themeColor="text1"/>
        </w:rPr>
        <w:t xml:space="preserve"> </w:t>
      </w:r>
      <w:r w:rsidR="005451AA" w:rsidRPr="0068584C">
        <w:rPr>
          <w:rFonts w:ascii="Times New Roman" w:hAnsi="Times New Roman" w:cs="Times New Roman"/>
          <w:color w:val="000000" w:themeColor="text1"/>
        </w:rPr>
        <w:t>depicts some key statements from the case companies to the three leveraging categories.</w:t>
      </w:r>
      <w:r w:rsidR="008B396D" w:rsidRPr="0068584C">
        <w:rPr>
          <w:rFonts w:ascii="Times New Roman" w:hAnsi="Times New Roman" w:cs="Times New Roman"/>
          <w:color w:val="000000" w:themeColor="text1"/>
        </w:rPr>
        <w:t xml:space="preserve"> </w:t>
      </w:r>
      <w:r w:rsidR="00330BE8">
        <w:rPr>
          <w:rFonts w:ascii="Times New Roman" w:hAnsi="Times New Roman" w:cs="Times New Roman"/>
          <w:color w:val="000000" w:themeColor="text1"/>
        </w:rPr>
        <w:t xml:space="preserve">Beforehand, </w:t>
      </w:r>
      <w:r w:rsidR="006947F8">
        <w:rPr>
          <w:rFonts w:ascii="Times New Roman" w:hAnsi="Times New Roman" w:cs="Times New Roman"/>
          <w:color w:val="000000" w:themeColor="text1"/>
        </w:rPr>
        <w:fldChar w:fldCharType="begin"/>
      </w:r>
      <w:r w:rsidR="006947F8">
        <w:rPr>
          <w:rFonts w:ascii="Times New Roman" w:hAnsi="Times New Roman" w:cs="Times New Roman"/>
          <w:color w:val="000000" w:themeColor="text1"/>
        </w:rPr>
        <w:instrText xml:space="preserve"> REF _Ref357387589 \h </w:instrText>
      </w:r>
      <w:r w:rsidR="006947F8">
        <w:rPr>
          <w:rFonts w:ascii="Times New Roman" w:hAnsi="Times New Roman" w:cs="Times New Roman"/>
          <w:color w:val="000000" w:themeColor="text1"/>
        </w:rPr>
      </w:r>
      <w:r w:rsidR="006947F8">
        <w:rPr>
          <w:rFonts w:ascii="Times New Roman" w:hAnsi="Times New Roman" w:cs="Times New Roman"/>
          <w:color w:val="000000" w:themeColor="text1"/>
        </w:rPr>
        <w:fldChar w:fldCharType="separate"/>
      </w:r>
      <w:r w:rsidR="00C2793E">
        <w:t xml:space="preserve">Table </w:t>
      </w:r>
      <w:r w:rsidR="00C2793E">
        <w:rPr>
          <w:noProof/>
        </w:rPr>
        <w:t>13</w:t>
      </w:r>
      <w:r w:rsidR="006947F8">
        <w:rPr>
          <w:rFonts w:ascii="Times New Roman" w:hAnsi="Times New Roman" w:cs="Times New Roman"/>
          <w:color w:val="000000" w:themeColor="text1"/>
        </w:rPr>
        <w:fldChar w:fldCharType="end"/>
      </w:r>
      <w:r w:rsidR="006947F8">
        <w:rPr>
          <w:rFonts w:ascii="Times New Roman" w:hAnsi="Times New Roman" w:cs="Times New Roman"/>
          <w:color w:val="000000" w:themeColor="text1"/>
        </w:rPr>
        <w:t xml:space="preserve"> </w:t>
      </w:r>
      <w:r w:rsidR="008B396D" w:rsidRPr="0068584C">
        <w:rPr>
          <w:rFonts w:ascii="Times New Roman" w:hAnsi="Times New Roman" w:cs="Times New Roman"/>
          <w:color w:val="000000" w:themeColor="text1"/>
        </w:rPr>
        <w:t>illustrates the criteria how the three categories were score</w:t>
      </w:r>
      <w:r w:rsidR="00330BE8">
        <w:rPr>
          <w:rFonts w:ascii="Times New Roman" w:hAnsi="Times New Roman" w:cs="Times New Roman"/>
          <w:color w:val="000000" w:themeColor="text1"/>
        </w:rPr>
        <w:t>d</w:t>
      </w:r>
      <w:r w:rsidR="008B396D" w:rsidRPr="0068584C">
        <w:rPr>
          <w:rFonts w:ascii="Times New Roman" w:hAnsi="Times New Roman" w:cs="Times New Roman"/>
          <w:color w:val="000000" w:themeColor="text1"/>
        </w:rPr>
        <w:t xml:space="preserve"> and provides examples of low and high score characteristics</w:t>
      </w:r>
      <w:r w:rsidR="00330BE8">
        <w:rPr>
          <w:rFonts w:ascii="Times New Roman" w:hAnsi="Times New Roman" w:cs="Times New Roman"/>
          <w:color w:val="000000" w:themeColor="text1"/>
        </w:rPr>
        <w:t xml:space="preserve"> of leveraging in the case companies</w:t>
      </w:r>
      <w:r w:rsidR="008B396D" w:rsidRPr="0068584C">
        <w:rPr>
          <w:rFonts w:ascii="Times New Roman" w:hAnsi="Times New Roman" w:cs="Times New Roman"/>
          <w:color w:val="000000" w:themeColor="text1"/>
        </w:rPr>
        <w:t>.</w:t>
      </w:r>
      <w:r w:rsidR="00330BE8">
        <w:rPr>
          <w:rFonts w:ascii="Times New Roman" w:hAnsi="Times New Roman" w:cs="Times New Roman"/>
          <w:color w:val="000000" w:themeColor="text1"/>
        </w:rPr>
        <w:t xml:space="preserve"> </w:t>
      </w:r>
    </w:p>
    <w:p w14:paraId="3E044AE1" w14:textId="77777777" w:rsidR="00330BE8" w:rsidRPr="0068584C" w:rsidRDefault="00330BE8" w:rsidP="00330BE8">
      <w:pPr>
        <w:spacing w:line="480" w:lineRule="auto"/>
        <w:rPr>
          <w:rFonts w:ascii="Times New Roman" w:hAnsi="Times New Roman" w:cs="Times New Roman"/>
          <w:color w:val="000000" w:themeColor="text1"/>
        </w:rPr>
      </w:pPr>
    </w:p>
    <w:p w14:paraId="39B7148A" w14:textId="77777777" w:rsidR="006438B2" w:rsidRDefault="006438B2" w:rsidP="00330BE8">
      <w:pPr>
        <w:spacing w:line="480" w:lineRule="auto"/>
        <w:rPr>
          <w:rFonts w:ascii="Times New Roman" w:hAnsi="Times New Roman" w:cs="Times New Roman"/>
          <w:color w:val="000000" w:themeColor="text1"/>
        </w:rPr>
      </w:pPr>
    </w:p>
    <w:p w14:paraId="3F9BCEF8" w14:textId="77777777" w:rsidR="006438B2" w:rsidRDefault="006438B2" w:rsidP="00330BE8">
      <w:pPr>
        <w:spacing w:line="480" w:lineRule="auto"/>
        <w:rPr>
          <w:rFonts w:ascii="Times New Roman" w:hAnsi="Times New Roman" w:cs="Times New Roman"/>
          <w:color w:val="000000" w:themeColor="text1"/>
        </w:rPr>
      </w:pPr>
    </w:p>
    <w:p w14:paraId="575FDBF4" w14:textId="77777777" w:rsidR="006438B2" w:rsidRDefault="006438B2" w:rsidP="00330BE8">
      <w:pPr>
        <w:spacing w:line="480" w:lineRule="auto"/>
        <w:rPr>
          <w:rFonts w:ascii="Times New Roman" w:hAnsi="Times New Roman" w:cs="Times New Roman"/>
          <w:color w:val="000000" w:themeColor="text1"/>
        </w:rPr>
      </w:pPr>
    </w:p>
    <w:p w14:paraId="13861402" w14:textId="77777777" w:rsidR="006438B2" w:rsidRDefault="006438B2" w:rsidP="00330BE8">
      <w:pPr>
        <w:spacing w:line="480" w:lineRule="auto"/>
        <w:rPr>
          <w:rFonts w:ascii="Times New Roman" w:hAnsi="Times New Roman" w:cs="Times New Roman"/>
          <w:color w:val="000000" w:themeColor="text1"/>
        </w:rPr>
      </w:pPr>
    </w:p>
    <w:p w14:paraId="19BA4794" w14:textId="77777777" w:rsidR="006438B2" w:rsidRDefault="006438B2" w:rsidP="00330BE8">
      <w:pPr>
        <w:spacing w:line="480" w:lineRule="auto"/>
        <w:rPr>
          <w:rFonts w:ascii="Times New Roman" w:hAnsi="Times New Roman" w:cs="Times New Roman"/>
          <w:color w:val="000000" w:themeColor="text1"/>
        </w:rPr>
      </w:pPr>
    </w:p>
    <w:p w14:paraId="1A58AABF" w14:textId="77777777" w:rsidR="006438B2" w:rsidRDefault="006438B2" w:rsidP="00330BE8">
      <w:pPr>
        <w:spacing w:line="480" w:lineRule="auto"/>
        <w:rPr>
          <w:rFonts w:ascii="Times New Roman" w:hAnsi="Times New Roman" w:cs="Times New Roman"/>
          <w:color w:val="000000" w:themeColor="text1"/>
        </w:rPr>
      </w:pPr>
    </w:p>
    <w:p w14:paraId="569B1AC8" w14:textId="77777777" w:rsidR="006438B2" w:rsidRDefault="006438B2" w:rsidP="00330BE8">
      <w:pPr>
        <w:spacing w:line="480" w:lineRule="auto"/>
        <w:rPr>
          <w:rFonts w:ascii="Times New Roman" w:hAnsi="Times New Roman" w:cs="Times New Roman"/>
          <w:color w:val="000000" w:themeColor="text1"/>
        </w:rPr>
      </w:pPr>
    </w:p>
    <w:p w14:paraId="175F49BE" w14:textId="77777777" w:rsidR="006438B2" w:rsidRDefault="006438B2" w:rsidP="00330BE8">
      <w:pPr>
        <w:spacing w:line="480" w:lineRule="auto"/>
        <w:rPr>
          <w:rFonts w:ascii="Times New Roman" w:hAnsi="Times New Roman" w:cs="Times New Roman"/>
          <w:color w:val="000000" w:themeColor="text1"/>
        </w:rPr>
      </w:pPr>
    </w:p>
    <w:p w14:paraId="3D9CC4C2" w14:textId="77777777" w:rsidR="006438B2" w:rsidRDefault="006438B2" w:rsidP="00330BE8">
      <w:pPr>
        <w:spacing w:line="480" w:lineRule="auto"/>
        <w:rPr>
          <w:rFonts w:ascii="Times New Roman" w:hAnsi="Times New Roman" w:cs="Times New Roman"/>
          <w:color w:val="000000" w:themeColor="text1"/>
        </w:rPr>
      </w:pPr>
    </w:p>
    <w:p w14:paraId="42350BEF" w14:textId="77777777" w:rsidR="006438B2" w:rsidRDefault="006438B2" w:rsidP="00330BE8">
      <w:pPr>
        <w:spacing w:line="480" w:lineRule="auto"/>
        <w:rPr>
          <w:rFonts w:ascii="Times New Roman" w:hAnsi="Times New Roman" w:cs="Times New Roman"/>
          <w:color w:val="000000" w:themeColor="text1"/>
        </w:rPr>
      </w:pPr>
    </w:p>
    <w:p w14:paraId="0817B847" w14:textId="77777777" w:rsidR="006438B2" w:rsidRDefault="006438B2" w:rsidP="00330BE8">
      <w:pPr>
        <w:spacing w:line="480" w:lineRule="auto"/>
        <w:rPr>
          <w:rFonts w:ascii="Times New Roman" w:hAnsi="Times New Roman" w:cs="Times New Roman"/>
          <w:color w:val="000000" w:themeColor="text1"/>
        </w:rPr>
      </w:pPr>
    </w:p>
    <w:p w14:paraId="10807077" w14:textId="01B44125" w:rsidR="003B769C" w:rsidRDefault="003B769C" w:rsidP="003B769C">
      <w:pPr>
        <w:pStyle w:val="Caption"/>
        <w:keepNext/>
      </w:pPr>
      <w:bookmarkStart w:id="87" w:name="_Toc358326849"/>
      <w:bookmarkStart w:id="88" w:name="_Ref357387589"/>
      <w:r>
        <w:lastRenderedPageBreak/>
        <w:t xml:space="preserve">Table </w:t>
      </w:r>
      <w:fldSimple w:instr=" SEQ Table \* ARABIC ">
        <w:r w:rsidR="00C2793E">
          <w:rPr>
            <w:noProof/>
          </w:rPr>
          <w:t>13</w:t>
        </w:r>
        <w:bookmarkEnd w:id="87"/>
      </w:fldSimple>
      <w:bookmarkEnd w:id="88"/>
    </w:p>
    <w:p w14:paraId="45B96664" w14:textId="21B24128" w:rsidR="00330BE8" w:rsidRPr="003B769C" w:rsidRDefault="00330BE8" w:rsidP="006438B2">
      <w:pPr>
        <w:rPr>
          <w:rFonts w:ascii="Times New Roman" w:hAnsi="Times New Roman" w:cs="Times New Roman"/>
          <w:b/>
          <w:color w:val="000000" w:themeColor="text1"/>
        </w:rPr>
      </w:pPr>
      <w:r w:rsidRPr="003B769C">
        <w:rPr>
          <w:rFonts w:ascii="Times New Roman" w:hAnsi="Times New Roman" w:cs="Times New Roman"/>
          <w:b/>
          <w:color w:val="000000" w:themeColor="text1"/>
        </w:rPr>
        <w:t>Leveraging Criteria</w:t>
      </w:r>
    </w:p>
    <w:tbl>
      <w:tblPr>
        <w:tblStyle w:val="TableGrid"/>
        <w:tblW w:w="8655" w:type="dxa"/>
        <w:tblLayout w:type="fixed"/>
        <w:tblLook w:val="04A0" w:firstRow="1" w:lastRow="0" w:firstColumn="1" w:lastColumn="0" w:noHBand="0" w:noVBand="1"/>
      </w:tblPr>
      <w:tblGrid>
        <w:gridCol w:w="1728"/>
        <w:gridCol w:w="3510"/>
        <w:gridCol w:w="3417"/>
      </w:tblGrid>
      <w:tr w:rsidR="006438B2" w:rsidRPr="0002452F" w14:paraId="3908469E" w14:textId="77777777" w:rsidTr="007A457A">
        <w:tc>
          <w:tcPr>
            <w:tcW w:w="1728" w:type="dxa"/>
          </w:tcPr>
          <w:p w14:paraId="185AC9C6" w14:textId="77777777" w:rsidR="006438B2" w:rsidRPr="0068584C" w:rsidRDefault="006438B2" w:rsidP="007A457A">
            <w:pPr>
              <w:keepNext/>
              <w:keepLines/>
              <w:spacing w:before="200" w:line="360" w:lineRule="auto"/>
              <w:ind w:left="144"/>
              <w:contextualSpacing/>
              <w:outlineLvl w:val="7"/>
              <w:rPr>
                <w:rFonts w:ascii="Times New Roman" w:hAnsi="Times New Roman" w:cs="Times New Roman"/>
                <w:b/>
                <w:color w:val="000000" w:themeColor="text1"/>
                <w:sz w:val="20"/>
                <w:szCs w:val="20"/>
              </w:rPr>
            </w:pPr>
            <w:r w:rsidRPr="0068584C">
              <w:rPr>
                <w:rFonts w:ascii="Times New Roman" w:hAnsi="Times New Roman" w:cs="Times New Roman"/>
                <w:b/>
                <w:color w:val="000000" w:themeColor="text1"/>
                <w:sz w:val="20"/>
                <w:szCs w:val="20"/>
              </w:rPr>
              <w:t>Category</w:t>
            </w:r>
          </w:p>
        </w:tc>
        <w:tc>
          <w:tcPr>
            <w:tcW w:w="3510" w:type="dxa"/>
          </w:tcPr>
          <w:p w14:paraId="6DFB61B5" w14:textId="77777777" w:rsidR="006438B2" w:rsidRPr="0068584C" w:rsidRDefault="006438B2" w:rsidP="007A457A">
            <w:pPr>
              <w:spacing w:line="360" w:lineRule="auto"/>
              <w:jc w:val="center"/>
              <w:rPr>
                <w:rFonts w:ascii="Times New Roman" w:hAnsi="Times New Roman" w:cs="Times New Roman"/>
                <w:b/>
                <w:color w:val="000000" w:themeColor="text1"/>
                <w:sz w:val="20"/>
                <w:szCs w:val="20"/>
              </w:rPr>
            </w:pPr>
            <w:r w:rsidRPr="0068584C">
              <w:rPr>
                <w:rFonts w:ascii="Times New Roman" w:hAnsi="Times New Roman" w:cs="Times New Roman"/>
                <w:b/>
                <w:color w:val="000000" w:themeColor="text1"/>
                <w:sz w:val="20"/>
                <w:szCs w:val="20"/>
              </w:rPr>
              <w:t>Low = 1</w:t>
            </w:r>
          </w:p>
        </w:tc>
        <w:tc>
          <w:tcPr>
            <w:tcW w:w="3417" w:type="dxa"/>
          </w:tcPr>
          <w:p w14:paraId="5FE0401B" w14:textId="77777777" w:rsidR="006438B2" w:rsidRPr="0068584C" w:rsidRDefault="006438B2" w:rsidP="007A457A">
            <w:pPr>
              <w:spacing w:line="360" w:lineRule="auto"/>
              <w:jc w:val="center"/>
              <w:rPr>
                <w:rFonts w:ascii="Times New Roman" w:hAnsi="Times New Roman" w:cs="Times New Roman"/>
                <w:b/>
                <w:color w:val="000000" w:themeColor="text1"/>
                <w:sz w:val="20"/>
                <w:szCs w:val="20"/>
              </w:rPr>
            </w:pPr>
            <w:r w:rsidRPr="0068584C">
              <w:rPr>
                <w:rFonts w:ascii="Times New Roman" w:hAnsi="Times New Roman" w:cs="Times New Roman"/>
                <w:b/>
                <w:color w:val="000000" w:themeColor="text1"/>
                <w:sz w:val="20"/>
                <w:szCs w:val="20"/>
              </w:rPr>
              <w:t>High = 5</w:t>
            </w:r>
          </w:p>
        </w:tc>
      </w:tr>
      <w:tr w:rsidR="006438B2" w:rsidRPr="0002452F" w14:paraId="56755864" w14:textId="77777777" w:rsidTr="007A457A">
        <w:tc>
          <w:tcPr>
            <w:tcW w:w="1728" w:type="dxa"/>
          </w:tcPr>
          <w:p w14:paraId="0D89EA14" w14:textId="77777777" w:rsidR="006438B2" w:rsidRPr="0068584C" w:rsidRDefault="006438B2" w:rsidP="007A457A">
            <w:pPr>
              <w:keepNext/>
              <w:keepLines/>
              <w:spacing w:before="200" w:line="360" w:lineRule="auto"/>
              <w:ind w:left="144"/>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Capturing Customer  Needs</w:t>
            </w:r>
          </w:p>
          <w:p w14:paraId="7EE5AA19" w14:textId="77777777" w:rsidR="006438B2" w:rsidRPr="0002452F" w:rsidRDefault="006438B2" w:rsidP="007A457A">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510" w:type="dxa"/>
          </w:tcPr>
          <w:p w14:paraId="4BBB810F"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Little/No attention to customer needs and customer requirements</w:t>
            </w:r>
          </w:p>
          <w:p w14:paraId="7352FF94" w14:textId="77777777" w:rsidR="006438B2" w:rsidRPr="0068584C" w:rsidRDefault="006438B2" w:rsidP="007A457A">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No systematic process to verify/ensure that customer requirements are met</w:t>
            </w:r>
          </w:p>
          <w:p w14:paraId="5223B684" w14:textId="77777777" w:rsidR="006438B2" w:rsidRPr="0068584C" w:rsidRDefault="006438B2" w:rsidP="007A457A">
            <w:pPr>
              <w:keepNext/>
              <w:keepLines/>
              <w:spacing w:before="200" w:line="360" w:lineRule="auto"/>
              <w:ind w:left="720"/>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 xml:space="preserve"> </w:t>
            </w:r>
          </w:p>
        </w:tc>
        <w:tc>
          <w:tcPr>
            <w:tcW w:w="3417" w:type="dxa"/>
          </w:tcPr>
          <w:p w14:paraId="3F1DD991"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High attention to customer needs and customer requirements</w:t>
            </w:r>
          </w:p>
          <w:p w14:paraId="773073ED"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Systematic process to verify/ensure that customer requirements are met</w:t>
            </w:r>
          </w:p>
          <w:p w14:paraId="18DC4CA7"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Informing customers continuously or bringing them onboard for milestones</w:t>
            </w:r>
          </w:p>
        </w:tc>
      </w:tr>
      <w:tr w:rsidR="006438B2" w:rsidRPr="0002452F" w14:paraId="791CDB94" w14:textId="77777777" w:rsidTr="007A457A">
        <w:tc>
          <w:tcPr>
            <w:tcW w:w="1728" w:type="dxa"/>
          </w:tcPr>
          <w:p w14:paraId="6ECCD73B" w14:textId="77777777" w:rsidR="006438B2" w:rsidRPr="0068584C" w:rsidRDefault="006438B2" w:rsidP="007A457A">
            <w:pPr>
              <w:keepNext/>
              <w:keepLines/>
              <w:spacing w:before="200" w:line="360" w:lineRule="auto"/>
              <w:ind w:left="144"/>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Managing the Customer Interface</w:t>
            </w:r>
          </w:p>
          <w:p w14:paraId="4369E9A5" w14:textId="77777777" w:rsidR="006438B2" w:rsidRPr="0002452F" w:rsidRDefault="006438B2" w:rsidP="007A457A">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510" w:type="dxa"/>
          </w:tcPr>
          <w:p w14:paraId="5135387B"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Rare/infrequent information exchange and communication with customers</w:t>
            </w:r>
          </w:p>
          <w:p w14:paraId="01C4A2D9"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No process to obtain feedback from customers</w:t>
            </w:r>
          </w:p>
        </w:tc>
        <w:tc>
          <w:tcPr>
            <w:tcW w:w="3417" w:type="dxa"/>
          </w:tcPr>
          <w:p w14:paraId="6FA82257"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Regular information exchange and communication with customers</w:t>
            </w:r>
          </w:p>
          <w:p w14:paraId="203A56B3"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Requesting feedback from customers</w:t>
            </w:r>
          </w:p>
        </w:tc>
      </w:tr>
      <w:tr w:rsidR="006438B2" w:rsidRPr="0002452F" w14:paraId="6552EF66" w14:textId="77777777" w:rsidTr="007A457A">
        <w:tc>
          <w:tcPr>
            <w:tcW w:w="1728" w:type="dxa"/>
          </w:tcPr>
          <w:p w14:paraId="6320B2B3" w14:textId="77777777" w:rsidR="006438B2" w:rsidRPr="0068584C" w:rsidRDefault="006438B2" w:rsidP="007A457A">
            <w:pPr>
              <w:keepNext/>
              <w:keepLines/>
              <w:spacing w:before="200" w:line="360" w:lineRule="auto"/>
              <w:ind w:left="144"/>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Commerciali</w:t>
            </w:r>
            <w:r>
              <w:rPr>
                <w:rFonts w:ascii="Times New Roman" w:hAnsi="Times New Roman" w:cs="Times New Roman"/>
                <w:color w:val="000000" w:themeColor="text1"/>
                <w:sz w:val="20"/>
                <w:szCs w:val="20"/>
              </w:rPr>
              <w:t>z</w:t>
            </w:r>
            <w:r w:rsidRPr="0068584C">
              <w:rPr>
                <w:rFonts w:ascii="Times New Roman" w:hAnsi="Times New Roman" w:cs="Times New Roman"/>
                <w:color w:val="000000" w:themeColor="text1"/>
                <w:sz w:val="20"/>
                <w:szCs w:val="20"/>
              </w:rPr>
              <w:t xml:space="preserve">ation </w:t>
            </w:r>
          </w:p>
          <w:p w14:paraId="787479A1" w14:textId="77777777" w:rsidR="006438B2" w:rsidRPr="0002452F" w:rsidRDefault="006438B2" w:rsidP="007A457A">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510" w:type="dxa"/>
          </w:tcPr>
          <w:p w14:paraId="276B1851" w14:textId="77777777" w:rsidR="006438B2" w:rsidRPr="0068584C" w:rsidRDefault="006438B2" w:rsidP="007A457A">
            <w:pPr>
              <w:keepNext/>
              <w:keepLines/>
              <w:numPr>
                <w:ilvl w:val="0"/>
                <w:numId w:val="7"/>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 xml:space="preserve">Little emphasis on Commercialization </w:t>
            </w:r>
          </w:p>
          <w:p w14:paraId="52909498"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Little/No awareness whether customer intends to purchase eventually</w:t>
            </w:r>
          </w:p>
          <w:p w14:paraId="0FA17BC4"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Little/No consideration of customers’ potential time windows (seasonality) or after market implications</w:t>
            </w:r>
          </w:p>
        </w:tc>
        <w:tc>
          <w:tcPr>
            <w:tcW w:w="3417" w:type="dxa"/>
          </w:tcPr>
          <w:p w14:paraId="4115BAF0"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Emphasis on receiving a purchase order from customers</w:t>
            </w:r>
          </w:p>
          <w:p w14:paraId="79B14D85" w14:textId="77777777" w:rsidR="006438B2" w:rsidRPr="0068584C" w:rsidRDefault="006438B2" w:rsidP="007A457A">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Ensuring that solutions are affordable and appropriate for customers (meeting their needs)</w:t>
            </w:r>
          </w:p>
          <w:p w14:paraId="21F7DA55"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Meeting time windows of customers  for their markets (e.g., seasonality)</w:t>
            </w:r>
          </w:p>
          <w:p w14:paraId="3C7FC1D3" w14:textId="77777777" w:rsidR="006438B2" w:rsidRPr="0068584C" w:rsidRDefault="006438B2" w:rsidP="007A457A">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68584C">
              <w:rPr>
                <w:rFonts w:ascii="Times New Roman" w:hAnsi="Times New Roman" w:cs="Times New Roman"/>
                <w:color w:val="000000" w:themeColor="text1"/>
                <w:sz w:val="20"/>
                <w:szCs w:val="20"/>
              </w:rPr>
              <w:t xml:space="preserve">Consideration of after-market (spare parts) </w:t>
            </w:r>
          </w:p>
          <w:p w14:paraId="0C3B986B" w14:textId="77777777" w:rsidR="006438B2" w:rsidRPr="0002452F" w:rsidRDefault="006438B2" w:rsidP="007A457A">
            <w:pPr>
              <w:tabs>
                <w:tab w:val="center" w:pos="4320"/>
                <w:tab w:val="right" w:pos="8640"/>
              </w:tabs>
              <w:spacing w:line="360" w:lineRule="auto"/>
              <w:rPr>
                <w:rFonts w:ascii="Times New Roman" w:hAnsi="Times New Roman" w:cs="Times New Roman"/>
                <w:color w:val="000000" w:themeColor="text1"/>
                <w:sz w:val="20"/>
                <w:szCs w:val="20"/>
              </w:rPr>
            </w:pPr>
          </w:p>
        </w:tc>
      </w:tr>
    </w:tbl>
    <w:p w14:paraId="7E86E70D" w14:textId="77777777" w:rsidR="006438B2" w:rsidRPr="0068584C" w:rsidRDefault="006438B2" w:rsidP="00330BE8">
      <w:pPr>
        <w:spacing w:line="480" w:lineRule="auto"/>
        <w:rPr>
          <w:rFonts w:ascii="Times New Roman" w:hAnsi="Times New Roman" w:cs="Times New Roman"/>
          <w:color w:val="000000" w:themeColor="text1"/>
        </w:rPr>
      </w:pPr>
    </w:p>
    <w:p w14:paraId="394FA077" w14:textId="54A91FC6" w:rsidR="00DD013E" w:rsidRPr="0068584C" w:rsidRDefault="00DD013E" w:rsidP="0035460B">
      <w:pPr>
        <w:spacing w:line="480" w:lineRule="auto"/>
        <w:jc w:val="both"/>
        <w:rPr>
          <w:rFonts w:ascii="Times New Roman" w:hAnsi="Times New Roman" w:cs="Times New Roman"/>
          <w:color w:val="000000" w:themeColor="text1"/>
        </w:rPr>
      </w:pPr>
    </w:p>
    <w:p w14:paraId="042F5852" w14:textId="77777777" w:rsidR="00DB48DE" w:rsidRPr="0068584C" w:rsidRDefault="00DB48DE" w:rsidP="0035460B">
      <w:pPr>
        <w:spacing w:line="480" w:lineRule="auto"/>
        <w:jc w:val="center"/>
        <w:rPr>
          <w:rFonts w:ascii="Times New Roman" w:hAnsi="Times New Roman" w:cs="Times New Roman"/>
          <w:color w:val="000000" w:themeColor="text1"/>
        </w:rPr>
      </w:pPr>
    </w:p>
    <w:p w14:paraId="275BFBDC" w14:textId="77777777" w:rsidR="00DB48DE" w:rsidRPr="0068584C" w:rsidRDefault="00DB48DE" w:rsidP="0035460B">
      <w:pPr>
        <w:spacing w:line="480" w:lineRule="auto"/>
        <w:jc w:val="center"/>
        <w:rPr>
          <w:rFonts w:ascii="Times New Roman" w:hAnsi="Times New Roman" w:cs="Times New Roman"/>
          <w:color w:val="000000" w:themeColor="text1"/>
        </w:rPr>
      </w:pPr>
    </w:p>
    <w:p w14:paraId="1D0A3E25" w14:textId="77777777" w:rsidR="00D174DC" w:rsidRPr="0068584C" w:rsidRDefault="00D174DC" w:rsidP="0035460B">
      <w:pPr>
        <w:spacing w:line="480" w:lineRule="auto"/>
        <w:jc w:val="center"/>
        <w:rPr>
          <w:rFonts w:ascii="Times New Roman" w:hAnsi="Times New Roman" w:cs="Times New Roman"/>
          <w:color w:val="000000" w:themeColor="text1"/>
        </w:rPr>
        <w:sectPr w:rsidR="00D174DC" w:rsidRPr="0068584C" w:rsidSect="001511DD">
          <w:pgSz w:w="12240" w:h="15840"/>
          <w:pgMar w:top="1224" w:right="1800" w:bottom="1008" w:left="1800" w:header="576" w:footer="720" w:gutter="0"/>
          <w:cols w:space="720"/>
          <w:titlePg/>
          <w:docGrid w:linePitch="360"/>
        </w:sectPr>
      </w:pPr>
    </w:p>
    <w:p w14:paraId="0EDFA329" w14:textId="134571A0" w:rsidR="003B769C" w:rsidRDefault="003B769C" w:rsidP="003B769C">
      <w:pPr>
        <w:pStyle w:val="Caption"/>
        <w:keepNext/>
      </w:pPr>
      <w:bookmarkStart w:id="89" w:name="_Toc358326850"/>
      <w:bookmarkStart w:id="90" w:name="_Ref357387561"/>
      <w:r>
        <w:lastRenderedPageBreak/>
        <w:t xml:space="preserve">Table </w:t>
      </w:r>
      <w:fldSimple w:instr=" SEQ Table \* ARABIC ">
        <w:r w:rsidR="00C2793E">
          <w:rPr>
            <w:noProof/>
          </w:rPr>
          <w:t>14</w:t>
        </w:r>
        <w:bookmarkEnd w:id="89"/>
      </w:fldSimple>
      <w:bookmarkEnd w:id="90"/>
    </w:p>
    <w:p w14:paraId="45ED0350" w14:textId="042A5858" w:rsidR="00E771A2" w:rsidRPr="003B769C" w:rsidRDefault="00544344" w:rsidP="008C76D8">
      <w:pPr>
        <w:rPr>
          <w:rFonts w:ascii="Times New Roman" w:hAnsi="Times New Roman" w:cs="Times New Roman"/>
          <w:b/>
          <w:color w:val="000000" w:themeColor="text1"/>
        </w:rPr>
      </w:pPr>
      <w:r w:rsidRPr="003B769C">
        <w:rPr>
          <w:rFonts w:ascii="Times New Roman" w:hAnsi="Times New Roman" w:cs="Times New Roman"/>
          <w:b/>
          <w:color w:val="000000" w:themeColor="text1"/>
        </w:rPr>
        <w:t>Leveraging</w:t>
      </w:r>
    </w:p>
    <w:p w14:paraId="27A42F68" w14:textId="0970E9F9" w:rsidR="009B09AB" w:rsidRPr="0068584C" w:rsidRDefault="00574F21" w:rsidP="0035460B">
      <w:pPr>
        <w:spacing w:line="480" w:lineRule="auto"/>
        <w:rPr>
          <w:rFonts w:ascii="Times New Roman" w:hAnsi="Times New Roman" w:cs="Times New Roman"/>
          <w:color w:val="000000" w:themeColor="text1"/>
        </w:rPr>
      </w:pPr>
      <w:r w:rsidRPr="0068584C">
        <w:rPr>
          <w:rFonts w:ascii="Times New Roman" w:hAnsi="Times New Roman" w:cs="Times New Roman"/>
          <w:noProof/>
          <w:color w:val="000000" w:themeColor="text1"/>
        </w:rPr>
        <w:drawing>
          <wp:inline distT="0" distB="0" distL="0" distR="0" wp14:anchorId="61FA316E" wp14:editId="38189475">
            <wp:extent cx="7770707" cy="4965781"/>
            <wp:effectExtent l="0" t="0" r="1905"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70887" cy="4965896"/>
                    </a:xfrm>
                    <a:prstGeom prst="rect">
                      <a:avLst/>
                    </a:prstGeom>
                    <a:noFill/>
                    <a:ln>
                      <a:noFill/>
                    </a:ln>
                  </pic:spPr>
                </pic:pic>
              </a:graphicData>
            </a:graphic>
          </wp:inline>
        </w:drawing>
      </w:r>
    </w:p>
    <w:p w14:paraId="60BB67F2" w14:textId="7D378185" w:rsidR="009B09AB" w:rsidRPr="003B769C" w:rsidRDefault="00383C66" w:rsidP="008C76D8">
      <w:pPr>
        <w:rPr>
          <w:rFonts w:ascii="Times New Roman" w:hAnsi="Times New Roman" w:cs="Times New Roman"/>
          <w:b/>
          <w:color w:val="000000" w:themeColor="text1"/>
        </w:rPr>
      </w:pPr>
      <w:r w:rsidRPr="003B769C">
        <w:rPr>
          <w:rFonts w:ascii="Times New Roman" w:hAnsi="Times New Roman" w:cs="Times New Roman"/>
          <w:b/>
          <w:color w:val="000000" w:themeColor="text1"/>
        </w:rPr>
        <w:lastRenderedPageBreak/>
        <w:t>Table 1</w:t>
      </w:r>
      <w:r w:rsidR="003B769C" w:rsidRPr="003B769C">
        <w:rPr>
          <w:rFonts w:ascii="Times New Roman" w:hAnsi="Times New Roman" w:cs="Times New Roman"/>
          <w:b/>
          <w:color w:val="000000" w:themeColor="text1"/>
        </w:rPr>
        <w:t>4</w:t>
      </w:r>
      <w:r w:rsidRPr="003B769C">
        <w:rPr>
          <w:rFonts w:ascii="Times New Roman" w:hAnsi="Times New Roman" w:cs="Times New Roman"/>
          <w:b/>
          <w:color w:val="000000" w:themeColor="text1"/>
        </w:rPr>
        <w:t>: Leveraging (continued)</w:t>
      </w:r>
    </w:p>
    <w:p w14:paraId="61DA108F" w14:textId="6C712CBA" w:rsidR="0036178B" w:rsidRPr="0068584C" w:rsidRDefault="00C27B15" w:rsidP="0035460B">
      <w:pPr>
        <w:spacing w:line="480" w:lineRule="auto"/>
        <w:rPr>
          <w:rFonts w:ascii="Times New Roman" w:hAnsi="Times New Roman" w:cs="Times New Roman"/>
          <w:color w:val="000000" w:themeColor="text1"/>
        </w:rPr>
      </w:pPr>
      <w:r w:rsidRPr="0068584C">
        <w:rPr>
          <w:rFonts w:ascii="Times New Roman" w:hAnsi="Times New Roman" w:cs="Times New Roman"/>
          <w:noProof/>
          <w:color w:val="000000" w:themeColor="text1"/>
        </w:rPr>
        <w:drawing>
          <wp:inline distT="0" distB="0" distL="0" distR="0" wp14:anchorId="766945AB" wp14:editId="446B725A">
            <wp:extent cx="8373745" cy="5003800"/>
            <wp:effectExtent l="0" t="0" r="8255"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73745" cy="5003800"/>
                    </a:xfrm>
                    <a:prstGeom prst="rect">
                      <a:avLst/>
                    </a:prstGeom>
                    <a:noFill/>
                    <a:ln>
                      <a:noFill/>
                    </a:ln>
                  </pic:spPr>
                </pic:pic>
              </a:graphicData>
            </a:graphic>
          </wp:inline>
        </w:drawing>
      </w:r>
    </w:p>
    <w:p w14:paraId="1F5452D7" w14:textId="77777777" w:rsidR="00590B96" w:rsidRPr="0068584C" w:rsidRDefault="00590B96" w:rsidP="0035460B">
      <w:pPr>
        <w:spacing w:line="480" w:lineRule="auto"/>
        <w:rPr>
          <w:rFonts w:ascii="Times New Roman" w:hAnsi="Times New Roman" w:cs="Times New Roman"/>
          <w:color w:val="000000" w:themeColor="text1"/>
        </w:rPr>
        <w:sectPr w:rsidR="00590B96" w:rsidRPr="0068584C" w:rsidSect="003245FB">
          <w:pgSz w:w="15840" w:h="12240" w:orient="landscape"/>
          <w:pgMar w:top="1800" w:right="1008" w:bottom="1800" w:left="1224" w:header="576" w:footer="720" w:gutter="0"/>
          <w:cols w:space="720"/>
          <w:titlePg/>
          <w:docGrid w:linePitch="360"/>
        </w:sectPr>
      </w:pPr>
    </w:p>
    <w:p w14:paraId="2B19C3C3" w14:textId="30289120" w:rsidR="00D34E13" w:rsidRPr="0068584C" w:rsidRDefault="00D34E13" w:rsidP="0035460B">
      <w:pPr>
        <w:spacing w:line="480" w:lineRule="auto"/>
        <w:rPr>
          <w:rFonts w:ascii="Times New Roman" w:hAnsi="Times New Roman" w:cs="Times New Roman"/>
          <w:color w:val="000000" w:themeColor="text1"/>
        </w:rPr>
      </w:pPr>
    </w:p>
    <w:p w14:paraId="36B90529" w14:textId="55744639" w:rsidR="00AC09C3" w:rsidRPr="00C77600" w:rsidRDefault="00AD4459" w:rsidP="00C932B0">
      <w:pPr>
        <w:pStyle w:val="Heading3new"/>
      </w:pPr>
      <w:r w:rsidRPr="0068584C">
        <w:t>Innovation Culture</w:t>
      </w:r>
    </w:p>
    <w:p w14:paraId="4BF2FC97" w14:textId="2D245399" w:rsidR="00AD4459" w:rsidRPr="00C77600" w:rsidRDefault="000E3092" w:rsidP="0035460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Time and again during the</w:t>
      </w:r>
      <w:r w:rsidR="00AD4459" w:rsidRPr="00C77600">
        <w:rPr>
          <w:rFonts w:ascii="Times New Roman" w:hAnsi="Times New Roman" w:cs="Times New Roman"/>
          <w:color w:val="000000" w:themeColor="text1"/>
        </w:rPr>
        <w:t xml:space="preserve"> interviews</w:t>
      </w:r>
      <w:r>
        <w:rPr>
          <w:rFonts w:ascii="Times New Roman" w:hAnsi="Times New Roman" w:cs="Times New Roman"/>
          <w:color w:val="000000" w:themeColor="text1"/>
        </w:rPr>
        <w:t>,</w:t>
      </w:r>
      <w:r w:rsidR="00AD4459" w:rsidRPr="00C77600">
        <w:rPr>
          <w:rFonts w:ascii="Times New Roman" w:hAnsi="Times New Roman" w:cs="Times New Roman"/>
          <w:color w:val="000000" w:themeColor="text1"/>
        </w:rPr>
        <w:t xml:space="preserve"> </w:t>
      </w:r>
      <w:r w:rsidR="0048532E">
        <w:rPr>
          <w:rFonts w:ascii="Times New Roman" w:hAnsi="Times New Roman" w:cs="Times New Roman"/>
          <w:color w:val="000000" w:themeColor="text1"/>
        </w:rPr>
        <w:t>the supply chain managers referred to different</w:t>
      </w:r>
      <w:r>
        <w:rPr>
          <w:rFonts w:ascii="Times New Roman" w:hAnsi="Times New Roman" w:cs="Times New Roman"/>
          <w:color w:val="000000" w:themeColor="text1"/>
        </w:rPr>
        <w:t xml:space="preserve"> aspects of innovation culture </w:t>
      </w:r>
      <w:r w:rsidR="0048532E">
        <w:rPr>
          <w:rFonts w:ascii="Times New Roman" w:hAnsi="Times New Roman" w:cs="Times New Roman"/>
          <w:color w:val="000000" w:themeColor="text1"/>
        </w:rPr>
        <w:t>as an impactful factor when developing prod</w:t>
      </w:r>
      <w:r w:rsidR="00E51FAD">
        <w:rPr>
          <w:rFonts w:ascii="Times New Roman" w:hAnsi="Times New Roman" w:cs="Times New Roman"/>
          <w:color w:val="000000" w:themeColor="text1"/>
        </w:rPr>
        <w:t>ucts and services with supplier input</w:t>
      </w:r>
      <w:r>
        <w:rPr>
          <w:rFonts w:ascii="Times New Roman" w:hAnsi="Times New Roman" w:cs="Times New Roman"/>
          <w:color w:val="000000" w:themeColor="text1"/>
        </w:rPr>
        <w:t xml:space="preserve">. </w:t>
      </w:r>
      <w:r w:rsidR="00E51FAD">
        <w:rPr>
          <w:rFonts w:ascii="Times New Roman" w:hAnsi="Times New Roman" w:cs="Times New Roman"/>
          <w:color w:val="000000" w:themeColor="text1"/>
        </w:rPr>
        <w:t>Based on the case analysis</w:t>
      </w:r>
      <w:r>
        <w:rPr>
          <w:rFonts w:ascii="Times New Roman" w:hAnsi="Times New Roman" w:cs="Times New Roman"/>
          <w:color w:val="000000" w:themeColor="text1"/>
        </w:rPr>
        <w:t>, different facets of innovation culture appear to influence the supply chain resource orchestration framework. The main</w:t>
      </w:r>
      <w:r w:rsidR="00AD4459" w:rsidRPr="00C77600">
        <w:rPr>
          <w:rFonts w:ascii="Times New Roman" w:hAnsi="Times New Roman" w:cs="Times New Roman"/>
          <w:color w:val="000000" w:themeColor="text1"/>
        </w:rPr>
        <w:t xml:space="preserve"> categories in terms of innovation culture</w:t>
      </w:r>
      <w:r w:rsidR="00CF2E74">
        <w:rPr>
          <w:rFonts w:ascii="Times New Roman" w:hAnsi="Times New Roman" w:cs="Times New Roman"/>
          <w:color w:val="000000" w:themeColor="text1"/>
        </w:rPr>
        <w:t>, which emerged from the case study,</w:t>
      </w:r>
      <w:r>
        <w:rPr>
          <w:rFonts w:ascii="Times New Roman" w:hAnsi="Times New Roman" w:cs="Times New Roman"/>
          <w:color w:val="000000" w:themeColor="text1"/>
        </w:rPr>
        <w:t xml:space="preserve"> will be introduced in this section</w:t>
      </w:r>
      <w:r w:rsidR="00AD4459" w:rsidRPr="00C77600">
        <w:rPr>
          <w:rFonts w:ascii="Times New Roman" w:hAnsi="Times New Roman" w:cs="Times New Roman"/>
          <w:color w:val="000000" w:themeColor="text1"/>
        </w:rPr>
        <w:t xml:space="preserve">. </w:t>
      </w:r>
      <w:r w:rsidR="000F0E0D" w:rsidRPr="00C77600">
        <w:rPr>
          <w:rFonts w:ascii="Times New Roman" w:hAnsi="Times New Roman" w:cs="Times New Roman"/>
          <w:color w:val="000000" w:themeColor="text1"/>
        </w:rPr>
        <w:t>In particular, the supp</w:t>
      </w:r>
      <w:r w:rsidR="005F1838">
        <w:rPr>
          <w:rFonts w:ascii="Times New Roman" w:hAnsi="Times New Roman" w:cs="Times New Roman"/>
          <w:color w:val="000000" w:themeColor="text1"/>
        </w:rPr>
        <w:t>ly chain managers</w:t>
      </w:r>
      <w:r w:rsidR="0098768C">
        <w:rPr>
          <w:rFonts w:ascii="Times New Roman" w:hAnsi="Times New Roman" w:cs="Times New Roman"/>
          <w:color w:val="000000" w:themeColor="text1"/>
        </w:rPr>
        <w:t xml:space="preserve"> appear to agree on </w:t>
      </w:r>
      <w:r w:rsidR="005F1838">
        <w:rPr>
          <w:rFonts w:ascii="Times New Roman" w:hAnsi="Times New Roman" w:cs="Times New Roman"/>
          <w:color w:val="000000" w:themeColor="text1"/>
        </w:rPr>
        <w:t xml:space="preserve">four </w:t>
      </w:r>
      <w:r w:rsidR="0098768C">
        <w:rPr>
          <w:rFonts w:ascii="Times New Roman" w:hAnsi="Times New Roman" w:cs="Times New Roman"/>
          <w:color w:val="000000" w:themeColor="text1"/>
        </w:rPr>
        <w:t xml:space="preserve">critical </w:t>
      </w:r>
      <w:r w:rsidR="005F1838">
        <w:rPr>
          <w:rFonts w:ascii="Times New Roman" w:hAnsi="Times New Roman" w:cs="Times New Roman"/>
          <w:color w:val="000000" w:themeColor="text1"/>
        </w:rPr>
        <w:t>categories,</w:t>
      </w:r>
      <w:r w:rsidR="0098768C">
        <w:rPr>
          <w:rFonts w:ascii="Times New Roman" w:hAnsi="Times New Roman" w:cs="Times New Roman"/>
          <w:color w:val="000000" w:themeColor="text1"/>
        </w:rPr>
        <w:t xml:space="preserve"> which all of them highlighted. Those key innovation culture categories are</w:t>
      </w:r>
      <w:r w:rsidR="005F1838">
        <w:rPr>
          <w:rFonts w:ascii="Times New Roman" w:hAnsi="Times New Roman" w:cs="Times New Roman"/>
          <w:color w:val="000000" w:themeColor="text1"/>
        </w:rPr>
        <w:t xml:space="preserve"> </w:t>
      </w:r>
      <w:r w:rsidR="000F0E0D" w:rsidRPr="00C77600">
        <w:rPr>
          <w:rFonts w:ascii="Times New Roman" w:hAnsi="Times New Roman" w:cs="Times New Roman"/>
          <w:color w:val="000000" w:themeColor="text1"/>
        </w:rPr>
        <w:t>proactive mindset, holistic thinking (end to end), creativity, and customer orientation.</w:t>
      </w:r>
      <w:r w:rsidR="00580345" w:rsidRPr="00C77600">
        <w:rPr>
          <w:rFonts w:ascii="Times New Roman" w:hAnsi="Times New Roman" w:cs="Times New Roman"/>
          <w:color w:val="000000" w:themeColor="text1"/>
        </w:rPr>
        <w:t xml:space="preserve"> For example, one manager criticized too much short-term thinking</w:t>
      </w:r>
      <w:r w:rsidR="00CF2E74">
        <w:rPr>
          <w:rFonts w:ascii="Times New Roman" w:hAnsi="Times New Roman" w:cs="Times New Roman"/>
          <w:color w:val="000000" w:themeColor="text1"/>
        </w:rPr>
        <w:t xml:space="preserve"> or short sidedness</w:t>
      </w:r>
      <w:r w:rsidR="00580345" w:rsidRPr="00C77600">
        <w:rPr>
          <w:rFonts w:ascii="Times New Roman" w:hAnsi="Times New Roman" w:cs="Times New Roman"/>
          <w:color w:val="000000" w:themeColor="text1"/>
        </w:rPr>
        <w:t>, which is limiting the necessary</w:t>
      </w:r>
      <w:r w:rsidR="00CF2E74">
        <w:rPr>
          <w:rFonts w:ascii="Times New Roman" w:hAnsi="Times New Roman" w:cs="Times New Roman"/>
          <w:color w:val="000000" w:themeColor="text1"/>
        </w:rPr>
        <w:t xml:space="preserve"> holistic</w:t>
      </w:r>
      <w:r w:rsidR="00580345" w:rsidRPr="00C77600">
        <w:rPr>
          <w:rFonts w:ascii="Times New Roman" w:hAnsi="Times New Roman" w:cs="Times New Roman"/>
          <w:color w:val="000000" w:themeColor="text1"/>
        </w:rPr>
        <w:t xml:space="preserve"> or end-to-end thinking</w:t>
      </w:r>
      <w:r w:rsidR="00B15C2F" w:rsidRPr="00C77600">
        <w:rPr>
          <w:rFonts w:ascii="Times New Roman" w:hAnsi="Times New Roman" w:cs="Times New Roman"/>
          <w:color w:val="000000" w:themeColor="text1"/>
        </w:rPr>
        <w:t xml:space="preserve"> and narrows the </w:t>
      </w:r>
      <w:r w:rsidR="0098768C">
        <w:rPr>
          <w:rFonts w:ascii="Times New Roman" w:hAnsi="Times New Roman" w:cs="Times New Roman"/>
          <w:color w:val="000000" w:themeColor="text1"/>
        </w:rPr>
        <w:t>decision-making options</w:t>
      </w:r>
      <w:r w:rsidR="00580345" w:rsidRPr="00C77600">
        <w:rPr>
          <w:rFonts w:ascii="Times New Roman" w:hAnsi="Times New Roman" w:cs="Times New Roman"/>
          <w:color w:val="000000" w:themeColor="text1"/>
        </w:rPr>
        <w:t>.</w:t>
      </w:r>
    </w:p>
    <w:p w14:paraId="1CCC590D" w14:textId="77777777" w:rsidR="00580345" w:rsidRPr="00C77600" w:rsidRDefault="00580345" w:rsidP="0035460B">
      <w:pPr>
        <w:spacing w:line="480" w:lineRule="auto"/>
        <w:jc w:val="both"/>
        <w:rPr>
          <w:rFonts w:ascii="Times New Roman" w:hAnsi="Times New Roman" w:cs="Times New Roman"/>
          <w:color w:val="000000" w:themeColor="text1"/>
        </w:rPr>
      </w:pPr>
    </w:p>
    <w:p w14:paraId="11985C0B" w14:textId="7CA69D31" w:rsidR="00610C22" w:rsidRPr="00C77600" w:rsidRDefault="00CF2E74" w:rsidP="008C76D8">
      <w:pPr>
        <w:ind w:left="720"/>
        <w:jc w:val="both"/>
        <w:rPr>
          <w:rFonts w:ascii="Times New Roman" w:hAnsi="Times New Roman" w:cs="Times New Roman"/>
          <w:color w:val="000000" w:themeColor="text1"/>
        </w:rPr>
      </w:pPr>
      <w:r>
        <w:rPr>
          <w:rFonts w:ascii="Times New Roman" w:hAnsi="Times New Roman" w:cs="Times New Roman"/>
          <w:color w:val="000000" w:themeColor="text1"/>
        </w:rPr>
        <w:t>“</w:t>
      </w:r>
      <w:r w:rsidR="00610C22" w:rsidRPr="00C77600">
        <w:rPr>
          <w:rFonts w:ascii="Times New Roman" w:hAnsi="Times New Roman" w:cs="Times New Roman"/>
          <w:color w:val="000000" w:themeColor="text1"/>
        </w:rPr>
        <w:t>If you do not innovate in your program, you lose a huge opportunity.</w:t>
      </w:r>
      <w:r>
        <w:rPr>
          <w:rFonts w:ascii="Times New Roman" w:hAnsi="Times New Roman" w:cs="Times New Roman"/>
          <w:color w:val="000000" w:themeColor="text1"/>
        </w:rPr>
        <w:t>”</w:t>
      </w:r>
      <w:r w:rsidR="00610C22" w:rsidRPr="00C77600">
        <w:rPr>
          <w:rFonts w:ascii="Times New Roman" w:hAnsi="Times New Roman" w:cs="Times New Roman"/>
          <w:color w:val="000000" w:themeColor="text1"/>
        </w:rPr>
        <w:t xml:space="preserve"> (Benjamin, </w:t>
      </w:r>
      <w:r w:rsidR="00BE1FFB" w:rsidRPr="00C77600">
        <w:rPr>
          <w:rFonts w:ascii="Times New Roman" w:hAnsi="Times New Roman" w:cs="Times New Roman"/>
          <w:color w:val="000000" w:themeColor="text1"/>
        </w:rPr>
        <w:t>TECH</w:t>
      </w:r>
      <w:r w:rsidR="00610C22" w:rsidRPr="00C77600">
        <w:rPr>
          <w:rFonts w:ascii="Times New Roman" w:hAnsi="Times New Roman" w:cs="Times New Roman"/>
          <w:color w:val="000000" w:themeColor="text1"/>
        </w:rPr>
        <w:t>-1)</w:t>
      </w:r>
    </w:p>
    <w:p w14:paraId="1D0FCEEA" w14:textId="77777777" w:rsidR="00610C22" w:rsidRPr="00C77600" w:rsidRDefault="00610C22" w:rsidP="008C76D8">
      <w:pPr>
        <w:ind w:left="1440"/>
        <w:jc w:val="both"/>
        <w:rPr>
          <w:rFonts w:ascii="Times New Roman" w:hAnsi="Times New Roman" w:cs="Times New Roman"/>
          <w:color w:val="000000" w:themeColor="text1"/>
        </w:rPr>
      </w:pPr>
    </w:p>
    <w:p w14:paraId="4453F3D6" w14:textId="2F1A72C5" w:rsidR="00AD4459" w:rsidRPr="00C77600" w:rsidRDefault="00885028" w:rsidP="008C76D8">
      <w:pPr>
        <w:ind w:left="720"/>
        <w:jc w:val="both"/>
        <w:rPr>
          <w:rFonts w:ascii="Times New Roman" w:hAnsi="Times New Roman" w:cs="Times New Roman"/>
          <w:color w:val="000000" w:themeColor="text1"/>
        </w:rPr>
      </w:pPr>
      <w:r w:rsidRPr="00C77600">
        <w:rPr>
          <w:rFonts w:ascii="Times New Roman" w:hAnsi="Times New Roman" w:cs="Times New Roman"/>
          <w:color w:val="000000" w:themeColor="text1"/>
        </w:rPr>
        <w:t>“</w:t>
      </w:r>
      <w:r w:rsidR="00B15C2F" w:rsidRPr="00C77600">
        <w:rPr>
          <w:rFonts w:ascii="Times New Roman" w:hAnsi="Times New Roman" w:cs="Times New Roman"/>
          <w:color w:val="000000" w:themeColor="text1"/>
        </w:rPr>
        <w:t>So when you set the priorities like that, you cause the functions to focus on achievement, achievement, achievement, and not, let’s say, on opening their minds, on End-To-End Thinking, which is at the end, the main driver for cost issues.</w:t>
      </w:r>
      <w:r w:rsidRPr="00C77600">
        <w:rPr>
          <w:rFonts w:ascii="Times New Roman" w:hAnsi="Times New Roman" w:cs="Times New Roman"/>
          <w:color w:val="000000" w:themeColor="text1"/>
        </w:rPr>
        <w:t>”</w:t>
      </w:r>
      <w:r w:rsidR="00B15C2F" w:rsidRPr="00C77600">
        <w:rPr>
          <w:rFonts w:ascii="Times New Roman" w:hAnsi="Times New Roman" w:cs="Times New Roman"/>
          <w:color w:val="000000" w:themeColor="text1"/>
        </w:rPr>
        <w:t xml:space="preserve"> (Benjamin, </w:t>
      </w:r>
      <w:r w:rsidR="00BE1FFB" w:rsidRPr="00C77600">
        <w:rPr>
          <w:rFonts w:ascii="Times New Roman" w:hAnsi="Times New Roman" w:cs="Times New Roman"/>
          <w:color w:val="000000" w:themeColor="text1"/>
        </w:rPr>
        <w:t>TECH</w:t>
      </w:r>
      <w:r w:rsidR="00B15C2F" w:rsidRPr="00C77600">
        <w:rPr>
          <w:rFonts w:ascii="Times New Roman" w:hAnsi="Times New Roman" w:cs="Times New Roman"/>
          <w:color w:val="000000" w:themeColor="text1"/>
        </w:rPr>
        <w:t>-1)</w:t>
      </w:r>
    </w:p>
    <w:p w14:paraId="63BE3AF9" w14:textId="77777777" w:rsidR="00AD4459" w:rsidRPr="00C77600" w:rsidRDefault="00AD4459" w:rsidP="0035460B">
      <w:pPr>
        <w:spacing w:line="480" w:lineRule="auto"/>
        <w:jc w:val="both"/>
        <w:rPr>
          <w:rFonts w:ascii="Times New Roman" w:hAnsi="Times New Roman" w:cs="Times New Roman"/>
          <w:color w:val="000000" w:themeColor="text1"/>
        </w:rPr>
      </w:pPr>
    </w:p>
    <w:p w14:paraId="293AEAE0" w14:textId="24B1CE6D" w:rsidR="007B7FC3" w:rsidRPr="00C77600" w:rsidRDefault="007B7FC3" w:rsidP="0035460B">
      <w:pPr>
        <w:spacing w:line="480" w:lineRule="auto"/>
        <w:jc w:val="both"/>
        <w:rPr>
          <w:rFonts w:ascii="Times New Roman" w:hAnsi="Times New Roman" w:cs="Times New Roman"/>
          <w:color w:val="000000" w:themeColor="text1"/>
        </w:rPr>
      </w:pPr>
      <w:r w:rsidRPr="00C77600">
        <w:rPr>
          <w:rFonts w:ascii="Times New Roman" w:hAnsi="Times New Roman" w:cs="Times New Roman"/>
          <w:color w:val="000000" w:themeColor="text1"/>
        </w:rPr>
        <w:t xml:space="preserve">According to </w:t>
      </w:r>
      <w:r w:rsidR="00BE1FFB" w:rsidRPr="00C77600">
        <w:rPr>
          <w:rFonts w:ascii="Times New Roman" w:hAnsi="Times New Roman" w:cs="Times New Roman"/>
          <w:color w:val="000000" w:themeColor="text1"/>
        </w:rPr>
        <w:t>TECH</w:t>
      </w:r>
      <w:r w:rsidRPr="00C77600">
        <w:rPr>
          <w:rFonts w:ascii="Times New Roman" w:hAnsi="Times New Roman" w:cs="Times New Roman"/>
          <w:color w:val="000000" w:themeColor="text1"/>
        </w:rPr>
        <w:t>-2, the supply base needs to be developed and shaped to support innovation for the focal organization.</w:t>
      </w:r>
    </w:p>
    <w:p w14:paraId="500EC8B9" w14:textId="77777777" w:rsidR="007B7FC3" w:rsidRPr="00C77600" w:rsidRDefault="007B7FC3" w:rsidP="0035460B">
      <w:pPr>
        <w:spacing w:line="480" w:lineRule="auto"/>
        <w:jc w:val="both"/>
        <w:rPr>
          <w:rFonts w:ascii="Times New Roman" w:hAnsi="Times New Roman" w:cs="Times New Roman"/>
          <w:color w:val="000000" w:themeColor="text1"/>
        </w:rPr>
      </w:pPr>
    </w:p>
    <w:p w14:paraId="121C02B2" w14:textId="544903CA" w:rsidR="000002CC" w:rsidRPr="0068584C" w:rsidRDefault="000002CC" w:rsidP="008C76D8">
      <w:pPr>
        <w:ind w:left="720"/>
        <w:jc w:val="both"/>
        <w:rPr>
          <w:rFonts w:ascii="Times New Roman" w:hAnsi="Times New Roman" w:cs="Times New Roman"/>
          <w:color w:val="000000" w:themeColor="text1"/>
        </w:rPr>
      </w:pPr>
      <w:r w:rsidRPr="00C77600">
        <w:rPr>
          <w:rFonts w:ascii="Times New Roman" w:hAnsi="Times New Roman" w:cs="Times New Roman"/>
          <w:color w:val="000000" w:themeColor="text1"/>
        </w:rPr>
        <w:t>[</w:t>
      </w:r>
      <w:r w:rsidRPr="0068584C">
        <w:rPr>
          <w:rFonts w:ascii="Times New Roman" w:hAnsi="Times New Roman" w:cs="Times New Roman"/>
          <w:i/>
          <w:color w:val="000000" w:themeColor="text1"/>
        </w:rPr>
        <w:t>We</w:t>
      </w:r>
      <w:r w:rsidRPr="0068584C">
        <w:rPr>
          <w:rFonts w:ascii="Times New Roman" w:hAnsi="Times New Roman" w:cs="Times New Roman"/>
          <w:color w:val="000000" w:themeColor="text1"/>
        </w:rPr>
        <w:t xml:space="preserve">] “actually developed an alternative supply base of suppliers that we want to actually grow because they do have good quality. They are cooperative and they can provide other benefits.” (Hannah,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54515AA2" w14:textId="77777777" w:rsidR="007B7FC3" w:rsidRPr="0068584C" w:rsidRDefault="007B7FC3" w:rsidP="0035460B">
      <w:pPr>
        <w:spacing w:line="480" w:lineRule="auto"/>
        <w:jc w:val="both"/>
        <w:rPr>
          <w:rFonts w:ascii="Times New Roman" w:hAnsi="Times New Roman" w:cs="Times New Roman"/>
          <w:color w:val="000000" w:themeColor="text1"/>
        </w:rPr>
      </w:pPr>
    </w:p>
    <w:p w14:paraId="12325D24" w14:textId="2E83A318" w:rsidR="001F1E19" w:rsidRPr="0068584C" w:rsidRDefault="001F1E19"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lastRenderedPageBreak/>
        <w:t xml:space="preserve">The case companies </w:t>
      </w:r>
      <w:r w:rsidR="00325F1E" w:rsidRPr="0068584C">
        <w:rPr>
          <w:rFonts w:ascii="Times New Roman" w:hAnsi="Times New Roman" w:cs="Times New Roman"/>
          <w:color w:val="000000" w:themeColor="text1"/>
        </w:rPr>
        <w:t xml:space="preserve">differed </w:t>
      </w:r>
      <w:r w:rsidRPr="0068584C">
        <w:rPr>
          <w:rFonts w:ascii="Times New Roman" w:hAnsi="Times New Roman" w:cs="Times New Roman"/>
          <w:color w:val="000000" w:themeColor="text1"/>
        </w:rPr>
        <w:t>i</w:t>
      </w:r>
      <w:r w:rsidR="00325F1E" w:rsidRPr="0068584C">
        <w:rPr>
          <w:rFonts w:ascii="Times New Roman" w:hAnsi="Times New Roman" w:cs="Times New Roman"/>
          <w:color w:val="000000" w:themeColor="text1"/>
        </w:rPr>
        <w:t xml:space="preserve">n their extent of innovation culture, as noticeable in terms of the four main categories displayed in Table </w:t>
      </w:r>
      <w:r w:rsidR="00130F26" w:rsidRPr="0068584C">
        <w:rPr>
          <w:rFonts w:ascii="Times New Roman" w:hAnsi="Times New Roman" w:cs="Times New Roman"/>
          <w:color w:val="000000" w:themeColor="text1"/>
        </w:rPr>
        <w:t>12</w:t>
      </w:r>
      <w:r w:rsidR="00325F1E" w:rsidRPr="0068584C">
        <w:rPr>
          <w:rFonts w:ascii="Times New Roman" w:hAnsi="Times New Roman" w:cs="Times New Roman"/>
          <w:color w:val="000000" w:themeColor="text1"/>
        </w:rPr>
        <w:t>. For example, TECH-1 showed a clear emphasis on creativity. Several interview participants maintained the need to challenge the established procedures and processes while thinking more “outside of the box.” Within TECH-1, managers appear to encourage brainstorming and provide a climate of acceptance for new ideas.</w:t>
      </w:r>
    </w:p>
    <w:p w14:paraId="630F0807" w14:textId="77777777" w:rsidR="00EC1116" w:rsidRPr="0068584C" w:rsidRDefault="00EC1116" w:rsidP="0035460B">
      <w:pPr>
        <w:spacing w:line="480" w:lineRule="auto"/>
        <w:jc w:val="both"/>
        <w:rPr>
          <w:rFonts w:ascii="Times New Roman" w:hAnsi="Times New Roman" w:cs="Times New Roman"/>
          <w:color w:val="000000" w:themeColor="text1"/>
        </w:rPr>
      </w:pPr>
    </w:p>
    <w:p w14:paraId="54518E62" w14:textId="7FB2782E" w:rsidR="00711C44" w:rsidRPr="0068584C" w:rsidRDefault="00325F1E"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t>
      </w:r>
      <w:r w:rsidR="00711C44" w:rsidRPr="0068584C">
        <w:rPr>
          <w:rFonts w:ascii="Times New Roman" w:hAnsi="Times New Roman" w:cs="Times New Roman"/>
          <w:color w:val="000000" w:themeColor="text1"/>
        </w:rPr>
        <w:t>[</w:t>
      </w:r>
      <w:r w:rsidR="00711C44" w:rsidRPr="0068584C">
        <w:rPr>
          <w:rFonts w:ascii="Times New Roman" w:hAnsi="Times New Roman" w:cs="Times New Roman"/>
          <w:i/>
          <w:color w:val="000000" w:themeColor="text1"/>
        </w:rPr>
        <w:t>It’s critical</w:t>
      </w:r>
      <w:r w:rsidR="00711C44" w:rsidRPr="0068584C">
        <w:rPr>
          <w:rFonts w:ascii="Times New Roman" w:hAnsi="Times New Roman" w:cs="Times New Roman"/>
          <w:color w:val="000000" w:themeColor="text1"/>
        </w:rPr>
        <w:t>] to think different, to challenge again the good old processes, for sure. I would say it is quite good in our culture.  It is a key success factor.” (Benjamin, TECH-1)</w:t>
      </w:r>
    </w:p>
    <w:p w14:paraId="03C0F36C" w14:textId="50EA5BD8" w:rsidR="00325F1E" w:rsidRPr="0068584C" w:rsidRDefault="00325F1E" w:rsidP="0035460B">
      <w:pPr>
        <w:spacing w:line="480" w:lineRule="auto"/>
        <w:jc w:val="both"/>
        <w:rPr>
          <w:rFonts w:ascii="Times New Roman" w:hAnsi="Times New Roman" w:cs="Times New Roman"/>
          <w:color w:val="000000" w:themeColor="text1"/>
        </w:rPr>
      </w:pPr>
    </w:p>
    <w:p w14:paraId="312BE11B" w14:textId="41AC729C" w:rsidR="001F1E19" w:rsidRPr="0068584C" w:rsidRDefault="004E058D"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In contrast to the TECH-1 case, David from EQUIP had observed a lack of creativity. He noted inflexibility and relatively rigid structures that constrain the generation of creative new ideas from within the organization.</w:t>
      </w:r>
    </w:p>
    <w:p w14:paraId="4F61F00D" w14:textId="77777777" w:rsidR="00EC1116" w:rsidRPr="0068584C" w:rsidRDefault="00EC1116" w:rsidP="0035460B">
      <w:pPr>
        <w:spacing w:line="480" w:lineRule="auto"/>
        <w:jc w:val="both"/>
        <w:rPr>
          <w:rFonts w:ascii="Times New Roman" w:hAnsi="Times New Roman" w:cs="Times New Roman"/>
          <w:color w:val="000000" w:themeColor="text1"/>
        </w:rPr>
      </w:pPr>
    </w:p>
    <w:p w14:paraId="6B49E841" w14:textId="21E93923" w:rsidR="009807B8" w:rsidRPr="0068584C" w:rsidRDefault="004E058D"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t>
      </w:r>
      <w:r w:rsidR="00570D6C">
        <w:rPr>
          <w:rFonts w:ascii="Times New Roman" w:hAnsi="Times New Roman" w:cs="Times New Roman"/>
          <w:color w:val="000000" w:themeColor="text1"/>
        </w:rPr>
        <w:t>N</w:t>
      </w:r>
      <w:r w:rsidR="00570D6C" w:rsidRPr="0068584C">
        <w:rPr>
          <w:rFonts w:ascii="Times New Roman" w:hAnsi="Times New Roman" w:cs="Times New Roman"/>
          <w:color w:val="000000" w:themeColor="text1"/>
        </w:rPr>
        <w:t xml:space="preserve">eed </w:t>
      </w:r>
      <w:r w:rsidR="009807B8" w:rsidRPr="0068584C">
        <w:rPr>
          <w:rFonts w:ascii="Times New Roman" w:hAnsi="Times New Roman" w:cs="Times New Roman"/>
          <w:color w:val="000000" w:themeColor="text1"/>
        </w:rPr>
        <w:t>to be a little bit more free-flowing and create more of a brainstorming flexible type of an environment.” (David, EQUIP)</w:t>
      </w:r>
    </w:p>
    <w:p w14:paraId="0FB59BF9" w14:textId="513D130B" w:rsidR="004E058D" w:rsidRPr="0068584C" w:rsidRDefault="004E058D" w:rsidP="0035460B">
      <w:pPr>
        <w:spacing w:line="480" w:lineRule="auto"/>
        <w:jc w:val="both"/>
        <w:rPr>
          <w:rFonts w:ascii="Times New Roman" w:hAnsi="Times New Roman" w:cs="Times New Roman"/>
          <w:color w:val="000000" w:themeColor="text1"/>
        </w:rPr>
      </w:pPr>
    </w:p>
    <w:p w14:paraId="13E94152" w14:textId="79F6DF70" w:rsidR="00AD4459" w:rsidRPr="0068584C" w:rsidRDefault="001A603C"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Some managers emphasized the need to provide autonomy to the new product development team</w:t>
      </w:r>
      <w:r w:rsidR="000A4EEA" w:rsidRPr="0068584C">
        <w:rPr>
          <w:rFonts w:ascii="Times New Roman" w:hAnsi="Times New Roman" w:cs="Times New Roman"/>
          <w:color w:val="000000" w:themeColor="text1"/>
        </w:rPr>
        <w:t>, and empower their members.</w:t>
      </w:r>
      <w:r w:rsidR="00C90BC3">
        <w:rPr>
          <w:rFonts w:ascii="Times New Roman" w:hAnsi="Times New Roman" w:cs="Times New Roman"/>
          <w:color w:val="000000" w:themeColor="text1"/>
        </w:rPr>
        <w:t xml:space="preserve"> For example, TECH-2 wants to empower their procurement agents.</w:t>
      </w:r>
    </w:p>
    <w:p w14:paraId="27A49205" w14:textId="77777777" w:rsidR="000A4EEA" w:rsidRPr="0068584C" w:rsidRDefault="000A4EEA" w:rsidP="0035460B">
      <w:pPr>
        <w:spacing w:line="480" w:lineRule="auto"/>
        <w:jc w:val="both"/>
        <w:rPr>
          <w:rFonts w:ascii="Times New Roman" w:hAnsi="Times New Roman" w:cs="Times New Roman"/>
          <w:color w:val="000000" w:themeColor="text1"/>
        </w:rPr>
      </w:pPr>
    </w:p>
    <w:p w14:paraId="52AD28C2" w14:textId="0B41A792" w:rsidR="00A54892" w:rsidRPr="0068584C" w:rsidRDefault="00885028"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t>
      </w:r>
      <w:r w:rsidR="000A4EEA" w:rsidRPr="0068584C">
        <w:rPr>
          <w:rFonts w:ascii="Times New Roman" w:hAnsi="Times New Roman" w:cs="Times New Roman"/>
          <w:color w:val="000000" w:themeColor="text1"/>
        </w:rPr>
        <w:t>You need to think about where there are opportunities to let it be a little bit freer and less governance</w:t>
      </w:r>
      <w:r w:rsidRPr="0068584C">
        <w:rPr>
          <w:rFonts w:ascii="Times New Roman" w:hAnsi="Times New Roman" w:cs="Times New Roman"/>
          <w:color w:val="000000" w:themeColor="text1"/>
        </w:rPr>
        <w:t>.”</w:t>
      </w:r>
      <w:r w:rsidR="000A4EEA" w:rsidRPr="0068584C">
        <w:rPr>
          <w:rFonts w:ascii="Times New Roman" w:hAnsi="Times New Roman" w:cs="Times New Roman"/>
          <w:color w:val="000000" w:themeColor="text1"/>
        </w:rPr>
        <w:t xml:space="preserve"> (David, EQUIP)</w:t>
      </w:r>
    </w:p>
    <w:p w14:paraId="4C6D348A" w14:textId="77777777" w:rsidR="00425A0C" w:rsidRPr="0068584C" w:rsidRDefault="00425A0C" w:rsidP="008C76D8">
      <w:pPr>
        <w:ind w:left="1440"/>
        <w:jc w:val="both"/>
        <w:rPr>
          <w:rFonts w:ascii="Times New Roman" w:hAnsi="Times New Roman" w:cs="Times New Roman"/>
          <w:color w:val="000000" w:themeColor="text1"/>
        </w:rPr>
      </w:pPr>
    </w:p>
    <w:p w14:paraId="186C0A28" w14:textId="30B06838" w:rsidR="00425A0C" w:rsidRPr="0068584C" w:rsidRDefault="00425A0C"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“If we want to produce flexibility, the ability to change the industrial setup. Then you need to give more power and more levers to supply chain from the beginning.” (Benjamin,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-1)</w:t>
      </w:r>
    </w:p>
    <w:p w14:paraId="06D1A2E7" w14:textId="77777777" w:rsidR="00736F82" w:rsidRPr="0068584C" w:rsidRDefault="00736F82" w:rsidP="008C76D8">
      <w:pPr>
        <w:ind w:left="1440"/>
        <w:jc w:val="both"/>
        <w:rPr>
          <w:rFonts w:ascii="Times New Roman" w:hAnsi="Times New Roman" w:cs="Times New Roman"/>
          <w:color w:val="000000" w:themeColor="text1"/>
        </w:rPr>
      </w:pPr>
    </w:p>
    <w:p w14:paraId="33631FB5" w14:textId="7A9AF253" w:rsidR="00736F82" w:rsidRPr="0068584C" w:rsidRDefault="00736F82"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“You need to leave a bit of air to breathe to the different functions.  If you pressurize them like hell, yeah, under pressure, people narrow their mind and are more in reactive mode.” (Benjamin,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-1)</w:t>
      </w:r>
    </w:p>
    <w:p w14:paraId="14856289" w14:textId="77777777" w:rsidR="00425A0C" w:rsidRPr="0068584C" w:rsidRDefault="00425A0C" w:rsidP="0035460B">
      <w:pPr>
        <w:spacing w:line="480" w:lineRule="auto"/>
        <w:jc w:val="both"/>
        <w:rPr>
          <w:rFonts w:ascii="Times New Roman" w:hAnsi="Times New Roman" w:cs="Times New Roman"/>
          <w:color w:val="000000" w:themeColor="text1"/>
        </w:rPr>
      </w:pPr>
    </w:p>
    <w:p w14:paraId="767B989D" w14:textId="3F52D0E5" w:rsidR="00AD4459" w:rsidRPr="0068584C" w:rsidRDefault="00645EE8"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A striking similarity across all </w:t>
      </w:r>
      <w:r w:rsidR="00BF6264" w:rsidRPr="0068584C">
        <w:rPr>
          <w:rFonts w:ascii="Times New Roman" w:hAnsi="Times New Roman" w:cs="Times New Roman"/>
          <w:color w:val="000000" w:themeColor="text1"/>
        </w:rPr>
        <w:t xml:space="preserve">case companies was that managers emphasized </w:t>
      </w:r>
      <w:r w:rsidRPr="0068584C">
        <w:rPr>
          <w:rFonts w:ascii="Times New Roman" w:hAnsi="Times New Roman" w:cs="Times New Roman"/>
          <w:color w:val="000000" w:themeColor="text1"/>
        </w:rPr>
        <w:t xml:space="preserve">the need for </w:t>
      </w:r>
      <w:r w:rsidR="00B5041D" w:rsidRPr="0068584C">
        <w:rPr>
          <w:rFonts w:ascii="Times New Roman" w:hAnsi="Times New Roman" w:cs="Times New Roman"/>
          <w:color w:val="000000" w:themeColor="text1"/>
        </w:rPr>
        <w:t xml:space="preserve">some form of </w:t>
      </w:r>
      <w:r w:rsidRPr="0068584C">
        <w:rPr>
          <w:rFonts w:ascii="Times New Roman" w:hAnsi="Times New Roman" w:cs="Times New Roman"/>
          <w:color w:val="000000" w:themeColor="text1"/>
        </w:rPr>
        <w:t>customer orientation.</w:t>
      </w:r>
    </w:p>
    <w:p w14:paraId="3E9B8EF3" w14:textId="77777777" w:rsidR="00645EE8" w:rsidRPr="0068584C" w:rsidRDefault="00645EE8" w:rsidP="0035460B">
      <w:pPr>
        <w:spacing w:line="480" w:lineRule="auto"/>
        <w:jc w:val="both"/>
        <w:rPr>
          <w:rFonts w:ascii="Times New Roman" w:hAnsi="Times New Roman" w:cs="Times New Roman"/>
          <w:color w:val="000000" w:themeColor="text1"/>
        </w:rPr>
      </w:pPr>
    </w:p>
    <w:p w14:paraId="70C7D086" w14:textId="254F4D05" w:rsidR="00645EE8" w:rsidRPr="0068584C" w:rsidRDefault="00BF095F"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“The customer is the main driver.“ (Jim,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-1)</w:t>
      </w:r>
    </w:p>
    <w:p w14:paraId="2E84AC8C" w14:textId="77777777" w:rsidR="00BF095F" w:rsidRPr="0068584C" w:rsidRDefault="00BF095F" w:rsidP="008C76D8">
      <w:pPr>
        <w:ind w:left="1440"/>
        <w:jc w:val="both"/>
        <w:rPr>
          <w:rFonts w:ascii="Times New Roman" w:hAnsi="Times New Roman" w:cs="Times New Roman"/>
          <w:color w:val="000000" w:themeColor="text1"/>
        </w:rPr>
      </w:pPr>
    </w:p>
    <w:p w14:paraId="3C979320" w14:textId="6E4A7DD3" w:rsidR="00645EE8" w:rsidRPr="0068584C" w:rsidRDefault="00BF095F"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“Make sure that we’re capturing the customer’s perspective.  We’re looking at it from a life cycle perspective, from the existing customer to the end customer.  So we need to look at what the existing customer is experiencing with their equipment ...., and then incorporating those activities back into the product development to see how we can make it better.” (Katie,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1DF40293" w14:textId="77777777" w:rsidR="00645EE8" w:rsidRPr="0068584C" w:rsidRDefault="00645EE8" w:rsidP="008C76D8">
      <w:pPr>
        <w:ind w:left="1440"/>
        <w:jc w:val="both"/>
        <w:rPr>
          <w:rFonts w:ascii="Times New Roman" w:hAnsi="Times New Roman" w:cs="Times New Roman"/>
          <w:color w:val="000000" w:themeColor="text1"/>
        </w:rPr>
      </w:pPr>
    </w:p>
    <w:p w14:paraId="351393F9" w14:textId="060A83D2" w:rsidR="00645EE8" w:rsidRPr="0068584C" w:rsidRDefault="009E2DAD"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“One influence is from marketing when there is an unmet need on the market. So our customers are looking for something and usually we develop it, where there’s a gap.” (Hunter, LOG)</w:t>
      </w:r>
    </w:p>
    <w:p w14:paraId="027DE146" w14:textId="77777777" w:rsidR="00C24A0C" w:rsidRPr="0068584C" w:rsidRDefault="00C24A0C" w:rsidP="008C76D8">
      <w:pPr>
        <w:ind w:left="1440"/>
        <w:jc w:val="both"/>
        <w:rPr>
          <w:rFonts w:ascii="Times New Roman" w:hAnsi="Times New Roman" w:cs="Times New Roman"/>
          <w:color w:val="000000" w:themeColor="text1"/>
        </w:rPr>
      </w:pPr>
    </w:p>
    <w:p w14:paraId="59248F47" w14:textId="2C9A2447" w:rsidR="00C24A0C" w:rsidRPr="0068584C" w:rsidRDefault="00C24A0C"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“In the project development itself, you’re obviously going to involve sales and marketing because they’re the ones that help define the product that you’re looking for.” (Brandon, AUTO)</w:t>
      </w:r>
    </w:p>
    <w:p w14:paraId="3237D9C0" w14:textId="059C52E3" w:rsidR="00C24A0C" w:rsidRPr="0068584C" w:rsidRDefault="00C24A0C" w:rsidP="008C76D8">
      <w:pPr>
        <w:ind w:left="1440"/>
        <w:jc w:val="both"/>
        <w:rPr>
          <w:rFonts w:ascii="Times New Roman" w:hAnsi="Times New Roman" w:cs="Times New Roman"/>
          <w:color w:val="000000" w:themeColor="text1"/>
        </w:rPr>
      </w:pPr>
    </w:p>
    <w:p w14:paraId="4B2097BD" w14:textId="7180A268" w:rsidR="00645EE8" w:rsidRPr="0068584C" w:rsidRDefault="004333CA"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“People want to buy the new and fresh product. I think we’re moving toward shortening times between life cycles, but the hindrance to that is you have to balance that against the investment of new tooling.“ (Henk, EQUIP)</w:t>
      </w:r>
    </w:p>
    <w:p w14:paraId="2C9A6386" w14:textId="77777777" w:rsidR="00645EE8" w:rsidRPr="0068584C" w:rsidRDefault="00645EE8" w:rsidP="0035460B">
      <w:pPr>
        <w:spacing w:line="480" w:lineRule="auto"/>
        <w:jc w:val="both"/>
        <w:rPr>
          <w:rFonts w:ascii="Times New Roman" w:hAnsi="Times New Roman" w:cs="Times New Roman"/>
          <w:color w:val="000000" w:themeColor="text1"/>
        </w:rPr>
      </w:pPr>
    </w:p>
    <w:p w14:paraId="75A47584" w14:textId="29701FEC" w:rsidR="006F0665" w:rsidRPr="0068584C" w:rsidRDefault="00B5041D"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Finally, several </w:t>
      </w:r>
      <w:r w:rsidR="00D47847">
        <w:rPr>
          <w:rFonts w:ascii="Times New Roman" w:hAnsi="Times New Roman" w:cs="Times New Roman"/>
          <w:color w:val="000000" w:themeColor="text1"/>
        </w:rPr>
        <w:t>firms</w:t>
      </w:r>
      <w:r w:rsidRPr="0068584C">
        <w:rPr>
          <w:rFonts w:ascii="Times New Roman" w:hAnsi="Times New Roman" w:cs="Times New Roman"/>
          <w:color w:val="000000" w:themeColor="text1"/>
        </w:rPr>
        <w:t xml:space="preserve"> are foster</w:t>
      </w:r>
      <w:r w:rsidR="006F0665" w:rsidRPr="0068584C">
        <w:rPr>
          <w:rFonts w:ascii="Times New Roman" w:hAnsi="Times New Roman" w:cs="Times New Roman"/>
          <w:color w:val="000000" w:themeColor="text1"/>
        </w:rPr>
        <w:t xml:space="preserve">ing cross-functional </w:t>
      </w:r>
      <w:r w:rsidR="005F5323" w:rsidRPr="0068584C">
        <w:rPr>
          <w:rFonts w:ascii="Times New Roman" w:hAnsi="Times New Roman" w:cs="Times New Roman"/>
          <w:color w:val="000000" w:themeColor="text1"/>
        </w:rPr>
        <w:t xml:space="preserve">and cross-organizational </w:t>
      </w:r>
      <w:r w:rsidR="006F0665" w:rsidRPr="0068584C">
        <w:rPr>
          <w:rFonts w:ascii="Times New Roman" w:hAnsi="Times New Roman" w:cs="Times New Roman"/>
          <w:color w:val="000000" w:themeColor="text1"/>
        </w:rPr>
        <w:t xml:space="preserve">collaboration in order to jointly develop and </w:t>
      </w:r>
      <w:r w:rsidR="00D47847">
        <w:rPr>
          <w:rFonts w:ascii="Times New Roman" w:hAnsi="Times New Roman" w:cs="Times New Roman"/>
          <w:color w:val="000000" w:themeColor="text1"/>
        </w:rPr>
        <w:t>plan</w:t>
      </w:r>
      <w:r w:rsidR="00D47847" w:rsidRPr="0068584C">
        <w:rPr>
          <w:rFonts w:ascii="Times New Roman" w:hAnsi="Times New Roman" w:cs="Times New Roman"/>
          <w:color w:val="000000" w:themeColor="text1"/>
        </w:rPr>
        <w:t xml:space="preserve"> </w:t>
      </w:r>
      <w:r w:rsidR="006F0665" w:rsidRPr="0068584C">
        <w:rPr>
          <w:rFonts w:ascii="Times New Roman" w:hAnsi="Times New Roman" w:cs="Times New Roman"/>
          <w:color w:val="000000" w:themeColor="text1"/>
        </w:rPr>
        <w:t>the innovation activities</w:t>
      </w:r>
      <w:r w:rsidR="005F5323" w:rsidRPr="0068584C">
        <w:rPr>
          <w:rFonts w:ascii="Times New Roman" w:hAnsi="Times New Roman" w:cs="Times New Roman"/>
          <w:color w:val="000000" w:themeColor="text1"/>
        </w:rPr>
        <w:t xml:space="preserve"> with the suppliers</w:t>
      </w:r>
      <w:r w:rsidR="00327565" w:rsidRPr="0068584C">
        <w:rPr>
          <w:rFonts w:ascii="Times New Roman" w:hAnsi="Times New Roman" w:cs="Times New Roman"/>
          <w:color w:val="000000" w:themeColor="text1"/>
        </w:rPr>
        <w:t xml:space="preserve">. Some have formalized those activities and </w:t>
      </w:r>
      <w:r w:rsidR="00D47847" w:rsidRPr="0068584C">
        <w:rPr>
          <w:rFonts w:ascii="Times New Roman" w:hAnsi="Times New Roman" w:cs="Times New Roman"/>
          <w:color w:val="000000" w:themeColor="text1"/>
        </w:rPr>
        <w:t xml:space="preserve">periodically </w:t>
      </w:r>
      <w:r w:rsidR="00327565" w:rsidRPr="0068584C">
        <w:rPr>
          <w:rFonts w:ascii="Times New Roman" w:hAnsi="Times New Roman" w:cs="Times New Roman"/>
          <w:color w:val="000000" w:themeColor="text1"/>
        </w:rPr>
        <w:t>host a supplier day</w:t>
      </w:r>
      <w:r w:rsidR="005F5323" w:rsidRPr="0068584C">
        <w:rPr>
          <w:rFonts w:ascii="Times New Roman" w:hAnsi="Times New Roman" w:cs="Times New Roman"/>
          <w:color w:val="000000" w:themeColor="text1"/>
        </w:rPr>
        <w:t>:</w:t>
      </w:r>
    </w:p>
    <w:p w14:paraId="134305BF" w14:textId="3AC9ECA8" w:rsidR="006F0665" w:rsidRPr="0068584C" w:rsidRDefault="006F0665"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“We coordinate with the engineering team to understand and create a collaboration plan of what that new technology might look like and who the potential suppliers might be and then develop a list and work through collaboration agreements with the suppliers and then we coordinate with our core organization.” (Katie,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66B39AB5" w14:textId="77777777" w:rsidR="006F0665" w:rsidRPr="0068584C" w:rsidRDefault="006F0665" w:rsidP="008C76D8">
      <w:pPr>
        <w:ind w:left="720"/>
        <w:jc w:val="both"/>
        <w:rPr>
          <w:rFonts w:ascii="Times New Roman" w:hAnsi="Times New Roman" w:cs="Times New Roman"/>
          <w:color w:val="000000" w:themeColor="text1"/>
        </w:rPr>
      </w:pPr>
    </w:p>
    <w:p w14:paraId="0B8E8521" w14:textId="7DE7C2FC" w:rsidR="005F5323" w:rsidRPr="0068584C" w:rsidRDefault="008915D3"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t>
      </w:r>
      <w:r w:rsidR="005F5323" w:rsidRPr="0068584C">
        <w:rPr>
          <w:rFonts w:ascii="Times New Roman" w:hAnsi="Times New Roman" w:cs="Times New Roman"/>
          <w:color w:val="000000" w:themeColor="text1"/>
        </w:rPr>
        <w:t>What we call a supplier day, we actually sell the project to the suppliers. So we take our preferred supply base. … We kind of tell them the whole story.  …  we explain what the benefits are, and we get their buy-in at that point</w:t>
      </w:r>
      <w:r w:rsidRPr="0068584C">
        <w:rPr>
          <w:rFonts w:ascii="Times New Roman" w:hAnsi="Times New Roman" w:cs="Times New Roman"/>
          <w:color w:val="000000" w:themeColor="text1"/>
        </w:rPr>
        <w:t>.”</w:t>
      </w:r>
      <w:r w:rsidR="005F5323" w:rsidRPr="0068584C">
        <w:rPr>
          <w:rFonts w:ascii="Times New Roman" w:hAnsi="Times New Roman" w:cs="Times New Roman"/>
          <w:color w:val="000000" w:themeColor="text1"/>
        </w:rPr>
        <w:t xml:space="preserve"> (Thomas, LOG)</w:t>
      </w:r>
    </w:p>
    <w:p w14:paraId="3538C252" w14:textId="77777777" w:rsidR="00645EE8" w:rsidRPr="0068584C" w:rsidRDefault="00645EE8" w:rsidP="008C76D8">
      <w:pPr>
        <w:ind w:left="720"/>
        <w:jc w:val="both"/>
        <w:rPr>
          <w:rFonts w:ascii="Times New Roman" w:hAnsi="Times New Roman" w:cs="Times New Roman"/>
          <w:color w:val="000000" w:themeColor="text1"/>
        </w:rPr>
      </w:pPr>
    </w:p>
    <w:p w14:paraId="2C62D64A" w14:textId="535787FC" w:rsidR="005F5323" w:rsidRPr="0068584C" w:rsidRDefault="005F5323"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“We had a supplier day … where we invited all of our key suppliers that we considered to be our partners, our largest suppliers [</w:t>
      </w:r>
      <w:r w:rsidRPr="0068584C">
        <w:rPr>
          <w:rFonts w:ascii="Times New Roman" w:hAnsi="Times New Roman" w:cs="Times New Roman"/>
          <w:i/>
          <w:color w:val="000000" w:themeColor="text1"/>
        </w:rPr>
        <w:t>to discuss NPD</w:t>
      </w:r>
      <w:r w:rsidRPr="0068584C">
        <w:rPr>
          <w:rFonts w:ascii="Times New Roman" w:hAnsi="Times New Roman" w:cs="Times New Roman"/>
          <w:color w:val="000000" w:themeColor="text1"/>
        </w:rPr>
        <w:t>]</w:t>
      </w:r>
      <w:r w:rsidR="008915D3" w:rsidRPr="0068584C">
        <w:rPr>
          <w:rFonts w:ascii="Times New Roman" w:hAnsi="Times New Roman" w:cs="Times New Roman"/>
          <w:color w:val="000000" w:themeColor="text1"/>
        </w:rPr>
        <w:t>.</w:t>
      </w:r>
      <w:r w:rsidRPr="0068584C">
        <w:rPr>
          <w:rFonts w:ascii="Times New Roman" w:hAnsi="Times New Roman" w:cs="Times New Roman"/>
          <w:color w:val="000000" w:themeColor="text1"/>
        </w:rPr>
        <w:t>”</w:t>
      </w:r>
      <w:r w:rsidR="008915D3" w:rsidRPr="0068584C">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(Tracy, AUTO)</w:t>
      </w:r>
    </w:p>
    <w:p w14:paraId="3F920917" w14:textId="77777777" w:rsidR="005F5323" w:rsidRPr="0068584C" w:rsidRDefault="005F5323" w:rsidP="0035460B">
      <w:pPr>
        <w:spacing w:line="480" w:lineRule="auto"/>
        <w:ind w:left="1440"/>
        <w:jc w:val="both"/>
        <w:rPr>
          <w:rFonts w:ascii="Times New Roman" w:hAnsi="Times New Roman" w:cs="Times New Roman"/>
          <w:color w:val="000000" w:themeColor="text1"/>
        </w:rPr>
      </w:pPr>
    </w:p>
    <w:p w14:paraId="24AD7619" w14:textId="0C8A0F90" w:rsidR="002D1CF0" w:rsidRPr="0068584C" w:rsidRDefault="00481415" w:rsidP="002D1CF0">
      <w:pPr>
        <w:spacing w:line="480" w:lineRule="auto"/>
        <w:rPr>
          <w:rFonts w:ascii="Times New Roman" w:hAnsi="Times New Roman" w:cs="Times New Roman"/>
          <w:color w:val="000000" w:themeColor="text1"/>
        </w:rPr>
      </w:pPr>
      <w:r w:rsidRPr="0068584C">
        <w:rPr>
          <w:rFonts w:ascii="Times New Roman" w:hAnsi="Times New Roman" w:cs="Times New Roman"/>
          <w:color w:val="000000" w:themeColor="text1"/>
        </w:rPr>
        <w:t xml:space="preserve">In terms of the proactivity category, </w:t>
      </w:r>
      <w:r w:rsidR="00C90BC3">
        <w:rPr>
          <w:rFonts w:ascii="Times New Roman" w:hAnsi="Times New Roman" w:cs="Times New Roman"/>
          <w:color w:val="000000" w:themeColor="text1"/>
        </w:rPr>
        <w:t>LOG</w:t>
      </w:r>
      <w:r w:rsidR="00C90BC3" w:rsidRPr="0068584C">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 xml:space="preserve">demonstrated a high forward looking approach while AUTO and EQUIP appear to act more in a reactive than proactive mode. </w:t>
      </w:r>
      <w:r w:rsidR="002D1CF0" w:rsidRPr="0068584C">
        <w:rPr>
          <w:rFonts w:ascii="Times New Roman" w:hAnsi="Times New Roman" w:cs="Times New Roman"/>
          <w:color w:val="000000" w:themeColor="text1"/>
        </w:rPr>
        <w:t xml:space="preserve">The </w:t>
      </w:r>
      <w:r w:rsidR="002D1CF0">
        <w:rPr>
          <w:rFonts w:ascii="Times New Roman" w:hAnsi="Times New Roman" w:cs="Times New Roman"/>
          <w:color w:val="000000" w:themeColor="text1"/>
        </w:rPr>
        <w:t>c</w:t>
      </w:r>
      <w:r w:rsidR="002D1CF0" w:rsidRPr="0068584C">
        <w:rPr>
          <w:rFonts w:ascii="Times New Roman" w:hAnsi="Times New Roman" w:cs="Times New Roman"/>
          <w:color w:val="000000" w:themeColor="text1"/>
        </w:rPr>
        <w:t xml:space="preserve">riteria for scoring innovation culture are described in the following </w:t>
      </w:r>
      <w:r w:rsidR="006947F8">
        <w:rPr>
          <w:rFonts w:ascii="Times New Roman" w:hAnsi="Times New Roman" w:cs="Times New Roman"/>
          <w:color w:val="000000" w:themeColor="text1"/>
        </w:rPr>
        <w:fldChar w:fldCharType="begin"/>
      </w:r>
      <w:r w:rsidR="006947F8">
        <w:rPr>
          <w:rFonts w:ascii="Times New Roman" w:hAnsi="Times New Roman" w:cs="Times New Roman"/>
          <w:color w:val="000000" w:themeColor="text1"/>
        </w:rPr>
        <w:instrText xml:space="preserve"> REF _Ref357387629 \h </w:instrText>
      </w:r>
      <w:r w:rsidR="006947F8">
        <w:rPr>
          <w:rFonts w:ascii="Times New Roman" w:hAnsi="Times New Roman" w:cs="Times New Roman"/>
          <w:color w:val="000000" w:themeColor="text1"/>
        </w:rPr>
      </w:r>
      <w:r w:rsidR="006947F8">
        <w:rPr>
          <w:rFonts w:ascii="Times New Roman" w:hAnsi="Times New Roman" w:cs="Times New Roman"/>
          <w:color w:val="000000" w:themeColor="text1"/>
        </w:rPr>
        <w:fldChar w:fldCharType="separate"/>
      </w:r>
      <w:r w:rsidR="00C2793E">
        <w:t xml:space="preserve">Table </w:t>
      </w:r>
      <w:r w:rsidR="00C2793E">
        <w:rPr>
          <w:noProof/>
        </w:rPr>
        <w:t>15</w:t>
      </w:r>
      <w:r w:rsidR="006947F8">
        <w:rPr>
          <w:rFonts w:ascii="Times New Roman" w:hAnsi="Times New Roman" w:cs="Times New Roman"/>
          <w:color w:val="000000" w:themeColor="text1"/>
        </w:rPr>
        <w:fldChar w:fldCharType="end"/>
      </w:r>
      <w:r w:rsidR="002D1CF0">
        <w:rPr>
          <w:rFonts w:ascii="Times New Roman" w:hAnsi="Times New Roman" w:cs="Times New Roman"/>
          <w:color w:val="000000" w:themeColor="text1"/>
        </w:rPr>
        <w:t xml:space="preserve">, while </w:t>
      </w:r>
      <w:r w:rsidR="000257EB">
        <w:rPr>
          <w:rFonts w:ascii="Times New Roman" w:hAnsi="Times New Roman" w:cs="Times New Roman"/>
          <w:color w:val="000000" w:themeColor="text1"/>
        </w:rPr>
        <w:fldChar w:fldCharType="begin"/>
      </w:r>
      <w:r w:rsidR="000257EB">
        <w:rPr>
          <w:rFonts w:ascii="Times New Roman" w:hAnsi="Times New Roman" w:cs="Times New Roman"/>
          <w:color w:val="000000" w:themeColor="text1"/>
        </w:rPr>
        <w:instrText xml:space="preserve"> REF _Ref357387653 \h </w:instrText>
      </w:r>
      <w:r w:rsidR="000257EB">
        <w:rPr>
          <w:rFonts w:ascii="Times New Roman" w:hAnsi="Times New Roman" w:cs="Times New Roman"/>
          <w:color w:val="000000" w:themeColor="text1"/>
        </w:rPr>
      </w:r>
      <w:r w:rsidR="000257EB">
        <w:rPr>
          <w:rFonts w:ascii="Times New Roman" w:hAnsi="Times New Roman" w:cs="Times New Roman"/>
          <w:color w:val="000000" w:themeColor="text1"/>
        </w:rPr>
        <w:fldChar w:fldCharType="separate"/>
      </w:r>
      <w:r w:rsidR="00C2793E">
        <w:t xml:space="preserve">Table </w:t>
      </w:r>
      <w:r w:rsidR="00C2793E">
        <w:rPr>
          <w:noProof/>
        </w:rPr>
        <w:t>16</w:t>
      </w:r>
      <w:r w:rsidR="000257EB">
        <w:rPr>
          <w:rFonts w:ascii="Times New Roman" w:hAnsi="Times New Roman" w:cs="Times New Roman"/>
          <w:color w:val="000000" w:themeColor="text1"/>
        </w:rPr>
        <w:fldChar w:fldCharType="end"/>
      </w:r>
      <w:r w:rsidR="000257EB">
        <w:rPr>
          <w:rFonts w:ascii="Times New Roman" w:hAnsi="Times New Roman" w:cs="Times New Roman"/>
          <w:color w:val="000000" w:themeColor="text1"/>
        </w:rPr>
        <w:t xml:space="preserve"> </w:t>
      </w:r>
      <w:r w:rsidR="00E36BD8" w:rsidRPr="0068584C">
        <w:rPr>
          <w:rFonts w:ascii="Times New Roman" w:hAnsi="Times New Roman" w:cs="Times New Roman"/>
          <w:color w:val="000000" w:themeColor="text1"/>
        </w:rPr>
        <w:t xml:space="preserve">summarizes </w:t>
      </w:r>
      <w:r w:rsidR="002D1CF0">
        <w:rPr>
          <w:rFonts w:ascii="Times New Roman" w:hAnsi="Times New Roman" w:cs="Times New Roman"/>
          <w:color w:val="000000" w:themeColor="text1"/>
        </w:rPr>
        <w:t>the</w:t>
      </w:r>
      <w:r w:rsidR="00E36BD8" w:rsidRPr="0068584C">
        <w:rPr>
          <w:rFonts w:ascii="Times New Roman" w:hAnsi="Times New Roman" w:cs="Times New Roman"/>
          <w:color w:val="000000" w:themeColor="text1"/>
        </w:rPr>
        <w:t xml:space="preserve"> core statements </w:t>
      </w:r>
      <w:r w:rsidR="00262969" w:rsidRPr="0068584C">
        <w:rPr>
          <w:rFonts w:ascii="Times New Roman" w:hAnsi="Times New Roman" w:cs="Times New Roman"/>
          <w:color w:val="000000" w:themeColor="text1"/>
        </w:rPr>
        <w:t xml:space="preserve">describing the organizational attitude towards </w:t>
      </w:r>
      <w:r w:rsidR="00E36BD8" w:rsidRPr="0068584C">
        <w:rPr>
          <w:rFonts w:ascii="Times New Roman" w:hAnsi="Times New Roman" w:cs="Times New Roman"/>
          <w:color w:val="000000" w:themeColor="text1"/>
        </w:rPr>
        <w:t xml:space="preserve">innovation </w:t>
      </w:r>
      <w:r w:rsidR="00262969" w:rsidRPr="0068584C">
        <w:rPr>
          <w:rFonts w:ascii="Times New Roman" w:hAnsi="Times New Roman" w:cs="Times New Roman"/>
          <w:color w:val="000000" w:themeColor="text1"/>
        </w:rPr>
        <w:t xml:space="preserve">and relevant categories </w:t>
      </w:r>
      <w:r w:rsidR="00E36BD8" w:rsidRPr="0068584C">
        <w:rPr>
          <w:rFonts w:ascii="Times New Roman" w:hAnsi="Times New Roman" w:cs="Times New Roman"/>
          <w:color w:val="000000" w:themeColor="text1"/>
        </w:rPr>
        <w:t xml:space="preserve">that were shared by </w:t>
      </w:r>
      <w:r w:rsidR="00034A06" w:rsidRPr="0068584C">
        <w:rPr>
          <w:rFonts w:ascii="Times New Roman" w:hAnsi="Times New Roman" w:cs="Times New Roman"/>
          <w:color w:val="000000" w:themeColor="text1"/>
        </w:rPr>
        <w:t xml:space="preserve">the </w:t>
      </w:r>
      <w:r w:rsidR="003548AC" w:rsidRPr="0068584C">
        <w:rPr>
          <w:rFonts w:ascii="Times New Roman" w:hAnsi="Times New Roman" w:cs="Times New Roman"/>
          <w:color w:val="000000" w:themeColor="text1"/>
        </w:rPr>
        <w:t>interviewed managers</w:t>
      </w:r>
      <w:r w:rsidR="00E36BD8" w:rsidRPr="0068584C">
        <w:rPr>
          <w:rFonts w:ascii="Times New Roman" w:hAnsi="Times New Roman" w:cs="Times New Roman"/>
          <w:color w:val="000000" w:themeColor="text1"/>
        </w:rPr>
        <w:t>.</w:t>
      </w:r>
    </w:p>
    <w:p w14:paraId="67D34990" w14:textId="77777777" w:rsidR="00211FD0" w:rsidRDefault="00211FD0" w:rsidP="002D1CF0">
      <w:pPr>
        <w:rPr>
          <w:rFonts w:ascii="Times New Roman" w:hAnsi="Times New Roman" w:cs="Times New Roman"/>
          <w:color w:val="000000" w:themeColor="text1"/>
        </w:rPr>
      </w:pPr>
    </w:p>
    <w:p w14:paraId="63F31870" w14:textId="5D106AA3" w:rsidR="003B769C" w:rsidRDefault="003B769C" w:rsidP="003B769C">
      <w:pPr>
        <w:pStyle w:val="Caption"/>
        <w:keepNext/>
      </w:pPr>
      <w:bookmarkStart w:id="91" w:name="_Toc358326851"/>
      <w:bookmarkStart w:id="92" w:name="_Ref357387629"/>
      <w:r>
        <w:t xml:space="preserve">Table </w:t>
      </w:r>
      <w:fldSimple w:instr=" SEQ Table \* ARABIC ">
        <w:r w:rsidR="00C2793E">
          <w:rPr>
            <w:noProof/>
          </w:rPr>
          <w:t>15</w:t>
        </w:r>
        <w:bookmarkEnd w:id="91"/>
      </w:fldSimple>
      <w:bookmarkEnd w:id="92"/>
    </w:p>
    <w:p w14:paraId="2D986550" w14:textId="40DB0B45" w:rsidR="002D1CF0" w:rsidRPr="003B769C" w:rsidRDefault="002D1CF0" w:rsidP="002D1CF0">
      <w:pPr>
        <w:rPr>
          <w:rFonts w:ascii="Times New Roman" w:hAnsi="Times New Roman" w:cs="Times New Roman"/>
          <w:b/>
          <w:color w:val="000000" w:themeColor="text1"/>
        </w:rPr>
      </w:pPr>
      <w:r w:rsidRPr="003B769C">
        <w:rPr>
          <w:rFonts w:ascii="Times New Roman" w:hAnsi="Times New Roman" w:cs="Times New Roman"/>
          <w:b/>
          <w:color w:val="000000" w:themeColor="text1"/>
        </w:rPr>
        <w:t>Innovation Culture</w:t>
      </w:r>
      <w:r w:rsidR="003B63E6">
        <w:rPr>
          <w:rFonts w:ascii="Times New Roman" w:hAnsi="Times New Roman" w:cs="Times New Roman"/>
          <w:b/>
          <w:color w:val="000000" w:themeColor="text1"/>
        </w:rPr>
        <w:t xml:space="preserve"> Criteria</w:t>
      </w:r>
    </w:p>
    <w:tbl>
      <w:tblPr>
        <w:tblStyle w:val="TableGrid"/>
        <w:tblW w:w="8928" w:type="dxa"/>
        <w:tblLayout w:type="fixed"/>
        <w:tblLook w:val="04A0" w:firstRow="1" w:lastRow="0" w:firstColumn="1" w:lastColumn="0" w:noHBand="0" w:noVBand="1"/>
      </w:tblPr>
      <w:tblGrid>
        <w:gridCol w:w="1458"/>
        <w:gridCol w:w="3870"/>
        <w:gridCol w:w="3600"/>
      </w:tblGrid>
      <w:tr w:rsidR="002D1CF0" w:rsidRPr="004F3E3B" w14:paraId="0F80A5A9" w14:textId="77777777" w:rsidTr="007A457A">
        <w:tc>
          <w:tcPr>
            <w:tcW w:w="1458" w:type="dxa"/>
          </w:tcPr>
          <w:p w14:paraId="4A738BCC" w14:textId="77777777" w:rsidR="002D1CF0" w:rsidRPr="004F3E3B" w:rsidRDefault="002D1CF0" w:rsidP="002D1CF0">
            <w:pPr>
              <w:keepNext/>
              <w:keepLines/>
              <w:spacing w:before="200" w:line="360" w:lineRule="auto"/>
              <w:ind w:left="144"/>
              <w:contextualSpacing/>
              <w:outlineLvl w:val="7"/>
              <w:rPr>
                <w:rFonts w:ascii="Times New Roman" w:hAnsi="Times New Roman" w:cs="Times New Roman"/>
                <w:b/>
                <w:color w:val="000000" w:themeColor="text1"/>
                <w:sz w:val="20"/>
                <w:szCs w:val="20"/>
              </w:rPr>
            </w:pPr>
            <w:r w:rsidRPr="004F3E3B">
              <w:rPr>
                <w:rFonts w:ascii="Times New Roman" w:hAnsi="Times New Roman" w:cs="Times New Roman"/>
                <w:b/>
                <w:color w:val="000000" w:themeColor="text1"/>
                <w:sz w:val="20"/>
                <w:szCs w:val="20"/>
              </w:rPr>
              <w:t>Category</w:t>
            </w:r>
          </w:p>
        </w:tc>
        <w:tc>
          <w:tcPr>
            <w:tcW w:w="3870" w:type="dxa"/>
          </w:tcPr>
          <w:p w14:paraId="4DC6F3DD" w14:textId="77777777" w:rsidR="002D1CF0" w:rsidRPr="004F3E3B" w:rsidRDefault="002D1CF0" w:rsidP="002D1CF0">
            <w:pPr>
              <w:spacing w:line="360" w:lineRule="auto"/>
              <w:jc w:val="center"/>
              <w:rPr>
                <w:rFonts w:ascii="Times New Roman" w:hAnsi="Times New Roman" w:cs="Times New Roman"/>
                <w:b/>
                <w:color w:val="000000" w:themeColor="text1"/>
                <w:sz w:val="20"/>
                <w:szCs w:val="20"/>
              </w:rPr>
            </w:pPr>
            <w:r w:rsidRPr="004F3E3B">
              <w:rPr>
                <w:rFonts w:ascii="Times New Roman" w:hAnsi="Times New Roman" w:cs="Times New Roman"/>
                <w:b/>
                <w:color w:val="000000" w:themeColor="text1"/>
                <w:sz w:val="20"/>
                <w:szCs w:val="20"/>
              </w:rPr>
              <w:t>Low = 1</w:t>
            </w:r>
          </w:p>
        </w:tc>
        <w:tc>
          <w:tcPr>
            <w:tcW w:w="3600" w:type="dxa"/>
          </w:tcPr>
          <w:p w14:paraId="64864E8F" w14:textId="77777777" w:rsidR="002D1CF0" w:rsidRPr="004F3E3B" w:rsidRDefault="002D1CF0" w:rsidP="002D1CF0">
            <w:pPr>
              <w:spacing w:line="360" w:lineRule="auto"/>
              <w:jc w:val="center"/>
              <w:rPr>
                <w:rFonts w:ascii="Times New Roman" w:hAnsi="Times New Roman" w:cs="Times New Roman"/>
                <w:b/>
                <w:color w:val="000000" w:themeColor="text1"/>
                <w:sz w:val="20"/>
                <w:szCs w:val="20"/>
              </w:rPr>
            </w:pPr>
            <w:r w:rsidRPr="004F3E3B">
              <w:rPr>
                <w:rFonts w:ascii="Times New Roman" w:hAnsi="Times New Roman" w:cs="Times New Roman"/>
                <w:b/>
                <w:color w:val="000000" w:themeColor="text1"/>
                <w:sz w:val="20"/>
                <w:szCs w:val="20"/>
              </w:rPr>
              <w:t>High = 5</w:t>
            </w:r>
          </w:p>
        </w:tc>
      </w:tr>
      <w:tr w:rsidR="002D1CF0" w:rsidRPr="004F3E3B" w14:paraId="6BF02E39" w14:textId="77777777" w:rsidTr="007A457A">
        <w:tc>
          <w:tcPr>
            <w:tcW w:w="1458" w:type="dxa"/>
          </w:tcPr>
          <w:p w14:paraId="555FF279" w14:textId="77777777" w:rsidR="002D1CF0" w:rsidRPr="004F3E3B" w:rsidRDefault="002D1CF0" w:rsidP="002D1CF0">
            <w:pPr>
              <w:keepNext/>
              <w:keepLines/>
              <w:spacing w:before="200" w:line="360" w:lineRule="auto"/>
              <w:ind w:left="-270" w:firstLine="270"/>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Proactivity</w:t>
            </w:r>
          </w:p>
          <w:p w14:paraId="5CE600FE" w14:textId="77777777" w:rsidR="002D1CF0" w:rsidRPr="0002452F" w:rsidRDefault="002D1CF0" w:rsidP="002D1CF0">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870" w:type="dxa"/>
          </w:tcPr>
          <w:p w14:paraId="7EC105D5"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Reactive mode (only responding to competitors’ actions)</w:t>
            </w:r>
          </w:p>
          <w:p w14:paraId="4E09BC5B"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Rigid procedures with little flexibility</w:t>
            </w:r>
          </w:p>
          <w:p w14:paraId="668BD230" w14:textId="77777777" w:rsidR="002D1CF0" w:rsidRPr="004F3E3B" w:rsidRDefault="002D1CF0" w:rsidP="002D1CF0">
            <w:pPr>
              <w:keepNext/>
              <w:keepLines/>
              <w:spacing w:before="200" w:line="360" w:lineRule="auto"/>
              <w:ind w:left="720"/>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(George and Marino 2011)</w:t>
            </w:r>
          </w:p>
        </w:tc>
        <w:tc>
          <w:tcPr>
            <w:tcW w:w="3600" w:type="dxa"/>
          </w:tcPr>
          <w:p w14:paraId="1D0B6131"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Anticipatory mode (being ahead of competition)</w:t>
            </w:r>
          </w:p>
          <w:p w14:paraId="589C61E7"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Alert to environmental changes and new industry trends</w:t>
            </w:r>
          </w:p>
          <w:p w14:paraId="0264B13D" w14:textId="77777777" w:rsidR="002D1CF0" w:rsidRPr="004F3E3B" w:rsidRDefault="002D1CF0" w:rsidP="002D1CF0">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Being prepared to adapt quickly to market changes</w:t>
            </w:r>
          </w:p>
        </w:tc>
      </w:tr>
      <w:tr w:rsidR="002D1CF0" w:rsidRPr="004F3E3B" w14:paraId="0E00C5B9" w14:textId="77777777" w:rsidTr="007A457A">
        <w:tc>
          <w:tcPr>
            <w:tcW w:w="1458" w:type="dxa"/>
          </w:tcPr>
          <w:p w14:paraId="782A4255" w14:textId="77777777" w:rsidR="002D1CF0" w:rsidRPr="004F3E3B" w:rsidRDefault="002D1CF0" w:rsidP="002D1CF0">
            <w:pPr>
              <w:keepNext/>
              <w:keepLines/>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Creativity</w:t>
            </w:r>
          </w:p>
          <w:p w14:paraId="083FB0F1" w14:textId="77777777" w:rsidR="002D1CF0" w:rsidRPr="0002452F" w:rsidRDefault="002D1CF0" w:rsidP="002D1CF0">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870" w:type="dxa"/>
          </w:tcPr>
          <w:p w14:paraId="0E73BCFC" w14:textId="77777777" w:rsidR="002D1CF0" w:rsidRPr="004F3E3B" w:rsidRDefault="002D1CF0" w:rsidP="002D1CF0">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Failure avoidance (incentives to minimize mistakes)</w:t>
            </w:r>
          </w:p>
          <w:p w14:paraId="0925C234"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“Play it safe” emphasis</w:t>
            </w:r>
          </w:p>
          <w:p w14:paraId="0897F047"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Reliance on established approaches</w:t>
            </w:r>
          </w:p>
          <w:p w14:paraId="47E98DCA"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Focus on repeatable processes and established routine</w:t>
            </w:r>
          </w:p>
          <w:p w14:paraId="65F1487C"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Emphasis on standard operating procedures</w:t>
            </w:r>
          </w:p>
          <w:p w14:paraId="7476AF89" w14:textId="77777777" w:rsidR="002D1CF0" w:rsidRPr="004F3E3B" w:rsidRDefault="002D1CF0" w:rsidP="002D1CF0">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(Lonial and Carter 2015)</w:t>
            </w:r>
          </w:p>
        </w:tc>
        <w:tc>
          <w:tcPr>
            <w:tcW w:w="3600" w:type="dxa"/>
          </w:tcPr>
          <w:p w14:paraId="08390998"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Receptive to new ideas</w:t>
            </w:r>
          </w:p>
          <w:p w14:paraId="0F31B236" w14:textId="77777777" w:rsidR="002D1CF0" w:rsidRPr="004F3E3B" w:rsidRDefault="002D1CF0" w:rsidP="002D1CF0">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Seeking novel approaches</w:t>
            </w:r>
          </w:p>
          <w:p w14:paraId="008E789E"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Exploring new opportunities</w:t>
            </w:r>
          </w:p>
          <w:p w14:paraId="74B6054F"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Willingness to accept failures from time to time</w:t>
            </w:r>
          </w:p>
          <w:p w14:paraId="05F6A595"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Desire to experiment and pioneer</w:t>
            </w:r>
          </w:p>
          <w:p w14:paraId="623B0A23" w14:textId="77777777" w:rsidR="002D1CF0" w:rsidRPr="004F3E3B" w:rsidRDefault="002D1CF0" w:rsidP="002D1CF0">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(Kristal et al. 2010; Lonial and Carter 2015)</w:t>
            </w:r>
          </w:p>
        </w:tc>
      </w:tr>
      <w:tr w:rsidR="002D1CF0" w:rsidRPr="0002452F" w14:paraId="4739A921" w14:textId="77777777" w:rsidTr="007A457A">
        <w:tc>
          <w:tcPr>
            <w:tcW w:w="1458" w:type="dxa"/>
          </w:tcPr>
          <w:p w14:paraId="4EADF7FD" w14:textId="77777777" w:rsidR="002D1CF0" w:rsidRPr="004F3E3B" w:rsidRDefault="002D1CF0" w:rsidP="002D1CF0">
            <w:pPr>
              <w:keepNext/>
              <w:keepLines/>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Customer Orientation</w:t>
            </w:r>
          </w:p>
          <w:p w14:paraId="030F7E14" w14:textId="77777777" w:rsidR="002D1CF0" w:rsidRPr="004F3E3B" w:rsidRDefault="002D1CF0" w:rsidP="002D1CF0">
            <w:pPr>
              <w:keepNext/>
              <w:keepLines/>
              <w:spacing w:before="200" w:line="360" w:lineRule="auto"/>
              <w:ind w:left="144"/>
              <w:contextualSpacing/>
              <w:outlineLvl w:val="7"/>
              <w:rPr>
                <w:rFonts w:ascii="Times New Roman" w:hAnsi="Times New Roman" w:cs="Times New Roman"/>
                <w:color w:val="000000" w:themeColor="text1"/>
                <w:sz w:val="20"/>
                <w:szCs w:val="20"/>
              </w:rPr>
            </w:pPr>
          </w:p>
        </w:tc>
        <w:tc>
          <w:tcPr>
            <w:tcW w:w="3870" w:type="dxa"/>
          </w:tcPr>
          <w:p w14:paraId="04647E97"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Emphasis on internal capabilities and strengths</w:t>
            </w:r>
          </w:p>
          <w:p w14:paraId="1E59189D" w14:textId="77777777" w:rsidR="002D1CF0" w:rsidRPr="00F72384"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Process-oriented</w:t>
            </w:r>
          </w:p>
        </w:tc>
        <w:tc>
          <w:tcPr>
            <w:tcW w:w="3600" w:type="dxa"/>
          </w:tcPr>
          <w:p w14:paraId="5B11FA84"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Customer needs are first</w:t>
            </w:r>
          </w:p>
          <w:p w14:paraId="5BC49373"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Observing market trends</w:t>
            </w:r>
          </w:p>
          <w:p w14:paraId="1F597DBE" w14:textId="77777777" w:rsidR="002D1CF0" w:rsidRPr="004F3E3B" w:rsidRDefault="002D1CF0" w:rsidP="002D1CF0">
            <w:pPr>
              <w:keepNext/>
              <w:keepLines/>
              <w:spacing w:before="200" w:line="360" w:lineRule="auto"/>
              <w:ind w:left="360"/>
              <w:contextualSpacing/>
              <w:outlineLvl w:val="7"/>
              <w:rPr>
                <w:rFonts w:ascii="Times New Roman" w:hAnsi="Times New Roman" w:cs="Times New Roman"/>
                <w:color w:val="000000" w:themeColor="text1"/>
                <w:sz w:val="20"/>
                <w:szCs w:val="20"/>
              </w:rPr>
            </w:pPr>
          </w:p>
        </w:tc>
      </w:tr>
      <w:tr w:rsidR="002D1CF0" w:rsidRPr="0002452F" w14:paraId="657398BB" w14:textId="77777777" w:rsidTr="007A457A">
        <w:tc>
          <w:tcPr>
            <w:tcW w:w="1458" w:type="dxa"/>
          </w:tcPr>
          <w:p w14:paraId="0A1A3F4B" w14:textId="77777777" w:rsidR="002D1CF0" w:rsidRPr="0002452F" w:rsidRDefault="002D1CF0" w:rsidP="002D1CF0">
            <w:pPr>
              <w:tabs>
                <w:tab w:val="center" w:pos="4320"/>
                <w:tab w:val="right" w:pos="8640"/>
              </w:tabs>
              <w:spacing w:line="360" w:lineRule="auto"/>
              <w:ind w:left="144"/>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Autonomy / Em-powerment</w:t>
            </w:r>
          </w:p>
        </w:tc>
        <w:tc>
          <w:tcPr>
            <w:tcW w:w="3870" w:type="dxa"/>
          </w:tcPr>
          <w:p w14:paraId="2BFACDBB"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Top-down decision making</w:t>
            </w:r>
          </w:p>
          <w:p w14:paraId="4FB33C39" w14:textId="77777777" w:rsidR="002D1CF0" w:rsidRPr="004F3E3B" w:rsidRDefault="002D1CF0" w:rsidP="002D1CF0">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Clear centralized structure</w:t>
            </w:r>
          </w:p>
        </w:tc>
        <w:tc>
          <w:tcPr>
            <w:tcW w:w="3600" w:type="dxa"/>
          </w:tcPr>
          <w:p w14:paraId="2A1A46E0"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Empowerment at local level</w:t>
            </w:r>
          </w:p>
          <w:p w14:paraId="4D1DD5FE"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Delegated decision-making</w:t>
            </w:r>
          </w:p>
          <w:p w14:paraId="0CA74A37"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Open communication</w:t>
            </w:r>
          </w:p>
          <w:p w14:paraId="08D6EAC3" w14:textId="77777777" w:rsidR="002D1CF0" w:rsidRPr="004F3E3B" w:rsidRDefault="002D1CF0" w:rsidP="002D1CF0">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Regional or sub-unit autonomy (decentralized structure)</w:t>
            </w:r>
          </w:p>
          <w:p w14:paraId="37F8F8F5" w14:textId="77777777" w:rsidR="002D1CF0" w:rsidRPr="0002452F" w:rsidRDefault="002D1CF0" w:rsidP="002D1CF0">
            <w:pPr>
              <w:tabs>
                <w:tab w:val="center" w:pos="4320"/>
                <w:tab w:val="right" w:pos="8640"/>
              </w:tabs>
              <w:spacing w:line="36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Pr="004F3E3B">
              <w:rPr>
                <w:rFonts w:ascii="Times New Roman" w:hAnsi="Times New Roman" w:cs="Times New Roman"/>
                <w:color w:val="000000" w:themeColor="text1"/>
                <w:sz w:val="20"/>
                <w:szCs w:val="20"/>
              </w:rPr>
              <w:t>(Hook et al. 2015)</w:t>
            </w:r>
          </w:p>
        </w:tc>
      </w:tr>
    </w:tbl>
    <w:p w14:paraId="6906E264" w14:textId="77777777" w:rsidR="00751EC4" w:rsidRPr="0068584C" w:rsidRDefault="00751EC4" w:rsidP="0035460B">
      <w:pPr>
        <w:spacing w:line="480" w:lineRule="auto"/>
        <w:rPr>
          <w:rFonts w:ascii="Times New Roman" w:hAnsi="Times New Roman" w:cs="Times New Roman"/>
          <w:color w:val="000000" w:themeColor="text1"/>
        </w:rPr>
      </w:pPr>
    </w:p>
    <w:p w14:paraId="43B9E8AD" w14:textId="77777777" w:rsidR="0018163E" w:rsidRPr="0068584C" w:rsidRDefault="0018163E" w:rsidP="0035460B">
      <w:pPr>
        <w:spacing w:line="480" w:lineRule="auto"/>
        <w:rPr>
          <w:rFonts w:ascii="Times New Roman" w:hAnsi="Times New Roman" w:cs="Times New Roman"/>
          <w:color w:val="000000" w:themeColor="text1"/>
        </w:rPr>
        <w:sectPr w:rsidR="0018163E" w:rsidRPr="0068584C" w:rsidSect="001511DD">
          <w:pgSz w:w="12240" w:h="15840"/>
          <w:pgMar w:top="1224" w:right="1800" w:bottom="1008" w:left="1800" w:header="576" w:footer="720" w:gutter="0"/>
          <w:cols w:space="720"/>
          <w:titlePg/>
          <w:docGrid w:linePitch="360"/>
        </w:sectPr>
      </w:pPr>
    </w:p>
    <w:p w14:paraId="63CD9D66" w14:textId="00B546DC" w:rsidR="0060481B" w:rsidRDefault="0060481B" w:rsidP="0060481B">
      <w:pPr>
        <w:pStyle w:val="Caption"/>
        <w:keepNext/>
      </w:pPr>
      <w:bookmarkStart w:id="93" w:name="_Toc358326852"/>
      <w:bookmarkStart w:id="94" w:name="_Ref357387653"/>
      <w:r>
        <w:lastRenderedPageBreak/>
        <w:t xml:space="preserve">Table </w:t>
      </w:r>
      <w:fldSimple w:instr=" SEQ Table \* ARABIC ">
        <w:r w:rsidR="00C2793E">
          <w:rPr>
            <w:noProof/>
          </w:rPr>
          <w:t>16</w:t>
        </w:r>
        <w:bookmarkEnd w:id="93"/>
      </w:fldSimple>
      <w:bookmarkEnd w:id="94"/>
    </w:p>
    <w:p w14:paraId="43148FAF" w14:textId="7164FA63" w:rsidR="00754171" w:rsidRPr="0060481B" w:rsidRDefault="00751EC4" w:rsidP="008C76D8">
      <w:pPr>
        <w:rPr>
          <w:rFonts w:ascii="Times New Roman" w:hAnsi="Times New Roman" w:cs="Times New Roman"/>
          <w:b/>
          <w:color w:val="000000" w:themeColor="text1"/>
        </w:rPr>
      </w:pPr>
      <w:r w:rsidRPr="0060481B">
        <w:rPr>
          <w:rFonts w:ascii="Times New Roman" w:hAnsi="Times New Roman" w:cs="Times New Roman"/>
          <w:b/>
          <w:color w:val="000000" w:themeColor="text1"/>
        </w:rPr>
        <w:t>Innovation Culture</w:t>
      </w:r>
    </w:p>
    <w:p w14:paraId="3048D14A" w14:textId="3F53C347" w:rsidR="008E4009" w:rsidRPr="0068584C" w:rsidRDefault="007F0D16" w:rsidP="0035460B">
      <w:pPr>
        <w:spacing w:line="480" w:lineRule="auto"/>
        <w:rPr>
          <w:rFonts w:ascii="Times New Roman" w:hAnsi="Times New Roman" w:cs="Times New Roman"/>
          <w:color w:val="000000" w:themeColor="text1"/>
        </w:rPr>
        <w:sectPr w:rsidR="008E4009" w:rsidRPr="0068584C" w:rsidSect="003245FB">
          <w:pgSz w:w="15840" w:h="12240" w:orient="landscape"/>
          <w:pgMar w:top="1800" w:right="1008" w:bottom="1800" w:left="1224" w:header="576" w:footer="720" w:gutter="0"/>
          <w:cols w:space="720"/>
          <w:titlePg/>
          <w:docGrid w:linePitch="360"/>
        </w:sectPr>
      </w:pPr>
      <w:r w:rsidRPr="0068584C">
        <w:rPr>
          <w:rFonts w:ascii="Times New Roman" w:hAnsi="Times New Roman" w:cs="Times New Roman"/>
          <w:noProof/>
          <w:color w:val="000000" w:themeColor="text1"/>
        </w:rPr>
        <w:drawing>
          <wp:inline distT="0" distB="0" distL="0" distR="0" wp14:anchorId="72EF7011" wp14:editId="31A8C18A">
            <wp:extent cx="7226300" cy="4967813"/>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227429" cy="4968589"/>
                    </a:xfrm>
                    <a:prstGeom prst="rect">
                      <a:avLst/>
                    </a:prstGeom>
                    <a:noFill/>
                    <a:ln>
                      <a:noFill/>
                    </a:ln>
                  </pic:spPr>
                </pic:pic>
              </a:graphicData>
            </a:graphic>
          </wp:inline>
        </w:drawing>
      </w:r>
    </w:p>
    <w:p w14:paraId="37831A60" w14:textId="68B6D730" w:rsidR="00AA2C65" w:rsidRPr="0068584C" w:rsidRDefault="00AA2C65" w:rsidP="00C932B0">
      <w:pPr>
        <w:pStyle w:val="Heading3new"/>
      </w:pPr>
      <w:r w:rsidRPr="0068584C">
        <w:lastRenderedPageBreak/>
        <w:t>Efficiency Culture</w:t>
      </w:r>
    </w:p>
    <w:p w14:paraId="7FDC5819" w14:textId="3621B9AE" w:rsidR="00CC2EBD" w:rsidRPr="0068584C" w:rsidRDefault="00AA2C65"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Very distinct from the prior innovation culture, some organizations emphasized an efficiency culture with an emphasis on cost savings and productivity. Some of the different categories that surfaced during the interviews include </w:t>
      </w:r>
      <w:r w:rsidR="00207126" w:rsidRPr="0068584C">
        <w:rPr>
          <w:rFonts w:ascii="Times New Roman" w:hAnsi="Times New Roman" w:cs="Times New Roman"/>
          <w:color w:val="000000" w:themeColor="text1"/>
        </w:rPr>
        <w:t>an emphasis on detailed cost analysis (cost transparency), clear governance structure, limited autonomy, and process formalization.</w:t>
      </w:r>
      <w:r w:rsidR="002B3AA3">
        <w:rPr>
          <w:rFonts w:ascii="Times New Roman" w:hAnsi="Times New Roman" w:cs="Times New Roman"/>
          <w:color w:val="000000" w:themeColor="text1"/>
        </w:rPr>
        <w:t xml:space="preserve"> </w:t>
      </w:r>
      <w:r w:rsidR="001F1E19" w:rsidRPr="0068584C">
        <w:rPr>
          <w:rFonts w:ascii="Times New Roman" w:hAnsi="Times New Roman" w:cs="Times New Roman"/>
          <w:color w:val="000000" w:themeColor="text1"/>
        </w:rPr>
        <w:t xml:space="preserve">The case companies exhibited a diverse spectrum of attitudes in terms of efficiency culture.  On one hand, </w:t>
      </w:r>
      <w:r w:rsidR="00CC2EBD" w:rsidRPr="0068584C">
        <w:rPr>
          <w:rFonts w:ascii="Times New Roman" w:hAnsi="Times New Roman" w:cs="Times New Roman"/>
          <w:color w:val="000000" w:themeColor="text1"/>
        </w:rPr>
        <w:t>AUTO managers revealed a strong cost-focus. Several participants noted consistently strong efforts to reduce costs throughout the organization.</w:t>
      </w:r>
    </w:p>
    <w:p w14:paraId="75913798" w14:textId="77777777" w:rsidR="00240ABE" w:rsidRPr="0068584C" w:rsidRDefault="00240ABE" w:rsidP="0035460B">
      <w:pPr>
        <w:spacing w:line="480" w:lineRule="auto"/>
        <w:jc w:val="both"/>
        <w:rPr>
          <w:rFonts w:ascii="Times New Roman" w:hAnsi="Times New Roman" w:cs="Times New Roman"/>
          <w:color w:val="000000" w:themeColor="text1"/>
        </w:rPr>
      </w:pPr>
    </w:p>
    <w:p w14:paraId="432CA873" w14:textId="77777777" w:rsidR="00CC2EBD" w:rsidRPr="0068584C" w:rsidRDefault="00CC2EBD"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“A good amount of what we are focusing on here is reducing costs in current products.  … we also all know that we’re being driven by cost savings.” (Tracy, AUTO)</w:t>
      </w:r>
    </w:p>
    <w:p w14:paraId="16AED27F" w14:textId="77777777" w:rsidR="00CC2EBD" w:rsidRPr="0068584C" w:rsidRDefault="00CC2EBD" w:rsidP="0035460B">
      <w:pPr>
        <w:spacing w:line="480" w:lineRule="auto"/>
        <w:jc w:val="both"/>
        <w:rPr>
          <w:rFonts w:ascii="Times New Roman" w:hAnsi="Times New Roman" w:cs="Times New Roman"/>
          <w:color w:val="000000" w:themeColor="text1"/>
        </w:rPr>
      </w:pPr>
    </w:p>
    <w:p w14:paraId="725E94C4" w14:textId="46EE87C1" w:rsidR="001F1E19" w:rsidRPr="0068584C" w:rsidRDefault="00CC2EBD"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On the other hand, Benjamin from TECH-1</w:t>
      </w:r>
      <w:r w:rsidR="001F1E19" w:rsidRPr="0068584C">
        <w:rPr>
          <w:rFonts w:ascii="Times New Roman" w:hAnsi="Times New Roman" w:cs="Times New Roman"/>
          <w:color w:val="000000" w:themeColor="text1"/>
        </w:rPr>
        <w:t xml:space="preserve"> was relatively frank in his assessment. He observed that his organization has little transparency of actual supply chain-induced costs.</w:t>
      </w:r>
    </w:p>
    <w:p w14:paraId="317E17B8" w14:textId="0E47F03C" w:rsidR="001F1E19" w:rsidRPr="0068584C" w:rsidRDefault="00D96071"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t>
      </w:r>
      <w:r w:rsidR="000D604D" w:rsidRPr="0068584C">
        <w:rPr>
          <w:rFonts w:ascii="Times New Roman" w:hAnsi="Times New Roman" w:cs="Times New Roman"/>
          <w:color w:val="000000" w:themeColor="text1"/>
        </w:rPr>
        <w:t>W</w:t>
      </w:r>
      <w:r w:rsidRPr="0068584C">
        <w:rPr>
          <w:rFonts w:ascii="Times New Roman" w:hAnsi="Times New Roman" w:cs="Times New Roman"/>
          <w:color w:val="000000" w:themeColor="text1"/>
        </w:rPr>
        <w:t>e don’t have no clue about our [</w:t>
      </w:r>
      <w:r w:rsidRPr="0068584C">
        <w:rPr>
          <w:rFonts w:ascii="Times New Roman" w:hAnsi="Times New Roman" w:cs="Times New Roman"/>
          <w:i/>
          <w:color w:val="000000" w:themeColor="text1"/>
        </w:rPr>
        <w:t>SC-induced</w:t>
      </w:r>
      <w:r w:rsidRPr="0068584C">
        <w:rPr>
          <w:rFonts w:ascii="Times New Roman" w:hAnsi="Times New Roman" w:cs="Times New Roman"/>
          <w:color w:val="000000" w:themeColor="text1"/>
        </w:rPr>
        <w:t>] costs.” (Benjamin, TECH-1)</w:t>
      </w:r>
    </w:p>
    <w:p w14:paraId="108800FE" w14:textId="77777777" w:rsidR="000D604D" w:rsidRPr="0068584C" w:rsidRDefault="000D604D" w:rsidP="0035460B">
      <w:pPr>
        <w:spacing w:line="480" w:lineRule="auto"/>
        <w:ind w:left="720"/>
        <w:jc w:val="both"/>
        <w:rPr>
          <w:rFonts w:ascii="Times New Roman" w:hAnsi="Times New Roman" w:cs="Times New Roman"/>
          <w:color w:val="000000" w:themeColor="text1"/>
        </w:rPr>
      </w:pPr>
    </w:p>
    <w:p w14:paraId="4E12F940" w14:textId="5D0E973E" w:rsidR="007A0A7F" w:rsidRPr="0068584C" w:rsidRDefault="00BD250B"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Overall, b</w:t>
      </w:r>
      <w:r w:rsidR="003B0C20" w:rsidRPr="0068584C">
        <w:rPr>
          <w:rFonts w:ascii="Times New Roman" w:hAnsi="Times New Roman" w:cs="Times New Roman"/>
          <w:color w:val="000000" w:themeColor="text1"/>
        </w:rPr>
        <w:t xml:space="preserve">oth </w:t>
      </w:r>
      <w:r w:rsidR="001E3AE8" w:rsidRPr="0068584C">
        <w:rPr>
          <w:rFonts w:ascii="Times New Roman" w:hAnsi="Times New Roman" w:cs="Times New Roman"/>
          <w:color w:val="000000" w:themeColor="text1"/>
        </w:rPr>
        <w:t xml:space="preserve">high technology </w:t>
      </w:r>
      <w:r w:rsidR="003B0C20" w:rsidRPr="0068584C">
        <w:rPr>
          <w:rFonts w:ascii="Times New Roman" w:hAnsi="Times New Roman" w:cs="Times New Roman"/>
          <w:color w:val="000000" w:themeColor="text1"/>
        </w:rPr>
        <w:t xml:space="preserve">case companies did not exhibit a strong efficiency culture. </w:t>
      </w:r>
      <w:r w:rsidRPr="0068584C">
        <w:rPr>
          <w:rFonts w:ascii="Times New Roman" w:hAnsi="Times New Roman" w:cs="Times New Roman"/>
          <w:color w:val="000000" w:themeColor="text1"/>
        </w:rPr>
        <w:t>Some supply</w:t>
      </w:r>
      <w:r w:rsidR="003B0C20" w:rsidRPr="0068584C">
        <w:rPr>
          <w:rFonts w:ascii="Times New Roman" w:hAnsi="Times New Roman" w:cs="Times New Roman"/>
          <w:color w:val="000000" w:themeColor="text1"/>
        </w:rPr>
        <w:t xml:space="preserve"> chain manager</w:t>
      </w:r>
      <w:r w:rsidRPr="0068584C">
        <w:rPr>
          <w:rFonts w:ascii="Times New Roman" w:hAnsi="Times New Roman" w:cs="Times New Roman"/>
          <w:color w:val="000000" w:themeColor="text1"/>
        </w:rPr>
        <w:t>s</w:t>
      </w:r>
      <w:r w:rsidR="003B0C20" w:rsidRPr="0068584C">
        <w:rPr>
          <w:rFonts w:ascii="Times New Roman" w:hAnsi="Times New Roman" w:cs="Times New Roman"/>
          <w:color w:val="000000" w:themeColor="text1"/>
        </w:rPr>
        <w:t xml:space="preserve"> observed</w:t>
      </w:r>
      <w:r w:rsidR="00900389" w:rsidRPr="0068584C">
        <w:rPr>
          <w:rFonts w:ascii="Times New Roman" w:hAnsi="Times New Roman" w:cs="Times New Roman"/>
          <w:color w:val="000000" w:themeColor="text1"/>
        </w:rPr>
        <w:t xml:space="preserve"> a lack of cost transparency as a substantial weakness</w:t>
      </w:r>
      <w:r w:rsidRPr="0068584C">
        <w:rPr>
          <w:rFonts w:ascii="Times New Roman" w:hAnsi="Times New Roman" w:cs="Times New Roman"/>
          <w:color w:val="000000" w:themeColor="text1"/>
        </w:rPr>
        <w:t xml:space="preserve"> of the organization. For example</w:t>
      </w:r>
      <w:r w:rsidR="007A0A7F" w:rsidRPr="0068584C">
        <w:rPr>
          <w:rFonts w:ascii="Times New Roman" w:hAnsi="Times New Roman" w:cs="Times New Roman"/>
          <w:color w:val="000000" w:themeColor="text1"/>
        </w:rPr>
        <w:t>, one manager from EQUIP highlighted the need for more cost transparency.</w:t>
      </w:r>
    </w:p>
    <w:p w14:paraId="7E25C0E5" w14:textId="77777777" w:rsidR="007A0A7F" w:rsidRPr="0068584C" w:rsidRDefault="007A0A7F" w:rsidP="0035460B">
      <w:pPr>
        <w:spacing w:line="480" w:lineRule="auto"/>
        <w:jc w:val="both"/>
        <w:rPr>
          <w:rFonts w:ascii="Times New Roman" w:hAnsi="Times New Roman" w:cs="Times New Roman"/>
          <w:color w:val="000000" w:themeColor="text1"/>
        </w:rPr>
      </w:pPr>
    </w:p>
    <w:p w14:paraId="377DE169" w14:textId="17DC6C7A" w:rsidR="007A0A7F" w:rsidRPr="0068584C" w:rsidRDefault="007A0A7F"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“People don’t know where the cost is outside of whatever they perceive to be the initial product cost. That’s where the NPI groups have been focused. That’s where design engineering is focused. It’s actual product cost.” (David, EQUIP)</w:t>
      </w:r>
    </w:p>
    <w:p w14:paraId="296E9B9E" w14:textId="77777777" w:rsidR="007A0A7F" w:rsidRPr="0068584C" w:rsidRDefault="007A0A7F" w:rsidP="0035460B">
      <w:pPr>
        <w:spacing w:line="480" w:lineRule="auto"/>
        <w:jc w:val="both"/>
        <w:rPr>
          <w:rFonts w:ascii="Times New Roman" w:hAnsi="Times New Roman" w:cs="Times New Roman"/>
          <w:color w:val="000000" w:themeColor="text1"/>
        </w:rPr>
      </w:pPr>
    </w:p>
    <w:p w14:paraId="417D198C" w14:textId="278C723A" w:rsidR="00DF53BD" w:rsidRPr="0068584C" w:rsidRDefault="00DF53BD"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lastRenderedPageBreak/>
        <w:t>Later, he el</w:t>
      </w:r>
      <w:r w:rsidR="00974D46" w:rsidRPr="0068584C">
        <w:rPr>
          <w:rFonts w:ascii="Times New Roman" w:hAnsi="Times New Roman" w:cs="Times New Roman"/>
          <w:color w:val="000000" w:themeColor="text1"/>
        </w:rPr>
        <w:t>aborated in more detail concerning a lack of cost transparency or cost data sharing between supply chain partners</w:t>
      </w:r>
      <w:r w:rsidR="007446E8" w:rsidRPr="0068584C">
        <w:rPr>
          <w:rFonts w:ascii="Times New Roman" w:hAnsi="Times New Roman" w:cs="Times New Roman"/>
          <w:color w:val="000000" w:themeColor="text1"/>
        </w:rPr>
        <w:t>, which limits SC-wide coordination and the understanding of up- or downstream implications</w:t>
      </w:r>
      <w:r w:rsidR="00974D46" w:rsidRPr="0068584C">
        <w:rPr>
          <w:rFonts w:ascii="Times New Roman" w:hAnsi="Times New Roman" w:cs="Times New Roman"/>
          <w:color w:val="000000" w:themeColor="text1"/>
        </w:rPr>
        <w:t>:</w:t>
      </w:r>
    </w:p>
    <w:p w14:paraId="1A1F6AE2" w14:textId="77777777" w:rsidR="007446E8" w:rsidRPr="0068584C" w:rsidRDefault="007446E8" w:rsidP="0035460B">
      <w:pPr>
        <w:spacing w:line="480" w:lineRule="auto"/>
        <w:jc w:val="both"/>
        <w:rPr>
          <w:rFonts w:ascii="Times New Roman" w:hAnsi="Times New Roman" w:cs="Times New Roman"/>
          <w:color w:val="000000" w:themeColor="text1"/>
        </w:rPr>
      </w:pPr>
    </w:p>
    <w:p w14:paraId="375B8147" w14:textId="7C0C49A2" w:rsidR="007446E8" w:rsidRPr="0068584C" w:rsidRDefault="00974D46"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t>
      </w:r>
      <w:r w:rsidR="007446E8" w:rsidRPr="0068584C">
        <w:rPr>
          <w:rFonts w:ascii="Times New Roman" w:hAnsi="Times New Roman" w:cs="Times New Roman"/>
          <w:color w:val="000000" w:themeColor="text1"/>
        </w:rPr>
        <w:t>There’s no cost transparency for either the supplier or the customer and without that cost transparency, it’s difficult to really think about it from an end to end perspective. … that cost transparency issue creates a barrier for that end to end thinking because traditionally the customer is not wanting to expose that cost to the supplier.” (David, EQUIP)</w:t>
      </w:r>
    </w:p>
    <w:p w14:paraId="64E19DA3" w14:textId="3B5C3728" w:rsidR="00974D46" w:rsidRPr="0068584C" w:rsidRDefault="00974D46" w:rsidP="0035460B">
      <w:pPr>
        <w:spacing w:line="480" w:lineRule="auto"/>
        <w:jc w:val="both"/>
        <w:rPr>
          <w:rFonts w:ascii="Times New Roman" w:hAnsi="Times New Roman" w:cs="Times New Roman"/>
          <w:color w:val="000000" w:themeColor="text1"/>
        </w:rPr>
      </w:pPr>
    </w:p>
    <w:p w14:paraId="48F0D9BA" w14:textId="12D651E5" w:rsidR="007A0A7F" w:rsidRPr="0068584C" w:rsidRDefault="005D0D1B"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He noticed a lack of total supply chain cost transparency in this regard:</w:t>
      </w:r>
    </w:p>
    <w:p w14:paraId="14B2FC9A" w14:textId="686AC9F2" w:rsidR="005D0D1B" w:rsidRPr="0068584C" w:rsidRDefault="005D0D1B"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“In most cases, design engineers in the early stages of producing the product, they’re not thinking about total supply chain cost and for us, for our company, that can have a major impact on the total landed cost to the customer.” (David, EQUIP)</w:t>
      </w:r>
    </w:p>
    <w:p w14:paraId="5ADD875D" w14:textId="77777777" w:rsidR="007A0A7F" w:rsidRPr="0068584C" w:rsidRDefault="007A0A7F" w:rsidP="0035460B">
      <w:pPr>
        <w:spacing w:line="480" w:lineRule="auto"/>
        <w:jc w:val="both"/>
        <w:rPr>
          <w:rFonts w:ascii="Times New Roman" w:hAnsi="Times New Roman" w:cs="Times New Roman"/>
          <w:color w:val="000000" w:themeColor="text1"/>
        </w:rPr>
      </w:pPr>
    </w:p>
    <w:p w14:paraId="5C10EAE4" w14:textId="6F0AC37F" w:rsidR="00F51254" w:rsidRPr="0068584C" w:rsidRDefault="004324AB"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However</w:t>
      </w:r>
      <w:r w:rsidR="003B0C20" w:rsidRPr="0068584C">
        <w:rPr>
          <w:rFonts w:ascii="Times New Roman" w:hAnsi="Times New Roman" w:cs="Times New Roman"/>
          <w:color w:val="000000" w:themeColor="text1"/>
        </w:rPr>
        <w:t>, t</w:t>
      </w:r>
      <w:r w:rsidR="00F51254" w:rsidRPr="0068584C">
        <w:rPr>
          <w:rFonts w:ascii="Times New Roman" w:hAnsi="Times New Roman" w:cs="Times New Roman"/>
          <w:color w:val="000000" w:themeColor="text1"/>
        </w:rPr>
        <w:t xml:space="preserve">he </w:t>
      </w:r>
      <w:r w:rsidRPr="0068584C">
        <w:rPr>
          <w:rFonts w:ascii="Times New Roman" w:hAnsi="Times New Roman" w:cs="Times New Roman"/>
          <w:color w:val="000000" w:themeColor="text1"/>
        </w:rPr>
        <w:t>EQUIP organization</w:t>
      </w:r>
      <w:r w:rsidR="00F51254" w:rsidRPr="0068584C">
        <w:rPr>
          <w:rFonts w:ascii="Times New Roman" w:hAnsi="Times New Roman" w:cs="Times New Roman"/>
          <w:color w:val="000000" w:themeColor="text1"/>
        </w:rPr>
        <w:t xml:space="preserve"> showed a particularly high level of efficiency culture</w:t>
      </w:r>
      <w:r w:rsidR="00A47E99" w:rsidRPr="0068584C">
        <w:rPr>
          <w:rFonts w:ascii="Times New Roman" w:hAnsi="Times New Roman" w:cs="Times New Roman"/>
          <w:color w:val="000000" w:themeColor="text1"/>
        </w:rPr>
        <w:t>, which was evident by a detailed performance management system</w:t>
      </w:r>
      <w:r w:rsidR="00F51254" w:rsidRPr="0068584C">
        <w:rPr>
          <w:rFonts w:ascii="Times New Roman" w:hAnsi="Times New Roman" w:cs="Times New Roman"/>
          <w:color w:val="000000" w:themeColor="text1"/>
        </w:rPr>
        <w:t xml:space="preserve">. </w:t>
      </w:r>
    </w:p>
    <w:p w14:paraId="60B844A3" w14:textId="77777777" w:rsidR="00F51254" w:rsidRPr="0068584C" w:rsidRDefault="00F51254" w:rsidP="0035460B">
      <w:pPr>
        <w:spacing w:line="480" w:lineRule="auto"/>
        <w:jc w:val="both"/>
        <w:rPr>
          <w:rFonts w:ascii="Times New Roman" w:hAnsi="Times New Roman" w:cs="Times New Roman"/>
          <w:color w:val="000000" w:themeColor="text1"/>
        </w:rPr>
      </w:pPr>
    </w:p>
    <w:p w14:paraId="40C409C7" w14:textId="55C1BEDD" w:rsidR="00D814DD" w:rsidRPr="0068584C" w:rsidRDefault="00D814DD"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“We’re now shifting into what I’ll call pure performance management culture and taking that detail down to the next three levels of information.” (David, EQUIP)</w:t>
      </w:r>
    </w:p>
    <w:p w14:paraId="213B3377" w14:textId="77777777" w:rsidR="004324AB" w:rsidRPr="0068584C" w:rsidRDefault="004324AB" w:rsidP="0035460B">
      <w:pPr>
        <w:spacing w:line="480" w:lineRule="auto"/>
        <w:jc w:val="both"/>
        <w:rPr>
          <w:rFonts w:ascii="Times New Roman" w:hAnsi="Times New Roman" w:cs="Times New Roman"/>
          <w:color w:val="000000" w:themeColor="text1"/>
        </w:rPr>
      </w:pPr>
    </w:p>
    <w:p w14:paraId="773210E7" w14:textId="483C2A87" w:rsidR="004324AB" w:rsidRPr="0068584C" w:rsidRDefault="004324AB"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In two cases</w:t>
      </w:r>
      <w:r w:rsidR="00A86340" w:rsidRPr="0068584C">
        <w:rPr>
          <w:rFonts w:ascii="Times New Roman" w:hAnsi="Times New Roman" w:cs="Times New Roman"/>
          <w:color w:val="000000" w:themeColor="text1"/>
        </w:rPr>
        <w:t xml:space="preserve"> (EQUIP and AUTO)</w:t>
      </w:r>
      <w:r w:rsidRPr="0068584C">
        <w:rPr>
          <w:rFonts w:ascii="Times New Roman" w:hAnsi="Times New Roman" w:cs="Times New Roman"/>
          <w:color w:val="000000" w:themeColor="text1"/>
        </w:rPr>
        <w:t>, the need for formal procedures including better process formalization (and harmonization) was highlighted:</w:t>
      </w:r>
    </w:p>
    <w:p w14:paraId="29403A7B" w14:textId="77777777" w:rsidR="004324AB" w:rsidRPr="0068584C" w:rsidRDefault="004324AB" w:rsidP="0035460B">
      <w:pPr>
        <w:spacing w:line="480" w:lineRule="auto"/>
        <w:jc w:val="both"/>
        <w:rPr>
          <w:rFonts w:ascii="Times New Roman" w:hAnsi="Times New Roman" w:cs="Times New Roman"/>
          <w:color w:val="000000" w:themeColor="text1"/>
        </w:rPr>
      </w:pPr>
    </w:p>
    <w:p w14:paraId="5B5F25D5" w14:textId="42DF8B11" w:rsidR="00392096" w:rsidRPr="0068584C" w:rsidRDefault="00241B0D"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“What they’re doing right now </w:t>
      </w:r>
      <w:r w:rsidR="00392096" w:rsidRPr="0068584C">
        <w:rPr>
          <w:rFonts w:ascii="Times New Roman" w:hAnsi="Times New Roman" w:cs="Times New Roman"/>
          <w:color w:val="000000" w:themeColor="text1"/>
        </w:rPr>
        <w:t>is formalizing that process because they kind of have a one size fits all for every program and what they found is that you had different NPI program teams interpreting the process differently</w:t>
      </w:r>
      <w:r w:rsidR="009B536A" w:rsidRPr="0068584C">
        <w:rPr>
          <w:rFonts w:ascii="Times New Roman" w:hAnsi="Times New Roman" w:cs="Times New Roman"/>
          <w:color w:val="000000" w:themeColor="text1"/>
        </w:rPr>
        <w:t>.</w:t>
      </w:r>
      <w:r w:rsidR="00426156" w:rsidRPr="0068584C">
        <w:rPr>
          <w:rFonts w:ascii="Times New Roman" w:hAnsi="Times New Roman" w:cs="Times New Roman"/>
          <w:color w:val="000000" w:themeColor="text1"/>
        </w:rPr>
        <w:t>”</w:t>
      </w:r>
      <w:r w:rsidR="00392096" w:rsidRPr="0068584C">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(David, EQUIP)</w:t>
      </w:r>
    </w:p>
    <w:p w14:paraId="56BF625B" w14:textId="77777777" w:rsidR="004324AB" w:rsidRPr="0068584C" w:rsidRDefault="004324AB" w:rsidP="008C76D8">
      <w:pPr>
        <w:ind w:left="720"/>
        <w:jc w:val="both"/>
        <w:rPr>
          <w:rFonts w:ascii="Times New Roman" w:hAnsi="Times New Roman" w:cs="Times New Roman"/>
          <w:color w:val="000000" w:themeColor="text1"/>
        </w:rPr>
      </w:pPr>
    </w:p>
    <w:p w14:paraId="6BF481B6" w14:textId="57F3598A" w:rsidR="00426156" w:rsidRPr="0068584C" w:rsidRDefault="00426156"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“Harmonized: That wasn’t easy to get to but definitely worth it because otherwise, it looked like we had two sets of books. We had one set that some official group was keeping and another set they were paying from the systems of record within the program and you never had constructive conversations when one of the sets was put up on the screen”</w:t>
      </w:r>
      <w:r w:rsidR="00484BA3" w:rsidRPr="0068584C">
        <w:rPr>
          <w:rFonts w:ascii="Times New Roman" w:hAnsi="Times New Roman" w:cs="Times New Roman"/>
          <w:color w:val="000000" w:themeColor="text1"/>
        </w:rPr>
        <w:t xml:space="preserve"> (Amy, EQUIP)</w:t>
      </w:r>
    </w:p>
    <w:p w14:paraId="3C97D051" w14:textId="77777777" w:rsidR="006B7CC6" w:rsidRPr="0068584C" w:rsidRDefault="006B7CC6" w:rsidP="008C76D8">
      <w:pPr>
        <w:ind w:left="720"/>
        <w:jc w:val="both"/>
        <w:rPr>
          <w:rFonts w:ascii="Times New Roman" w:hAnsi="Times New Roman" w:cs="Times New Roman"/>
          <w:color w:val="000000" w:themeColor="text1"/>
        </w:rPr>
      </w:pPr>
    </w:p>
    <w:p w14:paraId="53A0068E" w14:textId="51B4D527" w:rsidR="005D0E44" w:rsidRPr="0068584C" w:rsidRDefault="006B7CC6"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“We come in contact very early on with the finance group to estimate product cost as to make new equipment, capital expenditures, those kinds of things.”  (</w:t>
      </w:r>
      <w:r w:rsidR="005D0E44" w:rsidRPr="0068584C">
        <w:rPr>
          <w:rFonts w:ascii="Times New Roman" w:hAnsi="Times New Roman" w:cs="Times New Roman"/>
          <w:color w:val="000000" w:themeColor="text1"/>
        </w:rPr>
        <w:t>Brandon, AUTO)</w:t>
      </w:r>
    </w:p>
    <w:p w14:paraId="3ABAC48E" w14:textId="77777777" w:rsidR="00392096" w:rsidRPr="0068584C" w:rsidRDefault="00392096" w:rsidP="0035460B">
      <w:pPr>
        <w:spacing w:line="480" w:lineRule="auto"/>
        <w:jc w:val="both"/>
        <w:rPr>
          <w:rFonts w:ascii="Times New Roman" w:hAnsi="Times New Roman" w:cs="Times New Roman"/>
          <w:color w:val="000000" w:themeColor="text1"/>
        </w:rPr>
      </w:pPr>
    </w:p>
    <w:p w14:paraId="65345723" w14:textId="73E5523E" w:rsidR="00033311" w:rsidRPr="0068584C" w:rsidRDefault="00033311"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Both EQUIP and AUTO emphasized the importance of efficiency targets, including the use of LEAN and Six Sigma targets. One option was to simplify (reduce complexity of the process).</w:t>
      </w:r>
    </w:p>
    <w:p w14:paraId="62A4320D" w14:textId="77777777" w:rsidR="00B34C0A" w:rsidRPr="0068584C" w:rsidRDefault="00B34C0A" w:rsidP="0035460B">
      <w:pPr>
        <w:spacing w:line="480" w:lineRule="auto"/>
        <w:jc w:val="both"/>
        <w:rPr>
          <w:rFonts w:ascii="Times New Roman" w:hAnsi="Times New Roman" w:cs="Times New Roman"/>
          <w:color w:val="000000" w:themeColor="text1"/>
        </w:rPr>
      </w:pPr>
    </w:p>
    <w:p w14:paraId="19B60AEB" w14:textId="0C1BFD18" w:rsidR="005465A3" w:rsidRPr="0068584C" w:rsidRDefault="005465A3"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“Utilize six sigma tools as much as possible but at the same time realizing that you want it to be a lean type of activity where you have as much of the wasted effort removed. So that’s why we look at trying to find ways to improve the efficiency by sharing similar processes across the business units.” (Brandon, AUTO)</w:t>
      </w:r>
    </w:p>
    <w:p w14:paraId="75BFBB05" w14:textId="77777777" w:rsidR="00006E7E" w:rsidRPr="0068584C" w:rsidRDefault="00006E7E" w:rsidP="008C76D8">
      <w:pPr>
        <w:ind w:left="720"/>
        <w:jc w:val="both"/>
        <w:rPr>
          <w:rFonts w:ascii="Times New Roman" w:hAnsi="Times New Roman" w:cs="Times New Roman"/>
          <w:color w:val="000000" w:themeColor="text1"/>
        </w:rPr>
      </w:pPr>
    </w:p>
    <w:p w14:paraId="57769B9C" w14:textId="78D7DC79" w:rsidR="00006E7E" w:rsidRPr="0068584C" w:rsidRDefault="00006E7E"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“Take complexity out. That way you can have repeatability in your processes. …</w:t>
      </w:r>
      <w:r w:rsidR="00D01707" w:rsidRPr="0068584C">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manufacturing should be king because that’s where the profit is generated, at the manufacturing level. So you must do everything you can to make everything as easy and painless for the manufacturing organization.” (Henk, EQUIP)</w:t>
      </w:r>
    </w:p>
    <w:p w14:paraId="6966B51E" w14:textId="77777777" w:rsidR="004324AB" w:rsidRPr="0068584C" w:rsidRDefault="004324AB" w:rsidP="0035460B">
      <w:pPr>
        <w:spacing w:line="480" w:lineRule="auto"/>
        <w:jc w:val="both"/>
        <w:rPr>
          <w:rFonts w:ascii="Times New Roman" w:hAnsi="Times New Roman" w:cs="Times New Roman"/>
          <w:color w:val="000000" w:themeColor="text1"/>
        </w:rPr>
      </w:pPr>
    </w:p>
    <w:p w14:paraId="213D7B15" w14:textId="13CCFB52" w:rsidR="00CB0529" w:rsidRPr="0068584C" w:rsidRDefault="0063728E"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 xml:space="preserve">Finally, several managers mentioned </w:t>
      </w:r>
      <w:r w:rsidR="00CB0529" w:rsidRPr="0068584C">
        <w:rPr>
          <w:rFonts w:ascii="Times New Roman" w:hAnsi="Times New Roman" w:cs="Times New Roman"/>
          <w:color w:val="000000" w:themeColor="text1"/>
        </w:rPr>
        <w:t xml:space="preserve">the </w:t>
      </w:r>
      <w:r w:rsidR="00C5137F" w:rsidRPr="0068584C">
        <w:rPr>
          <w:rFonts w:ascii="Times New Roman" w:hAnsi="Times New Roman" w:cs="Times New Roman"/>
          <w:color w:val="000000" w:themeColor="text1"/>
        </w:rPr>
        <w:t>necessity</w:t>
      </w:r>
      <w:r w:rsidR="00CB0529" w:rsidRPr="0068584C">
        <w:rPr>
          <w:rFonts w:ascii="Times New Roman" w:hAnsi="Times New Roman" w:cs="Times New Roman"/>
          <w:color w:val="000000" w:themeColor="text1"/>
        </w:rPr>
        <w:t xml:space="preserve"> to establish a clear structure</w:t>
      </w:r>
      <w:r w:rsidR="00C5137F" w:rsidRPr="0068584C">
        <w:rPr>
          <w:rFonts w:ascii="Times New Roman" w:hAnsi="Times New Roman" w:cs="Times New Roman"/>
          <w:color w:val="000000" w:themeColor="text1"/>
        </w:rPr>
        <w:t xml:space="preserve"> about what functions are to be involved at certain development stages</w:t>
      </w:r>
      <w:r w:rsidR="00CB0529" w:rsidRPr="0068584C">
        <w:rPr>
          <w:rFonts w:ascii="Times New Roman" w:hAnsi="Times New Roman" w:cs="Times New Roman"/>
          <w:color w:val="000000" w:themeColor="text1"/>
        </w:rPr>
        <w:t>.</w:t>
      </w:r>
      <w:r w:rsidR="00C5137F" w:rsidRPr="0068584C">
        <w:rPr>
          <w:rFonts w:ascii="Times New Roman" w:hAnsi="Times New Roman" w:cs="Times New Roman"/>
          <w:color w:val="000000" w:themeColor="text1"/>
        </w:rPr>
        <w:t xml:space="preserve"> While </w:t>
      </w:r>
      <w:r w:rsidR="00BE1FFB" w:rsidRPr="0068584C">
        <w:rPr>
          <w:rFonts w:ascii="Times New Roman" w:hAnsi="Times New Roman" w:cs="Times New Roman"/>
          <w:color w:val="000000" w:themeColor="text1"/>
        </w:rPr>
        <w:t>TECH</w:t>
      </w:r>
      <w:r w:rsidR="00C5137F" w:rsidRPr="0068584C">
        <w:rPr>
          <w:rFonts w:ascii="Times New Roman" w:hAnsi="Times New Roman" w:cs="Times New Roman"/>
          <w:color w:val="000000" w:themeColor="text1"/>
        </w:rPr>
        <w:t xml:space="preserve">-2 appears satisfied with the current level of structure, the EQUIP case illustrates room for improvement. </w:t>
      </w:r>
    </w:p>
    <w:p w14:paraId="3452C2B6" w14:textId="77777777" w:rsidR="00CB0529" w:rsidRPr="0068584C" w:rsidRDefault="00CB0529" w:rsidP="0035460B">
      <w:pPr>
        <w:spacing w:line="480" w:lineRule="auto"/>
        <w:jc w:val="both"/>
        <w:rPr>
          <w:rFonts w:ascii="Times New Roman" w:hAnsi="Times New Roman" w:cs="Times New Roman"/>
          <w:color w:val="000000" w:themeColor="text1"/>
        </w:rPr>
      </w:pPr>
    </w:p>
    <w:p w14:paraId="7C0818CE" w14:textId="39D22B71" w:rsidR="00C5137F" w:rsidRPr="0068584C" w:rsidRDefault="00C5137F"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“We have a very structured process that requires engagement and I would say that that process is constantly being improved to be more inclusive of as many functions as possible, from sales and marketing to engineering to aftermarket, supplier management, production engineering.</w:t>
      </w:r>
      <w:r w:rsidR="00F30B6A" w:rsidRPr="0068584C">
        <w:rPr>
          <w:rFonts w:ascii="Times New Roman" w:hAnsi="Times New Roman" w:cs="Times New Roman"/>
          <w:color w:val="000000" w:themeColor="text1"/>
        </w:rPr>
        <w:t>” (Hannah</w:t>
      </w:r>
      <w:r w:rsidRPr="0068584C">
        <w:rPr>
          <w:rFonts w:ascii="Times New Roman" w:hAnsi="Times New Roman" w:cs="Times New Roman"/>
          <w:color w:val="000000" w:themeColor="text1"/>
        </w:rPr>
        <w:t xml:space="preserve">, </w:t>
      </w:r>
      <w:r w:rsidR="00BE1FFB" w:rsidRPr="0068584C">
        <w:rPr>
          <w:rFonts w:ascii="Times New Roman" w:hAnsi="Times New Roman" w:cs="Times New Roman"/>
          <w:color w:val="000000" w:themeColor="text1"/>
        </w:rPr>
        <w:t>TECH</w:t>
      </w:r>
      <w:r w:rsidRPr="0068584C">
        <w:rPr>
          <w:rFonts w:ascii="Times New Roman" w:hAnsi="Times New Roman" w:cs="Times New Roman"/>
          <w:color w:val="000000" w:themeColor="text1"/>
        </w:rPr>
        <w:t>-2)</w:t>
      </w:r>
    </w:p>
    <w:p w14:paraId="4FA481B7" w14:textId="77777777" w:rsidR="00C5137F" w:rsidRPr="0068584C" w:rsidRDefault="00C5137F" w:rsidP="008C76D8">
      <w:pPr>
        <w:ind w:left="720"/>
        <w:jc w:val="both"/>
        <w:rPr>
          <w:rFonts w:ascii="Times New Roman" w:hAnsi="Times New Roman" w:cs="Times New Roman"/>
          <w:color w:val="000000" w:themeColor="text1"/>
        </w:rPr>
      </w:pPr>
    </w:p>
    <w:p w14:paraId="45002A6F" w14:textId="44D2E6D3" w:rsidR="00C5137F" w:rsidRPr="0068584C" w:rsidRDefault="00C5137F" w:rsidP="008C76D8">
      <w:pPr>
        <w:ind w:left="720"/>
        <w:jc w:val="both"/>
        <w:rPr>
          <w:rFonts w:ascii="Times New Roman" w:hAnsi="Times New Roman" w:cs="Times New Roman"/>
          <w:color w:val="000000" w:themeColor="text1"/>
        </w:rPr>
      </w:pPr>
      <w:r w:rsidRPr="0068584C">
        <w:rPr>
          <w:rFonts w:ascii="Times New Roman" w:hAnsi="Times New Roman" w:cs="Times New Roman"/>
          <w:color w:val="000000" w:themeColor="text1"/>
        </w:rPr>
        <w:t>“Purchasing is inherently involved in the process because you’re typically going to need to buy product from suppliers and get it to the plant. So they’ve always been involved in the process but their involvement was not as structured in terms of when and what type of information was available at the particular time that it was needed.” (</w:t>
      </w:r>
      <w:r w:rsidR="00415D5E" w:rsidRPr="0068584C">
        <w:rPr>
          <w:rFonts w:ascii="Times New Roman" w:hAnsi="Times New Roman" w:cs="Times New Roman"/>
          <w:color w:val="000000" w:themeColor="text1"/>
        </w:rPr>
        <w:t>David</w:t>
      </w:r>
      <w:r w:rsidRPr="0068584C">
        <w:rPr>
          <w:rFonts w:ascii="Times New Roman" w:hAnsi="Times New Roman" w:cs="Times New Roman"/>
          <w:color w:val="000000" w:themeColor="text1"/>
        </w:rPr>
        <w:t>, EQUIP)</w:t>
      </w:r>
    </w:p>
    <w:p w14:paraId="7D361A95" w14:textId="77777777" w:rsidR="001A7956" w:rsidRPr="0068584C" w:rsidRDefault="001A7956" w:rsidP="0035460B">
      <w:pPr>
        <w:spacing w:line="480" w:lineRule="auto"/>
        <w:jc w:val="both"/>
        <w:rPr>
          <w:rFonts w:ascii="Times New Roman" w:hAnsi="Times New Roman" w:cs="Times New Roman"/>
          <w:color w:val="000000" w:themeColor="text1"/>
        </w:rPr>
      </w:pPr>
    </w:p>
    <w:p w14:paraId="26C8732C" w14:textId="37230FB8" w:rsidR="00A83F96" w:rsidRPr="0068584C" w:rsidRDefault="00A83F96" w:rsidP="00A83F96">
      <w:pPr>
        <w:spacing w:line="480" w:lineRule="auto"/>
        <w:rPr>
          <w:rFonts w:ascii="Times New Roman" w:hAnsi="Times New Roman" w:cs="Times New Roman"/>
          <w:color w:val="000000" w:themeColor="text1"/>
        </w:rPr>
      </w:pPr>
      <w:r w:rsidRPr="0068584C">
        <w:rPr>
          <w:rFonts w:ascii="Times New Roman" w:hAnsi="Times New Roman" w:cs="Times New Roman"/>
          <w:color w:val="000000" w:themeColor="text1"/>
        </w:rPr>
        <w:lastRenderedPageBreak/>
        <w:t xml:space="preserve">The </w:t>
      </w:r>
      <w:r>
        <w:rPr>
          <w:rFonts w:ascii="Times New Roman" w:hAnsi="Times New Roman" w:cs="Times New Roman"/>
          <w:color w:val="000000" w:themeColor="text1"/>
        </w:rPr>
        <w:t>scoring c</w:t>
      </w:r>
      <w:r w:rsidRPr="0068584C">
        <w:rPr>
          <w:rFonts w:ascii="Times New Roman" w:hAnsi="Times New Roman" w:cs="Times New Roman"/>
          <w:color w:val="000000" w:themeColor="text1"/>
        </w:rPr>
        <w:t>riteria for efficien</w:t>
      </w:r>
      <w:r>
        <w:rPr>
          <w:rFonts w:ascii="Times New Roman" w:hAnsi="Times New Roman" w:cs="Times New Roman"/>
          <w:color w:val="000000" w:themeColor="text1"/>
        </w:rPr>
        <w:t xml:space="preserve">cy culture are described in </w:t>
      </w:r>
      <w:r w:rsidR="000257EB">
        <w:rPr>
          <w:rFonts w:ascii="Times New Roman" w:hAnsi="Times New Roman" w:cs="Times New Roman"/>
          <w:color w:val="000000" w:themeColor="text1"/>
        </w:rPr>
        <w:fldChar w:fldCharType="begin"/>
      </w:r>
      <w:r w:rsidR="000257EB">
        <w:rPr>
          <w:rFonts w:ascii="Times New Roman" w:hAnsi="Times New Roman" w:cs="Times New Roman"/>
          <w:color w:val="000000" w:themeColor="text1"/>
        </w:rPr>
        <w:instrText xml:space="preserve"> REF _Ref357387706 \h </w:instrText>
      </w:r>
      <w:r w:rsidR="000257EB">
        <w:rPr>
          <w:rFonts w:ascii="Times New Roman" w:hAnsi="Times New Roman" w:cs="Times New Roman"/>
          <w:color w:val="000000" w:themeColor="text1"/>
        </w:rPr>
      </w:r>
      <w:r w:rsidR="000257EB">
        <w:rPr>
          <w:rFonts w:ascii="Times New Roman" w:hAnsi="Times New Roman" w:cs="Times New Roman"/>
          <w:color w:val="000000" w:themeColor="text1"/>
        </w:rPr>
        <w:fldChar w:fldCharType="separate"/>
      </w:r>
      <w:r w:rsidR="00C2793E">
        <w:t xml:space="preserve">Table </w:t>
      </w:r>
      <w:r w:rsidR="00C2793E">
        <w:rPr>
          <w:noProof/>
        </w:rPr>
        <w:t>17</w:t>
      </w:r>
      <w:r w:rsidR="000257EB">
        <w:rPr>
          <w:rFonts w:ascii="Times New Roman" w:hAnsi="Times New Roman" w:cs="Times New Roman"/>
          <w:color w:val="000000" w:themeColor="text1"/>
        </w:rPr>
        <w:fldChar w:fldCharType="end"/>
      </w:r>
      <w:r w:rsidR="000257EB">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It is reverse scored to enable the calculation of a consistent</w:t>
      </w:r>
      <w:r>
        <w:rPr>
          <w:rFonts w:ascii="Times New Roman" w:hAnsi="Times New Roman" w:cs="Times New Roman"/>
          <w:color w:val="000000" w:themeColor="text1"/>
        </w:rPr>
        <w:t xml:space="preserve"> total</w:t>
      </w:r>
      <w:r w:rsidRPr="0068584C">
        <w:rPr>
          <w:rFonts w:ascii="Times New Roman" w:hAnsi="Times New Roman" w:cs="Times New Roman"/>
          <w:color w:val="000000" w:themeColor="text1"/>
        </w:rPr>
        <w:t xml:space="preserve"> innovation culture </w:t>
      </w:r>
      <w:r>
        <w:rPr>
          <w:rFonts w:ascii="Times New Roman" w:hAnsi="Times New Roman" w:cs="Times New Roman"/>
          <w:color w:val="000000" w:themeColor="text1"/>
        </w:rPr>
        <w:t xml:space="preserve">score. </w:t>
      </w:r>
      <w:r w:rsidR="000257EB">
        <w:rPr>
          <w:rFonts w:ascii="Times New Roman" w:hAnsi="Times New Roman" w:cs="Times New Roman"/>
          <w:color w:val="000000" w:themeColor="text1"/>
        </w:rPr>
        <w:fldChar w:fldCharType="begin"/>
      </w:r>
      <w:r w:rsidR="000257EB">
        <w:rPr>
          <w:rFonts w:ascii="Times New Roman" w:hAnsi="Times New Roman" w:cs="Times New Roman"/>
          <w:color w:val="000000" w:themeColor="text1"/>
        </w:rPr>
        <w:instrText xml:space="preserve"> REF _Ref357387734 \h </w:instrText>
      </w:r>
      <w:r w:rsidR="000257EB">
        <w:rPr>
          <w:rFonts w:ascii="Times New Roman" w:hAnsi="Times New Roman" w:cs="Times New Roman"/>
          <w:color w:val="000000" w:themeColor="text1"/>
        </w:rPr>
      </w:r>
      <w:r w:rsidR="000257EB">
        <w:rPr>
          <w:rFonts w:ascii="Times New Roman" w:hAnsi="Times New Roman" w:cs="Times New Roman"/>
          <w:color w:val="000000" w:themeColor="text1"/>
        </w:rPr>
        <w:fldChar w:fldCharType="separate"/>
      </w:r>
      <w:r w:rsidR="00C2793E">
        <w:t xml:space="preserve">Table </w:t>
      </w:r>
      <w:r w:rsidR="00C2793E">
        <w:rPr>
          <w:noProof/>
        </w:rPr>
        <w:t>18</w:t>
      </w:r>
      <w:r w:rsidR="000257EB">
        <w:rPr>
          <w:rFonts w:ascii="Times New Roman" w:hAnsi="Times New Roman" w:cs="Times New Roman"/>
          <w:color w:val="000000" w:themeColor="text1"/>
        </w:rPr>
        <w:fldChar w:fldCharType="end"/>
      </w:r>
      <w:r w:rsidR="000257EB">
        <w:rPr>
          <w:rFonts w:ascii="Times New Roman" w:hAnsi="Times New Roman" w:cs="Times New Roman"/>
          <w:color w:val="000000" w:themeColor="text1"/>
        </w:rPr>
        <w:t xml:space="preserve"> </w:t>
      </w:r>
      <w:r w:rsidR="00E5316C" w:rsidRPr="0068584C">
        <w:rPr>
          <w:rFonts w:ascii="Times New Roman" w:hAnsi="Times New Roman" w:cs="Times New Roman"/>
          <w:color w:val="000000" w:themeColor="text1"/>
        </w:rPr>
        <w:t>summarizes important quotes from each case company to illustrate the degree of efficiency orientation in each organization.</w:t>
      </w:r>
      <w:r w:rsidR="004D6AC1" w:rsidRPr="0068584C">
        <w:rPr>
          <w:rFonts w:ascii="Times New Roman" w:hAnsi="Times New Roman" w:cs="Times New Roman"/>
          <w:color w:val="000000" w:themeColor="text1"/>
        </w:rPr>
        <w:t xml:space="preserve"> </w:t>
      </w:r>
    </w:p>
    <w:p w14:paraId="72F718E7" w14:textId="77777777" w:rsidR="00A83F96" w:rsidRPr="0068584C" w:rsidRDefault="00A83F96" w:rsidP="00A83F96">
      <w:pPr>
        <w:spacing w:line="480" w:lineRule="auto"/>
        <w:rPr>
          <w:rFonts w:ascii="Times New Roman" w:hAnsi="Times New Roman" w:cs="Times New Roman"/>
          <w:color w:val="000000" w:themeColor="text1"/>
        </w:rPr>
      </w:pPr>
    </w:p>
    <w:p w14:paraId="3895B507" w14:textId="202E00C5" w:rsidR="0038689B" w:rsidRDefault="0038689B" w:rsidP="0038689B">
      <w:pPr>
        <w:pStyle w:val="Caption"/>
        <w:keepNext/>
      </w:pPr>
      <w:bookmarkStart w:id="95" w:name="_Toc358326853"/>
      <w:bookmarkStart w:id="96" w:name="_Ref357387706"/>
      <w:r>
        <w:t xml:space="preserve">Table </w:t>
      </w:r>
      <w:fldSimple w:instr=" SEQ Table \* ARABIC ">
        <w:r w:rsidR="00C2793E">
          <w:rPr>
            <w:noProof/>
          </w:rPr>
          <w:t>17</w:t>
        </w:r>
        <w:bookmarkEnd w:id="95"/>
      </w:fldSimple>
      <w:bookmarkEnd w:id="96"/>
    </w:p>
    <w:p w14:paraId="4C18717D" w14:textId="51512851" w:rsidR="00E5316C" w:rsidRPr="0038689B" w:rsidRDefault="00A83F96" w:rsidP="00A83F96">
      <w:pPr>
        <w:rPr>
          <w:rFonts w:ascii="Times New Roman" w:hAnsi="Times New Roman" w:cs="Times New Roman"/>
          <w:b/>
          <w:color w:val="000000" w:themeColor="text1"/>
        </w:rPr>
      </w:pPr>
      <w:r w:rsidRPr="0038689B">
        <w:rPr>
          <w:rFonts w:ascii="Times New Roman" w:hAnsi="Times New Roman" w:cs="Times New Roman"/>
          <w:b/>
          <w:color w:val="000000" w:themeColor="text1"/>
        </w:rPr>
        <w:t>Efficiency Culture Criteria</w:t>
      </w:r>
    </w:p>
    <w:tbl>
      <w:tblPr>
        <w:tblStyle w:val="TableGrid"/>
        <w:tblW w:w="8655" w:type="dxa"/>
        <w:tblLayout w:type="fixed"/>
        <w:tblLook w:val="04A0" w:firstRow="1" w:lastRow="0" w:firstColumn="1" w:lastColumn="0" w:noHBand="0" w:noVBand="1"/>
      </w:tblPr>
      <w:tblGrid>
        <w:gridCol w:w="1548"/>
        <w:gridCol w:w="3870"/>
        <w:gridCol w:w="3237"/>
      </w:tblGrid>
      <w:tr w:rsidR="00A83F96" w:rsidRPr="004F3E3B" w14:paraId="0BD4E5A8" w14:textId="77777777" w:rsidTr="0059732F">
        <w:tc>
          <w:tcPr>
            <w:tcW w:w="1548" w:type="dxa"/>
          </w:tcPr>
          <w:p w14:paraId="76E57851" w14:textId="77777777" w:rsidR="00A83F96" w:rsidRPr="004F3E3B" w:rsidRDefault="00A83F96" w:rsidP="0059732F">
            <w:pPr>
              <w:keepNext/>
              <w:keepLines/>
              <w:spacing w:before="200" w:line="360" w:lineRule="auto"/>
              <w:ind w:left="144"/>
              <w:contextualSpacing/>
              <w:outlineLvl w:val="7"/>
              <w:rPr>
                <w:rFonts w:ascii="Times New Roman" w:hAnsi="Times New Roman" w:cs="Times New Roman"/>
                <w:b/>
                <w:color w:val="000000" w:themeColor="text1"/>
                <w:sz w:val="20"/>
                <w:szCs w:val="20"/>
              </w:rPr>
            </w:pPr>
            <w:r w:rsidRPr="004F3E3B">
              <w:rPr>
                <w:rFonts w:ascii="Times New Roman" w:hAnsi="Times New Roman" w:cs="Times New Roman"/>
                <w:b/>
                <w:color w:val="000000" w:themeColor="text1"/>
                <w:sz w:val="20"/>
                <w:szCs w:val="20"/>
              </w:rPr>
              <w:t>Category</w:t>
            </w:r>
          </w:p>
        </w:tc>
        <w:tc>
          <w:tcPr>
            <w:tcW w:w="3870" w:type="dxa"/>
          </w:tcPr>
          <w:p w14:paraId="5C45B46F" w14:textId="77777777" w:rsidR="00A83F96" w:rsidRPr="004F3E3B" w:rsidRDefault="00A83F96" w:rsidP="0059732F">
            <w:pPr>
              <w:spacing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High</w:t>
            </w:r>
            <w:r w:rsidRPr="004F3E3B">
              <w:rPr>
                <w:rFonts w:ascii="Times New Roman" w:hAnsi="Times New Roman" w:cs="Times New Roman"/>
                <w:b/>
                <w:color w:val="000000" w:themeColor="text1"/>
                <w:sz w:val="20"/>
                <w:szCs w:val="20"/>
              </w:rPr>
              <w:t xml:space="preserve"> = 1</w:t>
            </w:r>
          </w:p>
        </w:tc>
        <w:tc>
          <w:tcPr>
            <w:tcW w:w="3237" w:type="dxa"/>
          </w:tcPr>
          <w:p w14:paraId="7927EDA6" w14:textId="77777777" w:rsidR="00A83F96" w:rsidRPr="004F3E3B" w:rsidRDefault="00A83F96" w:rsidP="0059732F">
            <w:pPr>
              <w:spacing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Low</w:t>
            </w:r>
            <w:r w:rsidRPr="004F3E3B">
              <w:rPr>
                <w:rFonts w:ascii="Times New Roman" w:hAnsi="Times New Roman" w:cs="Times New Roman"/>
                <w:b/>
                <w:color w:val="000000" w:themeColor="text1"/>
                <w:sz w:val="20"/>
                <w:szCs w:val="20"/>
              </w:rPr>
              <w:t xml:space="preserve"> = 5</w:t>
            </w:r>
          </w:p>
        </w:tc>
      </w:tr>
      <w:tr w:rsidR="00A83F96" w:rsidRPr="004F3E3B" w14:paraId="7AEEE156" w14:textId="77777777" w:rsidTr="0059732F">
        <w:tc>
          <w:tcPr>
            <w:tcW w:w="1548" w:type="dxa"/>
          </w:tcPr>
          <w:p w14:paraId="017B0453" w14:textId="77777777" w:rsidR="00A83F96" w:rsidRPr="004F3E3B" w:rsidRDefault="00A83F96" w:rsidP="0059732F">
            <w:pPr>
              <w:keepNext/>
              <w:keepLines/>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Cost Focus</w:t>
            </w:r>
          </w:p>
          <w:p w14:paraId="676190A8" w14:textId="77777777" w:rsidR="00A83F96" w:rsidRPr="0002452F" w:rsidRDefault="00A83F96" w:rsidP="0059732F">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870" w:type="dxa"/>
          </w:tcPr>
          <w:p w14:paraId="24F77931" w14:textId="77777777" w:rsidR="00A83F96" w:rsidRPr="004F3E3B" w:rsidRDefault="00A83F96" w:rsidP="0059732F">
            <w:pPr>
              <w:keepNext/>
              <w:keepLines/>
              <w:numPr>
                <w:ilvl w:val="0"/>
                <w:numId w:val="6"/>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Detailed cost controlling established</w:t>
            </w:r>
          </w:p>
          <w:p w14:paraId="44F10AEB" w14:textId="77777777" w:rsidR="00A83F96" w:rsidRPr="004F3E3B" w:rsidRDefault="00A83F96" w:rsidP="0059732F">
            <w:pPr>
              <w:keepNext/>
              <w:keepLines/>
              <w:numPr>
                <w:ilvl w:val="0"/>
                <w:numId w:val="6"/>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Clear transparency of cost structure</w:t>
            </w:r>
          </w:p>
          <w:p w14:paraId="6E3CA319" w14:textId="77777777" w:rsidR="00A83F96" w:rsidRPr="004F3E3B" w:rsidRDefault="00A83F96" w:rsidP="0059732F">
            <w:pPr>
              <w:keepNext/>
              <w:keepLines/>
              <w:spacing w:before="200" w:line="360" w:lineRule="auto"/>
              <w:ind w:left="720"/>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Strong cost reduction targets</w:t>
            </w:r>
          </w:p>
        </w:tc>
        <w:tc>
          <w:tcPr>
            <w:tcW w:w="3237" w:type="dxa"/>
          </w:tcPr>
          <w:p w14:paraId="2749EC19"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No transparency of actual cost structure</w:t>
            </w:r>
          </w:p>
          <w:p w14:paraId="59F331DA"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Little cost reduction targets</w:t>
            </w:r>
          </w:p>
          <w:p w14:paraId="61CC6FEE" w14:textId="77777777" w:rsidR="00A83F96" w:rsidRPr="004F3E3B" w:rsidRDefault="00A83F96" w:rsidP="0059732F">
            <w:pPr>
              <w:keepNext/>
              <w:keepLines/>
              <w:spacing w:before="200" w:line="360" w:lineRule="auto"/>
              <w:ind w:left="360"/>
              <w:contextualSpacing/>
              <w:outlineLvl w:val="7"/>
              <w:rPr>
                <w:rFonts w:ascii="Times New Roman" w:hAnsi="Times New Roman" w:cs="Times New Roman"/>
                <w:color w:val="000000" w:themeColor="text1"/>
                <w:sz w:val="20"/>
                <w:szCs w:val="20"/>
              </w:rPr>
            </w:pPr>
          </w:p>
        </w:tc>
      </w:tr>
      <w:tr w:rsidR="00A83F96" w:rsidRPr="004F3E3B" w14:paraId="6CAFEF2E" w14:textId="77777777" w:rsidTr="0059732F">
        <w:tc>
          <w:tcPr>
            <w:tcW w:w="1548" w:type="dxa"/>
          </w:tcPr>
          <w:p w14:paraId="3947A551" w14:textId="77777777" w:rsidR="00A83F96" w:rsidRPr="004F3E3B" w:rsidRDefault="00A83F96" w:rsidP="0059732F">
            <w:pPr>
              <w:keepNext/>
              <w:keepLines/>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Formalization</w:t>
            </w:r>
          </w:p>
          <w:p w14:paraId="0C9DDEAF" w14:textId="77777777" w:rsidR="00A83F96" w:rsidRPr="0002452F" w:rsidRDefault="00A83F96" w:rsidP="0059732F">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870" w:type="dxa"/>
          </w:tcPr>
          <w:p w14:paraId="1F749347" w14:textId="77777777" w:rsidR="00A83F96" w:rsidRPr="004F3E3B" w:rsidRDefault="00A83F96" w:rsidP="0059732F">
            <w:pPr>
              <w:keepNext/>
              <w:keepLines/>
              <w:numPr>
                <w:ilvl w:val="0"/>
                <w:numId w:val="5"/>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Formal procedures with little leeway</w:t>
            </w:r>
          </w:p>
          <w:p w14:paraId="5642CB01" w14:textId="77777777" w:rsidR="00A83F96" w:rsidRPr="004F3E3B" w:rsidRDefault="00A83F96" w:rsidP="0059732F">
            <w:pPr>
              <w:keepNext/>
              <w:keepLines/>
              <w:numPr>
                <w:ilvl w:val="0"/>
                <w:numId w:val="5"/>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Adherence to standard operating procedures (high hurdles to deviate)</w:t>
            </w:r>
          </w:p>
          <w:p w14:paraId="5B72D8C0" w14:textId="77777777" w:rsidR="00A83F96" w:rsidRPr="004F3E3B" w:rsidRDefault="00A83F96" w:rsidP="0059732F">
            <w:pPr>
              <w:keepNext/>
              <w:keepLines/>
              <w:numPr>
                <w:ilvl w:val="0"/>
                <w:numId w:val="5"/>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Rigid milestones in development project plan</w:t>
            </w:r>
          </w:p>
          <w:p w14:paraId="5FF23376" w14:textId="77777777" w:rsidR="00A83F96" w:rsidRPr="004F3E3B" w:rsidRDefault="00A83F96" w:rsidP="0059732F">
            <w:pPr>
              <w:keepNext/>
              <w:keepLines/>
              <w:numPr>
                <w:ilvl w:val="0"/>
                <w:numId w:val="5"/>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Extensive governance structure and project measurement established</w:t>
            </w:r>
          </w:p>
          <w:p w14:paraId="69AD1D6A" w14:textId="77777777" w:rsidR="00A83F96" w:rsidRPr="004F3E3B" w:rsidRDefault="00A83F96" w:rsidP="0059732F">
            <w:pPr>
              <w:keepNext/>
              <w:keepLines/>
              <w:numPr>
                <w:ilvl w:val="0"/>
                <w:numId w:val="5"/>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Detailed business processes and work routines</w:t>
            </w:r>
          </w:p>
          <w:p w14:paraId="314E6CC3" w14:textId="77777777" w:rsidR="00A83F96" w:rsidRPr="004F3E3B" w:rsidRDefault="00A83F96" w:rsidP="0059732F">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ISO 9001 certification or similar</w:t>
            </w:r>
          </w:p>
        </w:tc>
        <w:tc>
          <w:tcPr>
            <w:tcW w:w="3237" w:type="dxa"/>
          </w:tcPr>
          <w:p w14:paraId="28AF34FB"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Limited formalization (many informal workflows)</w:t>
            </w:r>
          </w:p>
          <w:p w14:paraId="6490473D"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High flexibility to change/adapt procedures if necessary</w:t>
            </w:r>
          </w:p>
          <w:p w14:paraId="0E09E8FF"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 xml:space="preserve"> Limited project management and </w:t>
            </w:r>
          </w:p>
          <w:p w14:paraId="2D3C3F73"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No ISO 9001 certification or similar</w:t>
            </w:r>
          </w:p>
          <w:p w14:paraId="7B5AFD2F" w14:textId="77777777" w:rsidR="00A83F96" w:rsidRPr="004F3E3B" w:rsidRDefault="00A83F96" w:rsidP="0059732F">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(Kristal et al. 2010)</w:t>
            </w:r>
          </w:p>
        </w:tc>
      </w:tr>
      <w:tr w:rsidR="00A83F96" w:rsidRPr="0002452F" w14:paraId="09974EFF" w14:textId="77777777" w:rsidTr="0059732F">
        <w:tc>
          <w:tcPr>
            <w:tcW w:w="1548" w:type="dxa"/>
          </w:tcPr>
          <w:p w14:paraId="3477A256" w14:textId="77777777" w:rsidR="00A83F96" w:rsidRPr="004F3E3B" w:rsidRDefault="00A83F96" w:rsidP="0059732F">
            <w:pPr>
              <w:keepNext/>
              <w:keepLines/>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Efficiency</w:t>
            </w:r>
          </w:p>
          <w:p w14:paraId="6C9B82FF" w14:textId="77777777" w:rsidR="00A83F96" w:rsidRPr="0002452F" w:rsidRDefault="00A83F96" w:rsidP="0059732F">
            <w:pPr>
              <w:tabs>
                <w:tab w:val="center" w:pos="4320"/>
                <w:tab w:val="right" w:pos="8640"/>
              </w:tabs>
              <w:spacing w:line="360" w:lineRule="auto"/>
              <w:ind w:left="144"/>
              <w:rPr>
                <w:rFonts w:ascii="Times New Roman" w:hAnsi="Times New Roman" w:cs="Times New Roman"/>
                <w:color w:val="000000" w:themeColor="text1"/>
                <w:sz w:val="20"/>
                <w:szCs w:val="20"/>
              </w:rPr>
            </w:pPr>
          </w:p>
        </w:tc>
        <w:tc>
          <w:tcPr>
            <w:tcW w:w="3870" w:type="dxa"/>
          </w:tcPr>
          <w:p w14:paraId="24FD74F6"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 xml:space="preserve"> Simplify processes for high repeatability</w:t>
            </w:r>
          </w:p>
          <w:p w14:paraId="2A7CD2D1"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Engaged with LEAN system</w:t>
            </w:r>
          </w:p>
          <w:p w14:paraId="11B0606A"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High focus on efficiency and productivity</w:t>
            </w:r>
          </w:p>
          <w:p w14:paraId="366F76BC" w14:textId="77777777" w:rsidR="00A83F96" w:rsidRPr="004F3E3B" w:rsidRDefault="00A83F96" w:rsidP="0059732F">
            <w:pPr>
              <w:keepNext/>
              <w:keepLines/>
              <w:numPr>
                <w:ilvl w:val="0"/>
                <w:numId w:val="4"/>
              </w:numPr>
              <w:spacing w:before="200" w:line="360" w:lineRule="auto"/>
              <w:contextualSpacing/>
              <w:outlineLvl w:val="7"/>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Detailed productivity measurement system</w:t>
            </w:r>
          </w:p>
        </w:tc>
        <w:tc>
          <w:tcPr>
            <w:tcW w:w="3237" w:type="dxa"/>
          </w:tcPr>
          <w:p w14:paraId="6D2AD4EC"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No Engaged with LEAN system established</w:t>
            </w:r>
          </w:p>
          <w:p w14:paraId="1F375EA4" w14:textId="77777777" w:rsidR="00A83F96" w:rsidRPr="004F3E3B" w:rsidRDefault="00A83F96" w:rsidP="0059732F">
            <w:pPr>
              <w:keepNext/>
              <w:keepLines/>
              <w:numPr>
                <w:ilvl w:val="0"/>
                <w:numId w:val="4"/>
              </w:numPr>
              <w:spacing w:before="200" w:line="360" w:lineRule="auto"/>
              <w:contextualSpacing/>
              <w:outlineLvl w:val="5"/>
              <w:rPr>
                <w:rFonts w:ascii="Times New Roman" w:hAnsi="Times New Roman" w:cs="Times New Roman"/>
                <w:color w:val="000000" w:themeColor="text1"/>
                <w:sz w:val="20"/>
                <w:szCs w:val="20"/>
              </w:rPr>
            </w:pPr>
            <w:r w:rsidRPr="004F3E3B">
              <w:rPr>
                <w:rFonts w:ascii="Times New Roman" w:hAnsi="Times New Roman" w:cs="Times New Roman"/>
                <w:color w:val="000000" w:themeColor="text1"/>
                <w:sz w:val="20"/>
                <w:szCs w:val="20"/>
              </w:rPr>
              <w:t>No or little productivity measurement system in place</w:t>
            </w:r>
          </w:p>
          <w:p w14:paraId="2A368BA0" w14:textId="77777777" w:rsidR="00A83F96" w:rsidRPr="0002452F" w:rsidRDefault="00A83F96" w:rsidP="0059732F">
            <w:pPr>
              <w:tabs>
                <w:tab w:val="center" w:pos="4320"/>
                <w:tab w:val="right" w:pos="8640"/>
              </w:tabs>
              <w:spacing w:line="360" w:lineRule="auto"/>
              <w:rPr>
                <w:rFonts w:ascii="Times New Roman" w:hAnsi="Times New Roman" w:cs="Times New Roman"/>
                <w:color w:val="000000" w:themeColor="text1"/>
                <w:sz w:val="20"/>
                <w:szCs w:val="20"/>
              </w:rPr>
            </w:pPr>
          </w:p>
        </w:tc>
      </w:tr>
    </w:tbl>
    <w:p w14:paraId="5B5C16D9" w14:textId="77777777" w:rsidR="00A83F96" w:rsidRPr="0068584C" w:rsidRDefault="00A83F96" w:rsidP="0035460B">
      <w:pPr>
        <w:spacing w:line="480" w:lineRule="auto"/>
        <w:jc w:val="both"/>
        <w:rPr>
          <w:rFonts w:ascii="Times New Roman" w:hAnsi="Times New Roman" w:cs="Times New Roman"/>
          <w:color w:val="000000" w:themeColor="text1"/>
        </w:rPr>
        <w:sectPr w:rsidR="00A83F96" w:rsidRPr="0068584C" w:rsidSect="001511DD">
          <w:pgSz w:w="12240" w:h="15840"/>
          <w:pgMar w:top="1224" w:right="1800" w:bottom="1008" w:left="1800" w:header="576" w:footer="720" w:gutter="0"/>
          <w:cols w:space="720"/>
          <w:titlePg/>
          <w:docGrid w:linePitch="360"/>
        </w:sectPr>
      </w:pPr>
    </w:p>
    <w:p w14:paraId="72547260" w14:textId="1E9DA331" w:rsidR="0038689B" w:rsidRDefault="0038689B" w:rsidP="0038689B">
      <w:pPr>
        <w:pStyle w:val="Caption"/>
        <w:keepNext/>
      </w:pPr>
      <w:bookmarkStart w:id="97" w:name="_Toc358326854"/>
      <w:bookmarkStart w:id="98" w:name="_Ref357387734"/>
      <w:r>
        <w:lastRenderedPageBreak/>
        <w:t xml:space="preserve">Table </w:t>
      </w:r>
      <w:fldSimple w:instr=" SEQ Table \* ARABIC ">
        <w:r w:rsidR="00C2793E">
          <w:rPr>
            <w:noProof/>
          </w:rPr>
          <w:t>18</w:t>
        </w:r>
        <w:bookmarkEnd w:id="97"/>
      </w:fldSimple>
      <w:bookmarkEnd w:id="98"/>
    </w:p>
    <w:p w14:paraId="1DAFA2F6" w14:textId="775D5BBC" w:rsidR="001A7956" w:rsidRPr="0038689B" w:rsidRDefault="001A7956" w:rsidP="008C76D8">
      <w:pPr>
        <w:rPr>
          <w:rFonts w:ascii="Times New Roman" w:hAnsi="Times New Roman" w:cs="Times New Roman"/>
          <w:b/>
          <w:color w:val="000000" w:themeColor="text1"/>
        </w:rPr>
      </w:pPr>
      <w:r w:rsidRPr="0038689B">
        <w:rPr>
          <w:rFonts w:ascii="Times New Roman" w:hAnsi="Times New Roman" w:cs="Times New Roman"/>
          <w:b/>
          <w:color w:val="000000" w:themeColor="text1"/>
        </w:rPr>
        <w:t>Efficiency Culture</w:t>
      </w:r>
    </w:p>
    <w:p w14:paraId="1FA6D0F9" w14:textId="11A8F436" w:rsidR="001A7956" w:rsidRPr="0068584C" w:rsidRDefault="00E54109" w:rsidP="0035460B">
      <w:pPr>
        <w:spacing w:line="480" w:lineRule="auto"/>
        <w:rPr>
          <w:rFonts w:ascii="Times New Roman" w:hAnsi="Times New Roman" w:cs="Times New Roman"/>
          <w:color w:val="000000" w:themeColor="text1"/>
        </w:rPr>
      </w:pPr>
      <w:r w:rsidRPr="0068584C">
        <w:rPr>
          <w:rFonts w:ascii="Times New Roman" w:hAnsi="Times New Roman" w:cs="Times New Roman"/>
          <w:noProof/>
          <w:color w:val="000000" w:themeColor="text1"/>
        </w:rPr>
        <w:drawing>
          <wp:inline distT="0" distB="0" distL="0" distR="0" wp14:anchorId="172F389F" wp14:editId="1C1611E9">
            <wp:extent cx="7774940" cy="4675922"/>
            <wp:effectExtent l="0" t="0" r="0"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775241" cy="4676103"/>
                    </a:xfrm>
                    <a:prstGeom prst="rect">
                      <a:avLst/>
                    </a:prstGeom>
                    <a:noFill/>
                    <a:ln>
                      <a:noFill/>
                    </a:ln>
                  </pic:spPr>
                </pic:pic>
              </a:graphicData>
            </a:graphic>
          </wp:inline>
        </w:drawing>
      </w:r>
    </w:p>
    <w:p w14:paraId="5654630D" w14:textId="77777777" w:rsidR="00CB0529" w:rsidRPr="0068584C" w:rsidRDefault="00CB0529" w:rsidP="0035460B">
      <w:pPr>
        <w:spacing w:line="480" w:lineRule="auto"/>
        <w:rPr>
          <w:rFonts w:ascii="Times New Roman" w:hAnsi="Times New Roman" w:cs="Times New Roman"/>
          <w:color w:val="000000" w:themeColor="text1"/>
        </w:rPr>
      </w:pPr>
    </w:p>
    <w:p w14:paraId="6440A439" w14:textId="77777777" w:rsidR="00582BA5" w:rsidRPr="0068584C" w:rsidRDefault="00582BA5" w:rsidP="0035460B">
      <w:pPr>
        <w:spacing w:line="480" w:lineRule="auto"/>
        <w:rPr>
          <w:rFonts w:ascii="Times New Roman" w:hAnsi="Times New Roman" w:cs="Times New Roman"/>
          <w:color w:val="000000" w:themeColor="text1"/>
        </w:rPr>
        <w:sectPr w:rsidR="00582BA5" w:rsidRPr="0068584C" w:rsidSect="003245FB">
          <w:pgSz w:w="15840" w:h="12240" w:orient="landscape"/>
          <w:pgMar w:top="1800" w:right="1008" w:bottom="1800" w:left="1224" w:header="576" w:footer="720" w:gutter="0"/>
          <w:cols w:space="720"/>
          <w:titlePg/>
          <w:docGrid w:linePitch="360"/>
        </w:sectPr>
      </w:pPr>
    </w:p>
    <w:p w14:paraId="2DAD7B79" w14:textId="4752E8AE" w:rsidR="00F4642A" w:rsidRPr="0068584C" w:rsidRDefault="00BB7E9A"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lastRenderedPageBreak/>
        <w:t xml:space="preserve">By </w:t>
      </w:r>
      <w:r w:rsidR="001808E2" w:rsidRPr="0068584C">
        <w:rPr>
          <w:rFonts w:ascii="Times New Roman" w:hAnsi="Times New Roman" w:cs="Times New Roman"/>
          <w:color w:val="000000" w:themeColor="text1"/>
        </w:rPr>
        <w:t xml:space="preserve">triangulating the data from both </w:t>
      </w:r>
      <w:r w:rsidR="00701EEB" w:rsidRPr="0068584C">
        <w:rPr>
          <w:rFonts w:ascii="Times New Roman" w:hAnsi="Times New Roman" w:cs="Times New Roman"/>
          <w:color w:val="000000" w:themeColor="text1"/>
        </w:rPr>
        <w:t xml:space="preserve">literature and empirical case </w:t>
      </w:r>
      <w:r w:rsidR="001808E2" w:rsidRPr="0068584C">
        <w:rPr>
          <w:rFonts w:ascii="Times New Roman" w:hAnsi="Times New Roman" w:cs="Times New Roman"/>
          <w:color w:val="000000" w:themeColor="text1"/>
        </w:rPr>
        <w:t>interviews</w:t>
      </w:r>
      <w:r w:rsidR="00D55E65">
        <w:rPr>
          <w:rFonts w:ascii="Times New Roman" w:hAnsi="Times New Roman" w:cs="Times New Roman"/>
          <w:color w:val="000000" w:themeColor="text1"/>
        </w:rPr>
        <w:t xml:space="preserve"> </w:t>
      </w:r>
      <w:r w:rsidR="00D55E65">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"author" : [ { "dropping-particle" : "", "family" : "McGrath", "given" : "Joseph E.", "non-dropping-particle" : "", "parse-names" : false, "suffix" : "" } ], "container-title" : "American Behavioral Scientist", "id" : "ITEM-1", "issue" : "2", "issued" : { "date-parts" : [ [ "1981" ] ] }, "page" : "179-210", "title" : "Dilemmatics: The Study of Research Choices and Dilemmas", "type" : "article-journal", "volume" : "25" }, "uris" : [ "http://www.mendeley.com/documents/?uuid=207c19d8-c727-4d2e-a65d-649f00c1f5b3" ] } ], "mendeley" : { "formattedCitation" : "(McGrath, 1981)", "plainTextFormattedCitation" : "(McGrath, 1981)", "previouslyFormattedCitation" : "(McGrath, 1981)" }, "properties" : { "noteIndex" : 0 }, "schema" : "https://github.com/citation-style-language/schema/raw/master/csl-citation.json" }</w:instrText>
      </w:r>
      <w:r w:rsidR="00D55E65">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(McGrath, 1981)</w:t>
      </w:r>
      <w:r w:rsidR="00D55E65">
        <w:rPr>
          <w:rFonts w:ascii="Times New Roman" w:hAnsi="Times New Roman" w:cs="Times New Roman"/>
          <w:color w:val="000000" w:themeColor="text1"/>
        </w:rPr>
        <w:fldChar w:fldCharType="end"/>
      </w:r>
      <w:r w:rsidR="00701EEB" w:rsidRPr="0068584C">
        <w:rPr>
          <w:rFonts w:ascii="Times New Roman" w:hAnsi="Times New Roman" w:cs="Times New Roman"/>
          <w:color w:val="000000" w:themeColor="text1"/>
        </w:rPr>
        <w:t>, the emergent theoretical frame</w:t>
      </w:r>
      <w:r w:rsidR="00225E65" w:rsidRPr="0068584C">
        <w:rPr>
          <w:rFonts w:ascii="Times New Roman" w:hAnsi="Times New Roman" w:cs="Times New Roman"/>
          <w:color w:val="000000" w:themeColor="text1"/>
        </w:rPr>
        <w:t>work</w:t>
      </w:r>
      <w:r w:rsidR="00701EEB" w:rsidRPr="0068584C">
        <w:rPr>
          <w:rFonts w:ascii="Times New Roman" w:hAnsi="Times New Roman" w:cs="Times New Roman"/>
          <w:color w:val="000000" w:themeColor="text1"/>
        </w:rPr>
        <w:t xml:space="preserve"> of SCRO</w:t>
      </w:r>
      <w:r w:rsidR="00225E65" w:rsidRPr="0068584C">
        <w:rPr>
          <w:rFonts w:ascii="Times New Roman" w:hAnsi="Times New Roman" w:cs="Times New Roman"/>
          <w:color w:val="000000" w:themeColor="text1"/>
        </w:rPr>
        <w:t xml:space="preserve"> </w:t>
      </w:r>
      <w:r w:rsidR="00A62336">
        <w:rPr>
          <w:rFonts w:ascii="Times New Roman" w:hAnsi="Times New Roman" w:cs="Times New Roman"/>
          <w:color w:val="000000" w:themeColor="text1"/>
        </w:rPr>
        <w:t xml:space="preserve">was </w:t>
      </w:r>
      <w:r w:rsidR="00240ABE" w:rsidRPr="0068584C">
        <w:rPr>
          <w:rFonts w:ascii="Times New Roman" w:hAnsi="Times New Roman" w:cs="Times New Roman"/>
          <w:color w:val="000000" w:themeColor="text1"/>
        </w:rPr>
        <w:t xml:space="preserve">developed </w:t>
      </w:r>
      <w:r w:rsidRPr="0068584C">
        <w:rPr>
          <w:rFonts w:ascii="Times New Roman" w:hAnsi="Times New Roman" w:cs="Times New Roman"/>
          <w:color w:val="000000" w:themeColor="text1"/>
        </w:rPr>
        <w:t xml:space="preserve">and </w:t>
      </w:r>
      <w:r w:rsidR="00701EEB" w:rsidRPr="0068584C">
        <w:rPr>
          <w:rFonts w:ascii="Times New Roman" w:hAnsi="Times New Roman" w:cs="Times New Roman"/>
          <w:color w:val="000000" w:themeColor="text1"/>
        </w:rPr>
        <w:t xml:space="preserve">the </w:t>
      </w:r>
      <w:r w:rsidR="00DF35F5" w:rsidRPr="0068584C">
        <w:rPr>
          <w:rFonts w:ascii="Times New Roman" w:hAnsi="Times New Roman" w:cs="Times New Roman"/>
          <w:color w:val="000000" w:themeColor="text1"/>
        </w:rPr>
        <w:t>construct</w:t>
      </w:r>
      <w:r w:rsidR="00701EEB" w:rsidRPr="0068584C">
        <w:rPr>
          <w:rFonts w:ascii="Times New Roman" w:hAnsi="Times New Roman" w:cs="Times New Roman"/>
          <w:color w:val="000000" w:themeColor="text1"/>
        </w:rPr>
        <w:t>s, domain, relationships, and predictions</w:t>
      </w:r>
      <w:r w:rsidR="00D6571E" w:rsidRPr="0068584C">
        <w:rPr>
          <w:rFonts w:ascii="Times New Roman" w:hAnsi="Times New Roman" w:cs="Times New Roman"/>
          <w:color w:val="000000" w:themeColor="text1"/>
        </w:rPr>
        <w:t xml:space="preserve"> were clarified</w:t>
      </w:r>
      <w:r w:rsidR="00701EEB" w:rsidRPr="0068584C">
        <w:rPr>
          <w:rFonts w:ascii="Times New Roman" w:hAnsi="Times New Roman" w:cs="Times New Roman"/>
          <w:color w:val="000000" w:themeColor="text1"/>
        </w:rPr>
        <w:t>.</w:t>
      </w:r>
      <w:r w:rsidR="00052E6B" w:rsidRPr="0068584C">
        <w:rPr>
          <w:rFonts w:ascii="Times New Roman" w:hAnsi="Times New Roman" w:cs="Times New Roman"/>
          <w:color w:val="000000" w:themeColor="text1"/>
        </w:rPr>
        <w:t xml:space="preserve"> Thereby, the theoretical framework and the propositions (</w:t>
      </w:r>
      <w:r w:rsidR="00225E65" w:rsidRPr="0068584C">
        <w:rPr>
          <w:rFonts w:ascii="Times New Roman" w:hAnsi="Times New Roman" w:cs="Times New Roman"/>
          <w:i/>
          <w:color w:val="000000" w:themeColor="text1"/>
        </w:rPr>
        <w:t>logical arguments</w:t>
      </w:r>
      <w:r w:rsidR="00052E6B" w:rsidRPr="0068584C">
        <w:rPr>
          <w:rFonts w:ascii="Times New Roman" w:hAnsi="Times New Roman" w:cs="Times New Roman"/>
          <w:color w:val="000000" w:themeColor="text1"/>
        </w:rPr>
        <w:t xml:space="preserve">) </w:t>
      </w:r>
      <w:r w:rsidR="00DF6062" w:rsidRPr="0068584C">
        <w:rPr>
          <w:rFonts w:ascii="Times New Roman" w:hAnsi="Times New Roman" w:cs="Times New Roman"/>
          <w:color w:val="000000" w:themeColor="text1"/>
        </w:rPr>
        <w:t>were enriched</w:t>
      </w:r>
      <w:r w:rsidR="00225E65" w:rsidRPr="0068584C">
        <w:rPr>
          <w:rFonts w:ascii="Times New Roman" w:hAnsi="Times New Roman" w:cs="Times New Roman"/>
          <w:color w:val="000000" w:themeColor="text1"/>
        </w:rPr>
        <w:t xml:space="preserve">. </w:t>
      </w:r>
      <w:r w:rsidR="00A62336">
        <w:rPr>
          <w:rFonts w:ascii="Times New Roman" w:hAnsi="Times New Roman" w:cs="Times New Roman"/>
          <w:color w:val="000000" w:themeColor="text1"/>
        </w:rPr>
        <w:t>T</w:t>
      </w:r>
      <w:r w:rsidR="00DF6062" w:rsidRPr="0068584C">
        <w:rPr>
          <w:rFonts w:ascii="Times New Roman" w:hAnsi="Times New Roman" w:cs="Times New Roman"/>
          <w:color w:val="000000" w:themeColor="text1"/>
        </w:rPr>
        <w:t>his approach enabled to achieve a sufficient level of</w:t>
      </w:r>
      <w:r w:rsidR="00225E65" w:rsidRPr="0068584C">
        <w:rPr>
          <w:rFonts w:ascii="Times New Roman" w:hAnsi="Times New Roman" w:cs="Times New Roman"/>
          <w:color w:val="000000" w:themeColor="text1"/>
        </w:rPr>
        <w:t xml:space="preserve"> theoretical saturation</w:t>
      </w:r>
      <w:r w:rsidR="003009C8" w:rsidRPr="0068584C">
        <w:rPr>
          <w:rFonts w:ascii="Times New Roman" w:hAnsi="Times New Roman" w:cs="Times New Roman"/>
          <w:color w:val="000000" w:themeColor="text1"/>
        </w:rPr>
        <w:t xml:space="preserve"> </w:t>
      </w:r>
      <w:r w:rsidR="00DF6062" w:rsidRPr="0068584C">
        <w:rPr>
          <w:rFonts w:ascii="Times New Roman" w:hAnsi="Times New Roman" w:cs="Times New Roman"/>
          <w:color w:val="000000" w:themeColor="text1"/>
        </w:rPr>
        <w:t xml:space="preserve"> </w:t>
      </w:r>
      <w:r w:rsidR="00225E65" w:rsidRPr="0068584C">
        <w:rPr>
          <w:rFonts w:ascii="Times New Roman" w:hAnsi="Times New Roman" w:cs="Times New Roman"/>
          <w:color w:val="000000" w:themeColor="text1"/>
        </w:rPr>
        <w:t>—</w:t>
      </w:r>
      <w:r w:rsidR="003009C8" w:rsidRPr="0068584C">
        <w:rPr>
          <w:rFonts w:ascii="Times New Roman" w:hAnsi="Times New Roman" w:cs="Times New Roman"/>
          <w:color w:val="000000" w:themeColor="text1"/>
        </w:rPr>
        <w:t>meaning a</w:t>
      </w:r>
      <w:r w:rsidR="00225E65" w:rsidRPr="0068584C">
        <w:rPr>
          <w:rFonts w:ascii="Times New Roman" w:hAnsi="Times New Roman" w:cs="Times New Roman"/>
          <w:color w:val="000000" w:themeColor="text1"/>
        </w:rPr>
        <w:t xml:space="preserve"> </w:t>
      </w:r>
      <w:r w:rsidR="003009C8" w:rsidRPr="0068584C">
        <w:rPr>
          <w:rFonts w:ascii="Times New Roman" w:hAnsi="Times New Roman" w:cs="Times New Roman"/>
          <w:color w:val="000000" w:themeColor="text1"/>
        </w:rPr>
        <w:t>relatively good</w:t>
      </w:r>
      <w:r w:rsidR="00225E65" w:rsidRPr="0068584C">
        <w:rPr>
          <w:rFonts w:ascii="Times New Roman" w:hAnsi="Times New Roman" w:cs="Times New Roman"/>
          <w:color w:val="000000" w:themeColor="text1"/>
        </w:rPr>
        <w:t xml:space="preserve"> match between theory and data</w:t>
      </w:r>
      <w:r w:rsidR="003009C8" w:rsidRPr="0068584C">
        <w:rPr>
          <w:rFonts w:ascii="Times New Roman" w:hAnsi="Times New Roman" w:cs="Times New Roman"/>
          <w:color w:val="000000" w:themeColor="text1"/>
        </w:rPr>
        <w:t>.</w:t>
      </w:r>
      <w:r w:rsidR="00052E6B" w:rsidRPr="0068584C">
        <w:rPr>
          <w:rFonts w:ascii="Times New Roman" w:hAnsi="Times New Roman" w:cs="Times New Roman"/>
          <w:color w:val="000000" w:themeColor="text1"/>
        </w:rPr>
        <w:t xml:space="preserve"> </w:t>
      </w:r>
      <w:r w:rsidR="00D6571E" w:rsidRPr="0068584C">
        <w:rPr>
          <w:rFonts w:ascii="Times New Roman" w:hAnsi="Times New Roman" w:cs="Times New Roman"/>
          <w:color w:val="000000" w:themeColor="text1"/>
        </w:rPr>
        <w:t>T</w:t>
      </w:r>
      <w:r w:rsidR="00F4642A" w:rsidRPr="0068584C">
        <w:rPr>
          <w:rFonts w:ascii="Times New Roman" w:hAnsi="Times New Roman" w:cs="Times New Roman"/>
          <w:color w:val="000000" w:themeColor="text1"/>
        </w:rPr>
        <w:t xml:space="preserve">his discussion did not elaborate about the SCRO-to-Performance </w:t>
      </w:r>
      <w:r w:rsidR="00E405F5" w:rsidRPr="0068584C">
        <w:rPr>
          <w:rFonts w:ascii="Times New Roman" w:hAnsi="Times New Roman" w:cs="Times New Roman"/>
          <w:color w:val="000000" w:themeColor="text1"/>
        </w:rPr>
        <w:t>relationship,</w:t>
      </w:r>
      <w:r w:rsidR="00F4642A" w:rsidRPr="0068584C">
        <w:rPr>
          <w:rFonts w:ascii="Times New Roman" w:hAnsi="Times New Roman" w:cs="Times New Roman"/>
          <w:color w:val="000000" w:themeColor="text1"/>
        </w:rPr>
        <w:t xml:space="preserve"> as this was not the focus of the research. This research</w:t>
      </w:r>
      <w:r w:rsidR="00D6571E" w:rsidRPr="0068584C">
        <w:rPr>
          <w:rFonts w:ascii="Times New Roman" w:hAnsi="Times New Roman" w:cs="Times New Roman"/>
          <w:color w:val="000000" w:themeColor="text1"/>
        </w:rPr>
        <w:t xml:space="preserve"> </w:t>
      </w:r>
      <w:r w:rsidR="00F4642A" w:rsidRPr="0068584C">
        <w:rPr>
          <w:rFonts w:ascii="Times New Roman" w:hAnsi="Times New Roman" w:cs="Times New Roman"/>
          <w:color w:val="000000" w:themeColor="text1"/>
        </w:rPr>
        <w:t>is focusing on theory elaboration of resource orchestration theory to introduce the supply chain resource orchestration framework. The literature has already established that resource orchestration leads to better organizational performance (</w:t>
      </w:r>
      <w:r w:rsidR="004E3A56" w:rsidRPr="0068584C">
        <w:rPr>
          <w:rFonts w:ascii="Times New Roman" w:hAnsi="Times New Roman" w:cs="Times New Roman"/>
          <w:color w:val="000000" w:themeColor="text1"/>
        </w:rPr>
        <w:t>e.g., Womak et al. 2016</w:t>
      </w:r>
      <w:r w:rsidR="00F4642A" w:rsidRPr="0068584C">
        <w:rPr>
          <w:rFonts w:ascii="Times New Roman" w:hAnsi="Times New Roman" w:cs="Times New Roman"/>
          <w:color w:val="000000" w:themeColor="text1"/>
        </w:rPr>
        <w:t>).</w:t>
      </w:r>
    </w:p>
    <w:p w14:paraId="4F467CD1" w14:textId="77777777" w:rsidR="00D6571E" w:rsidRPr="0068584C" w:rsidRDefault="00D6571E" w:rsidP="0035460B">
      <w:pPr>
        <w:spacing w:line="480" w:lineRule="auto"/>
        <w:rPr>
          <w:rFonts w:ascii="Times New Roman" w:hAnsi="Times New Roman" w:cs="Times New Roman"/>
          <w:b/>
          <w:highlight w:val="yellow"/>
        </w:rPr>
      </w:pPr>
    </w:p>
    <w:p w14:paraId="459F9604" w14:textId="509F3578" w:rsidR="00991A1B" w:rsidRPr="0068584C" w:rsidRDefault="0043378F" w:rsidP="0043378F">
      <w:pPr>
        <w:pStyle w:val="Heading2"/>
      </w:pPr>
      <w:bookmarkStart w:id="99" w:name="_Toc357382421"/>
      <w:bookmarkStart w:id="100" w:name="_Toc357383267"/>
      <w:bookmarkStart w:id="101" w:name="_Toc358326738"/>
      <w:r>
        <w:t>Implications and Conclusion</w:t>
      </w:r>
      <w:bookmarkEnd w:id="99"/>
      <w:bookmarkEnd w:id="100"/>
      <w:bookmarkEnd w:id="101"/>
    </w:p>
    <w:p w14:paraId="6B807262" w14:textId="33982A1B" w:rsidR="0075781A" w:rsidRDefault="00E538F9" w:rsidP="0035460B">
      <w:pPr>
        <w:widowControl w:val="0"/>
        <w:autoSpaceDE w:val="0"/>
        <w:autoSpaceDN w:val="0"/>
        <w:adjustRightInd w:val="0"/>
        <w:spacing w:line="480" w:lineRule="auto"/>
        <w:jc w:val="both"/>
        <w:rPr>
          <w:rFonts w:ascii="Times New Roman" w:hAnsi="Times New Roman" w:cs="Times New Roman"/>
          <w:color w:val="000000"/>
        </w:rPr>
      </w:pPr>
      <w:r w:rsidRPr="0068584C">
        <w:rPr>
          <w:rFonts w:ascii="Times New Roman" w:hAnsi="Times New Roman" w:cs="Times New Roman"/>
          <w:color w:val="000000"/>
        </w:rPr>
        <w:t>This</w:t>
      </w:r>
      <w:r w:rsidR="004B3DC7" w:rsidRPr="0068584C">
        <w:rPr>
          <w:rFonts w:ascii="Times New Roman" w:hAnsi="Times New Roman" w:cs="Times New Roman"/>
          <w:color w:val="000000"/>
        </w:rPr>
        <w:t xml:space="preserve"> </w:t>
      </w:r>
      <w:r w:rsidR="00CC1302">
        <w:rPr>
          <w:rFonts w:ascii="Times New Roman" w:hAnsi="Times New Roman" w:cs="Times New Roman"/>
          <w:color w:val="000000"/>
        </w:rPr>
        <w:t xml:space="preserve">section </w:t>
      </w:r>
      <w:r w:rsidR="00FD3FFD">
        <w:rPr>
          <w:rFonts w:ascii="Times New Roman" w:hAnsi="Times New Roman" w:cs="Times New Roman"/>
          <w:color w:val="000000"/>
        </w:rPr>
        <w:t>closes</w:t>
      </w:r>
      <w:r w:rsidR="00CC1302">
        <w:rPr>
          <w:rFonts w:ascii="Times New Roman" w:hAnsi="Times New Roman" w:cs="Times New Roman"/>
          <w:color w:val="000000"/>
        </w:rPr>
        <w:t xml:space="preserve"> with managerial implications, theoretical contributions, limitations, and a conclusion. </w:t>
      </w:r>
      <w:r w:rsidR="00FD3FFD">
        <w:rPr>
          <w:rFonts w:ascii="Times New Roman" w:hAnsi="Times New Roman" w:cs="Times New Roman"/>
          <w:color w:val="000000"/>
        </w:rPr>
        <w:t xml:space="preserve">The prior section </w:t>
      </w:r>
      <w:r w:rsidR="004B3DC7" w:rsidRPr="0068584C">
        <w:rPr>
          <w:rFonts w:ascii="Times New Roman" w:hAnsi="Times New Roman" w:cs="Times New Roman"/>
          <w:color w:val="000000"/>
        </w:rPr>
        <w:t xml:space="preserve">emphasizes the important interplay between organizational culture and managerial </w:t>
      </w:r>
      <w:r w:rsidR="006452DA">
        <w:rPr>
          <w:rFonts w:ascii="Times New Roman" w:hAnsi="Times New Roman" w:cs="Times New Roman"/>
          <w:color w:val="000000"/>
        </w:rPr>
        <w:t xml:space="preserve">SCRO </w:t>
      </w:r>
      <w:r w:rsidR="004B3DC7" w:rsidRPr="0068584C">
        <w:rPr>
          <w:rFonts w:ascii="Times New Roman" w:hAnsi="Times New Roman" w:cs="Times New Roman"/>
          <w:color w:val="000000"/>
        </w:rPr>
        <w:t>practices, with the former influencing (moderating) innovation performance</w:t>
      </w:r>
      <w:r w:rsidR="00A01E5B" w:rsidRPr="0068584C">
        <w:rPr>
          <w:rFonts w:ascii="Times New Roman" w:hAnsi="Times New Roman" w:cs="Times New Roman"/>
          <w:color w:val="000000"/>
        </w:rPr>
        <w:t xml:space="preserve"> of the organization</w:t>
      </w:r>
      <w:r w:rsidR="004B3DC7" w:rsidRPr="0068584C">
        <w:rPr>
          <w:rFonts w:ascii="Times New Roman" w:hAnsi="Times New Roman" w:cs="Times New Roman"/>
          <w:color w:val="000000"/>
        </w:rPr>
        <w:t>.</w:t>
      </w:r>
      <w:r w:rsidR="00D400AF" w:rsidRPr="0068584C">
        <w:rPr>
          <w:rFonts w:ascii="Times New Roman" w:hAnsi="Times New Roman" w:cs="Times New Roman"/>
          <w:color w:val="000000"/>
        </w:rPr>
        <w:t xml:space="preserve"> </w:t>
      </w:r>
      <w:r w:rsidR="00A01E5B" w:rsidRPr="0068584C">
        <w:rPr>
          <w:rFonts w:ascii="Times New Roman" w:hAnsi="Times New Roman" w:cs="Times New Roman"/>
          <w:color w:val="000000"/>
        </w:rPr>
        <w:t>B</w:t>
      </w:r>
      <w:r w:rsidR="007D1A25" w:rsidRPr="0068584C">
        <w:rPr>
          <w:rFonts w:ascii="Times New Roman" w:hAnsi="Times New Roman" w:cs="Times New Roman"/>
          <w:color w:val="000000"/>
        </w:rPr>
        <w:t xml:space="preserve">oth the case data as well as relevant </w:t>
      </w:r>
      <w:r w:rsidR="00AA55FA">
        <w:rPr>
          <w:rFonts w:ascii="Times New Roman" w:hAnsi="Times New Roman" w:cs="Times New Roman"/>
          <w:color w:val="000000"/>
        </w:rPr>
        <w:t>literature</w:t>
      </w:r>
      <w:r w:rsidR="00AA55FA" w:rsidRPr="0068584C">
        <w:rPr>
          <w:rFonts w:ascii="Times New Roman" w:hAnsi="Times New Roman" w:cs="Times New Roman"/>
          <w:color w:val="000000"/>
        </w:rPr>
        <w:t xml:space="preserve"> </w:t>
      </w:r>
      <w:r w:rsidR="007D1A25" w:rsidRPr="0068584C">
        <w:rPr>
          <w:rFonts w:ascii="Times New Roman" w:hAnsi="Times New Roman" w:cs="Times New Roman"/>
          <w:color w:val="000000"/>
        </w:rPr>
        <w:t xml:space="preserve">indicate that supply chain managers can actively influence innovation performance with the interesting caveat that organizational culture can moderate this relationship. Depending on the strategic orientation of the organization, a firm-wide culture emphasizing and embracing innovation-focused behaviors and practices appears as particularly important for innovation performance. Generally, this research rebalances the resource management literature by highlighting the critical </w:t>
      </w:r>
      <w:r w:rsidR="00162918" w:rsidRPr="0068584C">
        <w:rPr>
          <w:rFonts w:ascii="Times New Roman" w:hAnsi="Times New Roman" w:cs="Times New Roman"/>
          <w:color w:val="000000"/>
        </w:rPr>
        <w:t xml:space="preserve">need for </w:t>
      </w:r>
      <w:r w:rsidR="007D1A25" w:rsidRPr="0068584C">
        <w:rPr>
          <w:rFonts w:ascii="Times New Roman" w:hAnsi="Times New Roman" w:cs="Times New Roman"/>
          <w:color w:val="000000"/>
        </w:rPr>
        <w:t>congruence between strategy, managerial practices, and organizational culture.</w:t>
      </w:r>
    </w:p>
    <w:p w14:paraId="5BA2BB25" w14:textId="56231610" w:rsidR="00900114" w:rsidRPr="00D3563D" w:rsidRDefault="0075781A" w:rsidP="00BC1FF3">
      <w:pPr>
        <w:pStyle w:val="Heading3new"/>
      </w:pPr>
      <w:r w:rsidRPr="00D3563D">
        <w:lastRenderedPageBreak/>
        <w:t xml:space="preserve">Managerial </w:t>
      </w:r>
      <w:r w:rsidR="004C1C52">
        <w:t>I</w:t>
      </w:r>
      <w:r w:rsidR="005E7864" w:rsidRPr="00D3563D">
        <w:t>mplications</w:t>
      </w:r>
    </w:p>
    <w:p w14:paraId="6D0E44E5" w14:textId="4742472E" w:rsidR="00B6613E" w:rsidRPr="0068584C" w:rsidRDefault="00841420" w:rsidP="0035460B">
      <w:pPr>
        <w:widowControl w:val="0"/>
        <w:autoSpaceDE w:val="0"/>
        <w:autoSpaceDN w:val="0"/>
        <w:adjustRightInd w:val="0"/>
        <w:spacing w:line="480" w:lineRule="auto"/>
        <w:jc w:val="both"/>
        <w:rPr>
          <w:rFonts w:ascii="Times New Roman" w:hAnsi="Times New Roman" w:cs="Times New Roman"/>
          <w:color w:val="000000"/>
        </w:rPr>
      </w:pPr>
      <w:r w:rsidRPr="0068584C">
        <w:rPr>
          <w:rFonts w:ascii="Times New Roman" w:hAnsi="Times New Roman" w:cs="Times New Roman"/>
          <w:color w:val="000000"/>
        </w:rPr>
        <w:t>For managers, several interesting observations concern the relationship between managerial decision-making (including strategy), organizational culture, and organizational performance.</w:t>
      </w:r>
      <w:r w:rsidR="00B6613E" w:rsidRPr="0068584C">
        <w:rPr>
          <w:rFonts w:ascii="Times New Roman" w:hAnsi="Times New Roman" w:cs="Times New Roman"/>
          <w:color w:val="000000"/>
        </w:rPr>
        <w:t xml:space="preserve"> </w:t>
      </w:r>
      <w:r w:rsidR="007E3417">
        <w:rPr>
          <w:rFonts w:ascii="Times New Roman" w:hAnsi="Times New Roman" w:cs="Times New Roman"/>
          <w:color w:val="000000"/>
        </w:rPr>
        <w:fldChar w:fldCharType="begin"/>
      </w:r>
      <w:r w:rsidR="007E3417">
        <w:rPr>
          <w:rFonts w:ascii="Times New Roman" w:hAnsi="Times New Roman" w:cs="Times New Roman"/>
          <w:color w:val="000000"/>
        </w:rPr>
        <w:instrText xml:space="preserve"> REF _Ref357388574 \h </w:instrText>
      </w:r>
      <w:r w:rsidR="007E3417">
        <w:rPr>
          <w:rFonts w:ascii="Times New Roman" w:hAnsi="Times New Roman" w:cs="Times New Roman"/>
          <w:color w:val="000000"/>
        </w:rPr>
      </w:r>
      <w:r w:rsidR="007E3417">
        <w:rPr>
          <w:rFonts w:ascii="Times New Roman" w:hAnsi="Times New Roman" w:cs="Times New Roman"/>
          <w:color w:val="000000"/>
        </w:rPr>
        <w:fldChar w:fldCharType="separate"/>
      </w:r>
      <w:r w:rsidR="00C2793E">
        <w:t xml:space="preserve">Figure </w:t>
      </w:r>
      <w:r w:rsidR="00C2793E">
        <w:rPr>
          <w:noProof/>
        </w:rPr>
        <w:t>5</w:t>
      </w:r>
      <w:r w:rsidR="007E3417">
        <w:rPr>
          <w:rFonts w:ascii="Times New Roman" w:hAnsi="Times New Roman" w:cs="Times New Roman"/>
          <w:color w:val="000000"/>
        </w:rPr>
        <w:fldChar w:fldCharType="end"/>
      </w:r>
      <w:r w:rsidR="007E3417">
        <w:rPr>
          <w:rFonts w:ascii="Times New Roman" w:hAnsi="Times New Roman" w:cs="Times New Roman"/>
          <w:color w:val="000000"/>
        </w:rPr>
        <w:t xml:space="preserve"> </w:t>
      </w:r>
      <w:r w:rsidR="00B6613E" w:rsidRPr="0068584C">
        <w:rPr>
          <w:rFonts w:ascii="Times New Roman" w:hAnsi="Times New Roman" w:cs="Times New Roman"/>
          <w:color w:val="000000"/>
        </w:rPr>
        <w:t>illustrates the scores in terms of SCRO and innovation culture for all five cases. Ranging from 11 to 55, the x-axis provides the SCRO total combining structuring, bundling, and leveraging scores. The y-axis provides the total score of innovation culture (ranging from 8 to 40).</w:t>
      </w:r>
      <w:r w:rsidR="003F0D08">
        <w:rPr>
          <w:rFonts w:ascii="Times New Roman" w:hAnsi="Times New Roman" w:cs="Times New Roman"/>
          <w:color w:val="000000"/>
        </w:rPr>
        <w:t xml:space="preserve"> The top right box and the lower left box appear to represent a good match between SCRO practices and organizational culture, which will be explained in the following section.</w:t>
      </w:r>
    </w:p>
    <w:p w14:paraId="1460FD31" w14:textId="5C95774A" w:rsidR="00CB6AB6" w:rsidRPr="0068584C" w:rsidRDefault="00CB6AB6" w:rsidP="0035460B">
      <w:pPr>
        <w:widowControl w:val="0"/>
        <w:autoSpaceDE w:val="0"/>
        <w:autoSpaceDN w:val="0"/>
        <w:adjustRightInd w:val="0"/>
        <w:spacing w:line="480" w:lineRule="auto"/>
        <w:jc w:val="both"/>
        <w:rPr>
          <w:rFonts w:ascii="Times New Roman" w:hAnsi="Times New Roman" w:cs="Times New Roman"/>
          <w:color w:val="000000"/>
        </w:rPr>
      </w:pPr>
    </w:p>
    <w:p w14:paraId="11FF9047" w14:textId="4E996C79" w:rsidR="00563E76" w:rsidRPr="0068584C" w:rsidRDefault="006309A2" w:rsidP="0035460B">
      <w:pPr>
        <w:spacing w:line="480" w:lineRule="auto"/>
        <w:rPr>
          <w:rFonts w:ascii="Times New Roman" w:hAnsi="Times New Roman" w:cs="Times New Roman"/>
          <w:color w:val="548DD4" w:themeColor="text2" w:themeTint="99"/>
        </w:rPr>
      </w:pPr>
      <w:r w:rsidRPr="0068584C">
        <w:rPr>
          <w:rFonts w:ascii="Times New Roman" w:hAnsi="Times New Roman" w:cs="Times New Roman"/>
          <w:noProof/>
          <w:color w:val="548DD4" w:themeColor="text2" w:themeTint="99"/>
        </w:rPr>
        <w:drawing>
          <wp:inline distT="0" distB="0" distL="0" distR="0" wp14:anchorId="7B34B801" wp14:editId="372206F2">
            <wp:extent cx="4158946" cy="399034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58946" cy="3990340"/>
                    </a:xfrm>
                    <a:prstGeom prst="rect">
                      <a:avLst/>
                    </a:prstGeom>
                    <a:noFill/>
                    <a:ln>
                      <a:noFill/>
                    </a:ln>
                  </pic:spPr>
                </pic:pic>
              </a:graphicData>
            </a:graphic>
          </wp:inline>
        </w:drawing>
      </w:r>
    </w:p>
    <w:p w14:paraId="144EB2F6" w14:textId="7ACE6F3A" w:rsidR="00563E76" w:rsidRPr="00600162" w:rsidRDefault="00600162" w:rsidP="00600162">
      <w:pPr>
        <w:pStyle w:val="Caption"/>
        <w:keepNext/>
      </w:pPr>
      <w:bookmarkStart w:id="102" w:name="_Ref357388574"/>
      <w:bookmarkStart w:id="103" w:name="_Toc358326879"/>
      <w:r>
        <w:t xml:space="preserve">Figure </w:t>
      </w:r>
      <w:fldSimple w:instr=" SEQ Figure \* ARABIC ">
        <w:r w:rsidR="00C2793E">
          <w:rPr>
            <w:noProof/>
          </w:rPr>
          <w:t>5</w:t>
        </w:r>
      </w:fldSimple>
      <w:bookmarkEnd w:id="102"/>
      <w:r>
        <w:t xml:space="preserve"> - </w:t>
      </w:r>
      <w:r w:rsidR="00A106A6" w:rsidRPr="00D3563D">
        <w:rPr>
          <w:rFonts w:cs="Times New Roman"/>
        </w:rPr>
        <w:t>Interplay between SCRO and Innovation Culture</w:t>
      </w:r>
      <w:bookmarkEnd w:id="103"/>
    </w:p>
    <w:p w14:paraId="7EDBCC78" w14:textId="77777777" w:rsidR="004C1C52" w:rsidRDefault="004C1C52" w:rsidP="0035460B">
      <w:pPr>
        <w:widowControl w:val="0"/>
        <w:autoSpaceDE w:val="0"/>
        <w:autoSpaceDN w:val="0"/>
        <w:adjustRightInd w:val="0"/>
        <w:spacing w:line="480" w:lineRule="auto"/>
        <w:jc w:val="both"/>
        <w:rPr>
          <w:rFonts w:ascii="Times New Roman" w:hAnsi="Times New Roman" w:cs="Times New Roman"/>
          <w:color w:val="000000"/>
        </w:rPr>
      </w:pPr>
    </w:p>
    <w:p w14:paraId="426F35ED" w14:textId="1A43160B" w:rsidR="00D6571E" w:rsidRDefault="00223FC5" w:rsidP="0035460B">
      <w:pPr>
        <w:widowControl w:val="0"/>
        <w:autoSpaceDE w:val="0"/>
        <w:autoSpaceDN w:val="0"/>
        <w:adjustRightInd w:val="0"/>
        <w:spacing w:line="480" w:lineRule="auto"/>
        <w:jc w:val="both"/>
        <w:rPr>
          <w:rFonts w:ascii="Times New Roman" w:hAnsi="Times New Roman" w:cs="Times New Roman"/>
          <w:color w:val="000000"/>
        </w:rPr>
      </w:pPr>
      <w:r w:rsidRPr="0068584C">
        <w:rPr>
          <w:rFonts w:ascii="Times New Roman" w:hAnsi="Times New Roman" w:cs="Times New Roman"/>
          <w:color w:val="000000"/>
        </w:rPr>
        <w:t xml:space="preserve">In this section, the specific managerial implications related to SCRO and organizational </w:t>
      </w:r>
      <w:r w:rsidRPr="0028047D">
        <w:rPr>
          <w:rFonts w:ascii="Times New Roman" w:hAnsi="Times New Roman" w:cs="Times New Roman"/>
          <w:color w:val="000000"/>
        </w:rPr>
        <w:lastRenderedPageBreak/>
        <w:t xml:space="preserve">culture will be discussed first before </w:t>
      </w:r>
      <w:r w:rsidRPr="00D3563D">
        <w:rPr>
          <w:rFonts w:ascii="Times New Roman" w:hAnsi="Times New Roman" w:cs="Times New Roman"/>
          <w:color w:val="000000"/>
        </w:rPr>
        <w:t>concluding with a synthesis</w:t>
      </w:r>
      <w:r w:rsidRPr="0028047D">
        <w:rPr>
          <w:rFonts w:ascii="Times New Roman" w:hAnsi="Times New Roman" w:cs="Times New Roman"/>
          <w:color w:val="000000"/>
        </w:rPr>
        <w:t xml:space="preserve"> and overall summary.</w:t>
      </w:r>
      <w:r w:rsidR="009B12FB">
        <w:rPr>
          <w:rFonts w:ascii="Times New Roman" w:hAnsi="Times New Roman" w:cs="Times New Roman"/>
          <w:color w:val="000000"/>
        </w:rPr>
        <w:t xml:space="preserve"> Three main implications are:</w:t>
      </w:r>
    </w:p>
    <w:p w14:paraId="7745AE7B" w14:textId="28247A26" w:rsidR="009B12FB" w:rsidRDefault="009B12FB" w:rsidP="00C7731B">
      <w:pPr>
        <w:pStyle w:val="ListParagraph"/>
        <w:widowControl w:val="0"/>
        <w:numPr>
          <w:ilvl w:val="0"/>
          <w:numId w:val="10"/>
        </w:numPr>
        <w:autoSpaceDE w:val="0"/>
        <w:autoSpaceDN w:val="0"/>
        <w:adjustRightInd w:val="0"/>
        <w:spacing w:line="480" w:lineRule="auto"/>
        <w:jc w:val="both"/>
        <w:rPr>
          <w:rFonts w:ascii="Times New Roman" w:hAnsi="Times New Roman" w:cs="Times New Roman"/>
          <w:color w:val="000000"/>
        </w:rPr>
      </w:pPr>
      <w:r>
        <w:rPr>
          <w:rFonts w:ascii="Times New Roman" w:hAnsi="Times New Roman" w:cs="Times New Roman"/>
          <w:color w:val="000000"/>
        </w:rPr>
        <w:t xml:space="preserve">Managers </w:t>
      </w:r>
      <w:r w:rsidR="00225AB5">
        <w:rPr>
          <w:rFonts w:ascii="Times New Roman" w:hAnsi="Times New Roman" w:cs="Times New Roman"/>
          <w:color w:val="000000"/>
        </w:rPr>
        <w:t>need</w:t>
      </w:r>
      <w:r>
        <w:rPr>
          <w:rFonts w:ascii="Times New Roman" w:hAnsi="Times New Roman" w:cs="Times New Roman"/>
          <w:color w:val="000000"/>
        </w:rPr>
        <w:t xml:space="preserve"> to </w:t>
      </w:r>
      <w:r w:rsidR="007B7B2D">
        <w:rPr>
          <w:rFonts w:ascii="Times New Roman" w:hAnsi="Times New Roman" w:cs="Times New Roman"/>
          <w:color w:val="000000"/>
        </w:rPr>
        <w:t xml:space="preserve">find the best fit </w:t>
      </w:r>
      <w:r w:rsidR="00E726AB">
        <w:rPr>
          <w:rFonts w:ascii="Times New Roman" w:hAnsi="Times New Roman" w:cs="Times New Roman"/>
          <w:color w:val="000000"/>
        </w:rPr>
        <w:t xml:space="preserve">(match) </w:t>
      </w:r>
      <w:r w:rsidR="007B7B2D">
        <w:rPr>
          <w:rFonts w:ascii="Times New Roman" w:hAnsi="Times New Roman" w:cs="Times New Roman"/>
          <w:color w:val="000000"/>
        </w:rPr>
        <w:t>between</w:t>
      </w:r>
      <w:r>
        <w:rPr>
          <w:rFonts w:ascii="Times New Roman" w:hAnsi="Times New Roman" w:cs="Times New Roman"/>
          <w:color w:val="000000"/>
        </w:rPr>
        <w:t xml:space="preserve"> SCRO </w:t>
      </w:r>
      <w:r w:rsidR="002E6DF7">
        <w:rPr>
          <w:rFonts w:ascii="Times New Roman" w:hAnsi="Times New Roman" w:cs="Times New Roman"/>
          <w:color w:val="000000"/>
        </w:rPr>
        <w:t xml:space="preserve">practices and </w:t>
      </w:r>
      <w:r>
        <w:rPr>
          <w:rFonts w:ascii="Times New Roman" w:hAnsi="Times New Roman" w:cs="Times New Roman"/>
          <w:color w:val="000000"/>
        </w:rPr>
        <w:t>innovation</w:t>
      </w:r>
      <w:r w:rsidR="00225AB5">
        <w:rPr>
          <w:rFonts w:ascii="Times New Roman" w:hAnsi="Times New Roman" w:cs="Times New Roman"/>
          <w:color w:val="000000"/>
        </w:rPr>
        <w:t xml:space="preserve"> (culture)</w:t>
      </w:r>
      <w:r>
        <w:rPr>
          <w:rFonts w:ascii="Times New Roman" w:hAnsi="Times New Roman" w:cs="Times New Roman"/>
          <w:color w:val="000000"/>
        </w:rPr>
        <w:t xml:space="preserve"> </w:t>
      </w:r>
    </w:p>
    <w:p w14:paraId="21AF4CB1" w14:textId="70505911" w:rsidR="009B12FB" w:rsidRDefault="009B12FB" w:rsidP="00C7731B">
      <w:pPr>
        <w:pStyle w:val="ListParagraph"/>
        <w:widowControl w:val="0"/>
        <w:numPr>
          <w:ilvl w:val="0"/>
          <w:numId w:val="10"/>
        </w:numPr>
        <w:autoSpaceDE w:val="0"/>
        <w:autoSpaceDN w:val="0"/>
        <w:adjustRightInd w:val="0"/>
        <w:spacing w:line="480" w:lineRule="auto"/>
        <w:jc w:val="both"/>
        <w:rPr>
          <w:rFonts w:ascii="Times New Roman" w:hAnsi="Times New Roman" w:cs="Times New Roman"/>
          <w:color w:val="000000"/>
        </w:rPr>
      </w:pPr>
      <w:r>
        <w:rPr>
          <w:rFonts w:ascii="Times New Roman" w:hAnsi="Times New Roman" w:cs="Times New Roman"/>
          <w:color w:val="000000"/>
        </w:rPr>
        <w:t xml:space="preserve">Managers need to </w:t>
      </w:r>
      <w:r w:rsidR="00C50CD7">
        <w:rPr>
          <w:rFonts w:ascii="Times New Roman" w:hAnsi="Times New Roman" w:cs="Times New Roman"/>
          <w:color w:val="000000"/>
        </w:rPr>
        <w:t>verify the appropriate level</w:t>
      </w:r>
      <w:r>
        <w:rPr>
          <w:rFonts w:ascii="Times New Roman" w:hAnsi="Times New Roman" w:cs="Times New Roman"/>
          <w:color w:val="000000"/>
        </w:rPr>
        <w:t xml:space="preserve"> of </w:t>
      </w:r>
      <w:r w:rsidRPr="00F15BBD">
        <w:rPr>
          <w:rFonts w:ascii="Times New Roman" w:hAnsi="Times New Roman" w:cs="Times New Roman"/>
          <w:color w:val="000000"/>
        </w:rPr>
        <w:t>leveraging</w:t>
      </w:r>
      <w:r>
        <w:rPr>
          <w:rFonts w:ascii="Times New Roman" w:hAnsi="Times New Roman" w:cs="Times New Roman"/>
          <w:color w:val="000000"/>
        </w:rPr>
        <w:t xml:space="preserve"> practices</w:t>
      </w:r>
      <w:r w:rsidR="00C50CD7">
        <w:rPr>
          <w:rFonts w:ascii="Times New Roman" w:hAnsi="Times New Roman" w:cs="Times New Roman"/>
          <w:color w:val="000000"/>
        </w:rPr>
        <w:t xml:space="preserve"> and address potential gaps</w:t>
      </w:r>
    </w:p>
    <w:p w14:paraId="063804E8" w14:textId="0DB44899" w:rsidR="00DF5650" w:rsidRPr="0068584C" w:rsidRDefault="00C50CD7" w:rsidP="00C7731B">
      <w:pPr>
        <w:pStyle w:val="ListParagraph"/>
        <w:widowControl w:val="0"/>
        <w:numPr>
          <w:ilvl w:val="0"/>
          <w:numId w:val="10"/>
        </w:numPr>
        <w:autoSpaceDE w:val="0"/>
        <w:autoSpaceDN w:val="0"/>
        <w:adjustRightInd w:val="0"/>
        <w:spacing w:line="480" w:lineRule="auto"/>
        <w:jc w:val="both"/>
        <w:rPr>
          <w:rFonts w:ascii="Times New Roman" w:hAnsi="Times New Roman" w:cs="Times New Roman"/>
          <w:color w:val="000000"/>
        </w:rPr>
      </w:pPr>
      <w:r>
        <w:rPr>
          <w:rFonts w:ascii="Times New Roman" w:hAnsi="Times New Roman" w:cs="Times New Roman"/>
          <w:color w:val="000000"/>
        </w:rPr>
        <w:t xml:space="preserve">Managers </w:t>
      </w:r>
      <w:r w:rsidR="009C6DF6">
        <w:rPr>
          <w:rFonts w:ascii="Times New Roman" w:hAnsi="Times New Roman" w:cs="Times New Roman"/>
          <w:color w:val="000000"/>
        </w:rPr>
        <w:t>can utilize the case examples</w:t>
      </w:r>
      <w:r>
        <w:rPr>
          <w:rFonts w:ascii="Times New Roman" w:hAnsi="Times New Roman" w:cs="Times New Roman"/>
          <w:color w:val="000000"/>
        </w:rPr>
        <w:t xml:space="preserve"> to </w:t>
      </w:r>
      <w:r w:rsidR="00571059">
        <w:rPr>
          <w:rFonts w:ascii="Times New Roman" w:hAnsi="Times New Roman" w:cs="Times New Roman"/>
          <w:color w:val="000000"/>
        </w:rPr>
        <w:t xml:space="preserve">analyze which specific SCRO practices require </w:t>
      </w:r>
      <w:r w:rsidR="00F3085E">
        <w:rPr>
          <w:rFonts w:ascii="Times New Roman" w:hAnsi="Times New Roman" w:cs="Times New Roman"/>
          <w:color w:val="000000"/>
        </w:rPr>
        <w:t>fine-tuning</w:t>
      </w:r>
      <w:r w:rsidR="00571059">
        <w:rPr>
          <w:rFonts w:ascii="Times New Roman" w:hAnsi="Times New Roman" w:cs="Times New Roman"/>
          <w:color w:val="000000"/>
        </w:rPr>
        <w:t xml:space="preserve"> or enhancement</w:t>
      </w:r>
      <w:r w:rsidR="00FB68C8">
        <w:rPr>
          <w:rFonts w:ascii="Times New Roman" w:hAnsi="Times New Roman" w:cs="Times New Roman"/>
          <w:color w:val="000000"/>
        </w:rPr>
        <w:t xml:space="preserve"> in their organization</w:t>
      </w:r>
      <w:r>
        <w:rPr>
          <w:rFonts w:ascii="Times New Roman" w:hAnsi="Times New Roman" w:cs="Times New Roman"/>
          <w:color w:val="000000"/>
        </w:rPr>
        <w:t xml:space="preserve"> </w:t>
      </w:r>
    </w:p>
    <w:p w14:paraId="5C0406EE" w14:textId="77777777" w:rsidR="00946E6F" w:rsidRDefault="00946E6F" w:rsidP="0035460B">
      <w:pPr>
        <w:widowControl w:val="0"/>
        <w:autoSpaceDE w:val="0"/>
        <w:autoSpaceDN w:val="0"/>
        <w:adjustRightInd w:val="0"/>
        <w:spacing w:line="480" w:lineRule="auto"/>
        <w:jc w:val="both"/>
        <w:rPr>
          <w:rFonts w:ascii="Times New Roman" w:hAnsi="Times New Roman" w:cs="Times New Roman"/>
          <w:color w:val="000000"/>
        </w:rPr>
      </w:pPr>
    </w:p>
    <w:p w14:paraId="3F1BABF7" w14:textId="75E31682" w:rsidR="009C6DF6" w:rsidRPr="00D31388" w:rsidRDefault="009C6DF6" w:rsidP="0035460B">
      <w:pPr>
        <w:widowControl w:val="0"/>
        <w:autoSpaceDE w:val="0"/>
        <w:autoSpaceDN w:val="0"/>
        <w:adjustRightInd w:val="0"/>
        <w:spacing w:line="480" w:lineRule="auto"/>
        <w:jc w:val="both"/>
        <w:rPr>
          <w:rFonts w:ascii="Times New Roman" w:hAnsi="Times New Roman" w:cs="Times New Roman"/>
          <w:i/>
          <w:color w:val="000000" w:themeColor="text1"/>
          <w:u w:val="single"/>
        </w:rPr>
      </w:pPr>
      <w:r w:rsidRPr="00D31388">
        <w:rPr>
          <w:rFonts w:ascii="Times New Roman" w:hAnsi="Times New Roman" w:cs="Times New Roman"/>
          <w:i/>
          <w:color w:val="000000" w:themeColor="text1"/>
          <w:u w:val="single"/>
        </w:rPr>
        <w:t>Fit between SCRO and Innovation Culture</w:t>
      </w:r>
    </w:p>
    <w:p w14:paraId="7605C806" w14:textId="257E1585" w:rsidR="00061C1E" w:rsidRPr="0068584C" w:rsidRDefault="00CD7146" w:rsidP="0035460B">
      <w:pPr>
        <w:widowControl w:val="0"/>
        <w:autoSpaceDE w:val="0"/>
        <w:autoSpaceDN w:val="0"/>
        <w:adjustRightInd w:val="0"/>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rPr>
        <w:t xml:space="preserve">The </w:t>
      </w:r>
      <w:r w:rsidR="00CB6AB6" w:rsidRPr="0068584C">
        <w:rPr>
          <w:rFonts w:ascii="Times New Roman" w:hAnsi="Times New Roman" w:cs="Times New Roman"/>
          <w:color w:val="000000"/>
        </w:rPr>
        <w:t>SCRO-Culture matrix</w:t>
      </w:r>
      <w:r>
        <w:rPr>
          <w:rFonts w:ascii="Times New Roman" w:hAnsi="Times New Roman" w:cs="Times New Roman"/>
          <w:color w:val="000000"/>
        </w:rPr>
        <w:t xml:space="preserve"> illustrates the need to match SCRO practices and innovation culture in the organization. SCRO practices are essential for organizations when striving for higher innovation performance</w:t>
      </w:r>
      <w:r w:rsidR="009E49EE">
        <w:rPr>
          <w:rFonts w:ascii="Times New Roman" w:hAnsi="Times New Roman" w:cs="Times New Roman"/>
          <w:color w:val="000000"/>
        </w:rPr>
        <w:t xml:space="preserve"> because SCRO facilitates the inflow and integration of essential external resources. However, the appropriate level of organizational culture is</w:t>
      </w:r>
      <w:r w:rsidR="00FB68C8">
        <w:rPr>
          <w:rFonts w:ascii="Times New Roman" w:hAnsi="Times New Roman" w:cs="Times New Roman"/>
          <w:color w:val="000000"/>
        </w:rPr>
        <w:t xml:space="preserve"> decisive and influences the performance impact of SCRO. </w:t>
      </w:r>
      <w:r w:rsidR="00875A52" w:rsidRPr="0068584C">
        <w:rPr>
          <w:rFonts w:ascii="Times New Roman" w:hAnsi="Times New Roman" w:cs="Times New Roman"/>
          <w:color w:val="000000" w:themeColor="text1"/>
        </w:rPr>
        <w:t>Overall</w:t>
      </w:r>
      <w:r w:rsidR="00D6276C" w:rsidRPr="0068584C">
        <w:rPr>
          <w:rFonts w:ascii="Times New Roman" w:hAnsi="Times New Roman" w:cs="Times New Roman"/>
          <w:color w:val="000000" w:themeColor="text1"/>
        </w:rPr>
        <w:t>, TECH-2 appears to have managed a good balance between both SCRO and innovation culture</w:t>
      </w:r>
      <w:r w:rsidR="00FB68C8">
        <w:rPr>
          <w:rFonts w:ascii="Times New Roman" w:hAnsi="Times New Roman" w:cs="Times New Roman"/>
          <w:color w:val="000000" w:themeColor="text1"/>
        </w:rPr>
        <w:t xml:space="preserve"> already</w:t>
      </w:r>
      <w:r w:rsidR="00974906" w:rsidRPr="0068584C">
        <w:rPr>
          <w:rFonts w:ascii="Times New Roman" w:hAnsi="Times New Roman" w:cs="Times New Roman"/>
          <w:color w:val="000000" w:themeColor="text1"/>
        </w:rPr>
        <w:t xml:space="preserve">; </w:t>
      </w:r>
      <w:r w:rsidR="00A0398D" w:rsidRPr="0068584C">
        <w:rPr>
          <w:rFonts w:ascii="Times New Roman" w:hAnsi="Times New Roman" w:cs="Times New Roman"/>
          <w:color w:val="000000" w:themeColor="text1"/>
        </w:rPr>
        <w:t>the company also showed a good growth (EBIT and revenue)</w:t>
      </w:r>
      <w:r w:rsidR="00FB68C8">
        <w:rPr>
          <w:rFonts w:ascii="Times New Roman" w:hAnsi="Times New Roman" w:cs="Times New Roman"/>
          <w:color w:val="000000" w:themeColor="text1"/>
        </w:rPr>
        <w:t>.</w:t>
      </w:r>
      <w:r w:rsidR="00A0398D" w:rsidRPr="0068584C">
        <w:rPr>
          <w:rFonts w:ascii="Times New Roman" w:hAnsi="Times New Roman" w:cs="Times New Roman"/>
          <w:color w:val="000000" w:themeColor="text1"/>
        </w:rPr>
        <w:t xml:space="preserve"> </w:t>
      </w:r>
      <w:r w:rsidR="00A11CEA">
        <w:rPr>
          <w:rFonts w:ascii="Times New Roman" w:hAnsi="Times New Roman" w:cs="Times New Roman"/>
          <w:color w:val="000000" w:themeColor="text1"/>
        </w:rPr>
        <w:fldChar w:fldCharType="begin"/>
      </w:r>
      <w:r w:rsidR="00A11CEA">
        <w:rPr>
          <w:rFonts w:ascii="Times New Roman" w:hAnsi="Times New Roman" w:cs="Times New Roman"/>
          <w:color w:val="000000" w:themeColor="text1"/>
        </w:rPr>
        <w:instrText xml:space="preserve"> REF _Ref357388574 \h </w:instrText>
      </w:r>
      <w:r w:rsidR="00A11CEA">
        <w:rPr>
          <w:rFonts w:ascii="Times New Roman" w:hAnsi="Times New Roman" w:cs="Times New Roman"/>
          <w:color w:val="000000" w:themeColor="text1"/>
        </w:rPr>
      </w:r>
      <w:r w:rsidR="00A11CEA">
        <w:rPr>
          <w:rFonts w:ascii="Times New Roman" w:hAnsi="Times New Roman" w:cs="Times New Roman"/>
          <w:color w:val="000000" w:themeColor="text1"/>
        </w:rPr>
        <w:fldChar w:fldCharType="separate"/>
      </w:r>
      <w:r w:rsidR="00C2793E">
        <w:t xml:space="preserve">Figure </w:t>
      </w:r>
      <w:r w:rsidR="00C2793E">
        <w:rPr>
          <w:noProof/>
        </w:rPr>
        <w:t>5</w:t>
      </w:r>
      <w:r w:rsidR="00A11CEA">
        <w:rPr>
          <w:rFonts w:ascii="Times New Roman" w:hAnsi="Times New Roman" w:cs="Times New Roman"/>
          <w:color w:val="000000" w:themeColor="text1"/>
        </w:rPr>
        <w:fldChar w:fldCharType="end"/>
      </w:r>
      <w:r w:rsidR="00FB68C8">
        <w:rPr>
          <w:rFonts w:ascii="Times New Roman" w:hAnsi="Times New Roman" w:cs="Times New Roman"/>
          <w:color w:val="000000" w:themeColor="text1"/>
        </w:rPr>
        <w:t xml:space="preserve"> illustrates that TECH-2 should primarily nurture and foster the innovation culture</w:t>
      </w:r>
      <w:r w:rsidR="00A0398D" w:rsidRPr="0068584C">
        <w:rPr>
          <w:rFonts w:ascii="Times New Roman" w:hAnsi="Times New Roman" w:cs="Times New Roman"/>
          <w:color w:val="000000" w:themeColor="text1"/>
        </w:rPr>
        <w:t xml:space="preserve"> </w:t>
      </w:r>
      <w:r w:rsidR="00FB68C8">
        <w:rPr>
          <w:rFonts w:ascii="Times New Roman" w:hAnsi="Times New Roman" w:cs="Times New Roman"/>
          <w:color w:val="000000" w:themeColor="text1"/>
        </w:rPr>
        <w:t>to achieve a “match” position in the upper right quadrant. In contrast, TECH-1 would</w:t>
      </w:r>
      <w:r w:rsidR="000A681D">
        <w:rPr>
          <w:rFonts w:ascii="Times New Roman" w:hAnsi="Times New Roman" w:cs="Times New Roman"/>
          <w:color w:val="000000" w:themeColor="text1"/>
        </w:rPr>
        <w:t xml:space="preserve"> need to improve</w:t>
      </w:r>
      <w:r w:rsidR="00FB68C8">
        <w:rPr>
          <w:rFonts w:ascii="Times New Roman" w:hAnsi="Times New Roman" w:cs="Times New Roman"/>
          <w:color w:val="000000" w:themeColor="text1"/>
        </w:rPr>
        <w:t xml:space="preserve"> in both</w:t>
      </w:r>
      <w:r w:rsidR="000A681D">
        <w:rPr>
          <w:rFonts w:ascii="Times New Roman" w:hAnsi="Times New Roman" w:cs="Times New Roman"/>
          <w:color w:val="000000" w:themeColor="text1"/>
        </w:rPr>
        <w:t xml:space="preserve"> dimensions, </w:t>
      </w:r>
      <w:r w:rsidR="00FB68C8">
        <w:rPr>
          <w:rFonts w:ascii="Times New Roman" w:hAnsi="Times New Roman" w:cs="Times New Roman"/>
          <w:color w:val="000000" w:themeColor="text1"/>
        </w:rPr>
        <w:t>SCRO pr</w:t>
      </w:r>
      <w:r w:rsidR="000A681D">
        <w:rPr>
          <w:rFonts w:ascii="Times New Roman" w:hAnsi="Times New Roman" w:cs="Times New Roman"/>
          <w:color w:val="000000" w:themeColor="text1"/>
        </w:rPr>
        <w:t>actices and innovation culture, to reach the “match” position.</w:t>
      </w:r>
      <w:r w:rsidR="00210733">
        <w:rPr>
          <w:rFonts w:ascii="Times New Roman" w:hAnsi="Times New Roman" w:cs="Times New Roman"/>
          <w:color w:val="000000" w:themeColor="text1"/>
        </w:rPr>
        <w:t xml:space="preserve"> On the other hand, AUTO has demonstrated a clear cost leadership focus and thereby scored very low on innovation culture. Their medium-level SCRO practices need to be  assessed in detail. Possibly, some structuring or bundling practices (e.g., trust-building or external </w:t>
      </w:r>
      <w:r w:rsidR="009038C1">
        <w:rPr>
          <w:rFonts w:ascii="Times New Roman" w:hAnsi="Times New Roman" w:cs="Times New Roman"/>
          <w:color w:val="000000" w:themeColor="text1"/>
        </w:rPr>
        <w:t xml:space="preserve">coordination/alignment) could be scaled down (unless they help to achieve cost targets due to closer integration, for example). For AUTO, less emphasis on SCRO could enable </w:t>
      </w:r>
      <w:r w:rsidR="009038C1">
        <w:rPr>
          <w:rFonts w:ascii="Times New Roman" w:hAnsi="Times New Roman" w:cs="Times New Roman"/>
          <w:color w:val="000000" w:themeColor="text1"/>
        </w:rPr>
        <w:lastRenderedPageBreak/>
        <w:t>a stable “match” position in the lower left corner.</w:t>
      </w:r>
    </w:p>
    <w:p w14:paraId="2D7B9750" w14:textId="202AE048" w:rsidR="00721C31" w:rsidRPr="0068584C" w:rsidRDefault="001952C4" w:rsidP="0035460B">
      <w:pPr>
        <w:widowControl w:val="0"/>
        <w:autoSpaceDE w:val="0"/>
        <w:autoSpaceDN w:val="0"/>
        <w:adjustRightInd w:val="0"/>
        <w:spacing w:line="480" w:lineRule="auto"/>
        <w:jc w:val="both"/>
        <w:rPr>
          <w:rFonts w:ascii="Times New Roman" w:hAnsi="Times New Roman" w:cs="Times New Roman"/>
          <w:color w:val="000000"/>
        </w:rPr>
      </w:pPr>
      <w:r>
        <w:rPr>
          <w:rFonts w:ascii="Times New Roman" w:hAnsi="Times New Roman" w:cs="Times New Roman"/>
          <w:color w:val="000000"/>
        </w:rPr>
        <w:tab/>
      </w:r>
      <w:r w:rsidR="00E632F7">
        <w:rPr>
          <w:rFonts w:ascii="Times New Roman" w:hAnsi="Times New Roman" w:cs="Times New Roman"/>
          <w:color w:val="000000"/>
        </w:rPr>
        <w:t xml:space="preserve">As noted already in </w:t>
      </w:r>
      <w:r w:rsidR="0064171B">
        <w:rPr>
          <w:rFonts w:ascii="Times New Roman" w:hAnsi="Times New Roman" w:cs="Times New Roman"/>
          <w:color w:val="000000"/>
        </w:rPr>
        <w:t>the case overview table</w:t>
      </w:r>
      <w:r w:rsidR="00E632F7">
        <w:rPr>
          <w:rFonts w:ascii="Times New Roman" w:hAnsi="Times New Roman" w:cs="Times New Roman"/>
          <w:color w:val="000000"/>
        </w:rPr>
        <w:t xml:space="preserve">, </w:t>
      </w:r>
      <w:r w:rsidR="00151D55" w:rsidRPr="0068584C">
        <w:rPr>
          <w:rFonts w:ascii="Times New Roman" w:hAnsi="Times New Roman" w:cs="Times New Roman"/>
          <w:color w:val="000000"/>
        </w:rPr>
        <w:t xml:space="preserve">TECH-2 demonstrated the strongest overall SCRO score and showed </w:t>
      </w:r>
      <w:r w:rsidR="00C648C8">
        <w:rPr>
          <w:rFonts w:ascii="Times New Roman" w:hAnsi="Times New Roman" w:cs="Times New Roman"/>
          <w:color w:val="000000"/>
        </w:rPr>
        <w:t>good</w:t>
      </w:r>
      <w:r w:rsidR="00151D55" w:rsidRPr="0068584C">
        <w:rPr>
          <w:rFonts w:ascii="Times New Roman" w:hAnsi="Times New Roman" w:cs="Times New Roman"/>
          <w:color w:val="000000"/>
        </w:rPr>
        <w:t xml:space="preserve"> growth in terms of profits and revenues</w:t>
      </w:r>
      <w:r w:rsidR="0064171B">
        <w:rPr>
          <w:rFonts w:ascii="Times New Roman" w:hAnsi="Times New Roman" w:cs="Times New Roman"/>
          <w:color w:val="000000"/>
        </w:rPr>
        <w:t xml:space="preserve"> (</w:t>
      </w:r>
      <w:r w:rsidR="0064171B">
        <w:rPr>
          <w:rFonts w:ascii="Times New Roman" w:hAnsi="Times New Roman" w:cs="Times New Roman"/>
          <w:color w:val="000000"/>
        </w:rPr>
        <w:fldChar w:fldCharType="begin"/>
      </w:r>
      <w:r w:rsidR="0064171B">
        <w:rPr>
          <w:rFonts w:ascii="Times New Roman" w:hAnsi="Times New Roman" w:cs="Times New Roman"/>
          <w:color w:val="000000"/>
        </w:rPr>
        <w:instrText xml:space="preserve"> REF _Ref357388064 \h </w:instrText>
      </w:r>
      <w:r w:rsidR="0064171B">
        <w:rPr>
          <w:rFonts w:ascii="Times New Roman" w:hAnsi="Times New Roman" w:cs="Times New Roman"/>
          <w:color w:val="000000"/>
        </w:rPr>
      </w:r>
      <w:r w:rsidR="0064171B">
        <w:rPr>
          <w:rFonts w:ascii="Times New Roman" w:hAnsi="Times New Roman" w:cs="Times New Roman"/>
          <w:color w:val="000000"/>
        </w:rPr>
        <w:fldChar w:fldCharType="separate"/>
      </w:r>
      <w:r w:rsidR="00C2793E">
        <w:t xml:space="preserve">Table </w:t>
      </w:r>
      <w:r w:rsidR="00C2793E">
        <w:rPr>
          <w:noProof/>
        </w:rPr>
        <w:t>7</w:t>
      </w:r>
      <w:r w:rsidR="0064171B">
        <w:rPr>
          <w:rFonts w:ascii="Times New Roman" w:hAnsi="Times New Roman" w:cs="Times New Roman"/>
          <w:color w:val="000000"/>
        </w:rPr>
        <w:fldChar w:fldCharType="end"/>
      </w:r>
      <w:r w:rsidR="0064171B">
        <w:rPr>
          <w:rFonts w:ascii="Times New Roman" w:hAnsi="Times New Roman" w:cs="Times New Roman"/>
          <w:color w:val="000000"/>
        </w:rPr>
        <w:t>)</w:t>
      </w:r>
      <w:r w:rsidR="00151D55" w:rsidRPr="0068584C">
        <w:rPr>
          <w:rFonts w:ascii="Times New Roman" w:hAnsi="Times New Roman" w:cs="Times New Roman"/>
          <w:color w:val="000000"/>
        </w:rPr>
        <w:t>.</w:t>
      </w:r>
      <w:r w:rsidR="00A3327E" w:rsidRPr="0068584C">
        <w:rPr>
          <w:rFonts w:ascii="Times New Roman" w:hAnsi="Times New Roman" w:cs="Times New Roman"/>
          <w:color w:val="000000"/>
        </w:rPr>
        <w:t xml:space="preserve"> Interestingly, the competitor TECH-1 showed the highest score of innovation culture and also the strongest EBIT growth even though its SCRO score was among the lowest of all cases.</w:t>
      </w:r>
      <w:r w:rsidR="006120C3" w:rsidRPr="0068584C">
        <w:rPr>
          <w:rFonts w:ascii="Times New Roman" w:hAnsi="Times New Roman" w:cs="Times New Roman"/>
          <w:color w:val="000000"/>
        </w:rPr>
        <w:t xml:space="preserve">  </w:t>
      </w:r>
      <w:r w:rsidR="00A3327E" w:rsidRPr="0068584C">
        <w:rPr>
          <w:rFonts w:ascii="Times New Roman" w:hAnsi="Times New Roman" w:cs="Times New Roman"/>
          <w:color w:val="000000"/>
        </w:rPr>
        <w:t>Clearly, AUTO demonstrated a strong focus on costs and comparatively little emphasis on innovation. From the performance indications, AUTO showed relatively strong EBIT growth and the strongest growth in revenue.</w:t>
      </w:r>
    </w:p>
    <w:p w14:paraId="08A6E88C" w14:textId="76B968B2" w:rsidR="00CB6AB6" w:rsidRPr="0068584C" w:rsidRDefault="00BF2959" w:rsidP="0035460B">
      <w:pPr>
        <w:widowControl w:val="0"/>
        <w:autoSpaceDE w:val="0"/>
        <w:autoSpaceDN w:val="0"/>
        <w:adjustRightInd w:val="0"/>
        <w:spacing w:line="480" w:lineRule="auto"/>
        <w:jc w:val="both"/>
        <w:rPr>
          <w:rFonts w:ascii="Times New Roman" w:hAnsi="Times New Roman" w:cs="Times New Roman"/>
          <w:color w:val="000000"/>
        </w:rPr>
      </w:pPr>
      <w:r>
        <w:rPr>
          <w:rFonts w:ascii="Times New Roman" w:hAnsi="Times New Roman" w:cs="Times New Roman"/>
          <w:color w:val="000000"/>
        </w:rPr>
        <w:tab/>
      </w:r>
      <w:r w:rsidR="003C51D1" w:rsidRPr="0068584C">
        <w:rPr>
          <w:rFonts w:ascii="Times New Roman" w:hAnsi="Times New Roman" w:cs="Times New Roman"/>
          <w:color w:val="000000"/>
        </w:rPr>
        <w:t xml:space="preserve">What are the case study’s implications in terms of organizational culture? </w:t>
      </w:r>
      <w:r w:rsidR="0062619A" w:rsidRPr="0068584C">
        <w:rPr>
          <w:rFonts w:ascii="Times New Roman" w:hAnsi="Times New Roman" w:cs="Times New Roman"/>
          <w:color w:val="000000"/>
        </w:rPr>
        <w:t xml:space="preserve">What conclusions can be drawn in terms of strategic orientation? </w:t>
      </w:r>
      <w:r w:rsidR="00CB6AB6" w:rsidRPr="0068584C">
        <w:rPr>
          <w:rFonts w:ascii="Times New Roman" w:hAnsi="Times New Roman" w:cs="Times New Roman"/>
          <w:color w:val="000000"/>
        </w:rPr>
        <w:t>Both TECH-1 and TECH-2 are relatively innovation oriented and</w:t>
      </w:r>
      <w:r w:rsidR="008613FA" w:rsidRPr="0068584C">
        <w:rPr>
          <w:rFonts w:ascii="Times New Roman" w:hAnsi="Times New Roman" w:cs="Times New Roman"/>
          <w:color w:val="000000"/>
        </w:rPr>
        <w:t>, compared to the other three case companies,</w:t>
      </w:r>
      <w:r w:rsidR="00CB6AB6" w:rsidRPr="0068584C">
        <w:rPr>
          <w:rFonts w:ascii="Times New Roman" w:hAnsi="Times New Roman" w:cs="Times New Roman"/>
          <w:color w:val="000000"/>
        </w:rPr>
        <w:t xml:space="preserve"> less focused on costs.</w:t>
      </w:r>
      <w:r w:rsidR="008613FA" w:rsidRPr="0068584C">
        <w:rPr>
          <w:rFonts w:ascii="Times New Roman" w:hAnsi="Times New Roman" w:cs="Times New Roman"/>
          <w:color w:val="000000"/>
        </w:rPr>
        <w:t xml:space="preserve"> One explanation might lie in their market environment. Both organizations are competing directly against each other and split-up the market relatively evenly (about 45% each) with the remainder taken by smaller competitors.</w:t>
      </w:r>
      <w:r w:rsidR="00151D55" w:rsidRPr="0068584C">
        <w:rPr>
          <w:rFonts w:ascii="Times New Roman" w:hAnsi="Times New Roman" w:cs="Times New Roman"/>
          <w:color w:val="000000"/>
        </w:rPr>
        <w:t xml:space="preserve"> Possibly, this market situation facilitates innovativeness. Due to the large second competitor</w:t>
      </w:r>
      <w:r w:rsidR="000137C5" w:rsidRPr="0068584C">
        <w:rPr>
          <w:rFonts w:ascii="Times New Roman" w:hAnsi="Times New Roman" w:cs="Times New Roman"/>
          <w:color w:val="000000"/>
        </w:rPr>
        <w:t xml:space="preserve"> of equal size</w:t>
      </w:r>
      <w:r w:rsidR="00151D55" w:rsidRPr="0068584C">
        <w:rPr>
          <w:rFonts w:ascii="Times New Roman" w:hAnsi="Times New Roman" w:cs="Times New Roman"/>
          <w:color w:val="000000"/>
        </w:rPr>
        <w:t>, there is little room for complacency</w:t>
      </w:r>
      <w:r w:rsidR="004B4229" w:rsidRPr="0068584C">
        <w:rPr>
          <w:rFonts w:ascii="Times New Roman" w:hAnsi="Times New Roman" w:cs="Times New Roman"/>
          <w:color w:val="000000"/>
        </w:rPr>
        <w:t xml:space="preserve"> because customers can walk away if the value proposition does not fit their expectation</w:t>
      </w:r>
      <w:r w:rsidR="00A44150" w:rsidRPr="0068584C">
        <w:rPr>
          <w:rFonts w:ascii="Times New Roman" w:hAnsi="Times New Roman" w:cs="Times New Roman"/>
          <w:color w:val="000000"/>
        </w:rPr>
        <w:t xml:space="preserve"> (e.g., insufficient innovativeness)</w:t>
      </w:r>
      <w:r w:rsidR="00151D55" w:rsidRPr="0068584C">
        <w:rPr>
          <w:rFonts w:ascii="Times New Roman" w:hAnsi="Times New Roman" w:cs="Times New Roman"/>
          <w:color w:val="000000"/>
        </w:rPr>
        <w:t xml:space="preserve">. </w:t>
      </w:r>
      <w:r w:rsidR="000137C5" w:rsidRPr="0068584C">
        <w:rPr>
          <w:rFonts w:ascii="Times New Roman" w:hAnsi="Times New Roman" w:cs="Times New Roman"/>
          <w:color w:val="000000"/>
        </w:rPr>
        <w:t>Due to</w:t>
      </w:r>
      <w:r w:rsidR="00151D55" w:rsidRPr="0068584C">
        <w:rPr>
          <w:rFonts w:ascii="Times New Roman" w:hAnsi="Times New Roman" w:cs="Times New Roman"/>
          <w:color w:val="000000"/>
        </w:rPr>
        <w:t xml:space="preserve"> the “relatively”</w:t>
      </w:r>
      <w:r w:rsidR="004B4229" w:rsidRPr="0068584C">
        <w:rPr>
          <w:rFonts w:ascii="Times New Roman" w:hAnsi="Times New Roman" w:cs="Times New Roman"/>
          <w:color w:val="000000"/>
        </w:rPr>
        <w:t xml:space="preserve"> established market position (high barriers to entry for competitors), there appears</w:t>
      </w:r>
      <w:r w:rsidR="000137C5" w:rsidRPr="0068584C">
        <w:rPr>
          <w:rFonts w:ascii="Times New Roman" w:hAnsi="Times New Roman" w:cs="Times New Roman"/>
          <w:color w:val="000000"/>
        </w:rPr>
        <w:t xml:space="preserve"> to be</w:t>
      </w:r>
      <w:r w:rsidR="004B4229" w:rsidRPr="0068584C">
        <w:rPr>
          <w:rFonts w:ascii="Times New Roman" w:hAnsi="Times New Roman" w:cs="Times New Roman"/>
          <w:color w:val="000000"/>
        </w:rPr>
        <w:t xml:space="preserve"> less cost-pressure compared to other high technology environments with </w:t>
      </w:r>
      <w:r w:rsidR="00A21AEA">
        <w:rPr>
          <w:rFonts w:ascii="Times New Roman" w:hAnsi="Times New Roman" w:cs="Times New Roman"/>
          <w:color w:val="000000"/>
        </w:rPr>
        <w:t>a higher number of</w:t>
      </w:r>
      <w:r w:rsidR="004B4229" w:rsidRPr="0068584C">
        <w:rPr>
          <w:rFonts w:ascii="Times New Roman" w:hAnsi="Times New Roman" w:cs="Times New Roman"/>
          <w:color w:val="000000"/>
        </w:rPr>
        <w:t xml:space="preserve"> market participants.</w:t>
      </w:r>
      <w:r w:rsidR="00FA54AB" w:rsidRPr="0068584C">
        <w:rPr>
          <w:rFonts w:ascii="Times New Roman" w:hAnsi="Times New Roman" w:cs="Times New Roman"/>
          <w:color w:val="000000"/>
        </w:rPr>
        <w:t xml:space="preserve"> Thus, both TECH-1 and TECH-2 appear to focus more on a differentiation strategy with continuous innovation than a pure cost leadership strategy.</w:t>
      </w:r>
      <w:r w:rsidR="00CB59C6">
        <w:rPr>
          <w:rFonts w:ascii="Times New Roman" w:hAnsi="Times New Roman" w:cs="Times New Roman"/>
          <w:color w:val="000000"/>
        </w:rPr>
        <w:t xml:space="preserve"> For both organizations, increasing efforts </w:t>
      </w:r>
    </w:p>
    <w:p w14:paraId="2291B22F" w14:textId="41F27B76" w:rsidR="00AB1FEB" w:rsidRPr="0068584C" w:rsidRDefault="00BF2959" w:rsidP="0035460B">
      <w:pPr>
        <w:widowControl w:val="0"/>
        <w:autoSpaceDE w:val="0"/>
        <w:autoSpaceDN w:val="0"/>
        <w:adjustRightInd w:val="0"/>
        <w:spacing w:line="480" w:lineRule="auto"/>
        <w:jc w:val="both"/>
        <w:rPr>
          <w:rFonts w:ascii="Times New Roman" w:hAnsi="Times New Roman" w:cs="Times New Roman"/>
          <w:color w:val="000000"/>
        </w:rPr>
      </w:pPr>
      <w:r>
        <w:rPr>
          <w:rFonts w:ascii="Times New Roman" w:hAnsi="Times New Roman" w:cs="Times New Roman"/>
          <w:color w:val="000000"/>
        </w:rPr>
        <w:tab/>
      </w:r>
      <w:r w:rsidR="00AB1FEB" w:rsidRPr="0068584C">
        <w:rPr>
          <w:rFonts w:ascii="Times New Roman" w:hAnsi="Times New Roman" w:cs="Times New Roman"/>
          <w:color w:val="000000"/>
        </w:rPr>
        <w:t>The case of TECH-2 suggests that the link between SCRO and financial performance is more tenuous</w:t>
      </w:r>
      <w:r w:rsidR="00311FAD" w:rsidRPr="0068584C">
        <w:rPr>
          <w:rFonts w:ascii="Times New Roman" w:hAnsi="Times New Roman" w:cs="Times New Roman"/>
          <w:color w:val="000000"/>
        </w:rPr>
        <w:t xml:space="preserve">. The SCRO framework would predict that an organization such as TECH-2 with a relatively high SCRO score should have achieved </w:t>
      </w:r>
      <w:r w:rsidR="004D0B61" w:rsidRPr="0068584C">
        <w:rPr>
          <w:rFonts w:ascii="Times New Roman" w:hAnsi="Times New Roman" w:cs="Times New Roman"/>
          <w:color w:val="000000"/>
        </w:rPr>
        <w:t xml:space="preserve">the </w:t>
      </w:r>
      <w:r w:rsidR="00311FAD" w:rsidRPr="0068584C">
        <w:rPr>
          <w:rFonts w:ascii="Times New Roman" w:hAnsi="Times New Roman" w:cs="Times New Roman"/>
          <w:color w:val="000000"/>
        </w:rPr>
        <w:t>highe</w:t>
      </w:r>
      <w:r w:rsidR="004D0B61" w:rsidRPr="0068584C">
        <w:rPr>
          <w:rFonts w:ascii="Times New Roman" w:hAnsi="Times New Roman" w:cs="Times New Roman"/>
          <w:color w:val="000000"/>
        </w:rPr>
        <w:t>st</w:t>
      </w:r>
      <w:r w:rsidR="00311FAD" w:rsidRPr="0068584C">
        <w:rPr>
          <w:rFonts w:ascii="Times New Roman" w:hAnsi="Times New Roman" w:cs="Times New Roman"/>
          <w:color w:val="000000"/>
        </w:rPr>
        <w:t xml:space="preserve"> </w:t>
      </w:r>
      <w:r w:rsidR="00311FAD" w:rsidRPr="0068584C">
        <w:rPr>
          <w:rFonts w:ascii="Times New Roman" w:hAnsi="Times New Roman" w:cs="Times New Roman"/>
          <w:color w:val="000000"/>
        </w:rPr>
        <w:lastRenderedPageBreak/>
        <w:t>financial returns</w:t>
      </w:r>
      <w:r w:rsidR="008D66FD" w:rsidRPr="0068584C">
        <w:rPr>
          <w:rFonts w:ascii="Times New Roman" w:hAnsi="Times New Roman" w:cs="Times New Roman"/>
          <w:color w:val="000000"/>
        </w:rPr>
        <w:t xml:space="preserve"> but in fact, it did not</w:t>
      </w:r>
      <w:r w:rsidR="00311FAD" w:rsidRPr="0068584C">
        <w:rPr>
          <w:rFonts w:ascii="Times New Roman" w:hAnsi="Times New Roman" w:cs="Times New Roman"/>
          <w:color w:val="000000"/>
        </w:rPr>
        <w:t xml:space="preserve">. TECH-2 demonstrated </w:t>
      </w:r>
      <w:r w:rsidR="004D0B61" w:rsidRPr="0068584C">
        <w:rPr>
          <w:rFonts w:ascii="Times New Roman" w:hAnsi="Times New Roman" w:cs="Times New Roman"/>
          <w:color w:val="000000"/>
        </w:rPr>
        <w:t>good</w:t>
      </w:r>
      <w:r w:rsidR="00311FAD" w:rsidRPr="0068584C">
        <w:rPr>
          <w:rFonts w:ascii="Times New Roman" w:hAnsi="Times New Roman" w:cs="Times New Roman"/>
          <w:color w:val="000000"/>
        </w:rPr>
        <w:t xml:space="preserve"> financial performance </w:t>
      </w:r>
      <w:r w:rsidR="001E641D" w:rsidRPr="0068584C">
        <w:rPr>
          <w:rFonts w:ascii="Times New Roman" w:hAnsi="Times New Roman" w:cs="Times New Roman"/>
          <w:color w:val="000000"/>
        </w:rPr>
        <w:t xml:space="preserve">(but not spectacular) </w:t>
      </w:r>
      <w:r w:rsidR="00311FAD" w:rsidRPr="0068584C">
        <w:rPr>
          <w:rFonts w:ascii="Times New Roman" w:hAnsi="Times New Roman" w:cs="Times New Roman"/>
          <w:color w:val="000000"/>
        </w:rPr>
        <w:t xml:space="preserve">during the period of observation. </w:t>
      </w:r>
      <w:r w:rsidR="00A21AEA">
        <w:rPr>
          <w:rFonts w:ascii="Times New Roman" w:hAnsi="Times New Roman" w:cs="Times New Roman"/>
          <w:color w:val="000000"/>
        </w:rPr>
        <w:t>There are two potential explanations. First, a</w:t>
      </w:r>
      <w:r w:rsidR="00311FAD" w:rsidRPr="0068584C">
        <w:rPr>
          <w:rFonts w:ascii="Times New Roman" w:hAnsi="Times New Roman" w:cs="Times New Roman"/>
          <w:color w:val="000000"/>
        </w:rPr>
        <w:t xml:space="preserve"> potential time lag between SCRO</w:t>
      </w:r>
      <w:r w:rsidR="00A21AEA">
        <w:rPr>
          <w:rFonts w:ascii="Times New Roman" w:hAnsi="Times New Roman" w:cs="Times New Roman"/>
          <w:color w:val="000000"/>
        </w:rPr>
        <w:t xml:space="preserve">-related </w:t>
      </w:r>
      <w:r w:rsidR="00311FAD" w:rsidRPr="0068584C">
        <w:rPr>
          <w:rFonts w:ascii="Times New Roman" w:hAnsi="Times New Roman" w:cs="Times New Roman"/>
          <w:color w:val="000000"/>
        </w:rPr>
        <w:t>decision-making and the ultimate financial returns might serve as a partial explanation.</w:t>
      </w:r>
      <w:r w:rsidR="00A21AEA">
        <w:rPr>
          <w:rFonts w:ascii="Times New Roman" w:hAnsi="Times New Roman" w:cs="Times New Roman"/>
          <w:color w:val="000000"/>
        </w:rPr>
        <w:t xml:space="preserve"> Second, TECH-2 was particularly weak in terms of leveraging, which should have implications on the financial performance.</w:t>
      </w:r>
      <w:r w:rsidR="00636F31">
        <w:rPr>
          <w:rFonts w:ascii="Times New Roman" w:hAnsi="Times New Roman" w:cs="Times New Roman"/>
          <w:color w:val="000000"/>
        </w:rPr>
        <w:t xml:space="preserve"> This would underline again the need to synchronize the practices of all three SCRO sub-processes. </w:t>
      </w:r>
    </w:p>
    <w:p w14:paraId="0FE778E6" w14:textId="0E772F05" w:rsidR="00B3017F" w:rsidRPr="0068584C" w:rsidRDefault="00B3017F" w:rsidP="0035460B">
      <w:pPr>
        <w:widowControl w:val="0"/>
        <w:autoSpaceDE w:val="0"/>
        <w:autoSpaceDN w:val="0"/>
        <w:adjustRightInd w:val="0"/>
        <w:spacing w:line="480" w:lineRule="auto"/>
        <w:ind w:firstLine="720"/>
        <w:jc w:val="both"/>
        <w:rPr>
          <w:rFonts w:ascii="Times New Roman" w:hAnsi="Times New Roman" w:cs="Times New Roman"/>
          <w:color w:val="000000"/>
        </w:rPr>
      </w:pPr>
      <w:r w:rsidRPr="0068584C">
        <w:rPr>
          <w:rFonts w:ascii="Times New Roman" w:hAnsi="Times New Roman" w:cs="Times New Roman"/>
          <w:color w:val="000000"/>
        </w:rPr>
        <w:t>The case companies LOG and EQUIP appear as “stuck in the middle</w:t>
      </w:r>
      <w:r w:rsidR="001E641D" w:rsidRPr="0068584C">
        <w:rPr>
          <w:rFonts w:ascii="Times New Roman" w:hAnsi="Times New Roman" w:cs="Times New Roman"/>
          <w:color w:val="000000"/>
        </w:rPr>
        <w:t>,</w:t>
      </w:r>
      <w:r w:rsidRPr="0068584C">
        <w:rPr>
          <w:rFonts w:ascii="Times New Roman" w:hAnsi="Times New Roman" w:cs="Times New Roman"/>
          <w:color w:val="000000"/>
        </w:rPr>
        <w:t>”</w:t>
      </w:r>
      <w:r w:rsidR="001E641D" w:rsidRPr="0068584C">
        <w:rPr>
          <w:rFonts w:ascii="Times New Roman" w:hAnsi="Times New Roman" w:cs="Times New Roman"/>
          <w:color w:val="000000"/>
        </w:rPr>
        <w:t xml:space="preserve"> and might have created confusion within the organization.</w:t>
      </w:r>
      <w:r w:rsidRPr="0068584C">
        <w:rPr>
          <w:rFonts w:ascii="Times New Roman" w:hAnsi="Times New Roman" w:cs="Times New Roman"/>
          <w:color w:val="000000"/>
        </w:rPr>
        <w:t xml:space="preserve"> Both excel neither in terms of innovation nor in SCRO</w:t>
      </w:r>
      <w:r w:rsidR="00AF6574">
        <w:rPr>
          <w:rFonts w:ascii="Times New Roman" w:hAnsi="Times New Roman" w:cs="Times New Roman"/>
          <w:color w:val="000000"/>
        </w:rPr>
        <w:t xml:space="preserve">, and the situation </w:t>
      </w:r>
      <w:r w:rsidR="00F8729E">
        <w:rPr>
          <w:rFonts w:ascii="Times New Roman" w:hAnsi="Times New Roman" w:cs="Times New Roman"/>
          <w:color w:val="000000"/>
        </w:rPr>
        <w:t>appears to reflect</w:t>
      </w:r>
      <w:r w:rsidR="00AF6574">
        <w:rPr>
          <w:rFonts w:ascii="Times New Roman" w:hAnsi="Times New Roman" w:cs="Times New Roman"/>
          <w:color w:val="000000"/>
        </w:rPr>
        <w:t xml:space="preserve"> a mismatch </w:t>
      </w:r>
      <w:r w:rsidR="00AF6574" w:rsidRPr="00A41D3D">
        <w:rPr>
          <w:rFonts w:ascii="Times New Roman" w:hAnsi="Times New Roman" w:cs="Times New Roman"/>
          <w:color w:val="000000"/>
        </w:rPr>
        <w:t>between SCRO practices, existing culture, and strategic orientation</w:t>
      </w:r>
      <w:r w:rsidR="00AF6574">
        <w:rPr>
          <w:rFonts w:ascii="Times New Roman" w:hAnsi="Times New Roman" w:cs="Times New Roman"/>
          <w:color w:val="000000"/>
        </w:rPr>
        <w:t xml:space="preserve">. </w:t>
      </w:r>
      <w:r w:rsidRPr="0068584C">
        <w:rPr>
          <w:rFonts w:ascii="Times New Roman" w:hAnsi="Times New Roman" w:cs="Times New Roman"/>
          <w:color w:val="000000"/>
        </w:rPr>
        <w:t>The financial performance</w:t>
      </w:r>
      <w:r w:rsidR="00AF6574">
        <w:rPr>
          <w:rFonts w:ascii="Times New Roman" w:hAnsi="Times New Roman" w:cs="Times New Roman"/>
          <w:color w:val="000000"/>
        </w:rPr>
        <w:t xml:space="preserve"> of both companies</w:t>
      </w:r>
      <w:r w:rsidRPr="0068584C">
        <w:rPr>
          <w:rFonts w:ascii="Times New Roman" w:hAnsi="Times New Roman" w:cs="Times New Roman"/>
          <w:color w:val="000000"/>
        </w:rPr>
        <w:t xml:space="preserve"> </w:t>
      </w:r>
      <w:r w:rsidR="00B764D4" w:rsidRPr="0068584C">
        <w:rPr>
          <w:rFonts w:ascii="Times New Roman" w:hAnsi="Times New Roman" w:cs="Times New Roman"/>
          <w:color w:val="000000"/>
        </w:rPr>
        <w:t xml:space="preserve">is </w:t>
      </w:r>
      <w:r w:rsidRPr="0068584C">
        <w:rPr>
          <w:rFonts w:ascii="Times New Roman" w:hAnsi="Times New Roman" w:cs="Times New Roman"/>
          <w:color w:val="000000"/>
        </w:rPr>
        <w:t xml:space="preserve">mediocre </w:t>
      </w:r>
      <w:r w:rsidR="00B764D4" w:rsidRPr="0068584C">
        <w:rPr>
          <w:rFonts w:ascii="Times New Roman" w:hAnsi="Times New Roman" w:cs="Times New Roman"/>
          <w:color w:val="000000"/>
        </w:rPr>
        <w:t>to poor</w:t>
      </w:r>
      <w:r w:rsidRPr="0068584C">
        <w:rPr>
          <w:rFonts w:ascii="Times New Roman" w:hAnsi="Times New Roman" w:cs="Times New Roman"/>
          <w:color w:val="000000"/>
        </w:rPr>
        <w:t xml:space="preserve">. </w:t>
      </w:r>
      <w:r w:rsidR="003D6909" w:rsidRPr="0068584C">
        <w:rPr>
          <w:rFonts w:ascii="Times New Roman" w:hAnsi="Times New Roman" w:cs="Times New Roman"/>
          <w:color w:val="000000"/>
        </w:rPr>
        <w:t xml:space="preserve">Hence, the cases </w:t>
      </w:r>
      <w:r w:rsidR="00AF6574">
        <w:rPr>
          <w:rFonts w:ascii="Times New Roman" w:hAnsi="Times New Roman" w:cs="Times New Roman"/>
          <w:color w:val="000000"/>
        </w:rPr>
        <w:t>would</w:t>
      </w:r>
      <w:r w:rsidR="001D08C0" w:rsidRPr="0068584C">
        <w:rPr>
          <w:rFonts w:ascii="Times New Roman" w:hAnsi="Times New Roman" w:cs="Times New Roman"/>
          <w:color w:val="000000"/>
        </w:rPr>
        <w:t xml:space="preserve"> suggest that managers carefully </w:t>
      </w:r>
      <w:r w:rsidR="003E793E">
        <w:rPr>
          <w:rFonts w:ascii="Times New Roman" w:hAnsi="Times New Roman" w:cs="Times New Roman"/>
          <w:color w:val="000000"/>
        </w:rPr>
        <w:t>align</w:t>
      </w:r>
      <w:r w:rsidR="003E793E" w:rsidRPr="0068584C">
        <w:rPr>
          <w:rFonts w:ascii="Times New Roman" w:hAnsi="Times New Roman" w:cs="Times New Roman"/>
          <w:color w:val="000000"/>
        </w:rPr>
        <w:t xml:space="preserve"> </w:t>
      </w:r>
      <w:r w:rsidR="003E793E">
        <w:rPr>
          <w:rFonts w:ascii="Times New Roman" w:hAnsi="Times New Roman" w:cs="Times New Roman"/>
          <w:color w:val="000000"/>
        </w:rPr>
        <w:t>their</w:t>
      </w:r>
      <w:r w:rsidR="003E793E" w:rsidRPr="0068584C">
        <w:rPr>
          <w:rFonts w:ascii="Times New Roman" w:hAnsi="Times New Roman" w:cs="Times New Roman"/>
          <w:color w:val="000000"/>
        </w:rPr>
        <w:t xml:space="preserve"> </w:t>
      </w:r>
      <w:r w:rsidR="003E793E">
        <w:rPr>
          <w:rFonts w:ascii="Times New Roman" w:hAnsi="Times New Roman" w:cs="Times New Roman"/>
          <w:color w:val="000000"/>
        </w:rPr>
        <w:t xml:space="preserve">level of </w:t>
      </w:r>
      <w:r w:rsidR="001D08C0" w:rsidRPr="0068584C">
        <w:rPr>
          <w:rFonts w:ascii="Times New Roman" w:hAnsi="Times New Roman" w:cs="Times New Roman"/>
          <w:color w:val="000000"/>
        </w:rPr>
        <w:t xml:space="preserve">SCRO activities </w:t>
      </w:r>
      <w:r w:rsidR="00F8729E">
        <w:rPr>
          <w:rFonts w:ascii="Times New Roman" w:hAnsi="Times New Roman" w:cs="Times New Roman"/>
          <w:color w:val="000000"/>
        </w:rPr>
        <w:t>by</w:t>
      </w:r>
      <w:r w:rsidR="003E793E">
        <w:rPr>
          <w:rFonts w:ascii="Times New Roman" w:hAnsi="Times New Roman" w:cs="Times New Roman"/>
          <w:color w:val="000000"/>
        </w:rPr>
        <w:t xml:space="preserve"> either </w:t>
      </w:r>
      <w:r w:rsidR="00F8729E">
        <w:rPr>
          <w:rFonts w:ascii="Times New Roman" w:hAnsi="Times New Roman" w:cs="Times New Roman"/>
          <w:color w:val="000000"/>
        </w:rPr>
        <w:t>emphasizing</w:t>
      </w:r>
      <w:r w:rsidR="003E793E">
        <w:rPr>
          <w:rFonts w:ascii="Times New Roman" w:hAnsi="Times New Roman" w:cs="Times New Roman"/>
          <w:color w:val="000000"/>
        </w:rPr>
        <w:t xml:space="preserve"> innovation objectives (following </w:t>
      </w:r>
      <w:r w:rsidR="00AF6574">
        <w:rPr>
          <w:rFonts w:ascii="Times New Roman" w:hAnsi="Times New Roman" w:cs="Times New Roman"/>
          <w:color w:val="000000"/>
        </w:rPr>
        <w:t xml:space="preserve">TECH-2) or </w:t>
      </w:r>
      <w:r w:rsidR="00F8729E">
        <w:rPr>
          <w:rFonts w:ascii="Times New Roman" w:hAnsi="Times New Roman" w:cs="Times New Roman"/>
          <w:color w:val="000000"/>
        </w:rPr>
        <w:t>focusing on</w:t>
      </w:r>
      <w:r w:rsidR="00AF6574">
        <w:rPr>
          <w:rFonts w:ascii="Times New Roman" w:hAnsi="Times New Roman" w:cs="Times New Roman"/>
          <w:color w:val="000000"/>
        </w:rPr>
        <w:t xml:space="preserve"> cost</w:t>
      </w:r>
      <w:r w:rsidR="00F8729E">
        <w:rPr>
          <w:rFonts w:ascii="Times New Roman" w:hAnsi="Times New Roman" w:cs="Times New Roman"/>
          <w:color w:val="000000"/>
        </w:rPr>
        <w:t>s</w:t>
      </w:r>
      <w:r w:rsidR="00AF6574">
        <w:rPr>
          <w:rFonts w:ascii="Times New Roman" w:hAnsi="Times New Roman" w:cs="Times New Roman"/>
          <w:color w:val="000000"/>
        </w:rPr>
        <w:t xml:space="preserve"> (de-emphasizing</w:t>
      </w:r>
      <w:r w:rsidR="003E793E">
        <w:rPr>
          <w:rFonts w:ascii="Times New Roman" w:hAnsi="Times New Roman" w:cs="Times New Roman"/>
          <w:color w:val="000000"/>
        </w:rPr>
        <w:t xml:space="preserve"> innovation</w:t>
      </w:r>
      <w:r w:rsidR="00AF6574">
        <w:rPr>
          <w:rFonts w:ascii="Times New Roman" w:hAnsi="Times New Roman" w:cs="Times New Roman"/>
          <w:color w:val="000000"/>
        </w:rPr>
        <w:t>) following Auto.</w:t>
      </w:r>
      <w:r w:rsidR="003E793E">
        <w:rPr>
          <w:rFonts w:ascii="Times New Roman" w:hAnsi="Times New Roman" w:cs="Times New Roman"/>
          <w:color w:val="000000"/>
        </w:rPr>
        <w:t xml:space="preserve"> </w:t>
      </w:r>
      <w:r w:rsidR="00F8729E">
        <w:rPr>
          <w:rFonts w:ascii="Times New Roman" w:hAnsi="Times New Roman" w:cs="Times New Roman"/>
          <w:color w:val="000000"/>
        </w:rPr>
        <w:t xml:space="preserve"> </w:t>
      </w:r>
    </w:p>
    <w:p w14:paraId="5C184763" w14:textId="0D537B6E" w:rsidR="00946E6F" w:rsidRDefault="00BF2959" w:rsidP="0035460B">
      <w:pPr>
        <w:spacing w:line="480" w:lineRule="auto"/>
        <w:jc w:val="both"/>
        <w:rPr>
          <w:rFonts w:ascii="Times New Roman" w:hAnsi="Times New Roman" w:cs="Times New Roman"/>
          <w:color w:val="000000"/>
        </w:rPr>
      </w:pPr>
      <w:r>
        <w:rPr>
          <w:rFonts w:ascii="Times New Roman" w:hAnsi="Times New Roman" w:cs="Times New Roman"/>
          <w:color w:val="000000" w:themeColor="text1"/>
        </w:rPr>
        <w:tab/>
      </w:r>
      <w:r w:rsidR="00BA4B8D" w:rsidRPr="0068584C">
        <w:rPr>
          <w:rFonts w:ascii="Times New Roman" w:hAnsi="Times New Roman" w:cs="Times New Roman"/>
          <w:color w:val="000000" w:themeColor="text1"/>
        </w:rPr>
        <w:t>When a company pursues a strong cost leadership strategy, then the bottom right corner might be a recipe for going out of business (e.g., EQUIP with losses) because</w:t>
      </w:r>
      <w:r w:rsidR="008B0831" w:rsidRPr="0068584C">
        <w:rPr>
          <w:rFonts w:ascii="Times New Roman" w:hAnsi="Times New Roman" w:cs="Times New Roman"/>
          <w:color w:val="000000" w:themeColor="text1"/>
        </w:rPr>
        <w:t xml:space="preserve"> a high level of</w:t>
      </w:r>
      <w:r w:rsidR="00BA4B8D" w:rsidRPr="0068584C">
        <w:rPr>
          <w:rFonts w:ascii="Times New Roman" w:hAnsi="Times New Roman" w:cs="Times New Roman"/>
          <w:color w:val="000000" w:themeColor="text1"/>
        </w:rPr>
        <w:t xml:space="preserve"> SCRO</w:t>
      </w:r>
      <w:r w:rsidR="008B0831" w:rsidRPr="0068584C">
        <w:rPr>
          <w:rFonts w:ascii="Times New Roman" w:hAnsi="Times New Roman" w:cs="Times New Roman"/>
          <w:color w:val="000000" w:themeColor="text1"/>
        </w:rPr>
        <w:t xml:space="preserve"> practices</w:t>
      </w:r>
      <w:r w:rsidR="00BA4B8D" w:rsidRPr="0068584C">
        <w:rPr>
          <w:rFonts w:ascii="Times New Roman" w:hAnsi="Times New Roman" w:cs="Times New Roman"/>
          <w:color w:val="000000" w:themeColor="text1"/>
        </w:rPr>
        <w:t xml:space="preserve"> might not sufficiently support the cost cutting targets. Analogues to Fisher (1997), a company might need to either strive for high SCRO and high innovative culture score (top right corner) or strive for the bottom left corner (low on both dimensions) to be competitive in the long run.</w:t>
      </w:r>
      <w:r w:rsidR="00B021B8">
        <w:rPr>
          <w:rFonts w:ascii="Times New Roman" w:hAnsi="Times New Roman" w:cs="Times New Roman"/>
          <w:color w:val="000000"/>
        </w:rPr>
        <w:t xml:space="preserve"> </w:t>
      </w:r>
      <w:r w:rsidR="00B3017F" w:rsidRPr="0068584C">
        <w:rPr>
          <w:rFonts w:ascii="Times New Roman" w:hAnsi="Times New Roman" w:cs="Times New Roman"/>
          <w:color w:val="000000"/>
        </w:rPr>
        <w:t xml:space="preserve">One implication for managers appears to ensure </w:t>
      </w:r>
      <w:r w:rsidR="005B2BFE" w:rsidRPr="0068584C">
        <w:rPr>
          <w:rFonts w:ascii="Times New Roman" w:hAnsi="Times New Roman" w:cs="Times New Roman"/>
          <w:color w:val="000000"/>
        </w:rPr>
        <w:t xml:space="preserve">a clear </w:t>
      </w:r>
      <w:r w:rsidR="00B3017F" w:rsidRPr="0068584C">
        <w:rPr>
          <w:rFonts w:ascii="Times New Roman" w:hAnsi="Times New Roman" w:cs="Times New Roman"/>
          <w:color w:val="000000"/>
        </w:rPr>
        <w:t>strategic focus and alignment with the competitive market situation.</w:t>
      </w:r>
      <w:r w:rsidR="00087699" w:rsidRPr="0068584C">
        <w:rPr>
          <w:rFonts w:ascii="Times New Roman" w:hAnsi="Times New Roman" w:cs="Times New Roman"/>
          <w:color w:val="000000"/>
        </w:rPr>
        <w:t xml:space="preserve"> SCRO activities can work well with either an innovation focus or a cost focus, but management needs to have a distinct strategy in this regard.</w:t>
      </w:r>
      <w:r w:rsidR="00FF4E1A" w:rsidRPr="0068584C">
        <w:rPr>
          <w:rFonts w:ascii="Times New Roman" w:hAnsi="Times New Roman" w:cs="Times New Roman"/>
          <w:color w:val="000000"/>
        </w:rPr>
        <w:t xml:space="preserve">  </w:t>
      </w:r>
    </w:p>
    <w:p w14:paraId="44056A23" w14:textId="77777777" w:rsidR="00946E6F" w:rsidRDefault="00946E6F" w:rsidP="0035460B">
      <w:pPr>
        <w:widowControl w:val="0"/>
        <w:autoSpaceDE w:val="0"/>
        <w:autoSpaceDN w:val="0"/>
        <w:adjustRightInd w:val="0"/>
        <w:spacing w:line="480" w:lineRule="auto"/>
        <w:jc w:val="both"/>
        <w:rPr>
          <w:rFonts w:ascii="Times New Roman" w:hAnsi="Times New Roman" w:cs="Times New Roman"/>
          <w:color w:val="000000"/>
        </w:rPr>
      </w:pPr>
    </w:p>
    <w:p w14:paraId="1EC5A712" w14:textId="49A4D1A1" w:rsidR="00946E6F" w:rsidRPr="00D31388" w:rsidRDefault="00946E6F" w:rsidP="0035460B">
      <w:pPr>
        <w:widowControl w:val="0"/>
        <w:autoSpaceDE w:val="0"/>
        <w:autoSpaceDN w:val="0"/>
        <w:adjustRightInd w:val="0"/>
        <w:spacing w:line="480" w:lineRule="auto"/>
        <w:jc w:val="both"/>
        <w:rPr>
          <w:rFonts w:ascii="Times New Roman" w:hAnsi="Times New Roman" w:cs="Times New Roman"/>
          <w:i/>
          <w:color w:val="000000" w:themeColor="text1"/>
          <w:u w:val="single"/>
        </w:rPr>
      </w:pPr>
      <w:r w:rsidRPr="00D31388">
        <w:rPr>
          <w:rFonts w:ascii="Times New Roman" w:hAnsi="Times New Roman" w:cs="Times New Roman"/>
          <w:i/>
          <w:color w:val="000000" w:themeColor="text1"/>
          <w:u w:val="single"/>
        </w:rPr>
        <w:t>Importance of Leveraging</w:t>
      </w:r>
    </w:p>
    <w:p w14:paraId="402D80C4" w14:textId="23345E84" w:rsidR="00FF4E1A" w:rsidRDefault="00FA54AB" w:rsidP="0035460B">
      <w:pPr>
        <w:widowControl w:val="0"/>
        <w:autoSpaceDE w:val="0"/>
        <w:autoSpaceDN w:val="0"/>
        <w:adjustRightInd w:val="0"/>
        <w:spacing w:line="480" w:lineRule="auto"/>
        <w:jc w:val="both"/>
        <w:rPr>
          <w:rFonts w:ascii="Times New Roman" w:hAnsi="Times New Roman" w:cs="Times New Roman"/>
          <w:color w:val="000000"/>
        </w:rPr>
      </w:pPr>
      <w:r w:rsidRPr="0068584C">
        <w:rPr>
          <w:rFonts w:ascii="Times New Roman" w:hAnsi="Times New Roman" w:cs="Times New Roman"/>
          <w:color w:val="000000"/>
        </w:rPr>
        <w:lastRenderedPageBreak/>
        <w:t>Furthermore, the companies with the strongest scores in the leveraging sub-</w:t>
      </w:r>
      <w:r w:rsidR="00615233" w:rsidRPr="0068584C">
        <w:rPr>
          <w:rFonts w:ascii="Times New Roman" w:hAnsi="Times New Roman" w:cs="Times New Roman"/>
          <w:color w:val="000000"/>
        </w:rPr>
        <w:t>process</w:t>
      </w:r>
      <w:r w:rsidRPr="0068584C">
        <w:rPr>
          <w:rFonts w:ascii="Times New Roman" w:hAnsi="Times New Roman" w:cs="Times New Roman"/>
          <w:color w:val="000000"/>
        </w:rPr>
        <w:t xml:space="preserve"> (AUTO = 12 and TECH-1 = 11) also showed strong financial performance (AUTO</w:t>
      </w:r>
      <w:r w:rsidR="00615233" w:rsidRPr="0068584C">
        <w:rPr>
          <w:rFonts w:ascii="Times New Roman" w:hAnsi="Times New Roman" w:cs="Times New Roman"/>
          <w:color w:val="000000"/>
        </w:rPr>
        <w:t xml:space="preserve"> with strongest revenue growth and TECH-1 with strongest EBIT growth).</w:t>
      </w:r>
      <w:r w:rsidR="007E3417">
        <w:rPr>
          <w:rFonts w:ascii="Times New Roman" w:hAnsi="Times New Roman" w:cs="Times New Roman"/>
          <w:color w:val="000000"/>
        </w:rPr>
        <w:t xml:space="preserve"> As depicted in </w:t>
      </w:r>
      <w:r w:rsidR="007E3417">
        <w:rPr>
          <w:rFonts w:ascii="Times New Roman" w:hAnsi="Times New Roman" w:cs="Times New Roman"/>
          <w:color w:val="000000"/>
        </w:rPr>
        <w:fldChar w:fldCharType="begin"/>
      </w:r>
      <w:r w:rsidR="007E3417">
        <w:rPr>
          <w:rFonts w:ascii="Times New Roman" w:hAnsi="Times New Roman" w:cs="Times New Roman"/>
          <w:color w:val="000000"/>
        </w:rPr>
        <w:instrText xml:space="preserve"> REF _Ref357388612 \h </w:instrText>
      </w:r>
      <w:r w:rsidR="007E3417">
        <w:rPr>
          <w:rFonts w:ascii="Times New Roman" w:hAnsi="Times New Roman" w:cs="Times New Roman"/>
          <w:color w:val="000000"/>
        </w:rPr>
      </w:r>
      <w:r w:rsidR="007E3417">
        <w:rPr>
          <w:rFonts w:ascii="Times New Roman" w:hAnsi="Times New Roman" w:cs="Times New Roman"/>
          <w:color w:val="000000"/>
        </w:rPr>
        <w:fldChar w:fldCharType="separate"/>
      </w:r>
      <w:r w:rsidR="00C2793E">
        <w:t xml:space="preserve">Figure </w:t>
      </w:r>
      <w:r w:rsidR="00C2793E">
        <w:rPr>
          <w:noProof/>
        </w:rPr>
        <w:t>6</w:t>
      </w:r>
      <w:r w:rsidR="007E3417">
        <w:rPr>
          <w:rFonts w:ascii="Times New Roman" w:hAnsi="Times New Roman" w:cs="Times New Roman"/>
          <w:color w:val="000000"/>
        </w:rPr>
        <w:fldChar w:fldCharType="end"/>
      </w:r>
      <w:r w:rsidR="00946E6F">
        <w:rPr>
          <w:rFonts w:ascii="Times New Roman" w:hAnsi="Times New Roman" w:cs="Times New Roman"/>
          <w:color w:val="000000"/>
        </w:rPr>
        <w:t xml:space="preserve">, no case company scored higher than medium on leveraging. During the interviews, the supply chain managers placed </w:t>
      </w:r>
      <w:r w:rsidR="00691335">
        <w:rPr>
          <w:rFonts w:ascii="Times New Roman" w:hAnsi="Times New Roman" w:cs="Times New Roman"/>
          <w:color w:val="000000"/>
        </w:rPr>
        <w:t xml:space="preserve">much </w:t>
      </w:r>
      <w:r w:rsidR="00946E6F">
        <w:rPr>
          <w:rFonts w:ascii="Times New Roman" w:hAnsi="Times New Roman" w:cs="Times New Roman"/>
          <w:color w:val="000000"/>
        </w:rPr>
        <w:t xml:space="preserve">more emphasis on the structuring and bundling activities. </w:t>
      </w:r>
      <w:r w:rsidR="00B27565">
        <w:rPr>
          <w:rFonts w:ascii="Times New Roman" w:hAnsi="Times New Roman" w:cs="Times New Roman"/>
          <w:color w:val="000000"/>
        </w:rPr>
        <w:t>Hence</w:t>
      </w:r>
      <w:r w:rsidR="00946E6F">
        <w:rPr>
          <w:rFonts w:ascii="Times New Roman" w:hAnsi="Times New Roman" w:cs="Times New Roman"/>
          <w:color w:val="000000"/>
        </w:rPr>
        <w:t xml:space="preserve">, managers should </w:t>
      </w:r>
      <w:r w:rsidR="00B85CE8">
        <w:rPr>
          <w:rFonts w:ascii="Times New Roman" w:hAnsi="Times New Roman" w:cs="Times New Roman"/>
          <w:color w:val="000000"/>
        </w:rPr>
        <w:t xml:space="preserve">verify </w:t>
      </w:r>
      <w:r w:rsidR="000214CB">
        <w:rPr>
          <w:rFonts w:ascii="Times New Roman" w:hAnsi="Times New Roman" w:cs="Times New Roman"/>
          <w:color w:val="000000"/>
        </w:rPr>
        <w:t>their</w:t>
      </w:r>
      <w:r w:rsidR="00946E6F">
        <w:rPr>
          <w:rFonts w:ascii="Times New Roman" w:hAnsi="Times New Roman" w:cs="Times New Roman"/>
          <w:color w:val="000000"/>
        </w:rPr>
        <w:t xml:space="preserve"> </w:t>
      </w:r>
      <w:r w:rsidR="00B85CE8">
        <w:rPr>
          <w:rFonts w:ascii="Times New Roman" w:hAnsi="Times New Roman" w:cs="Times New Roman"/>
          <w:color w:val="000000"/>
        </w:rPr>
        <w:t>leveraging practices</w:t>
      </w:r>
      <w:r w:rsidR="000214CB">
        <w:rPr>
          <w:rFonts w:ascii="Times New Roman" w:hAnsi="Times New Roman" w:cs="Times New Roman"/>
          <w:color w:val="000000"/>
        </w:rPr>
        <w:t xml:space="preserve"> in their organization and assess whether those</w:t>
      </w:r>
      <w:r w:rsidR="00691335">
        <w:rPr>
          <w:rFonts w:ascii="Times New Roman" w:hAnsi="Times New Roman" w:cs="Times New Roman"/>
          <w:color w:val="000000"/>
        </w:rPr>
        <w:t xml:space="preserve"> need to</w:t>
      </w:r>
      <w:r w:rsidR="00B85CE8">
        <w:rPr>
          <w:rFonts w:ascii="Times New Roman" w:hAnsi="Times New Roman" w:cs="Times New Roman"/>
          <w:color w:val="000000"/>
        </w:rPr>
        <w:t xml:space="preserve"> be intensified. </w:t>
      </w:r>
      <w:r w:rsidR="000A5314">
        <w:rPr>
          <w:rFonts w:ascii="Times New Roman" w:hAnsi="Times New Roman" w:cs="Times New Roman"/>
          <w:color w:val="000000"/>
        </w:rPr>
        <w:t xml:space="preserve">AUTO and TECH-1 are illustrative case example of the potential financial performance benefits. </w:t>
      </w:r>
      <w:r w:rsidR="00B85CE8">
        <w:rPr>
          <w:rFonts w:ascii="Times New Roman" w:hAnsi="Times New Roman" w:cs="Times New Roman"/>
          <w:color w:val="000000"/>
        </w:rPr>
        <w:t>In this case study, TECH-2, LOG, and EQUIP appear out of balance</w:t>
      </w:r>
      <w:r w:rsidR="00615233" w:rsidRPr="0068584C">
        <w:rPr>
          <w:rFonts w:ascii="Times New Roman" w:hAnsi="Times New Roman" w:cs="Times New Roman"/>
          <w:color w:val="000000"/>
        </w:rPr>
        <w:t xml:space="preserve"> in their approach with more emphasis placed on the structuring and bundling sub-processes.</w:t>
      </w:r>
      <w:r w:rsidR="000A5314" w:rsidRPr="000A5314">
        <w:rPr>
          <w:rFonts w:ascii="Times New Roman" w:hAnsi="Times New Roman" w:cs="Times New Roman"/>
          <w:color w:val="000000"/>
        </w:rPr>
        <w:t xml:space="preserve"> </w:t>
      </w:r>
      <w:r w:rsidR="000A5314">
        <w:rPr>
          <w:rFonts w:ascii="Times New Roman" w:hAnsi="Times New Roman" w:cs="Times New Roman"/>
          <w:color w:val="000000"/>
        </w:rPr>
        <w:t>Hence, those</w:t>
      </w:r>
      <w:r w:rsidR="000A5314" w:rsidRPr="0093484B">
        <w:rPr>
          <w:rFonts w:ascii="Times New Roman" w:hAnsi="Times New Roman" w:cs="Times New Roman"/>
          <w:color w:val="000000"/>
        </w:rPr>
        <w:t xml:space="preserve"> companies </w:t>
      </w:r>
      <w:r w:rsidR="000A5314">
        <w:rPr>
          <w:rFonts w:ascii="Times New Roman" w:hAnsi="Times New Roman" w:cs="Times New Roman"/>
          <w:color w:val="000000"/>
        </w:rPr>
        <w:t>might benefit from</w:t>
      </w:r>
      <w:r w:rsidR="000A5314" w:rsidRPr="0093484B">
        <w:rPr>
          <w:rFonts w:ascii="Times New Roman" w:hAnsi="Times New Roman" w:cs="Times New Roman"/>
          <w:color w:val="000000"/>
        </w:rPr>
        <w:t xml:space="preserve"> </w:t>
      </w:r>
      <w:r w:rsidR="000A5314">
        <w:rPr>
          <w:rFonts w:ascii="Times New Roman" w:hAnsi="Times New Roman" w:cs="Times New Roman"/>
          <w:color w:val="000000"/>
        </w:rPr>
        <w:t>their leveraging practices, the</w:t>
      </w:r>
      <w:r w:rsidR="000A5314" w:rsidRPr="0093484B">
        <w:rPr>
          <w:rFonts w:ascii="Times New Roman" w:hAnsi="Times New Roman" w:cs="Times New Roman"/>
          <w:color w:val="000000"/>
        </w:rPr>
        <w:t xml:space="preserve"> third category of SCRO.</w:t>
      </w:r>
    </w:p>
    <w:p w14:paraId="752F2DD2" w14:textId="77777777" w:rsidR="00AA3EC3" w:rsidRPr="0068584C" w:rsidRDefault="00AA3EC3" w:rsidP="0035460B">
      <w:pPr>
        <w:widowControl w:val="0"/>
        <w:autoSpaceDE w:val="0"/>
        <w:autoSpaceDN w:val="0"/>
        <w:adjustRightInd w:val="0"/>
        <w:spacing w:line="480" w:lineRule="auto"/>
        <w:jc w:val="both"/>
        <w:rPr>
          <w:rFonts w:ascii="Times New Roman" w:hAnsi="Times New Roman" w:cs="Times New Roman"/>
          <w:color w:val="000000"/>
        </w:rPr>
      </w:pPr>
    </w:p>
    <w:p w14:paraId="6D3EB1F7" w14:textId="423F5ABF" w:rsidR="00940FA2" w:rsidRPr="0068584C" w:rsidRDefault="00940FA2" w:rsidP="0035460B">
      <w:pPr>
        <w:widowControl w:val="0"/>
        <w:autoSpaceDE w:val="0"/>
        <w:autoSpaceDN w:val="0"/>
        <w:adjustRightInd w:val="0"/>
        <w:spacing w:line="480" w:lineRule="auto"/>
        <w:jc w:val="both"/>
        <w:rPr>
          <w:rFonts w:ascii="Times New Roman" w:hAnsi="Times New Roman" w:cs="Times New Roman"/>
          <w:color w:val="000000"/>
        </w:rPr>
      </w:pPr>
      <w:r w:rsidRPr="0068584C">
        <w:rPr>
          <w:rFonts w:ascii="Times New Roman" w:hAnsi="Times New Roman" w:cs="Times New Roman"/>
          <w:noProof/>
          <w:color w:val="000000"/>
        </w:rPr>
        <w:drawing>
          <wp:inline distT="0" distB="0" distL="0" distR="0" wp14:anchorId="2E42D797" wp14:editId="5157C7E3">
            <wp:extent cx="3543300" cy="350226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43300" cy="3502260"/>
                    </a:xfrm>
                    <a:prstGeom prst="rect">
                      <a:avLst/>
                    </a:prstGeom>
                    <a:noFill/>
                    <a:ln>
                      <a:noFill/>
                    </a:ln>
                  </pic:spPr>
                </pic:pic>
              </a:graphicData>
            </a:graphic>
          </wp:inline>
        </w:drawing>
      </w:r>
    </w:p>
    <w:p w14:paraId="67DDF207" w14:textId="0A0984AD" w:rsidR="00CB6AB6" w:rsidRPr="00600162" w:rsidRDefault="00600162" w:rsidP="00600162">
      <w:pPr>
        <w:pStyle w:val="Caption"/>
        <w:keepNext/>
        <w:jc w:val="both"/>
      </w:pPr>
      <w:bookmarkStart w:id="104" w:name="_Ref357388612"/>
      <w:bookmarkStart w:id="105" w:name="_Toc358326880"/>
      <w:r>
        <w:t xml:space="preserve">Figure </w:t>
      </w:r>
      <w:fldSimple w:instr=" SEQ Figure \* ARABIC ">
        <w:r w:rsidR="00C2793E">
          <w:rPr>
            <w:noProof/>
          </w:rPr>
          <w:t>6</w:t>
        </w:r>
      </w:fldSimple>
      <w:bookmarkEnd w:id="104"/>
      <w:r>
        <w:t xml:space="preserve"> - </w:t>
      </w:r>
      <w:r w:rsidR="002B5A8D" w:rsidRPr="0068584C">
        <w:rPr>
          <w:rFonts w:cs="Times New Roman"/>
          <w:color w:val="000000"/>
        </w:rPr>
        <w:t>Leveraging vs. Innovation Culture</w:t>
      </w:r>
      <w:bookmarkEnd w:id="105"/>
    </w:p>
    <w:p w14:paraId="216E1675" w14:textId="77777777" w:rsidR="00691335" w:rsidRDefault="00691335" w:rsidP="0035460B">
      <w:pPr>
        <w:widowControl w:val="0"/>
        <w:autoSpaceDE w:val="0"/>
        <w:autoSpaceDN w:val="0"/>
        <w:adjustRightInd w:val="0"/>
        <w:spacing w:line="480" w:lineRule="auto"/>
        <w:jc w:val="both"/>
        <w:rPr>
          <w:rFonts w:ascii="Times New Roman" w:hAnsi="Times New Roman" w:cs="Times New Roman"/>
          <w:color w:val="000000"/>
        </w:rPr>
      </w:pPr>
    </w:p>
    <w:p w14:paraId="1760485E" w14:textId="08D0FCC8" w:rsidR="00691335" w:rsidRPr="00D31388" w:rsidRDefault="00691335" w:rsidP="0035460B">
      <w:pPr>
        <w:widowControl w:val="0"/>
        <w:autoSpaceDE w:val="0"/>
        <w:autoSpaceDN w:val="0"/>
        <w:adjustRightInd w:val="0"/>
        <w:spacing w:line="480" w:lineRule="auto"/>
        <w:jc w:val="both"/>
        <w:rPr>
          <w:rFonts w:ascii="Times New Roman" w:hAnsi="Times New Roman" w:cs="Times New Roman"/>
          <w:i/>
          <w:color w:val="000000" w:themeColor="text1"/>
          <w:u w:val="single"/>
        </w:rPr>
      </w:pPr>
      <w:r w:rsidRPr="00D31388">
        <w:rPr>
          <w:rFonts w:ascii="Times New Roman" w:hAnsi="Times New Roman" w:cs="Times New Roman"/>
          <w:i/>
          <w:color w:val="000000" w:themeColor="text1"/>
          <w:u w:val="single"/>
        </w:rPr>
        <w:t>Fine</w:t>
      </w:r>
      <w:r w:rsidR="002C7E7C" w:rsidRPr="00D31388">
        <w:rPr>
          <w:rFonts w:ascii="Times New Roman" w:hAnsi="Times New Roman" w:cs="Times New Roman"/>
          <w:i/>
          <w:color w:val="000000" w:themeColor="text1"/>
          <w:u w:val="single"/>
        </w:rPr>
        <w:t>-</w:t>
      </w:r>
      <w:r w:rsidRPr="00D31388">
        <w:rPr>
          <w:rFonts w:ascii="Times New Roman" w:hAnsi="Times New Roman" w:cs="Times New Roman"/>
          <w:i/>
          <w:color w:val="000000" w:themeColor="text1"/>
          <w:u w:val="single"/>
        </w:rPr>
        <w:t>tune the detailed SCRO practices</w:t>
      </w:r>
    </w:p>
    <w:p w14:paraId="434C5DD6" w14:textId="77D0C2DD" w:rsidR="005D1A3B" w:rsidRDefault="000D5CF1" w:rsidP="0035460B">
      <w:pPr>
        <w:widowControl w:val="0"/>
        <w:autoSpaceDE w:val="0"/>
        <w:autoSpaceDN w:val="0"/>
        <w:adjustRightInd w:val="0"/>
        <w:spacing w:line="480" w:lineRule="auto"/>
        <w:jc w:val="both"/>
        <w:rPr>
          <w:rFonts w:ascii="Times New Roman" w:hAnsi="Times New Roman" w:cs="Times New Roman"/>
          <w:iCs/>
          <w:color w:val="000000"/>
        </w:rPr>
      </w:pPr>
      <w:r w:rsidRPr="000D5CF1">
        <w:rPr>
          <w:rFonts w:ascii="Times New Roman" w:hAnsi="Times New Roman" w:cs="Times New Roman"/>
          <w:iCs/>
          <w:color w:val="000000"/>
        </w:rPr>
        <w:lastRenderedPageBreak/>
        <w:t xml:space="preserve">A third managerial implication relates to the </w:t>
      </w:r>
      <w:r w:rsidR="009325E7">
        <w:rPr>
          <w:rFonts w:ascii="Times New Roman" w:hAnsi="Times New Roman" w:cs="Times New Roman"/>
          <w:iCs/>
          <w:color w:val="000000"/>
        </w:rPr>
        <w:t xml:space="preserve">descriptions of </w:t>
      </w:r>
      <w:r w:rsidRPr="000D5CF1">
        <w:rPr>
          <w:rFonts w:ascii="Times New Roman" w:hAnsi="Times New Roman" w:cs="Times New Roman"/>
          <w:iCs/>
          <w:color w:val="000000"/>
        </w:rPr>
        <w:t>concrete SCRO practices</w:t>
      </w:r>
      <w:r w:rsidR="009325E7">
        <w:rPr>
          <w:rFonts w:ascii="Times New Roman" w:hAnsi="Times New Roman" w:cs="Times New Roman"/>
          <w:iCs/>
          <w:color w:val="000000"/>
        </w:rPr>
        <w:t xml:space="preserve"> that emerged from the interviews with supply chain managers</w:t>
      </w:r>
      <w:r w:rsidRPr="000D5CF1">
        <w:rPr>
          <w:rFonts w:ascii="Times New Roman" w:hAnsi="Times New Roman" w:cs="Times New Roman"/>
          <w:iCs/>
          <w:color w:val="000000"/>
        </w:rPr>
        <w:t>. In the previous se</w:t>
      </w:r>
      <w:r w:rsidR="009325E7">
        <w:rPr>
          <w:rFonts w:ascii="Times New Roman" w:hAnsi="Times New Roman" w:cs="Times New Roman"/>
          <w:iCs/>
          <w:color w:val="000000"/>
        </w:rPr>
        <w:t>ction, the main SCRO practices we</w:t>
      </w:r>
      <w:r w:rsidRPr="000D5CF1">
        <w:rPr>
          <w:rFonts w:ascii="Times New Roman" w:hAnsi="Times New Roman" w:cs="Times New Roman"/>
          <w:iCs/>
          <w:color w:val="000000"/>
        </w:rPr>
        <w:t xml:space="preserve">re illustrated in detail. The tables included in the </w:t>
      </w:r>
      <w:r w:rsidR="009325E7">
        <w:rPr>
          <w:rFonts w:ascii="Times New Roman" w:hAnsi="Times New Roman" w:cs="Times New Roman"/>
          <w:iCs/>
          <w:color w:val="000000"/>
        </w:rPr>
        <w:t>case analysis</w:t>
      </w:r>
      <w:r w:rsidRPr="000D5CF1">
        <w:rPr>
          <w:rFonts w:ascii="Times New Roman" w:hAnsi="Times New Roman" w:cs="Times New Roman"/>
          <w:iCs/>
          <w:color w:val="000000"/>
        </w:rPr>
        <w:t xml:space="preserve"> section</w:t>
      </w:r>
      <w:r w:rsidR="009325E7">
        <w:rPr>
          <w:rFonts w:ascii="Times New Roman" w:hAnsi="Times New Roman" w:cs="Times New Roman"/>
          <w:iCs/>
          <w:color w:val="000000"/>
        </w:rPr>
        <w:t xml:space="preserve"> (e.g., </w:t>
      </w:r>
      <w:r w:rsidR="0030492F">
        <w:rPr>
          <w:rFonts w:ascii="Times New Roman" w:hAnsi="Times New Roman" w:cs="Times New Roman"/>
          <w:iCs/>
          <w:color w:val="000000"/>
        </w:rPr>
        <w:fldChar w:fldCharType="begin"/>
      </w:r>
      <w:r w:rsidR="0030492F">
        <w:rPr>
          <w:rFonts w:ascii="Times New Roman" w:hAnsi="Times New Roman" w:cs="Times New Roman"/>
          <w:iCs/>
          <w:color w:val="000000"/>
        </w:rPr>
        <w:instrText xml:space="preserve"> REF _Ref357387303 \h </w:instrText>
      </w:r>
      <w:r w:rsidR="0030492F">
        <w:rPr>
          <w:rFonts w:ascii="Times New Roman" w:hAnsi="Times New Roman" w:cs="Times New Roman"/>
          <w:iCs/>
          <w:color w:val="000000"/>
        </w:rPr>
      </w:r>
      <w:r w:rsidR="0030492F">
        <w:rPr>
          <w:rFonts w:ascii="Times New Roman" w:hAnsi="Times New Roman" w:cs="Times New Roman"/>
          <w:iCs/>
          <w:color w:val="000000"/>
        </w:rPr>
        <w:fldChar w:fldCharType="separate"/>
      </w:r>
      <w:r w:rsidR="00C2793E">
        <w:t xml:space="preserve">Table </w:t>
      </w:r>
      <w:r w:rsidR="00C2793E">
        <w:rPr>
          <w:noProof/>
        </w:rPr>
        <w:t>10</w:t>
      </w:r>
      <w:r w:rsidR="0030492F">
        <w:rPr>
          <w:rFonts w:ascii="Times New Roman" w:hAnsi="Times New Roman" w:cs="Times New Roman"/>
          <w:iCs/>
          <w:color w:val="000000"/>
        </w:rPr>
        <w:fldChar w:fldCharType="end"/>
      </w:r>
      <w:r w:rsidR="0030492F">
        <w:rPr>
          <w:rFonts w:ascii="Times New Roman" w:hAnsi="Times New Roman" w:cs="Times New Roman"/>
          <w:iCs/>
          <w:color w:val="000000"/>
        </w:rPr>
        <w:t xml:space="preserve">, </w:t>
      </w:r>
      <w:r w:rsidR="0030492F">
        <w:rPr>
          <w:rFonts w:ascii="Times New Roman" w:hAnsi="Times New Roman" w:cs="Times New Roman"/>
          <w:iCs/>
          <w:color w:val="000000"/>
        </w:rPr>
        <w:fldChar w:fldCharType="begin"/>
      </w:r>
      <w:r w:rsidR="0030492F">
        <w:rPr>
          <w:rFonts w:ascii="Times New Roman" w:hAnsi="Times New Roman" w:cs="Times New Roman"/>
          <w:iCs/>
          <w:color w:val="000000"/>
        </w:rPr>
        <w:instrText xml:space="preserve"> REF _Ref357387445 \h </w:instrText>
      </w:r>
      <w:r w:rsidR="0030492F">
        <w:rPr>
          <w:rFonts w:ascii="Times New Roman" w:hAnsi="Times New Roman" w:cs="Times New Roman"/>
          <w:iCs/>
          <w:color w:val="000000"/>
        </w:rPr>
      </w:r>
      <w:r w:rsidR="0030492F">
        <w:rPr>
          <w:rFonts w:ascii="Times New Roman" w:hAnsi="Times New Roman" w:cs="Times New Roman"/>
          <w:iCs/>
          <w:color w:val="000000"/>
        </w:rPr>
        <w:fldChar w:fldCharType="separate"/>
      </w:r>
      <w:r w:rsidR="00C2793E">
        <w:t xml:space="preserve">Table </w:t>
      </w:r>
      <w:r w:rsidR="00C2793E">
        <w:rPr>
          <w:noProof/>
        </w:rPr>
        <w:t>12</w:t>
      </w:r>
      <w:r w:rsidR="0030492F">
        <w:rPr>
          <w:rFonts w:ascii="Times New Roman" w:hAnsi="Times New Roman" w:cs="Times New Roman"/>
          <w:iCs/>
          <w:color w:val="000000"/>
        </w:rPr>
        <w:fldChar w:fldCharType="end"/>
      </w:r>
      <w:r w:rsidR="0030492F">
        <w:rPr>
          <w:rFonts w:ascii="Times New Roman" w:hAnsi="Times New Roman" w:cs="Times New Roman"/>
          <w:iCs/>
          <w:color w:val="000000"/>
        </w:rPr>
        <w:t xml:space="preserve">, or </w:t>
      </w:r>
      <w:r w:rsidR="0030492F">
        <w:rPr>
          <w:rFonts w:ascii="Times New Roman" w:hAnsi="Times New Roman" w:cs="Times New Roman"/>
          <w:iCs/>
          <w:color w:val="000000"/>
        </w:rPr>
        <w:fldChar w:fldCharType="begin"/>
      </w:r>
      <w:r w:rsidR="0030492F">
        <w:rPr>
          <w:rFonts w:ascii="Times New Roman" w:hAnsi="Times New Roman" w:cs="Times New Roman"/>
          <w:iCs/>
          <w:color w:val="000000"/>
        </w:rPr>
        <w:instrText xml:space="preserve"> REF _Ref357387561 \h </w:instrText>
      </w:r>
      <w:r w:rsidR="0030492F">
        <w:rPr>
          <w:rFonts w:ascii="Times New Roman" w:hAnsi="Times New Roman" w:cs="Times New Roman"/>
          <w:iCs/>
          <w:color w:val="000000"/>
        </w:rPr>
      </w:r>
      <w:r w:rsidR="0030492F">
        <w:rPr>
          <w:rFonts w:ascii="Times New Roman" w:hAnsi="Times New Roman" w:cs="Times New Roman"/>
          <w:iCs/>
          <w:color w:val="000000"/>
        </w:rPr>
        <w:fldChar w:fldCharType="separate"/>
      </w:r>
      <w:r w:rsidR="00C2793E">
        <w:t xml:space="preserve">Table </w:t>
      </w:r>
      <w:r w:rsidR="00C2793E">
        <w:rPr>
          <w:noProof/>
        </w:rPr>
        <w:t>14</w:t>
      </w:r>
      <w:r w:rsidR="0030492F">
        <w:rPr>
          <w:rFonts w:ascii="Times New Roman" w:hAnsi="Times New Roman" w:cs="Times New Roman"/>
          <w:iCs/>
          <w:color w:val="000000"/>
        </w:rPr>
        <w:fldChar w:fldCharType="end"/>
      </w:r>
      <w:r w:rsidR="0030492F">
        <w:rPr>
          <w:rFonts w:ascii="Times New Roman" w:hAnsi="Times New Roman" w:cs="Times New Roman"/>
          <w:iCs/>
          <w:color w:val="000000"/>
        </w:rPr>
        <w:t xml:space="preserve">) </w:t>
      </w:r>
      <w:r w:rsidRPr="000D5CF1">
        <w:rPr>
          <w:rFonts w:ascii="Times New Roman" w:hAnsi="Times New Roman" w:cs="Times New Roman"/>
          <w:iCs/>
          <w:color w:val="000000"/>
        </w:rPr>
        <w:t>describe the main categories for structuring, bundling, and leveraging practices</w:t>
      </w:r>
      <w:r w:rsidR="009325E7">
        <w:rPr>
          <w:rFonts w:ascii="Times New Roman" w:hAnsi="Times New Roman" w:cs="Times New Roman"/>
          <w:iCs/>
          <w:color w:val="000000"/>
        </w:rPr>
        <w:t>, for example</w:t>
      </w:r>
      <w:r w:rsidRPr="000D5CF1">
        <w:rPr>
          <w:rFonts w:ascii="Times New Roman" w:hAnsi="Times New Roman" w:cs="Times New Roman"/>
          <w:iCs/>
          <w:color w:val="000000"/>
        </w:rPr>
        <w:t xml:space="preserve">. Thereby, the tables along with the anecdotal case evidence could serve as helpful guidance for practitioners who want to enhance their understanding of the supply chain resource orchestration phenomenon. Managers can apply best practice learning and fine-tune their SCRO-related procedures in accordance to their strategic objectives and market environment. </w:t>
      </w:r>
    </w:p>
    <w:p w14:paraId="58C20BBF" w14:textId="1634DAD6" w:rsidR="000D5CF1" w:rsidRPr="000D5CF1" w:rsidRDefault="005D1A3B" w:rsidP="0035460B">
      <w:pPr>
        <w:widowControl w:val="0"/>
        <w:autoSpaceDE w:val="0"/>
        <w:autoSpaceDN w:val="0"/>
        <w:adjustRightInd w:val="0"/>
        <w:spacing w:line="480" w:lineRule="auto"/>
        <w:ind w:firstLine="720"/>
        <w:jc w:val="both"/>
        <w:rPr>
          <w:rFonts w:ascii="Times New Roman" w:hAnsi="Times New Roman" w:cs="Times New Roman"/>
          <w:iCs/>
          <w:color w:val="000000"/>
        </w:rPr>
      </w:pPr>
      <w:r>
        <w:rPr>
          <w:rFonts w:ascii="Times New Roman" w:hAnsi="Times New Roman" w:cs="Times New Roman"/>
          <w:iCs/>
          <w:color w:val="000000"/>
        </w:rPr>
        <w:t>To summarize</w:t>
      </w:r>
      <w:r w:rsidR="002C7E7C">
        <w:rPr>
          <w:rFonts w:ascii="Times New Roman" w:hAnsi="Times New Roman" w:cs="Times New Roman"/>
          <w:iCs/>
          <w:color w:val="000000"/>
        </w:rPr>
        <w:t xml:space="preserve">, the case study revealed that successfully innovating organizations are well advised </w:t>
      </w:r>
      <w:r w:rsidR="002C7E7C" w:rsidRPr="002C7E7C">
        <w:rPr>
          <w:rFonts w:ascii="Times New Roman" w:hAnsi="Times New Roman" w:cs="Times New Roman"/>
          <w:iCs/>
          <w:color w:val="000000"/>
        </w:rPr>
        <w:t xml:space="preserve">to establish </w:t>
      </w:r>
      <w:r w:rsidR="002C7E7C">
        <w:rPr>
          <w:rFonts w:ascii="Times New Roman" w:hAnsi="Times New Roman" w:cs="Times New Roman"/>
          <w:iCs/>
          <w:color w:val="000000"/>
        </w:rPr>
        <w:t xml:space="preserve">and fine-tune their internal </w:t>
      </w:r>
      <w:r w:rsidR="002C7E7C" w:rsidRPr="002C7E7C">
        <w:rPr>
          <w:rFonts w:ascii="Times New Roman" w:hAnsi="Times New Roman" w:cs="Times New Roman"/>
          <w:iCs/>
          <w:color w:val="000000"/>
        </w:rPr>
        <w:t>SCRO processes</w:t>
      </w:r>
      <w:r w:rsidR="002C7E7C">
        <w:rPr>
          <w:rFonts w:ascii="Times New Roman" w:hAnsi="Times New Roman" w:cs="Times New Roman"/>
          <w:iCs/>
          <w:color w:val="000000"/>
        </w:rPr>
        <w:t>. In a competitive market environment, managers should monitor how</w:t>
      </w:r>
      <w:r w:rsidR="002C7E7C" w:rsidRPr="002C7E7C">
        <w:rPr>
          <w:rFonts w:ascii="Times New Roman" w:hAnsi="Times New Roman" w:cs="Times New Roman"/>
          <w:iCs/>
          <w:color w:val="000000"/>
        </w:rPr>
        <w:t xml:space="preserve"> effectively </w:t>
      </w:r>
      <w:r w:rsidR="002C7E7C">
        <w:rPr>
          <w:rFonts w:ascii="Times New Roman" w:hAnsi="Times New Roman" w:cs="Times New Roman"/>
          <w:iCs/>
          <w:color w:val="000000"/>
        </w:rPr>
        <w:t>their organization is managing</w:t>
      </w:r>
      <w:r w:rsidR="002C7E7C" w:rsidRPr="002C7E7C">
        <w:rPr>
          <w:rFonts w:ascii="Times New Roman" w:hAnsi="Times New Roman" w:cs="Times New Roman"/>
          <w:iCs/>
          <w:color w:val="000000"/>
        </w:rPr>
        <w:t xml:space="preserve"> the external resource inflow including its acquisition, integration, and exploitation processes. By establishing SCRO practices, organizations can extend their innovation processes and develop new competitive capabilities. Thereby, they can identify, acquire, and integrate external knowledge for the benefit of the organization. </w:t>
      </w:r>
      <w:r w:rsidR="00795D7C">
        <w:rPr>
          <w:rFonts w:ascii="Times New Roman" w:hAnsi="Times New Roman" w:cs="Times New Roman"/>
          <w:iCs/>
          <w:color w:val="000000"/>
        </w:rPr>
        <w:t>The</w:t>
      </w:r>
      <w:r w:rsidR="002C7E7C">
        <w:rPr>
          <w:rFonts w:ascii="Times New Roman" w:hAnsi="Times New Roman" w:cs="Times New Roman"/>
          <w:iCs/>
          <w:color w:val="000000"/>
        </w:rPr>
        <w:t xml:space="preserve"> theory elaboration as well as the illustrative case study analysis have</w:t>
      </w:r>
      <w:r w:rsidR="00795D7C">
        <w:rPr>
          <w:rFonts w:ascii="Times New Roman" w:hAnsi="Times New Roman" w:cs="Times New Roman"/>
          <w:iCs/>
          <w:color w:val="000000"/>
        </w:rPr>
        <w:t xml:space="preserve"> both</w:t>
      </w:r>
      <w:r w:rsidR="002C7E7C">
        <w:rPr>
          <w:rFonts w:ascii="Times New Roman" w:hAnsi="Times New Roman" w:cs="Times New Roman"/>
          <w:iCs/>
          <w:color w:val="000000"/>
        </w:rPr>
        <w:t xml:space="preserve"> provided detailed information to guide managers in fine-tuning the SCRO practices internally.</w:t>
      </w:r>
    </w:p>
    <w:p w14:paraId="221432AD" w14:textId="372AD8AA" w:rsidR="00962F7E" w:rsidRPr="0068584C" w:rsidRDefault="00962F7E" w:rsidP="0035460B">
      <w:pPr>
        <w:spacing w:line="480" w:lineRule="auto"/>
        <w:rPr>
          <w:rFonts w:ascii="Times New Roman" w:hAnsi="Times New Roman" w:cs="Times New Roman"/>
          <w:color w:val="000000" w:themeColor="text1"/>
        </w:rPr>
      </w:pPr>
    </w:p>
    <w:p w14:paraId="30982EAB" w14:textId="28E4BE09" w:rsidR="008D4BD8" w:rsidRPr="00BC1FF3" w:rsidRDefault="008D4BD8" w:rsidP="00BC1FF3">
      <w:pPr>
        <w:pStyle w:val="Heading3new"/>
      </w:pPr>
      <w:r w:rsidRPr="00BC1FF3">
        <w:t xml:space="preserve">Theoretical </w:t>
      </w:r>
      <w:r w:rsidR="004C1C52" w:rsidRPr="00BC1FF3">
        <w:t>C</w:t>
      </w:r>
      <w:r w:rsidRPr="00BC1FF3">
        <w:t>ontribution</w:t>
      </w:r>
    </w:p>
    <w:p w14:paraId="62780176" w14:textId="520119DE" w:rsidR="002412EC" w:rsidRPr="0068584C" w:rsidRDefault="002412EC" w:rsidP="0035460B">
      <w:pPr>
        <w:spacing w:line="480" w:lineRule="auto"/>
        <w:jc w:val="both"/>
        <w:rPr>
          <w:rFonts w:ascii="Times New Roman" w:hAnsi="Times New Roman" w:cs="Times New Roman"/>
          <w:color w:val="000000" w:themeColor="text1"/>
        </w:rPr>
      </w:pPr>
      <w:r w:rsidRPr="0068584C">
        <w:rPr>
          <w:rFonts w:ascii="Times New Roman" w:hAnsi="Times New Roman" w:cs="Times New Roman"/>
          <w:color w:val="000000" w:themeColor="text1"/>
        </w:rPr>
        <w:t>This research study has responded to calls for research to explore and reveal the details of resource orchestration processes</w:t>
      </w:r>
      <w:r w:rsidR="00356873">
        <w:rPr>
          <w:rFonts w:ascii="Times New Roman" w:hAnsi="Times New Roman" w:cs="Times New Roman"/>
          <w:color w:val="000000" w:themeColor="text1"/>
        </w:rPr>
        <w:t xml:space="preserve"> </w:t>
      </w:r>
      <w:r w:rsidR="00356873">
        <w:rPr>
          <w:rFonts w:ascii="Times New Roman" w:hAnsi="Times New Roman" w:cs="Times New Roman"/>
          <w:color w:val="000000" w:themeColor="text1"/>
        </w:rPr>
        <w:fldChar w:fldCharType="begin" w:fldLock="1"/>
      </w:r>
      <w:r w:rsidR="000E6ECE">
        <w:rPr>
          <w:rFonts w:ascii="Times New Roman" w:hAnsi="Times New Roman" w:cs="Times New Roman"/>
          <w:color w:val="000000" w:themeColor="text1"/>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00356873">
        <w:rPr>
          <w:rFonts w:ascii="Times New Roman" w:hAnsi="Times New Roman" w:cs="Times New Roman"/>
          <w:color w:val="000000" w:themeColor="text1"/>
        </w:rPr>
        <w:fldChar w:fldCharType="separate"/>
      </w:r>
      <w:r w:rsidR="000E6ECE" w:rsidRPr="000E6ECE">
        <w:rPr>
          <w:rFonts w:ascii="Times New Roman" w:hAnsi="Times New Roman" w:cs="Times New Roman"/>
          <w:noProof/>
          <w:color w:val="000000" w:themeColor="text1"/>
        </w:rPr>
        <w:t>(Sirmon et al., 2011)</w:t>
      </w:r>
      <w:r w:rsidR="00356873">
        <w:rPr>
          <w:rFonts w:ascii="Times New Roman" w:hAnsi="Times New Roman" w:cs="Times New Roman"/>
          <w:color w:val="000000" w:themeColor="text1"/>
        </w:rPr>
        <w:fldChar w:fldCharType="end"/>
      </w:r>
      <w:r w:rsidRPr="0068584C">
        <w:rPr>
          <w:rFonts w:ascii="Times New Roman" w:hAnsi="Times New Roman" w:cs="Times New Roman"/>
          <w:color w:val="000000" w:themeColor="text1"/>
        </w:rPr>
        <w:t xml:space="preserve">. By enhancing the understanding of the managerial practices and micro-processes of supply chain resource orchestration, </w:t>
      </w:r>
      <w:r w:rsidR="00A10C8C" w:rsidRPr="0068584C">
        <w:rPr>
          <w:rFonts w:ascii="Times New Roman" w:hAnsi="Times New Roman" w:cs="Times New Roman"/>
          <w:color w:val="000000" w:themeColor="text1"/>
        </w:rPr>
        <w:t xml:space="preserve">the SCRO framework extends </w:t>
      </w:r>
      <w:r w:rsidRPr="0068584C">
        <w:rPr>
          <w:rFonts w:ascii="Times New Roman" w:hAnsi="Times New Roman" w:cs="Times New Roman"/>
          <w:color w:val="000000" w:themeColor="text1"/>
        </w:rPr>
        <w:t xml:space="preserve">previous research and </w:t>
      </w:r>
      <w:r w:rsidR="00A10C8C" w:rsidRPr="0068584C">
        <w:rPr>
          <w:rFonts w:ascii="Times New Roman" w:hAnsi="Times New Roman" w:cs="Times New Roman"/>
          <w:color w:val="000000" w:themeColor="text1"/>
        </w:rPr>
        <w:t xml:space="preserve">refines </w:t>
      </w:r>
      <w:r w:rsidR="00636D10" w:rsidRPr="0068584C">
        <w:rPr>
          <w:rFonts w:ascii="Times New Roman" w:hAnsi="Times New Roman" w:cs="Times New Roman"/>
          <w:color w:val="000000" w:themeColor="text1"/>
        </w:rPr>
        <w:t>the theoretical domain</w:t>
      </w:r>
      <w:r w:rsidRPr="0068584C">
        <w:rPr>
          <w:rFonts w:ascii="Times New Roman" w:hAnsi="Times New Roman" w:cs="Times New Roman"/>
          <w:color w:val="000000" w:themeColor="text1"/>
        </w:rPr>
        <w:t xml:space="preserve"> of ROT. </w:t>
      </w:r>
      <w:r w:rsidR="003C4BF0">
        <w:rPr>
          <w:rFonts w:ascii="Times New Roman" w:hAnsi="Times New Roman" w:cs="Times New Roman"/>
          <w:color w:val="000000" w:themeColor="text1"/>
        </w:rPr>
        <w:lastRenderedPageBreak/>
        <w:t>Overall</w:t>
      </w:r>
      <w:r w:rsidR="00A10C8C" w:rsidRPr="0068584C">
        <w:rPr>
          <w:rFonts w:ascii="Times New Roman" w:hAnsi="Times New Roman" w:cs="Times New Roman"/>
          <w:color w:val="000000" w:themeColor="text1"/>
        </w:rPr>
        <w:t>, the study h</w:t>
      </w:r>
      <w:r w:rsidRPr="0068584C">
        <w:rPr>
          <w:rFonts w:ascii="Times New Roman" w:hAnsi="Times New Roman" w:cs="Times New Roman"/>
          <w:color w:val="000000" w:themeColor="text1"/>
        </w:rPr>
        <w:t>as</w:t>
      </w:r>
      <w:r w:rsidR="00A10C8C" w:rsidRPr="0068584C">
        <w:rPr>
          <w:rFonts w:ascii="Times New Roman" w:hAnsi="Times New Roman" w:cs="Times New Roman"/>
          <w:color w:val="000000" w:themeColor="text1"/>
        </w:rPr>
        <w:t xml:space="preserve"> added to our understanding of</w:t>
      </w:r>
      <w:r w:rsidRPr="0068584C">
        <w:rPr>
          <w:rFonts w:ascii="Times New Roman" w:hAnsi="Times New Roman" w:cs="Times New Roman"/>
          <w:color w:val="000000" w:themeColor="text1"/>
        </w:rPr>
        <w:t xml:space="preserve"> the orchestration of external resources</w:t>
      </w:r>
      <w:r w:rsidR="003C4BF0">
        <w:rPr>
          <w:rFonts w:ascii="Times New Roman" w:hAnsi="Times New Roman" w:cs="Times New Roman"/>
          <w:color w:val="000000" w:themeColor="text1"/>
        </w:rPr>
        <w:t xml:space="preserve"> and introduced a new conceptualization of SCRO</w:t>
      </w:r>
      <w:r w:rsidRPr="0068584C">
        <w:rPr>
          <w:rFonts w:ascii="Times New Roman" w:hAnsi="Times New Roman" w:cs="Times New Roman"/>
          <w:color w:val="000000" w:themeColor="text1"/>
        </w:rPr>
        <w:t xml:space="preserve">. </w:t>
      </w:r>
      <w:r w:rsidR="009C1FE5">
        <w:rPr>
          <w:rFonts w:ascii="Times New Roman" w:hAnsi="Times New Roman" w:cs="Times New Roman"/>
          <w:color w:val="000000" w:themeColor="text1"/>
        </w:rPr>
        <w:t>The</w:t>
      </w:r>
      <w:r w:rsidR="00E773B4">
        <w:rPr>
          <w:rFonts w:ascii="Times New Roman" w:hAnsi="Times New Roman" w:cs="Times New Roman"/>
          <w:color w:val="000000" w:themeColor="text1"/>
        </w:rPr>
        <w:t xml:space="preserve"> </w:t>
      </w:r>
      <w:r w:rsidR="009C1FE5">
        <w:rPr>
          <w:rFonts w:ascii="Times New Roman" w:hAnsi="Times New Roman" w:cs="Times New Roman"/>
          <w:color w:val="000000" w:themeColor="text1"/>
        </w:rPr>
        <w:t xml:space="preserve">concrete </w:t>
      </w:r>
      <w:r w:rsidR="00E773B4">
        <w:rPr>
          <w:rFonts w:ascii="Times New Roman" w:hAnsi="Times New Roman" w:cs="Times New Roman"/>
          <w:color w:val="000000" w:themeColor="text1"/>
        </w:rPr>
        <w:t xml:space="preserve">SCRO practices of structuring, bundling, and leveraging were described in detail based </w:t>
      </w:r>
      <w:r w:rsidR="009C1FE5">
        <w:rPr>
          <w:rFonts w:ascii="Times New Roman" w:hAnsi="Times New Roman" w:cs="Times New Roman"/>
          <w:color w:val="000000" w:themeColor="text1"/>
        </w:rPr>
        <w:t>both on theory</w:t>
      </w:r>
      <w:r w:rsidR="00E773B4">
        <w:rPr>
          <w:rFonts w:ascii="Times New Roman" w:hAnsi="Times New Roman" w:cs="Times New Roman"/>
          <w:color w:val="000000" w:themeColor="text1"/>
        </w:rPr>
        <w:t xml:space="preserve"> and </w:t>
      </w:r>
      <w:r w:rsidR="009C1FE5">
        <w:rPr>
          <w:rFonts w:ascii="Times New Roman" w:hAnsi="Times New Roman" w:cs="Times New Roman"/>
          <w:color w:val="000000" w:themeColor="text1"/>
        </w:rPr>
        <w:t>empirical data.</w:t>
      </w:r>
      <w:r w:rsidR="00E773B4">
        <w:rPr>
          <w:rFonts w:ascii="Times New Roman" w:hAnsi="Times New Roman" w:cs="Times New Roman"/>
          <w:color w:val="000000" w:themeColor="text1"/>
        </w:rPr>
        <w:t xml:space="preserve"> </w:t>
      </w:r>
      <w:r w:rsidRPr="0068584C">
        <w:rPr>
          <w:rFonts w:ascii="Times New Roman" w:hAnsi="Times New Roman" w:cs="Times New Roman"/>
          <w:color w:val="000000" w:themeColor="text1"/>
        </w:rPr>
        <w:t>A new perspective related to cross-organizational effects on innovation performance was contributed.</w:t>
      </w:r>
    </w:p>
    <w:p w14:paraId="3CB0963E" w14:textId="13BCBDF9" w:rsidR="003620E5" w:rsidRPr="0068584C" w:rsidRDefault="00434F9A" w:rsidP="0035460B">
      <w:pPr>
        <w:spacing w:line="480" w:lineRule="auto"/>
        <w:jc w:val="both"/>
        <w:rPr>
          <w:rFonts w:ascii="Times New Roman" w:hAnsi="Times New Roman" w:cs="Times New Roman"/>
        </w:rPr>
      </w:pPr>
      <w:r>
        <w:rPr>
          <w:rFonts w:ascii="Times New Roman" w:hAnsi="Times New Roman" w:cs="Times New Roman"/>
          <w:color w:val="000000" w:themeColor="text1"/>
        </w:rPr>
        <w:tab/>
      </w:r>
      <w:r w:rsidR="00B32588">
        <w:rPr>
          <w:rFonts w:ascii="Times New Roman" w:hAnsi="Times New Roman" w:cs="Times New Roman"/>
          <w:color w:val="000000" w:themeColor="text1"/>
        </w:rPr>
        <w:t>Following</w:t>
      </w:r>
      <w:r w:rsidR="00E433A0" w:rsidRPr="009757EC">
        <w:rPr>
          <w:rFonts w:ascii="Times New Roman" w:hAnsi="Times New Roman" w:cs="Times New Roman"/>
          <w:color w:val="000000" w:themeColor="text1"/>
        </w:rPr>
        <w:t xml:space="preserve"> the theory elaboration methodology</w:t>
      </w:r>
      <w:r w:rsidR="00895F97" w:rsidRPr="0068584C">
        <w:rPr>
          <w:rFonts w:ascii="Times New Roman" w:hAnsi="Times New Roman" w:cs="Times New Roman"/>
          <w:color w:val="000000" w:themeColor="text1"/>
        </w:rPr>
        <w:t>, this research</w:t>
      </w:r>
      <w:r w:rsidR="00966279" w:rsidRPr="0068584C">
        <w:rPr>
          <w:rFonts w:ascii="Times New Roman" w:hAnsi="Times New Roman" w:cs="Times New Roman"/>
          <w:color w:val="000000" w:themeColor="text1"/>
        </w:rPr>
        <w:t xml:space="preserve"> broadens the </w:t>
      </w:r>
      <w:r w:rsidR="00024CE4" w:rsidRPr="0068584C">
        <w:rPr>
          <w:rFonts w:ascii="Times New Roman" w:hAnsi="Times New Roman" w:cs="Times New Roman"/>
          <w:color w:val="000000" w:themeColor="text1"/>
        </w:rPr>
        <w:t xml:space="preserve">breadths and depth of the current resource orchestration theory by extending it within the supply chain and open innovation context. </w:t>
      </w:r>
      <w:r w:rsidR="00E433A0">
        <w:rPr>
          <w:rFonts w:ascii="Times New Roman" w:hAnsi="Times New Roman" w:cs="Times New Roman"/>
          <w:color w:val="000000" w:themeColor="text1"/>
        </w:rPr>
        <w:t>T</w:t>
      </w:r>
      <w:r w:rsidR="00024CE4" w:rsidRPr="0068584C">
        <w:rPr>
          <w:rFonts w:ascii="Times New Roman" w:hAnsi="Times New Roman" w:cs="Times New Roman"/>
          <w:color w:val="000000" w:themeColor="text1"/>
        </w:rPr>
        <w:t xml:space="preserve">he SCRO framework better explains the critical interplay between managerial practices, strategic orientation, and organizational culture. </w:t>
      </w:r>
      <w:r w:rsidR="003620E5" w:rsidRPr="0068584C">
        <w:rPr>
          <w:rFonts w:ascii="Times New Roman" w:hAnsi="Times New Roman" w:cs="Times New Roman"/>
        </w:rPr>
        <w:t xml:space="preserve">This research serves as an initial step in conceptualizing the SCRO phenomenon and thereby addresses a noticeable gap in the literature. </w:t>
      </w:r>
      <w:r w:rsidR="00B40E7A" w:rsidRPr="0068584C">
        <w:rPr>
          <w:rFonts w:ascii="Times New Roman" w:hAnsi="Times New Roman" w:cs="Times New Roman"/>
        </w:rPr>
        <w:t>It also proposes</w:t>
      </w:r>
      <w:r w:rsidR="003620E5" w:rsidRPr="0068584C">
        <w:rPr>
          <w:rFonts w:ascii="Times New Roman" w:hAnsi="Times New Roman" w:cs="Times New Roman"/>
        </w:rPr>
        <w:t xml:space="preserve"> directions for future research to enhance the body of knowledge</w:t>
      </w:r>
      <w:r w:rsidR="00B40E7A" w:rsidRPr="0068584C">
        <w:rPr>
          <w:rFonts w:ascii="Times New Roman" w:hAnsi="Times New Roman" w:cs="Times New Roman"/>
        </w:rPr>
        <w:t xml:space="preserve"> and offers a</w:t>
      </w:r>
      <w:r w:rsidR="003620E5" w:rsidRPr="0068584C">
        <w:rPr>
          <w:rFonts w:ascii="Times New Roman" w:hAnsi="Times New Roman" w:cs="Times New Roman"/>
        </w:rPr>
        <w:t xml:space="preserve"> number of theoretical and managerial implications as contributions to both practice and academic research community. </w:t>
      </w:r>
      <w:r w:rsidR="00B00649" w:rsidRPr="00B00649">
        <w:rPr>
          <w:rFonts w:ascii="Times New Roman" w:hAnsi="Times New Roman" w:cs="Times New Roman"/>
        </w:rPr>
        <w:t>The data triangulation with empirical case study data has enriched the new SCRO framework and contributes as a theoretical contextualization of resource management theories</w:t>
      </w:r>
      <w:r w:rsidR="00656DD0">
        <w:rPr>
          <w:rFonts w:ascii="Times New Roman" w:hAnsi="Times New Roman" w:cs="Times New Roman"/>
        </w:rPr>
        <w:t xml:space="preserve"> </w:t>
      </w:r>
      <w:r w:rsidR="00656DD0">
        <w:rPr>
          <w:rFonts w:ascii="Times New Roman" w:hAnsi="Times New Roman" w:cs="Times New Roman"/>
        </w:rPr>
        <w:fldChar w:fldCharType="begin" w:fldLock="1"/>
      </w:r>
      <w:r w:rsidR="00656DD0">
        <w:rPr>
          <w:rFonts w:ascii="Times New Roman" w:hAnsi="Times New Roman" w:cs="Times New Roman"/>
        </w:rPr>
        <w:instrText>ADDIN CSL_CITATION { "citationItems" : [ { "id" : "ITEM-1", "itemData" : { "ISSN" : "00411612", "author" : [ { "dropping-particle" : "", "family" : "Craighead", "given" : "Christopher W", "non-dropping-particle" : "", "parse-names" : false, "suffix" : "" }, { "dropping-particle" : "", "family" : "Ketchen", "given" : "Jr David J", "non-dropping-particle" : "", "parse-names" : false, "suffix" : "" }, { "dropping-particle" : "", "family" : "Cheng", "given" : "Li", "non-dropping-particle" : "", "parse-names" : false, "suffix" : "" } ], "container-title" : "Transportation Journal", "id" : "ITEM-1", "issue" : "3", "issued" : { "date-parts" : [ [ "2016" ] ] }, "page" : "241-257", "title" : "\"Goldilocks\" Theorizing in Supply Chain Research: Balancing Scientific and Practical Utility via Middle- Range Theory", "type" : "article-journal", "volume" : "55" }, "uris" : [ "http://www.mendeley.com/documents/?uuid=e4e5f09d-e0b6-4ee5-8b98-37e45dd47f79" ] } ], "mendeley" : { "formattedCitation" : "(Craighead, Ketchen, &amp; Cheng, 2016)", "plainTextFormattedCitation" : "(Craighead, Ketchen, &amp; Cheng, 2016)" }, "properties" : { "noteIndex" : 0 }, "schema" : "https://github.com/citation-style-language/schema/raw/master/csl-citation.json" }</w:instrText>
      </w:r>
      <w:r w:rsidR="00656DD0">
        <w:rPr>
          <w:rFonts w:ascii="Times New Roman" w:hAnsi="Times New Roman" w:cs="Times New Roman"/>
        </w:rPr>
        <w:fldChar w:fldCharType="separate"/>
      </w:r>
      <w:r w:rsidR="00656DD0" w:rsidRPr="00656DD0">
        <w:rPr>
          <w:rFonts w:ascii="Times New Roman" w:hAnsi="Times New Roman" w:cs="Times New Roman"/>
          <w:noProof/>
        </w:rPr>
        <w:t>(Craighead, Ketchen, &amp; Cheng, 2016)</w:t>
      </w:r>
      <w:r w:rsidR="00656DD0">
        <w:rPr>
          <w:rFonts w:ascii="Times New Roman" w:hAnsi="Times New Roman" w:cs="Times New Roman"/>
        </w:rPr>
        <w:fldChar w:fldCharType="end"/>
      </w:r>
      <w:r w:rsidR="00656DD0">
        <w:rPr>
          <w:rFonts w:ascii="Times New Roman" w:hAnsi="Times New Roman" w:cs="Times New Roman"/>
        </w:rPr>
        <w:t>.</w:t>
      </w:r>
    </w:p>
    <w:p w14:paraId="2ECF2417" w14:textId="350F67FD" w:rsidR="00E743D1" w:rsidRPr="0068584C" w:rsidRDefault="00434F9A" w:rsidP="0035460B">
      <w:pPr>
        <w:spacing w:line="480" w:lineRule="auto"/>
        <w:jc w:val="both"/>
        <w:rPr>
          <w:rFonts w:ascii="Times New Roman" w:hAnsi="Times New Roman" w:cs="Times New Roman"/>
          <w:color w:val="000000" w:themeColor="text1"/>
        </w:rPr>
      </w:pPr>
      <w:r>
        <w:rPr>
          <w:rFonts w:ascii="Times New Roman" w:hAnsi="Times New Roman" w:cs="Times New Roman"/>
        </w:rPr>
        <w:tab/>
      </w:r>
      <w:r w:rsidR="003620E5" w:rsidRPr="0068584C">
        <w:rPr>
          <w:rFonts w:ascii="Times New Roman" w:hAnsi="Times New Roman" w:cs="Times New Roman"/>
        </w:rPr>
        <w:t xml:space="preserve">The construct of supply chain resource orchestration is introduced as an essential managerial capability for the firm’s competitive position. </w:t>
      </w:r>
      <w:r w:rsidR="00836618" w:rsidRPr="0068584C">
        <w:rPr>
          <w:rFonts w:ascii="Times New Roman" w:hAnsi="Times New Roman" w:cs="Times New Roman"/>
        </w:rPr>
        <w:t xml:space="preserve">In this </w:t>
      </w:r>
      <w:r w:rsidR="003620E5" w:rsidRPr="0068584C">
        <w:rPr>
          <w:rFonts w:ascii="Times New Roman" w:hAnsi="Times New Roman" w:cs="Times New Roman"/>
        </w:rPr>
        <w:t xml:space="preserve">research </w:t>
      </w:r>
      <w:r w:rsidR="00D906B8">
        <w:rPr>
          <w:rFonts w:ascii="Times New Roman" w:hAnsi="Times New Roman" w:cs="Times New Roman"/>
        </w:rPr>
        <w:t>the author has</w:t>
      </w:r>
      <w:r w:rsidR="00D906B8" w:rsidRPr="0068584C">
        <w:rPr>
          <w:rFonts w:ascii="Times New Roman" w:hAnsi="Times New Roman" w:cs="Times New Roman"/>
        </w:rPr>
        <w:t xml:space="preserve"> </w:t>
      </w:r>
      <w:r w:rsidR="00836618" w:rsidRPr="0068584C">
        <w:rPr>
          <w:rFonts w:ascii="Times New Roman" w:hAnsi="Times New Roman" w:cs="Times New Roman"/>
        </w:rPr>
        <w:t xml:space="preserve">drawn from </w:t>
      </w:r>
      <w:r w:rsidR="003620E5" w:rsidRPr="0068584C">
        <w:rPr>
          <w:rFonts w:ascii="Times New Roman" w:hAnsi="Times New Roman" w:cs="Times New Roman"/>
        </w:rPr>
        <w:t xml:space="preserve">supply chain, strategic resource management, and entrepreneurship literature streams </w:t>
      </w:r>
      <w:r w:rsidR="00836618" w:rsidRPr="0068584C">
        <w:rPr>
          <w:rFonts w:ascii="Times New Roman" w:hAnsi="Times New Roman" w:cs="Times New Roman"/>
        </w:rPr>
        <w:t xml:space="preserve">and applied it to </w:t>
      </w:r>
      <w:r w:rsidR="003620E5" w:rsidRPr="0068584C">
        <w:rPr>
          <w:rFonts w:ascii="Times New Roman" w:hAnsi="Times New Roman" w:cs="Times New Roman"/>
        </w:rPr>
        <w:t>the context of joint innovation practices across supply network partners.</w:t>
      </w:r>
      <w:r w:rsidR="00857A0B">
        <w:rPr>
          <w:rFonts w:ascii="Times New Roman" w:hAnsi="Times New Roman" w:cs="Times New Roman"/>
          <w:color w:val="000000" w:themeColor="text1"/>
        </w:rPr>
        <w:t xml:space="preserve"> Finally, a</w:t>
      </w:r>
      <w:r w:rsidR="008D4BD8" w:rsidRPr="0068584C">
        <w:rPr>
          <w:rFonts w:ascii="Times New Roman" w:hAnsi="Times New Roman" w:cs="Times New Roman"/>
          <w:color w:val="000000" w:themeColor="text1"/>
        </w:rPr>
        <w:t xml:space="preserve">nother theoretical contribution concerns the application of the Wacker (1998) components of good theory to analyze resource orchestration theory. </w:t>
      </w:r>
      <w:r w:rsidR="003C4BF0">
        <w:rPr>
          <w:rFonts w:ascii="Times New Roman" w:hAnsi="Times New Roman" w:cs="Times New Roman"/>
          <w:color w:val="000000" w:themeColor="text1"/>
        </w:rPr>
        <w:t>The</w:t>
      </w:r>
      <w:r w:rsidR="008D4BD8" w:rsidRPr="0068584C">
        <w:rPr>
          <w:rFonts w:ascii="Times New Roman" w:hAnsi="Times New Roman" w:cs="Times New Roman"/>
          <w:color w:val="000000" w:themeColor="text1"/>
        </w:rPr>
        <w:t xml:space="preserve"> procedures of good theory-</w:t>
      </w:r>
      <w:r w:rsidR="00CD634F" w:rsidRPr="0068584C">
        <w:rPr>
          <w:rFonts w:ascii="Times New Roman" w:hAnsi="Times New Roman" w:cs="Times New Roman"/>
          <w:color w:val="000000" w:themeColor="text1"/>
        </w:rPr>
        <w:t xml:space="preserve">elaboration </w:t>
      </w:r>
      <w:r w:rsidR="00D906B8">
        <w:rPr>
          <w:rFonts w:ascii="Times New Roman" w:hAnsi="Times New Roman" w:cs="Times New Roman"/>
          <w:color w:val="000000" w:themeColor="text1"/>
        </w:rPr>
        <w:t>were</w:t>
      </w:r>
      <w:r w:rsidR="008D4BD8" w:rsidRPr="0068584C">
        <w:rPr>
          <w:rFonts w:ascii="Times New Roman" w:hAnsi="Times New Roman" w:cs="Times New Roman"/>
          <w:color w:val="000000" w:themeColor="text1"/>
        </w:rPr>
        <w:t xml:space="preserve"> applied to </w:t>
      </w:r>
      <w:r w:rsidR="003C4BF0">
        <w:rPr>
          <w:rFonts w:ascii="Times New Roman" w:hAnsi="Times New Roman" w:cs="Times New Roman"/>
          <w:color w:val="000000" w:themeColor="text1"/>
        </w:rPr>
        <w:t>extend the domain of</w:t>
      </w:r>
      <w:r w:rsidR="003C4BF0" w:rsidRPr="0068584C">
        <w:rPr>
          <w:rFonts w:ascii="Times New Roman" w:hAnsi="Times New Roman" w:cs="Times New Roman"/>
          <w:color w:val="000000" w:themeColor="text1"/>
        </w:rPr>
        <w:t xml:space="preserve"> </w:t>
      </w:r>
      <w:r w:rsidR="00EE1E27" w:rsidRPr="0068584C">
        <w:rPr>
          <w:rFonts w:ascii="Times New Roman" w:hAnsi="Times New Roman" w:cs="Times New Roman"/>
          <w:color w:val="000000" w:themeColor="text1"/>
        </w:rPr>
        <w:t>resource orchestration theory</w:t>
      </w:r>
      <w:r w:rsidR="008D4BD8" w:rsidRPr="0068584C">
        <w:rPr>
          <w:rFonts w:ascii="Times New Roman" w:hAnsi="Times New Roman" w:cs="Times New Roman"/>
          <w:color w:val="000000" w:themeColor="text1"/>
        </w:rPr>
        <w:t xml:space="preserve"> and develop </w:t>
      </w:r>
      <w:r w:rsidR="003C4BF0">
        <w:rPr>
          <w:rFonts w:ascii="Times New Roman" w:hAnsi="Times New Roman" w:cs="Times New Roman"/>
          <w:color w:val="000000" w:themeColor="text1"/>
        </w:rPr>
        <w:t>the</w:t>
      </w:r>
      <w:r w:rsidR="003C4BF0" w:rsidRPr="0068584C">
        <w:rPr>
          <w:rFonts w:ascii="Times New Roman" w:hAnsi="Times New Roman" w:cs="Times New Roman"/>
          <w:color w:val="000000" w:themeColor="text1"/>
        </w:rPr>
        <w:t xml:space="preserve"> </w:t>
      </w:r>
      <w:r w:rsidR="008D4BD8" w:rsidRPr="0068584C">
        <w:rPr>
          <w:rFonts w:ascii="Times New Roman" w:hAnsi="Times New Roman" w:cs="Times New Roman"/>
          <w:color w:val="000000" w:themeColor="text1"/>
        </w:rPr>
        <w:t>SCRO</w:t>
      </w:r>
      <w:r w:rsidR="00EE1E27" w:rsidRPr="0068584C">
        <w:rPr>
          <w:rFonts w:ascii="Times New Roman" w:hAnsi="Times New Roman" w:cs="Times New Roman"/>
          <w:color w:val="000000" w:themeColor="text1"/>
        </w:rPr>
        <w:t xml:space="preserve"> framework</w:t>
      </w:r>
      <w:r w:rsidR="008D4BD8" w:rsidRPr="0068584C">
        <w:rPr>
          <w:rFonts w:ascii="Times New Roman" w:hAnsi="Times New Roman" w:cs="Times New Roman"/>
          <w:color w:val="000000" w:themeColor="text1"/>
        </w:rPr>
        <w:t>.</w:t>
      </w:r>
    </w:p>
    <w:p w14:paraId="02B2B318" w14:textId="77777777" w:rsidR="0063263B" w:rsidRPr="0068584C" w:rsidRDefault="0063263B" w:rsidP="0035460B">
      <w:pPr>
        <w:spacing w:line="480" w:lineRule="auto"/>
        <w:rPr>
          <w:rFonts w:ascii="Times New Roman" w:hAnsi="Times New Roman" w:cs="Times New Roman"/>
        </w:rPr>
      </w:pPr>
    </w:p>
    <w:p w14:paraId="6DC82270" w14:textId="46B96F38" w:rsidR="00755D92" w:rsidRPr="00BC1FF3" w:rsidRDefault="00832C65" w:rsidP="00BC1FF3">
      <w:pPr>
        <w:pStyle w:val="Heading3new"/>
      </w:pPr>
      <w:r w:rsidRPr="00BC1FF3">
        <w:lastRenderedPageBreak/>
        <w:t>Limitations</w:t>
      </w:r>
      <w:r w:rsidR="00434F9A" w:rsidRPr="00BC1FF3">
        <w:t xml:space="preserve"> and Conclusion</w:t>
      </w:r>
    </w:p>
    <w:p w14:paraId="20E33EF3" w14:textId="1CDCFAAC" w:rsidR="00271B6D" w:rsidRDefault="00271B6D" w:rsidP="0035460B">
      <w:pPr>
        <w:spacing w:line="480" w:lineRule="auto"/>
        <w:jc w:val="both"/>
        <w:rPr>
          <w:rFonts w:ascii="Times New Roman" w:hAnsi="Times New Roman" w:cs="Times New Roman"/>
        </w:rPr>
      </w:pPr>
      <w:r w:rsidRPr="0068584C">
        <w:rPr>
          <w:rFonts w:ascii="Times New Roman" w:hAnsi="Times New Roman" w:cs="Times New Roman"/>
        </w:rPr>
        <w:t>The research study has several limitations</w:t>
      </w:r>
      <w:r w:rsidR="00C10E14" w:rsidRPr="0068584C">
        <w:rPr>
          <w:rFonts w:ascii="Times New Roman" w:hAnsi="Times New Roman" w:cs="Times New Roman"/>
        </w:rPr>
        <w:t>,</w:t>
      </w:r>
      <w:r w:rsidRPr="0068584C">
        <w:rPr>
          <w:rFonts w:ascii="Times New Roman" w:hAnsi="Times New Roman" w:cs="Times New Roman"/>
        </w:rPr>
        <w:t xml:space="preserve"> which are </w:t>
      </w:r>
      <w:r w:rsidR="00A4256D" w:rsidRPr="0068584C">
        <w:rPr>
          <w:rFonts w:ascii="Times New Roman" w:hAnsi="Times New Roman" w:cs="Times New Roman"/>
        </w:rPr>
        <w:t xml:space="preserve">also </w:t>
      </w:r>
      <w:r w:rsidRPr="0068584C">
        <w:rPr>
          <w:rFonts w:ascii="Times New Roman" w:hAnsi="Times New Roman" w:cs="Times New Roman"/>
        </w:rPr>
        <w:t>opportunities for future research.</w:t>
      </w:r>
      <w:r w:rsidR="00E83322" w:rsidRPr="0068584C">
        <w:rPr>
          <w:rFonts w:ascii="Times New Roman" w:hAnsi="Times New Roman" w:cs="Times New Roman"/>
        </w:rPr>
        <w:t xml:space="preserve"> First, </w:t>
      </w:r>
      <w:r w:rsidR="00C10E14" w:rsidRPr="0068584C">
        <w:rPr>
          <w:rFonts w:ascii="Times New Roman" w:hAnsi="Times New Roman" w:cs="Times New Roman"/>
        </w:rPr>
        <w:t xml:space="preserve">the conclusions might not be generalizable beyond the current research setting of relatively large corporations in a technological market environment. </w:t>
      </w:r>
      <w:r w:rsidR="001E7B61" w:rsidRPr="0068584C">
        <w:rPr>
          <w:rFonts w:ascii="Times New Roman" w:hAnsi="Times New Roman" w:cs="Times New Roman"/>
        </w:rPr>
        <w:t xml:space="preserve">Future research could extend the data collection and analysis to small and medium sized organizations or even family businesses. </w:t>
      </w:r>
      <w:r w:rsidR="00C10E14" w:rsidRPr="0068584C">
        <w:rPr>
          <w:rFonts w:ascii="Times New Roman" w:hAnsi="Times New Roman" w:cs="Times New Roman"/>
        </w:rPr>
        <w:t xml:space="preserve">Second, </w:t>
      </w:r>
      <w:r w:rsidR="00C05BDE" w:rsidRPr="0068584C">
        <w:rPr>
          <w:rFonts w:ascii="Times New Roman" w:hAnsi="Times New Roman" w:cs="Times New Roman"/>
        </w:rPr>
        <w:t xml:space="preserve">the research results are based on a data collection across a 2-year time frame and do not consider the impact over </w:t>
      </w:r>
      <w:r w:rsidR="00A4256D" w:rsidRPr="0068584C">
        <w:rPr>
          <w:rFonts w:ascii="Times New Roman" w:hAnsi="Times New Roman" w:cs="Times New Roman"/>
        </w:rPr>
        <w:t xml:space="preserve">a longer period of </w:t>
      </w:r>
      <w:r w:rsidR="00C05BDE" w:rsidRPr="0068584C">
        <w:rPr>
          <w:rFonts w:ascii="Times New Roman" w:hAnsi="Times New Roman" w:cs="Times New Roman"/>
        </w:rPr>
        <w:t xml:space="preserve">time. Hence, further </w:t>
      </w:r>
      <w:r w:rsidR="00C10E14" w:rsidRPr="0068584C">
        <w:rPr>
          <w:rFonts w:ascii="Times New Roman" w:hAnsi="Times New Roman" w:cs="Times New Roman"/>
        </w:rPr>
        <w:t xml:space="preserve">longitudinal studies should measure </w:t>
      </w:r>
      <w:r w:rsidR="00C05BDE" w:rsidRPr="0068584C">
        <w:rPr>
          <w:rFonts w:ascii="Times New Roman" w:hAnsi="Times New Roman" w:cs="Times New Roman"/>
        </w:rPr>
        <w:t>supply chain resource orchestration relationships over</w:t>
      </w:r>
      <w:r w:rsidR="00A4256D" w:rsidRPr="0068584C">
        <w:rPr>
          <w:rFonts w:ascii="Times New Roman" w:hAnsi="Times New Roman" w:cs="Times New Roman"/>
        </w:rPr>
        <w:t xml:space="preserve"> more</w:t>
      </w:r>
      <w:r w:rsidR="00C05BDE" w:rsidRPr="0068584C">
        <w:rPr>
          <w:rFonts w:ascii="Times New Roman" w:hAnsi="Times New Roman" w:cs="Times New Roman"/>
        </w:rPr>
        <w:t xml:space="preserve"> time</w:t>
      </w:r>
      <w:r w:rsidR="00D46106" w:rsidRPr="0068584C">
        <w:rPr>
          <w:rFonts w:ascii="Times New Roman" w:hAnsi="Times New Roman" w:cs="Times New Roman"/>
        </w:rPr>
        <w:t xml:space="preserve"> than two years</w:t>
      </w:r>
      <w:r w:rsidR="00C05BDE" w:rsidRPr="0068584C">
        <w:rPr>
          <w:rFonts w:ascii="Times New Roman" w:hAnsi="Times New Roman" w:cs="Times New Roman"/>
        </w:rPr>
        <w:t>.</w:t>
      </w:r>
      <w:r w:rsidR="001E7B61" w:rsidRPr="0068584C">
        <w:rPr>
          <w:rFonts w:ascii="Times New Roman" w:hAnsi="Times New Roman" w:cs="Times New Roman"/>
        </w:rPr>
        <w:t xml:space="preserve"> In this way, the robustness of the conceptualization could be verified. </w:t>
      </w:r>
      <w:r w:rsidR="008E66F7" w:rsidRPr="0068584C">
        <w:rPr>
          <w:rFonts w:ascii="Times New Roman" w:hAnsi="Times New Roman" w:cs="Times New Roman"/>
        </w:rPr>
        <w:t xml:space="preserve"> A follow-up study could include interviews with participants outside </w:t>
      </w:r>
      <w:r w:rsidR="00EC3B6F" w:rsidRPr="0068584C">
        <w:rPr>
          <w:rFonts w:ascii="Times New Roman" w:hAnsi="Times New Roman" w:cs="Times New Roman"/>
        </w:rPr>
        <w:t xml:space="preserve">of </w:t>
      </w:r>
      <w:r w:rsidR="008E66F7" w:rsidRPr="0068584C">
        <w:rPr>
          <w:rFonts w:ascii="Times New Roman" w:hAnsi="Times New Roman" w:cs="Times New Roman"/>
        </w:rPr>
        <w:t xml:space="preserve">Europe and the U.S. to which the current research was constrained. </w:t>
      </w:r>
      <w:r w:rsidR="00395220" w:rsidRPr="0068584C">
        <w:rPr>
          <w:rFonts w:ascii="Times New Roman" w:hAnsi="Times New Roman" w:cs="Times New Roman"/>
        </w:rPr>
        <w:t xml:space="preserve">This would </w:t>
      </w:r>
      <w:r w:rsidR="00D46106" w:rsidRPr="0068584C">
        <w:rPr>
          <w:rFonts w:ascii="Times New Roman" w:hAnsi="Times New Roman" w:cs="Times New Roman"/>
        </w:rPr>
        <w:t xml:space="preserve">further </w:t>
      </w:r>
      <w:r w:rsidR="00395220" w:rsidRPr="0068584C">
        <w:rPr>
          <w:rFonts w:ascii="Times New Roman" w:hAnsi="Times New Roman" w:cs="Times New Roman"/>
        </w:rPr>
        <w:t xml:space="preserve">enhance the generalizability of the findings. </w:t>
      </w:r>
      <w:r w:rsidR="001E7B61" w:rsidRPr="0068584C">
        <w:rPr>
          <w:rFonts w:ascii="Times New Roman" w:hAnsi="Times New Roman" w:cs="Times New Roman"/>
        </w:rPr>
        <w:t xml:space="preserve">Finally, a cross-sectional survey could be used to empirically test the </w:t>
      </w:r>
      <w:r w:rsidR="002441EB" w:rsidRPr="0068584C">
        <w:rPr>
          <w:rFonts w:ascii="Times New Roman" w:hAnsi="Times New Roman" w:cs="Times New Roman"/>
        </w:rPr>
        <w:t xml:space="preserve">SCRO </w:t>
      </w:r>
      <w:r w:rsidR="001E7B61" w:rsidRPr="0068584C">
        <w:rPr>
          <w:rFonts w:ascii="Times New Roman" w:hAnsi="Times New Roman" w:cs="Times New Roman"/>
        </w:rPr>
        <w:t>relationships in future research.</w:t>
      </w:r>
    </w:p>
    <w:p w14:paraId="1C3F8D5C" w14:textId="284E3F2D" w:rsidR="00A530C0" w:rsidRDefault="00434F9A" w:rsidP="0035460B">
      <w:pPr>
        <w:widowControl w:val="0"/>
        <w:autoSpaceDE w:val="0"/>
        <w:autoSpaceDN w:val="0"/>
        <w:adjustRightInd w:val="0"/>
        <w:spacing w:line="480" w:lineRule="auto"/>
        <w:jc w:val="both"/>
        <w:rPr>
          <w:rFonts w:ascii="Times New Roman" w:hAnsi="Times New Roman" w:cs="Times New Roman"/>
          <w:iCs/>
          <w:color w:val="000000"/>
        </w:rPr>
      </w:pPr>
      <w:r>
        <w:rPr>
          <w:rFonts w:ascii="Times New Roman" w:hAnsi="Times New Roman" w:cs="Times New Roman"/>
        </w:rPr>
        <w:tab/>
      </w:r>
      <w:r w:rsidR="00F36C7B">
        <w:rPr>
          <w:rFonts w:ascii="Times New Roman" w:hAnsi="Times New Roman" w:cs="Times New Roman"/>
        </w:rPr>
        <w:t xml:space="preserve">In conclusion, this dissertation research attempts to extend the existing resource orchestration theoretical domain to </w:t>
      </w:r>
      <w:r w:rsidR="00F773B1">
        <w:rPr>
          <w:rFonts w:ascii="Times New Roman" w:hAnsi="Times New Roman" w:cs="Times New Roman"/>
        </w:rPr>
        <w:t xml:space="preserve">better </w:t>
      </w:r>
      <w:r w:rsidR="00F36C7B">
        <w:rPr>
          <w:rFonts w:ascii="Times New Roman" w:hAnsi="Times New Roman" w:cs="Times New Roman"/>
        </w:rPr>
        <w:t xml:space="preserve">address further supply chain and open innovation phenomena. </w:t>
      </w:r>
      <w:r w:rsidR="00FC507C">
        <w:rPr>
          <w:rFonts w:ascii="Times New Roman" w:hAnsi="Times New Roman" w:cs="Times New Roman"/>
        </w:rPr>
        <w:t xml:space="preserve">The necessity of better managing supply chain-based resources has been highlighted by both scholars and practitioners, which served as a motivation for this dissertation. </w:t>
      </w:r>
      <w:r w:rsidR="00FC507C">
        <w:rPr>
          <w:rFonts w:ascii="Times New Roman" w:hAnsi="Times New Roman" w:cs="Times New Roman"/>
          <w:iCs/>
          <w:color w:val="000000"/>
        </w:rPr>
        <w:t>Applying a</w:t>
      </w:r>
      <w:r w:rsidR="00A530C0" w:rsidRPr="004E4723">
        <w:rPr>
          <w:rFonts w:ascii="Times New Roman" w:hAnsi="Times New Roman" w:cs="Times New Roman"/>
          <w:iCs/>
          <w:color w:val="000000"/>
        </w:rPr>
        <w:t xml:space="preserve"> </w:t>
      </w:r>
      <w:r w:rsidR="00A530C0">
        <w:rPr>
          <w:rFonts w:ascii="Times New Roman" w:hAnsi="Times New Roman" w:cs="Times New Roman"/>
          <w:iCs/>
          <w:color w:val="000000"/>
        </w:rPr>
        <w:t>theory elaboration approach</w:t>
      </w:r>
      <w:r w:rsidR="00FC507C">
        <w:rPr>
          <w:rFonts w:ascii="Times New Roman" w:hAnsi="Times New Roman" w:cs="Times New Roman"/>
          <w:iCs/>
          <w:color w:val="000000"/>
        </w:rPr>
        <w:t xml:space="preserve"> in this section</w:t>
      </w:r>
      <w:r w:rsidR="00A530C0" w:rsidRPr="004E4723">
        <w:rPr>
          <w:rFonts w:ascii="Times New Roman" w:hAnsi="Times New Roman" w:cs="Times New Roman"/>
          <w:iCs/>
          <w:color w:val="000000"/>
        </w:rPr>
        <w:t xml:space="preserve"> </w:t>
      </w:r>
      <w:r w:rsidR="00A530C0">
        <w:rPr>
          <w:rFonts w:ascii="Times New Roman" w:hAnsi="Times New Roman" w:cs="Times New Roman"/>
          <w:iCs/>
          <w:color w:val="000000"/>
        </w:rPr>
        <w:t xml:space="preserve">resulted in a conceptualization of supply chain resource orchestration, addressing the first research question. The </w:t>
      </w:r>
      <w:r w:rsidR="00FC507C">
        <w:rPr>
          <w:rFonts w:ascii="Times New Roman" w:hAnsi="Times New Roman" w:cs="Times New Roman"/>
          <w:iCs/>
          <w:color w:val="000000"/>
        </w:rPr>
        <w:t xml:space="preserve">subsequent </w:t>
      </w:r>
      <w:r w:rsidR="00A530C0">
        <w:rPr>
          <w:rFonts w:ascii="Times New Roman" w:hAnsi="Times New Roman" w:cs="Times New Roman"/>
          <w:iCs/>
          <w:color w:val="000000"/>
        </w:rPr>
        <w:t>case study analysis enriched the understanding by adding the perspectives of supply chain managers. Specifically, the interplay between organizational culture and SCRO as</w:t>
      </w:r>
      <w:r w:rsidR="00FC507C">
        <w:rPr>
          <w:rFonts w:ascii="Times New Roman" w:hAnsi="Times New Roman" w:cs="Times New Roman"/>
          <w:iCs/>
          <w:color w:val="000000"/>
        </w:rPr>
        <w:t xml:space="preserve"> well as detailed SCRO practices were introduced and explained, addressing the other two research questions. Finally, this section provided a number of managerial and theoretical implications, noted some limitation of the research, and </w:t>
      </w:r>
      <w:r w:rsidR="00F773B1">
        <w:rPr>
          <w:rFonts w:ascii="Times New Roman" w:hAnsi="Times New Roman" w:cs="Times New Roman"/>
          <w:iCs/>
          <w:color w:val="000000"/>
        </w:rPr>
        <w:t xml:space="preserve">presented </w:t>
      </w:r>
      <w:r w:rsidR="00FC507C">
        <w:rPr>
          <w:rFonts w:ascii="Times New Roman" w:hAnsi="Times New Roman" w:cs="Times New Roman"/>
          <w:iCs/>
          <w:color w:val="000000"/>
        </w:rPr>
        <w:t xml:space="preserve">future research </w:t>
      </w:r>
      <w:r w:rsidR="00F773B1">
        <w:rPr>
          <w:rFonts w:ascii="Times New Roman" w:hAnsi="Times New Roman" w:cs="Times New Roman"/>
          <w:iCs/>
          <w:color w:val="000000"/>
        </w:rPr>
        <w:t>opportunities. Overall, supply chain resource orchestration</w:t>
      </w:r>
      <w:r w:rsidR="00045A64">
        <w:rPr>
          <w:rFonts w:ascii="Times New Roman" w:hAnsi="Times New Roman" w:cs="Times New Roman"/>
          <w:iCs/>
          <w:color w:val="000000"/>
        </w:rPr>
        <w:t xml:space="preserve"> </w:t>
      </w:r>
      <w:r w:rsidR="00045A64">
        <w:rPr>
          <w:rFonts w:ascii="Times New Roman" w:hAnsi="Times New Roman" w:cs="Times New Roman"/>
          <w:iCs/>
          <w:color w:val="000000"/>
        </w:rPr>
        <w:lastRenderedPageBreak/>
        <w:t xml:space="preserve">appears to be a promising </w:t>
      </w:r>
      <w:r w:rsidR="00960AEB">
        <w:rPr>
          <w:rFonts w:ascii="Times New Roman" w:hAnsi="Times New Roman" w:cs="Times New Roman"/>
          <w:iCs/>
          <w:color w:val="000000"/>
        </w:rPr>
        <w:t>emerging framework assisting the further development of the field. The next step of the dissertation research is an empirical validation of the framework by using a cross-sectional survey, which will be addressed in the next chapter.</w:t>
      </w:r>
    </w:p>
    <w:p w14:paraId="24767DB0" w14:textId="77777777" w:rsidR="007F1DD5" w:rsidRDefault="007F1DD5" w:rsidP="0035460B">
      <w:pPr>
        <w:widowControl w:val="0"/>
        <w:autoSpaceDE w:val="0"/>
        <w:autoSpaceDN w:val="0"/>
        <w:adjustRightInd w:val="0"/>
        <w:spacing w:line="480" w:lineRule="auto"/>
        <w:jc w:val="both"/>
        <w:rPr>
          <w:rFonts w:ascii="Times New Roman" w:hAnsi="Times New Roman" w:cs="Times New Roman"/>
          <w:iCs/>
          <w:color w:val="000000"/>
        </w:rPr>
      </w:pPr>
    </w:p>
    <w:p w14:paraId="70C0A1BA" w14:textId="77777777" w:rsidR="007F1DD5" w:rsidRDefault="007F1DD5" w:rsidP="0035460B">
      <w:pPr>
        <w:widowControl w:val="0"/>
        <w:autoSpaceDE w:val="0"/>
        <w:autoSpaceDN w:val="0"/>
        <w:adjustRightInd w:val="0"/>
        <w:spacing w:line="480" w:lineRule="auto"/>
        <w:jc w:val="both"/>
        <w:rPr>
          <w:rFonts w:ascii="Times New Roman" w:hAnsi="Times New Roman" w:cs="Times New Roman"/>
          <w:iCs/>
          <w:color w:val="000000"/>
        </w:rPr>
      </w:pPr>
    </w:p>
    <w:p w14:paraId="62E07BA6" w14:textId="77777777" w:rsidR="007F1DD5" w:rsidRDefault="007F1DD5">
      <w:pPr>
        <w:rPr>
          <w:rFonts w:ascii="Times New Roman" w:hAnsi="Times New Roman" w:cs="Times New Roman"/>
          <w:b/>
        </w:rPr>
      </w:pPr>
      <w:r>
        <w:rPr>
          <w:rFonts w:ascii="Times New Roman" w:hAnsi="Times New Roman" w:cs="Times New Roman"/>
          <w:b/>
        </w:rPr>
        <w:br w:type="page"/>
      </w:r>
    </w:p>
    <w:p w14:paraId="7550AAC1" w14:textId="1811EBAD" w:rsidR="001A778C" w:rsidRDefault="001A778C" w:rsidP="007F1DD5">
      <w:pPr>
        <w:pStyle w:val="Heading1"/>
      </w:pPr>
      <w:bookmarkStart w:id="106" w:name="_Toc357382422"/>
      <w:bookmarkStart w:id="107" w:name="_Toc357383268"/>
      <w:bookmarkStart w:id="108" w:name="_Toc358326739"/>
      <w:r>
        <w:lastRenderedPageBreak/>
        <w:t xml:space="preserve">CHAPTER FOUR – </w:t>
      </w:r>
      <w:r w:rsidR="00E26B97">
        <w:t xml:space="preserve">ARTICLE </w:t>
      </w:r>
      <w:r w:rsidR="008D3863">
        <w:t>3</w:t>
      </w:r>
      <w:r w:rsidR="00E26B97">
        <w:t xml:space="preserve">: </w:t>
      </w:r>
      <w:r>
        <w:t>THEORY TESTING</w:t>
      </w:r>
      <w:bookmarkEnd w:id="106"/>
      <w:bookmarkEnd w:id="107"/>
      <w:bookmarkEnd w:id="108"/>
    </w:p>
    <w:p w14:paraId="32B3AACC" w14:textId="77777777" w:rsidR="001A778C" w:rsidRDefault="001A778C">
      <w:pPr>
        <w:rPr>
          <w:rFonts w:ascii="Times New Roman" w:hAnsi="Times New Roman" w:cs="Times New Roman"/>
          <w:b/>
        </w:rPr>
      </w:pPr>
    </w:p>
    <w:p w14:paraId="58F47EA6" w14:textId="77777777" w:rsidR="007F1DD5" w:rsidRDefault="007F1DD5">
      <w:pPr>
        <w:rPr>
          <w:rFonts w:ascii="Times New Roman" w:hAnsi="Times New Roman" w:cs="Times New Roman"/>
          <w:b/>
        </w:rPr>
      </w:pPr>
    </w:p>
    <w:p w14:paraId="0B0BD1CF" w14:textId="77777777" w:rsidR="009B07A6" w:rsidRPr="006407E5" w:rsidRDefault="009B07A6" w:rsidP="009B07A6">
      <w:pPr>
        <w:spacing w:line="480" w:lineRule="auto"/>
        <w:rPr>
          <w:rFonts w:ascii="Times New Roman" w:hAnsi="Times New Roman" w:cs="Times New Roman"/>
          <w:b/>
        </w:rPr>
      </w:pPr>
      <w:r w:rsidRPr="006407E5">
        <w:rPr>
          <w:rFonts w:ascii="Times New Roman" w:hAnsi="Times New Roman" w:cs="Times New Roman"/>
          <w:b/>
        </w:rPr>
        <w:t>Abstract</w:t>
      </w:r>
    </w:p>
    <w:p w14:paraId="5F7CBB1A" w14:textId="77777777" w:rsidR="009B07A6" w:rsidRPr="006407E5" w:rsidRDefault="009B07A6" w:rsidP="009B07A6">
      <w:pPr>
        <w:spacing w:line="480" w:lineRule="auto"/>
        <w:rPr>
          <w:rFonts w:ascii="Times New Roman" w:hAnsi="Times New Roman" w:cs="Times New Roman"/>
        </w:rPr>
      </w:pPr>
      <w:r w:rsidRPr="006407E5">
        <w:rPr>
          <w:rFonts w:ascii="Times New Roman" w:hAnsi="Times New Roman" w:cs="Times New Roman"/>
        </w:rPr>
        <w:t xml:space="preserve">In many markets, innovation has become a strategic imperative to ensure competitive survival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"ITEM-1",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"(Wowak, Craighead, Ketchen, &amp; Hult, 2016)", "plainTextFormattedCitation" : "(Wowak, Craighead, Ketchen, &amp; Hult, 2016)", "previouslyFormattedCitation" : "(Wowak, Craighead, Ketchen, &amp; Hult, 2016)"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(Wowak, Craighead, Ketchen, &amp; Hult, 2016)</w:t>
      </w:r>
      <w:r w:rsidRPr="006407E5">
        <w:rPr>
          <w:rFonts w:ascii="Times New Roman" w:hAnsi="Times New Roman" w:cs="Times New Roman"/>
        </w:rPr>
        <w:fldChar w:fldCharType="end"/>
      </w:r>
      <w:r w:rsidRPr="006407E5">
        <w:rPr>
          <w:rFonts w:ascii="Times New Roman" w:hAnsi="Times New Roman" w:cs="Times New Roman"/>
        </w:rPr>
        <w:t xml:space="preserve">. Employing external resources to fill in-house gaps, organizations increasingly initiate and manage joint product or service developments across their supply networks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"10.1287/orsc.1080.0404", "ISSN" : "1047-7039", "author" : [ { "dropping-particle" : "", "family" : "Rothaermel", "given" : "Frank T.", "non-dropping-particle" : "", "parse-names" : false, "suffix" : "" }, { "dropping-particle" : "", "family" : "Alexandre", "given" : "Maria Tereza", "non-dropping-particle" : "", "parse-names" : false, "suffix" : "" } ], "container-title" : "Organization Science", "id" : "ITEM-1", "issue" : "4", "issued" : { "date-parts" : [ [ "2009" ] ] }, "page" : "759-780", "title" : "Ambidexterity in Technology Sourcing: The Moderating Role of Absorptive Capacity", "type" : "article-journal", "volume" : "20" }, "uris" : [ "http://www.mendeley.com/documents/?uuid=3c03702c-81e4-4129-b398-5f11a61a91cd" ] } ], "mendeley" : { "formattedCitation" : "(Rothaermel &amp; Alexandre, 2009)", "plainTextFormattedCitation" : "(Rothaermel &amp; Alexandre, 2009)", "previouslyFormattedCitation" : "(Rothaermel &amp; Alexandre, 2009)"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(Rothaermel &amp; Alexandre, 2009)</w:t>
      </w:r>
      <w:r w:rsidRPr="006407E5">
        <w:rPr>
          <w:rFonts w:ascii="Times New Roman" w:hAnsi="Times New Roman" w:cs="Times New Roman"/>
        </w:rPr>
        <w:fldChar w:fldCharType="end"/>
      </w:r>
      <w:r w:rsidRPr="006407E5">
        <w:rPr>
          <w:rFonts w:ascii="Times New Roman" w:hAnsi="Times New Roman" w:cs="Times New Roman"/>
        </w:rPr>
        <w:t>. However, little is known about the relevant practices of supply chai</w:t>
      </w:r>
      <w:r>
        <w:rPr>
          <w:rFonts w:ascii="Times New Roman" w:hAnsi="Times New Roman" w:cs="Times New Roman"/>
        </w:rPr>
        <w:t xml:space="preserve">n resource orchestration (SCRO), which relates to </w:t>
      </w:r>
      <w:r w:rsidRPr="006407E5">
        <w:rPr>
          <w:rFonts w:ascii="Times New Roman" w:hAnsi="Times New Roman" w:cs="Times New Roman"/>
        </w:rPr>
        <w:t xml:space="preserve">structuring, bundling, and leveraging resources </w:t>
      </w:r>
      <w:r>
        <w:rPr>
          <w:rFonts w:ascii="Times New Roman" w:hAnsi="Times New Roman" w:cs="Times New Roman"/>
        </w:rPr>
        <w:t>as well as</w:t>
      </w:r>
      <w:r w:rsidRPr="006407E5">
        <w:rPr>
          <w:rFonts w:ascii="Times New Roman" w:hAnsi="Times New Roman" w:cs="Times New Roman"/>
        </w:rPr>
        <w:t xml:space="preserve"> corresponding capabilities derived from external consti</w:t>
      </w:r>
      <w:r>
        <w:rPr>
          <w:rFonts w:ascii="Times New Roman" w:hAnsi="Times New Roman" w:cs="Times New Roman"/>
        </w:rPr>
        <w:t>tuents to create customer value</w:t>
      </w:r>
      <w:r w:rsidRPr="006407E5">
        <w:rPr>
          <w:rFonts w:ascii="Times New Roman" w:hAnsi="Times New Roman" w:cs="Times New Roman"/>
        </w:rPr>
        <w:t>.  Thus, further scholarly attention should be placed on the SCRO mechanism and its influence on innovation and financial performance</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"10.1111/jscm.12055", "ISBN" : "1523-2409", "ISSN" : "1745493X", "abstract" : "We highlight key contributions from the special topic forum (STF) articles and detail findings from a survey of researchers interested in the role of resources on supply chain functioning and management. We assert that the STF articles have closed important gaps between what needed to be known and is now known about how and when resources aid supply chains. However, the survey findings suggest that researchers who invoke theories of resources need to be more precise in their theoretical exposition and that future research needs to focus more heavily on the role of resources not just within, but also beyond a firm's boundaries (i.e., interfirm), and how those resources aid supply chains. The survey findings also suggest that future supply chain studies should focus more on investigating contingency relationships, and \u201cfitting\u201d research designs to address the specific research question of interest. Broadly speaking, we conclude that resources within and across firm boundaries are vital to supply chain functioning and management, but that as research evolves, new insights might be best characterized by studies that take stock of critical contingencies.", "author" : [ { "dropping-particle" : "", "family" : "Crook", "given" : "T. Russell", "non-dropping-particle" : "", "parse-names" : false, "suffix" : "" }, { "dropping-particle" : "", "family" : "Esper", "given" : "Terry L.", "non-dropping-particle" : "", "parse-names" : false, "suffix" : "" } ], "container-title" : "Journal of Supply Chain Management", "id" : "ITEM-1", "issue" : "3", "issued" : { "date-parts" : [ [ "2014" ] ] }, "page" : "94-97", "title" : "Do Resources Aid in Supply Chain Functioning and Management? Yes, But More (and More Precise) Research is Needed", "type" : "article-journal", "volume" : "50" }, "uris" : [ "http://www.mendeley.com/documents/?uuid=ffa79fbc-359a-441c-bb62-d948795f562a" ] }, { "id" : "ITEM-2", "itemData" : { "DOI" : "10.1111/jscm.12051", "ISBN" : "1523-2409", "ISSN" : "1745493X", "abstract" : "Resource-based theory (RBT) suggests that purchasing and supply management (PSM) practices can help buying firms enhance their performance. Consequently, the \"PSM practice-performance link\" has undergone intense empirical investigation over the last two decades. Although most studies report a positive relationship between PSM practices and firm performance, it remains unclear whether and to what extent PSM practices relate to performance. We assess the empirical literature by conducting a meta-analysis of 99 PSM studies from an RBT perspective. Our results indicate strong support for the positive relationships among PSM practices and firm performance. Our findings contribute to the literature by underlining the relevance of PSM, identifying aspects of the PSM function that can be considered \"strategic\" and detecting areas that require additional empirical investigation. Our research also provides guidance to managers as to which PSM practices demonstrate the strongest potential for contributing to buying firm performance. {\u00a9} 2014 Institute for Supply Management, Inc.", "author" : [ { "dropping-particle" : "", "family" : "Zimmermann", "given" : "Friso", "non-dropping-particle" : "", "parse-names" : false, "suffix" : "" }, { "dropping-particle" : "", "family" : "Foerstl", "given" : "Kai", "non-dropping-particle" : "", "parse-names" : false, "suffix" : "" } ], "container-title" : "Journal of Supply Chain Management", "id" : "ITEM-2", "issue" : "3", "issued" : { "date-parts" : [ [ "2014" ] ] }, "page" : "37-54", "title" : "A Meta-Analysis of the \"Purchasing and Supply Management Practice-Performance Link\"", "type" : "article-journal", "volume" : "50" }, "uris" : [ "http://www.mendeley.com/documents/?uuid=33e63af5-784c-48b1-a6ae-d5a112c63023" ] } ], "mendeley" : { "formattedCitation" : "(Crook &amp; Esper, 2014; Zimmermann &amp; Foerstl, 2014)", "plainTextFormattedCitation" : "(Crook &amp; Esper, 2014; Zimmermann &amp; Foerstl, 2014)" }, "properties" : { "noteIndex" : 0 }, "schema" : "https://github.com/citation-style-language/schema/raw/master/csl-citation.json" }</w:instrText>
      </w:r>
      <w:r>
        <w:rPr>
          <w:rFonts w:ascii="Times New Roman" w:hAnsi="Times New Roman" w:cs="Times New Roman"/>
        </w:rPr>
        <w:fldChar w:fldCharType="separate"/>
      </w:r>
      <w:r w:rsidRPr="00BE1B6D">
        <w:rPr>
          <w:rFonts w:ascii="Times New Roman" w:hAnsi="Times New Roman" w:cs="Times New Roman"/>
          <w:noProof/>
        </w:rPr>
        <w:t>(Crook &amp; Esper, 2014; Zimmermann &amp; Foerstl, 2014)</w:t>
      </w:r>
      <w:r>
        <w:rPr>
          <w:rFonts w:ascii="Times New Roman" w:hAnsi="Times New Roman" w:cs="Times New Roman"/>
        </w:rPr>
        <w:fldChar w:fldCharType="end"/>
      </w:r>
      <w:r>
        <w:rPr>
          <w:rFonts w:ascii="Times New Roman" w:hAnsi="Times New Roman" w:cs="Times New Roman"/>
        </w:rPr>
        <w:t>.</w:t>
      </w:r>
    </w:p>
    <w:p w14:paraId="4F22CA88" w14:textId="77777777" w:rsidR="009B07A6" w:rsidRPr="006407E5" w:rsidRDefault="009B07A6" w:rsidP="009B07A6">
      <w:pPr>
        <w:spacing w:line="480" w:lineRule="auto"/>
        <w:ind w:firstLine="720"/>
        <w:rPr>
          <w:rFonts w:ascii="Times New Roman" w:hAnsi="Times New Roman" w:cs="Times New Roman"/>
        </w:rPr>
      </w:pPr>
      <w:r w:rsidRPr="006407E5">
        <w:rPr>
          <w:rFonts w:ascii="Times New Roman" w:hAnsi="Times New Roman" w:cs="Times New Roman"/>
        </w:rPr>
        <w:t xml:space="preserve">The moderating impact of </w:t>
      </w:r>
      <w:r>
        <w:rPr>
          <w:rFonts w:ascii="Times New Roman" w:hAnsi="Times New Roman" w:cs="Times New Roman"/>
        </w:rPr>
        <w:t xml:space="preserve">cultural </w:t>
      </w:r>
      <w:r w:rsidRPr="006407E5">
        <w:rPr>
          <w:rFonts w:ascii="Times New Roman" w:hAnsi="Times New Roman" w:cs="Times New Roman"/>
        </w:rPr>
        <w:t xml:space="preserve">factors such as a firm-wide entrepreneurial orientation on resource management processes is not well understood yet either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"Nakata", "given" : "Cheryl", "non-dropping-particle" : "", "parse-names" : false, "suffix" : "" }, { "dropping-particle" : "", "family" : "Im", "given" : "Subin", "non-dropping-particle" : "", "parse-names" : false, "suffix" : "" } ], "container-title" : "Journal of Product Innovation Management", "id" : "ITEM-1", "issued" : { "date-parts" : [ [ "2010" ] ] }, "page" : "554-571", "title" : "Spurring Cross-Functional Integration for Higher New Product Performance: A Group Effectiveness Perspective", "type" : "article-journal", "volume" : "27" }, "uris" : [ "http://www.mendeley.com/documents/?uuid=de524e51-0275-4728-8f50-2c4cabd03743" ] }, { "id" : "ITEM-2", "itemData" : { "DOI" : "10.1111/jpim.12125", "ISBN" : "1540-5885", "ISSN" : "07376782", "PMID" : "96425016", "abstract" : "This paper reviews research on open innovation that considers how and why firms commercialize external sources of innovations. It examines both the \"outside-in\" and \"coupled\" modes of open innovation. From an analysis of prior research on how firms leverage external sources of innovation, it suggests a four-phase model in which a linear process - (1) obtaining, (2) integrating, and (3) commercializing external innovations - is combined with (4) interaction between the firm and its collaborators. This model is used to classify papers taken from the top 25 innovation journals, complemented by highly cited work beyond those journals. A review of 291 open innovation-related publications from these sources shows that the majority of these articles indeed address elements of this inbound open innovation process model. Specifically, it finds that researchers have front-loaded their examination of the leveraging process, with an emphasis on obtaining innovations from external sources. However, there is a relative dearth of research related to integrating and commercializing these innovations. Research on obtaining innovations includes searching, enabling, filtering, and acquiring - each category with its own specific set of mechanisms and conditions. Integrating innovations has been mostly studied from an absorptive capacity perspective, with less attention given to the impact of competencies and culture (including \"not invented here\"). Commercializing innovations puts the most emphasis on how external innovations create value rather than how firms capture value from those innovations. Finally, the interaction phase considers both feedback for the linear process and reciprocal innovation processes such as cocreation, network collaboration, and community innovation. This review and synthesis suggests several gaps in prior research. One is a tendency to ignore the importance of business models, despite their central role in distinguishing open innovation from earlier research on interorganizational collaboration in innovation. Another gap is a tendency in open innovation to use \"innovation\" in a way inconsistent with earlier definitions in innovation management. The paper concludes with recommendations for future research that include examining the end-to-end innovation commercialization process, and studying the moderators and limits of leveraging external sources of innovation. \u00a9 2013 Product Development &amp; Management Association.", "author" : [ { "dropping-particle" : "", "family" : "West", "given" : "Joel", "non-dropping-particle" : "", "parse-names" : false, "suffix" : "" }, { "dropping-particle" : "", "family" : "Bogers", "given" : "Marcel", "non-dropping-particle" : "", "parse-names" : false, "suffix" : "" } ], "container-title" : "Journal of Product Innovation Management", "id" : "ITEM-2", "issue" : "4", "issued" : { "date-parts" : [ [ "2014" ] ] }, "page" : "814-831", "title" : "Leveraging External Sources of Innovation: A Review of Research on Open Innovation", "type" : "article-journal", "volume" : "31" }, "uris" : [ "http://www.mendeley.com/documents/?uuid=681826f7-c487-4065-9f0a-99f927a8cd7b" ] } ], "mendeley" : { "formattedCitation" : "(Nakata &amp; Im, 2010; West &amp; Bogers, 2014)", "plainTextFormattedCitation" : "(Nakata &amp; Im, 2010; West &amp; Bogers, 2014)", "previouslyFormattedCitation" : "(Nakata &amp; Im, 2010; West &amp; Bogers, 2014)"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(Nakata &amp; Im, 2010; West &amp; Bogers, 2014)</w:t>
      </w:r>
      <w:r w:rsidRPr="006407E5">
        <w:rPr>
          <w:rFonts w:ascii="Times New Roman" w:hAnsi="Times New Roman" w:cs="Times New Roman"/>
        </w:rPr>
        <w:fldChar w:fldCharType="end"/>
      </w:r>
      <w:r w:rsidRPr="006407E5">
        <w:rPr>
          <w:rFonts w:ascii="Times New Roman" w:hAnsi="Times New Roman" w:cs="Times New Roman"/>
        </w:rPr>
        <w:t xml:space="preserve">. This research serves as an initial step in this direction </w:t>
      </w:r>
      <w:r>
        <w:rPr>
          <w:rFonts w:ascii="Times New Roman" w:hAnsi="Times New Roman" w:cs="Times New Roman"/>
        </w:rPr>
        <w:t>by assessing the performance impact when</w:t>
      </w:r>
      <w:r w:rsidRPr="006407E5">
        <w:rPr>
          <w:rFonts w:ascii="Times New Roman" w:hAnsi="Times New Roman" w:cs="Times New Roman"/>
        </w:rPr>
        <w:t xml:space="preserve"> supply chain managers deliberately orchestrate their supply chain resources.  In this study, the emergent resource orchestration theory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Hitt, Ireland, &amp; Gilbert, 2011)", "plainTextFormattedCitation" : "(Sirmon, Hitt, Ireland, &amp; Gilbert, 2011)", "previouslyFormattedCitation" : "(Sirmon, Hitt, Ireland, &amp; Gilbert,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(Sirmon, Hitt, Ireland, &amp; Gilbert, 2011)</w:t>
      </w:r>
      <w:r w:rsidRPr="006407E5">
        <w:rPr>
          <w:rFonts w:ascii="Times New Roman" w:hAnsi="Times New Roman" w:cs="Times New Roman"/>
        </w:rPr>
        <w:fldChar w:fldCharType="end"/>
      </w:r>
      <w:r w:rsidRPr="006407E5">
        <w:rPr>
          <w:rFonts w:ascii="Times New Roman" w:hAnsi="Times New Roman" w:cs="Times New Roman"/>
        </w:rPr>
        <w:t xml:space="preserve"> and a cross-sectional survey of 247 supply chain managers are applied to test a SCRO conceptualization and verify the moderating influence of entrepreneurial orientation. As a theoretical contribution, a new conceptual framework of SCRO is tested. At a practical level, the research findings guide supply chain managers about the need to synchronize resource structuring, bundling, and leveraging activities while considering the effect of attitudinal factors on innovation</w:t>
      </w:r>
      <w:r>
        <w:rPr>
          <w:rFonts w:ascii="Times New Roman" w:hAnsi="Times New Roman" w:cs="Times New Roman"/>
        </w:rPr>
        <w:t xml:space="preserve"> and financial performance</w:t>
      </w:r>
      <w:r w:rsidRPr="006407E5">
        <w:rPr>
          <w:rFonts w:ascii="Times New Roman" w:hAnsi="Times New Roman" w:cs="Times New Roman"/>
        </w:rPr>
        <w:t>.</w:t>
      </w:r>
    </w:p>
    <w:p w14:paraId="04C0A771" w14:textId="77777777" w:rsidR="009B07A6" w:rsidRPr="006407E5" w:rsidRDefault="009B07A6" w:rsidP="009B07A6">
      <w:pPr>
        <w:spacing w:line="480" w:lineRule="auto"/>
        <w:ind w:firstLine="720"/>
        <w:rPr>
          <w:rFonts w:ascii="Times New Roman" w:hAnsi="Times New Roman" w:cs="Times New Roman"/>
        </w:rPr>
      </w:pPr>
      <w:r w:rsidRPr="006407E5">
        <w:rPr>
          <w:rFonts w:ascii="Times New Roman" w:hAnsi="Times New Roman" w:cs="Times New Roman"/>
        </w:rPr>
        <w:lastRenderedPageBreak/>
        <w:t>This research investigate</w:t>
      </w:r>
      <w:r>
        <w:rPr>
          <w:rFonts w:ascii="Times New Roman" w:hAnsi="Times New Roman" w:cs="Times New Roman"/>
        </w:rPr>
        <w:t>s</w:t>
      </w:r>
      <w:r w:rsidRPr="006407E5">
        <w:rPr>
          <w:rFonts w:ascii="Times New Roman" w:hAnsi="Times New Roman" w:cs="Times New Roman"/>
        </w:rPr>
        <w:t xml:space="preserve"> three SCRO practices (sub-processes) of structuring, bundling, and leveraging of supply chain resources in detail. Following the methodology suggested by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"10.1016/j.jom.2005.01.002", "author" : [ { "dropping-particle" : "", "family" : "Li", "given" : "Suhong", "non-dropping-particle" : "", "parse-names" : false, "suffix" : "" }, { "dropping-particle" : "", "family" : "Rao", "given" : "S Subba", "non-dropping-particle" : "", "parse-names" : false, "suffix" : "" }, { "dropping-particle" : "", "family" : "Ragu-Nathan", "given" : "T S", "non-dropping-particle" : "", "parse-names" : false, "suffix" : "" }, { "dropping-particle" : "", "family" : "Ragu-Nathan", "given" : "Bhanu", "non-dropping-particle" : "", "parse-names" : false, "suffix" : "" } ], "container-title" : "Journal of Operations Management", "id" : "ITEM-1", "issued" : { "date-parts" : [ [ "2005" ] ] }, "page" : "618-641", "title" : "Development and validation of a measurement instrument for studying supply chain management practices", "type" : "article-journal", "volume" : "23" }, "uris" : [ "http://www.mendeley.com/documents/?uuid=4674cbd7-3b54-4a13-a106-48b9df0ae2dc" ] } ], "mendeley" : { "formattedCitation" : "(Li, Rao, Ragu-Nathan, &amp; Ragu-Nathan, 2005)", "plainTextFormattedCitation" : "(Li, Rao, Ragu-Nathan, &amp; Ragu-Nathan, 2005)", "previouslyFormattedCitation" : "(Li, Rao, Ragu-Nathan, &amp; Ragu-Nathan, 2005)"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(Li, Rao, Ragu-Nathan, &amp; Ragu-Nathan, 2005)</w:t>
      </w:r>
      <w:r w:rsidRPr="006407E5">
        <w:rPr>
          <w:rFonts w:ascii="Times New Roman" w:hAnsi="Times New Roman" w:cs="Times New Roman"/>
        </w:rPr>
        <w:fldChar w:fldCharType="end"/>
      </w:r>
      <w:r>
        <w:rPr>
          <w:rFonts w:ascii="Times New Roman" w:hAnsi="Times New Roman" w:cs="Times New Roman"/>
        </w:rPr>
        <w:t xml:space="preserve"> the </w:t>
      </w:r>
      <w:r w:rsidRPr="006407E5">
        <w:rPr>
          <w:rFonts w:ascii="Times New Roman" w:hAnsi="Times New Roman" w:cs="Times New Roman"/>
        </w:rPr>
        <w:t xml:space="preserve">conceptualization of SCRO </w:t>
      </w:r>
      <w:r>
        <w:rPr>
          <w:rFonts w:ascii="Times New Roman" w:hAnsi="Times New Roman" w:cs="Times New Roman"/>
        </w:rPr>
        <w:t xml:space="preserve">is tested </w:t>
      </w:r>
      <w:r w:rsidRPr="006407E5">
        <w:rPr>
          <w:rFonts w:ascii="Times New Roman" w:hAnsi="Times New Roman" w:cs="Times New Roman"/>
        </w:rPr>
        <w:t>and</w:t>
      </w:r>
      <w:r>
        <w:rPr>
          <w:rFonts w:ascii="Times New Roman" w:hAnsi="Times New Roman" w:cs="Times New Roman"/>
        </w:rPr>
        <w:t xml:space="preserve"> the measurement scale is validated</w:t>
      </w:r>
      <w:r w:rsidRPr="006407E5">
        <w:rPr>
          <w:rFonts w:ascii="Times New Roman" w:hAnsi="Times New Roman" w:cs="Times New Roman"/>
        </w:rPr>
        <w:t xml:space="preserve"> by utilizing structural equation modeling. This research </w:t>
      </w:r>
      <w:r>
        <w:rPr>
          <w:rFonts w:ascii="Times New Roman" w:hAnsi="Times New Roman" w:cs="Times New Roman"/>
        </w:rPr>
        <w:t>contributes by confirming the positive contribution of SCRO practices on organizational performance and by providing</w:t>
      </w:r>
      <w:r w:rsidRPr="006407E5">
        <w:rPr>
          <w:rFonts w:ascii="Times New Roman" w:hAnsi="Times New Roman" w:cs="Times New Roman"/>
        </w:rPr>
        <w:t xml:space="preserve"> a measurement instrument for studying managerial practices in the context of supply chain resource management and open innovation.</w:t>
      </w:r>
      <w:r w:rsidRPr="006407E5">
        <w:rPr>
          <w:rFonts w:ascii="Times New Roman" w:hAnsi="Times New Roman" w:cs="Times New Roman"/>
        </w:rPr>
        <w:br w:type="page"/>
      </w:r>
    </w:p>
    <w:p w14:paraId="6DE439F8" w14:textId="10ED15C2" w:rsidR="009B07A6" w:rsidRPr="006407E5" w:rsidRDefault="009B07A6" w:rsidP="007C7EB8">
      <w:pPr>
        <w:pStyle w:val="Heading2"/>
      </w:pPr>
      <w:bookmarkStart w:id="109" w:name="_Toc358326740"/>
      <w:r w:rsidRPr="006407E5">
        <w:lastRenderedPageBreak/>
        <w:t>I</w:t>
      </w:r>
      <w:r w:rsidR="0069202F">
        <w:t>ntroduction</w:t>
      </w:r>
      <w:bookmarkEnd w:id="109"/>
    </w:p>
    <w:p w14:paraId="6790C777"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 xml:space="preserve">Continuous innovation of its products, services, or processes has become a strategic imperative for most organizations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"abstract" : "The use of external sources for help with innovation is becoming increasingly prevalent. Rather than take an ad hoc approach, companies should develop a sourcing blueprint to obtain the consistent results they need.", "author" : [ { "dropping-particle" : "", "family" : "Linder", "given" : "Jane C.", "non-dropping-particle" : "", "parse-names" : false, "suffix" : "" }, { "dropping-particle" : "", "family" : "Jarvenpaa", "given" : "Sirkka", "non-dropping-particle" : "", "parse-names" : false, "suffix" : "" }, { "dropping-particle" : "", "family" : "Davenport", "given" : "Thomas H", "non-dropping-particle" : "", "parse-names" : false, "suffix" : "" } ], "container-title" : "MIT Sloan Management Review", "id" : "ITEM-1", "issue" : "4", "issued" : { "date-parts" : [ [ "2003" ] ] }, "page" : "43-49", "title" : "Toward an Innovation Sourcing Strategy", "type" : "article-journal", "volume" : "44" }, "uris" : [ "http://www.mendeley.com/documents/?uuid=27716433-2c9a-4fff-a9cf-14ca207837a8" ] } ], "mendeley" : { "formattedCitation" : "(Linder, Jarvenpaa, &amp; Davenport, 2003)", "plainTextFormattedCitation" : "(Linder, Jarvenpaa, &amp; Davenport, 2003)", "previouslyFormattedCitation" : "(Linder, Jarvenpaa, &amp; Davenport, 2003)"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(Linder, Jarvenpaa, &amp; Davenport, 2003)</w:t>
      </w:r>
      <w:r w:rsidRPr="006407E5">
        <w:rPr>
          <w:rFonts w:ascii="Times New Roman" w:hAnsi="Times New Roman" w:cs="Times New Roman"/>
        </w:rPr>
        <w:fldChar w:fldCharType="end"/>
      </w:r>
      <w:r w:rsidRPr="006407E5">
        <w:rPr>
          <w:rFonts w:ascii="Times New Roman" w:hAnsi="Times New Roman" w:cs="Times New Roman"/>
        </w:rPr>
        <w:t xml:space="preserve"> and was identified as the uppermost challenge for organizations today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"ITEM-1",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"(Wowak et al., 2016)", "plainTextFormattedCitation" : "(Wowak et al., 2016)", "previouslyFormattedCitation" : "(Wowak et al., 2016)"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(Wowak et al., 2016)</w:t>
      </w:r>
      <w:r w:rsidRPr="006407E5">
        <w:rPr>
          <w:rFonts w:ascii="Times New Roman" w:hAnsi="Times New Roman" w:cs="Times New Roman"/>
        </w:rPr>
        <w:fldChar w:fldCharType="end"/>
      </w:r>
      <w:r>
        <w:rPr>
          <w:rFonts w:ascii="Times New Roman" w:hAnsi="Times New Roman" w:cs="Times New Roman"/>
        </w:rPr>
        <w:t>.</w:t>
      </w:r>
      <w:r w:rsidRPr="006407E5">
        <w:rPr>
          <w:rFonts w:ascii="Times New Roman" w:hAnsi="Times New Roman" w:cs="Times New Roman"/>
        </w:rPr>
        <w:t xml:space="preserve"> For this research, innovation is defined as “implementing new ideas that create value”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"abstract" : "The use of external sources for help with innovation is becoming increasingly prevalent. Rather than take an ad hoc approach, companies should develop a sourcing blueprint to obtain the consistent results they need.", "author" : [ { "dropping-particle" : "", "family" : "Linder", "given" : "Jane C.", "non-dropping-particle" : "", "parse-names" : false, "suffix" : "" }, { "dropping-particle" : "", "family" : "Jarvenpaa", "given" : "Sirkka", "non-dropping-particle" : "", "parse-names" : false, "suffix" : "" }, { "dropping-particle" : "", "family" : "Davenport", "given" : "Thomas H", "non-dropping-particle" : "", "parse-names" : false, "suffix" : "" } ], "container-title" : "MIT Sloan Management Review", "id" : "ITEM-1", "issue" : "4", "issued" : { "date-parts" : [ [ "2003" ] ] }, "page" : "43-49", "title" : "Toward an Innovation Sourcing Strategy", "type" : "article-journal", "volume" : "44" }, "uris" : [ "http://www.mendeley.com/documents/?uuid=27716433-2c9a-4fff-a9cf-14ca207837a8" ] } ], "mendeley" : { "formattedCitation" : "(Linder et al., 2003)", "plainTextFormattedCitation" : "(Linder et al., 2003)", "previouslyFormattedCitation" : "(Linder et al., 2003)"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(Linder et al., 2003)</w:t>
      </w:r>
      <w:r w:rsidRPr="006407E5">
        <w:rPr>
          <w:rFonts w:ascii="Times New Roman" w:hAnsi="Times New Roman" w:cs="Times New Roman"/>
        </w:rPr>
        <w:fldChar w:fldCharType="end"/>
      </w:r>
      <w:r w:rsidRPr="006407E5">
        <w:rPr>
          <w:rFonts w:ascii="Times New Roman" w:hAnsi="Times New Roman" w:cs="Times New Roman"/>
        </w:rPr>
        <w:t xml:space="preserve">. In many industries, at least half of the current revenues depend on newly developed products and services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"Schilling", "given" : "Melissa A", "non-dropping-particle" : "", "parse-names" : false, "suffix" : "" }, { "dropping-particle" : "", "family" : "Hill", "given" : "Charles W L", "non-dropping-particle" : "", "parse-names" : false, "suffix" : "" } ], "container-title" : "Academy of Management Executive", "id" : "ITEM-1", "issue" : "3", "issued" : { "date-parts" : [ [ "1998" ] ] }, "page" : "67-81", "title" : "Managing the new product development process: Strategic imperatives", "type" : "article-journal", "volume" : "12" }, "uris" : [ "http://www.mendeley.com/documents/?uuid=af795d03-e2ea-4e50-ba34-10de49208ce0" ] } ], "mendeley" : { "formattedCitation" : "(Schilling &amp; Hill, 1998)", "plainTextFormattedCitation" : "(Schilling &amp; Hill, 1998)", "previouslyFormattedCitation" : "(Schilling &amp; Hill, 1998)"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(Schilling &amp; Hill, 1998)</w:t>
      </w:r>
      <w:r w:rsidRPr="006407E5">
        <w:rPr>
          <w:rFonts w:ascii="Times New Roman" w:hAnsi="Times New Roman" w:cs="Times New Roman"/>
        </w:rPr>
        <w:fldChar w:fldCharType="end"/>
      </w:r>
      <w:r w:rsidRPr="006407E5">
        <w:rPr>
          <w:rFonts w:ascii="Times New Roman" w:hAnsi="Times New Roman" w:cs="Times New Roman"/>
        </w:rPr>
        <w:t xml:space="preserv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"Cooper", "given" : "Robert G", "non-dropping-particle" : "", "parse-names" : false, "suffix" : "" }, { "dropping-particle" : "", "family" : "Edgett", "given" : "Scott J", "non-dropping-particle" : "", "parse-names" : false, "suffix" : "" } ], "container-title" : "Research Technology Management", "id" : "ITEM-1", "issued" : { "date-parts" : [ [ "2003" ] ] }, "page" : "48-58", "title" : "Overcoming the crunch in resources for new product development", "type" : "article-journal", "volume" : "46" }, "uris" : [ "http://www.mendeley.com/documents/?uuid=c783368a-24b2-48ad-aa24-10d959ed6e5d" ] }, { "id" : "ITEM-2", "itemData" : { "ISSN" : "0166-4972", "author" : [ { "dropping-particle" : "De", "family" : "Visser", "given" : "Matthias", "non-dropping-particle" : "", "parse-names" : false, "suffix" : "" }, { "dropping-particle" : "De", "family" : "Weerd-Nederhof", "given" : "Petra", "non-dropping-particle" : "", "parse-names" : false, "suffix" : "" }, { "dropping-particle" : "", "family" : "Faems", "given" : "Dries", "non-dropping-particle" : "", "parse-names" : false, "suffix" : "" }, { "dropping-particle" : "", "family" : "Song", "given" : "Michael", "non-dropping-particle" : "", "parse-names" : false, "suffix" : "" }, { "dropping-particle" : "Van", "family" : "Looy", "given" : "Bart", "non-dropping-particle" : "", "parse-names" : false, "suffix" : "" }, { "dropping-particle" : "", "family" : "Visscher", "given" : "Klaasjan", "non-dropping-particle" : "", "parse-names" : false, "suffix" : "" } ], "container-title" : "Technovation", "id" : "ITEM-2", "issue" : "5-6", "issued" : { "date-parts" : [ [ "2010" ] ] }, "page" : "291-299", "publisher" : "Elsevier", "title" : "Structural ambidexterity in NPD processes: A firm-level assessment of the impact of differentiated structures on innovation performance", "type" : "article-journal", "volume" : "30" }, "uris" : [ "http://www.mendeley.com/documents/?uuid=fb9acdc4-f820-4b08-b0f2-ba296385cfe0" ] }, { "id" : "ITEM-3", "itemData" : { "author" : [ { "dropping-particle" : "", "family" : "Schilling", "given" : "Melissa A", "non-dropping-particle" : "", "parse-names" : false, "suffix" : "" }, { "dropping-particle" : "", "family" : "Hill", "given" : "Charles W L", "non-dropping-particle" : "", "parse-names" : false, "suffix" : "" } ], "container-title" : "Academy of Management Executive", "id" : "ITEM-3", "issue" : "3", "issued" : { "date-parts" : [ [ "1998" ] ] }, "page" : "67-81", "title" : "Managing the new product development process: Strategic imperatives", "type" : "article-journal", "volume" : "12" }, "uris" : [ "http://www.mendeley.com/documents/?uuid=af795d03-e2ea-4e50-ba34-10de49208ce0" ] } ], "mendeley" : { "formattedCitation" : "(Cooper &amp; Edgett, 2003; Schilling &amp; Hill, 1998; Visser et al., 2010)", "plainTextFormattedCitation" : "(Cooper &amp; Edgett, 2003; Schilling &amp; Hill, 1998; Visser et al., 2010)", "previouslyFormattedCitation" : "(Cooper &amp; Edgett, 2003; Schilling &amp; Hill, 1998; Visser et al., 2010)"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(Cooper &amp; Edgett, 2003; Schilling &amp; Hill, 1998; Visser et al., 2010)</w:t>
      </w:r>
      <w:r w:rsidRPr="006407E5">
        <w:rPr>
          <w:rFonts w:ascii="Times New Roman" w:hAnsi="Times New Roman" w:cs="Times New Roman"/>
        </w:rPr>
        <w:fldChar w:fldCharType="end"/>
      </w:r>
      <w:r w:rsidRPr="006407E5">
        <w:rPr>
          <w:rFonts w:ascii="Times New Roman" w:hAnsi="Times New Roman" w:cs="Times New Roman"/>
        </w:rPr>
        <w:t xml:space="preserve">. Innovation has become a strategic top priority on the corporate level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"10.1111/jpim.12273", "ISBN" : "9781617796029", "ISSN" : "15405885", "PMID" : "8190083", "abstract" : "The constant and successful market introduction of new products is of major concern to companies throughout all industries. However, empirical research points to high failure rates of innovations, indicating that most new products fail as they are rejected by consumers due to their resistance to innovation. Several studies have confirmed the importance of passive innovation resistance as a dominant barrier, which has to be overcome before new product adoption can start. However, empirical evidence on how to overcome passive innovation resistance is still lacking. This study intends to address this gap by evaluating the effectiveness of marketing instruments (i.e., mental simulation and benefit comparison) to reduce negative effects of passive innovation resistance on new product adoption. The results of a scenario-based experiment (n = 679) confirm high effectiveness for both instruments. However, the effectiveness varied with the type of passive innovation resistance present. More specifically, mental simulation was found to be the most effective instrument in the case of cognitive passive resistance, whereas benefit comparison was found to be most effective in the case of situational passive resistance. Thereby, the effect of both marketing instruments was stronger the more radical the new product was perceived. Hence, companies should assess the type of passive innovation resistance that is predominant in their target market, and align their choice of marketing instruments that accompany a new product launch to most effectively overcome passive innovation resistance. Employing such new product launch tactics should decrease initial market resistance and thus help companies in reducing innovation failure rates", "author" : [ { "dropping-particle" : "", "family" : "Heidenreich", "given" : "Sven", "non-dropping-particle" : "", "parse-names" : false, "suffix" : "" }, { "dropping-particle" : "", "family" : "Kraemer", "given" : "Tobias", "non-dropping-particle" : "", "parse-names" : false, "suffix" : "" } ], "container-title" : "Journal of Product Innovation Management", "id" : "ITEM-1", "issue" : "3", "issued" : { "date-parts" : [ [ "2016" ] ] }, "page" : "277-297", "title" : "Innovations - Doomed to Fail? Investigating Strategies to Overcome Passive Innovation Resistance", "type" : "article-journal", "volume" : "33" }, "uris" : [ "http://www.mendeley.com/documents/?uuid=ce5e3cb7-eb16-43ca-92a5-d1076cc4842a" ] }, { "id" : "ITEM-2", "itemData" : { "author" : [ { "dropping-particle" : "", "family" : "Oke", "given" : "Adegoke", "non-dropping-particle" : "", "parse-names" : false, "suffix" : "" }, { "dropping-particle" : "", "family" : "Prajogo", "given" : "Daniel I", "non-dropping-particle" : "", "parse-names" : false, "suffix" : "" }, { "dropping-particle" : "", "family" : "Yayaram", "given" : "Jayanth", "non-dropping-particle" : "", "parse-names" : false, "suffix" : "" } ], "container-title" : "Journal of Supply Chain Management", "id" : "ITEM-2", "issue" : "4", "issued" : { "date-parts" : [ [ "2013" ] ] }, "page" : "43-58", "title" : "STRENGTHENING THE INNOVATION CHAIN: THE ROLE OF INTERNAL INNOVATION CLIMATE AND STRATEGIC RELATIONSHIPS WITH SUPPLY CHAIN PARTNERS", "type" : "article-journal", "volume" : "49" }, "uris" : [ "http://www.mendeley.com/documents/?uuid=a24392ea-9943-4c6d-abc7-90a89f2725fa" ] }, { "id" : "ITEM-3", "itemData" : { "author" : [ { "dropping-particle" : "", "family" : "Song", "given" : "Michael", "non-dropping-particle" : "", "parse-names" : false, "suffix" : "" }, { "dropping-particle" : "", "family" : "Montoya-Weiss", "given" : "Mitzi M", "non-dropping-particle" : "", "parse-names" : false, "suffix" : "" } ], "container-title" : "Academy of Management Journal", "id" : "ITEM-3", "issue" : "1", "issued" : { "date-parts" : [ [ "2001" ] ] }, "page" : "61-80", "title" : "The Effect of Perceived Technological Uncertainty on Japanese New Product Development", "type" : "article-journal", "volume" : "44" }, "uris" : [ "http://www.mendeley.com/documents/?uuid=19430933-958b-4acc-a471-0afc88cdf2f1" ] } ], "mendeley" : { "formattedCitation" : "(Heidenreich &amp; Kraemer, 2016; Oke, Prajogo, &amp; Yayaram, 2013; Song &amp; Montoya-Weiss, 2001)", "plainTextFormattedCitation" : "(Heidenreich &amp; Kraemer, 2016; Oke, Prajogo, &amp; Yayaram, 2013; Song &amp; Montoya-Weiss, 2001)", "previouslyFormattedCitation" : "(Heidenreich &amp; Kraemer, 2016; Oke, Prajogo, &amp; Yayaram, 2013; Song &amp; Montoya-Weiss, 2001)"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(Heidenreich &amp; Kraemer, 2016; Oke, Prajogo, &amp; Yayaram, 2013; Song &amp; Montoya-Weiss, 2001)</w:t>
      </w:r>
      <w:r w:rsidRPr="006407E5">
        <w:rPr>
          <w:rFonts w:ascii="Times New Roman" w:hAnsi="Times New Roman" w:cs="Times New Roman"/>
        </w:rPr>
        <w:fldChar w:fldCharType="end"/>
      </w:r>
      <w:r w:rsidRPr="006407E5">
        <w:rPr>
          <w:rFonts w:ascii="Times New Roman" w:hAnsi="Times New Roman" w:cs="Times New Roman"/>
        </w:rPr>
        <w:t xml:space="preserve">, and the supply chain function adopted innovation as one of the five main competitive priorities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"10.1016/S0272-6963(01)00047-X", "ISBN" : "0272-6963", "ISSN" : "02726963", "abstract" : "The purpose of this paper is to develop a set of measures of purchasing's competitive priorities. We maintain that purchasing is a strategic contributor to the firm, and that the selection and retention of external suppliers is a fundamental and strategic purchasing task that manifests the function's competitive priorities. Researchers and managers increasingly view the operations and purchasing functions as intimately linked, and as playing important roles in supply chain management. Ultimately, the performance of the operations management system, measured in terms of quality, cost, delivery and flexibility, depends on inputs secured by the purchasing function from the firm's suppliers. However, in a search for substantive relationships, the purchasing literature has largely overlooked methodological issues such as measurement. Using empirical data collected from North American purchasing executives, a confirmatory factor analysis provides evidence that purchasing's competitive priorities may be conceptualized similarly to the competitive priorities in operations, with key differences. The measures satisfy key measurement criteria including unidimensionality, convergent validity, discriminant validity, and reliability. Five competitive priorities form the basis of a multidimensional measure of purchasing's competitive priorities, the individual factors of which will allow for the examination of linkages between purchasing, operations and other parts of the supply chain. ?? 2001 Elsevier Science B.V.", "author" : [ { "dropping-particle" : "", "family" : "Krause", "given" : "Daniel R.", "non-dropping-particle" : "", "parse-names" : false, "suffix" : "" }, { "dropping-particle" : "", "family" : "Pagell", "given" : "Mark", "non-dropping-particle" : "", "parse-names" : false, "suffix" : "" }, { "dropping-particle" : "", "family" : "Curkovic", "given" : "Sime", "non-dropping-particle" : "", "parse-names" : false, "suffix" : "" } ], "container-title" : "Journal of Operations Management", "id" : "ITEM-1", "issued" : { "date-parts" : [ [ "2001" ] ] }, "page" : "497-512", "title" : "Toward a measure of competitive priorities for purchasing", "type" : "article-journal", "volume" : "19" }, "uris" : [ "http://www.mendeley.com/documents/?uuid=9215c43c-cc65-4e90-abca-cc57d92fa3bd" ] } ], "mendeley" : { "formattedCitation" : "(Krause, Pagell, &amp; Curkovic, 2001)", "plainTextFormattedCitation" : "(Krause, Pagell, &amp; Curkovic, 2001)", "previouslyFormattedCitation" : "(Krause, Pagell, &amp; Curkovic, 2001)"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(Krause, Pagell, &amp; Curkovic, 2001)</w:t>
      </w:r>
      <w:r w:rsidRPr="006407E5">
        <w:rPr>
          <w:rFonts w:ascii="Times New Roman" w:hAnsi="Times New Roman" w:cs="Times New Roman"/>
        </w:rPr>
        <w:fldChar w:fldCharType="end"/>
      </w:r>
      <w:r w:rsidRPr="006407E5">
        <w:rPr>
          <w:rFonts w:ascii="Times New Roman" w:hAnsi="Times New Roman" w:cs="Times New Roman"/>
        </w:rPr>
        <w:t>. Hence, a critical question for supply chain managers became how to effectively support the organization’s innovation and financial performance.</w:t>
      </w:r>
    </w:p>
    <w:p w14:paraId="3841217C" w14:textId="77777777" w:rsidR="009B07A6" w:rsidRPr="006407E5" w:rsidRDefault="009B07A6" w:rsidP="00377F5F">
      <w:pPr>
        <w:spacing w:line="480" w:lineRule="auto"/>
        <w:jc w:val="both"/>
        <w:rPr>
          <w:rFonts w:ascii="Times New Roman" w:hAnsi="Times New Roman" w:cs="Times New Roman"/>
        </w:rPr>
      </w:pPr>
    </w:p>
    <w:p w14:paraId="35AE5230"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noProof/>
        </w:rPr>
        <w:drawing>
          <wp:inline distT="0" distB="0" distL="0" distR="0" wp14:anchorId="12BD0684" wp14:editId="78AFA142">
            <wp:extent cx="4000500" cy="205153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01194" cy="2051894"/>
                    </a:xfrm>
                    <a:prstGeom prst="rect">
                      <a:avLst/>
                    </a:prstGeom>
                    <a:noFill/>
                    <a:ln>
                      <a:noFill/>
                    </a:ln>
                  </pic:spPr>
                </pic:pic>
              </a:graphicData>
            </a:graphic>
          </wp:inline>
        </w:drawing>
      </w:r>
    </w:p>
    <w:p w14:paraId="1CF2C6FD" w14:textId="2E9038CB" w:rsidR="0021701B" w:rsidRDefault="0021701B" w:rsidP="0021701B">
      <w:pPr>
        <w:pStyle w:val="Caption"/>
        <w:keepNext/>
        <w:jc w:val="both"/>
      </w:pPr>
      <w:bookmarkStart w:id="110" w:name="_Ref358321385"/>
      <w:bookmarkStart w:id="111" w:name="_Toc358326881"/>
      <w:bookmarkStart w:id="112" w:name="_Ref358321373"/>
      <w:r>
        <w:t xml:space="preserve">Figure </w:t>
      </w:r>
      <w:fldSimple w:instr=" SEQ Figure \* ARABIC ">
        <w:r w:rsidR="00C2793E">
          <w:rPr>
            <w:noProof/>
          </w:rPr>
          <w:t>7</w:t>
        </w:r>
      </w:fldSimple>
      <w:bookmarkEnd w:id="110"/>
      <w:r w:rsidR="00F6231D">
        <w:t xml:space="preserve"> -</w:t>
      </w:r>
      <w:r>
        <w:t xml:space="preserve"> </w:t>
      </w:r>
      <w:r w:rsidRPr="006407E5">
        <w:rPr>
          <w:rFonts w:cs="Times New Roman"/>
        </w:rPr>
        <w:t xml:space="preserve">High </w:t>
      </w:r>
      <w:r w:rsidR="00F6231D">
        <w:rPr>
          <w:rFonts w:cs="Times New Roman"/>
        </w:rPr>
        <w:t>F</w:t>
      </w:r>
      <w:r w:rsidRPr="006407E5">
        <w:rPr>
          <w:rFonts w:cs="Times New Roman"/>
        </w:rPr>
        <w:t xml:space="preserve">ailure </w:t>
      </w:r>
      <w:r w:rsidR="00F6231D">
        <w:rPr>
          <w:rFonts w:cs="Times New Roman"/>
        </w:rPr>
        <w:t>R</w:t>
      </w:r>
      <w:r w:rsidRPr="006407E5">
        <w:rPr>
          <w:rFonts w:cs="Times New Roman"/>
        </w:rPr>
        <w:t>ate</w:t>
      </w:r>
      <w:r w:rsidR="00F6231D">
        <w:rPr>
          <w:rFonts w:cs="Times New Roman"/>
        </w:rPr>
        <w:t>s</w:t>
      </w:r>
      <w:r w:rsidRPr="006407E5">
        <w:rPr>
          <w:rFonts w:cs="Times New Roman"/>
        </w:rPr>
        <w:t xml:space="preserve"> of </w:t>
      </w:r>
      <w:r w:rsidR="00F6231D">
        <w:rPr>
          <w:rFonts w:cs="Times New Roman"/>
        </w:rPr>
        <w:t>I</w:t>
      </w:r>
      <w:r w:rsidRPr="006407E5">
        <w:rPr>
          <w:rFonts w:cs="Times New Roman"/>
        </w:rPr>
        <w:t xml:space="preserve">nnovation </w:t>
      </w:r>
      <w:r w:rsidR="00F6231D">
        <w:rPr>
          <w:rFonts w:cs="Times New Roman"/>
        </w:rPr>
        <w:t>A</w:t>
      </w:r>
      <w:r w:rsidRPr="006407E5">
        <w:rPr>
          <w:rFonts w:cs="Times New Roman"/>
        </w:rPr>
        <w:t>ctivities</w:t>
      </w:r>
      <w:r>
        <w:rPr>
          <w:rFonts w:cs="Times New Roman"/>
        </w:rPr>
        <w:t xml:space="preserve"> </w:t>
      </w:r>
      <w:r w:rsidRPr="006407E5">
        <w:rPr>
          <w:rFonts w:cs="Times New Roman"/>
        </w:rPr>
        <w:fldChar w:fldCharType="begin" w:fldLock="1"/>
      </w:r>
      <w:r w:rsidRPr="006407E5">
        <w:rPr>
          <w:rFonts w:cs="Times New Roman"/>
        </w:rPr>
        <w:instrText>ADDIN CSL_CITATION { "citationItems" : [ { "id" : "ITEM-1", "itemData" : { "DOI" : "10.1111/j.1540-5885.2012.01009.x", "ISBN" : "1540-5885", "ISSN" : "07376782", "PMID" : "89549053", "abstract" : "A persistent myth in product innovation and management is that the failure rate of new products is 80% or higher. How does this false idea continue to displace the conclusions of empirical studies since 1977 that the new product failure rate is 40% or less? We examine the influence of a fallacy that encourages people's unthinking acceptance of ideas on new product failure rates and whose appeal rests primarily on an emotional, rather than a reasoned, argument. Self-interest also plays a major role in keeping this myth alive.", "author" : [ { "dropping-particle" : "", "family" : "Castellion", "given" : "George", "non-dropping-particle" : "", "parse-names" : false, "suffix" : "" }, { "dropping-particle" : "", "family" : "Markham", "given" : "Stephen K.", "non-dropping-particle" : "", "parse-names" : false, "suffix" : "" } ], "container-title" : "Journal of Product Innovation Management", "id" : "ITEM-1", "issue" : "5", "issued" : { "date-parts" : [ [ "2013" ] ] }, "page" : "976-979", "title" : "Perspective: New product failure rates: Influence of Argumentum ad populum and self-interest", "type" : "article-journal", "volume" : "30" }, "uris" : [ "http://www.mendeley.com/documents/?uuid=eba29b4c-72ff-45e7-987c-33bc11ae1f44" ] }, { "id" : "ITEM-2",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"ITEM-2",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"(Castellion &amp; Markham, 2013; Wowak et al., 2016)", "manualFormatting" : "(Wowak et al., 2016)", "plainTextFormattedCitation" : "(Castellion &amp; Markham, 2013; Wowak et al., 2016)", "previouslyFormattedCitation" : "(Castellion &amp; Markham, 2013; Wowak et al., 2016)" }, "properties" : { "noteIndex" : 0 }, "schema" : "https://github.com/citation-style-language/schema/raw/master/csl-citation.json" }</w:instrText>
      </w:r>
      <w:r w:rsidRPr="006407E5">
        <w:rPr>
          <w:rFonts w:cs="Times New Roman"/>
        </w:rPr>
        <w:fldChar w:fldCharType="separate"/>
      </w:r>
      <w:r w:rsidRPr="006407E5">
        <w:rPr>
          <w:rFonts w:cs="Times New Roman"/>
          <w:noProof/>
        </w:rPr>
        <w:t>(Wowak et al., 2016)</w:t>
      </w:r>
      <w:bookmarkEnd w:id="111"/>
      <w:r w:rsidRPr="006407E5">
        <w:rPr>
          <w:rFonts w:cs="Times New Roman"/>
        </w:rPr>
        <w:fldChar w:fldCharType="end"/>
      </w:r>
      <w:bookmarkEnd w:id="112"/>
    </w:p>
    <w:p w14:paraId="7B93C17E" w14:textId="3DA42CAE" w:rsidR="009B07A6" w:rsidRPr="006407E5" w:rsidRDefault="0021701B" w:rsidP="00377F5F">
      <w:pPr>
        <w:jc w:val="both"/>
        <w:rPr>
          <w:rFonts w:ascii="Times New Roman" w:hAnsi="Times New Roman" w:cs="Times New Roman"/>
        </w:rPr>
      </w:pPr>
      <w:r>
        <w:rPr>
          <w:rFonts w:ascii="Times New Roman" w:hAnsi="Times New Roman" w:cs="Times New Roman"/>
        </w:rPr>
        <w:t xml:space="preserve"> </w:t>
      </w:r>
    </w:p>
    <w:p w14:paraId="6E72F89B" w14:textId="77777777" w:rsidR="009B07A6" w:rsidRPr="006407E5" w:rsidRDefault="009B07A6" w:rsidP="00377F5F">
      <w:pPr>
        <w:spacing w:line="480" w:lineRule="auto"/>
        <w:jc w:val="both"/>
        <w:rPr>
          <w:rFonts w:ascii="Times New Roman" w:hAnsi="Times New Roman" w:cs="Times New Roman"/>
        </w:rPr>
      </w:pPr>
    </w:p>
    <w:p w14:paraId="4BB839A2" w14:textId="13F6632D"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 xml:space="preserve">The failure rates of innovation activities are debated in the literature, and may range between 35% and 70% in practice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"10.1111/j.1540-5885.2012.01009.x", "ISBN" : "1540-5885", "ISSN" : "07376782", "PMID" : "89549053", "abstract" : "A persistent myth in product innovation and management is that the failure rate of new products is 80% or higher. How does this false idea continue to displace the conclusions of empirical studies since 1977 that the new product failure rate is 40% or less? We examine the influence of a fallacy that encourages people's unthinking acceptance of ideas on new product failure rates and whose appeal rests primarily on an emotional, rather than a reasoned, argument. Self-interest also plays a major role in keeping this myth alive.", "author" : [ { "dropping-particle" : "", "family" : "Castellion", "given" : "George", "non-dropping-particle" : "", "parse-names" : false, "suffix" : "" }, { "dropping-particle" : "", "family" : "Markham", "given" : "Stephen K.", "non-dropping-particle" : "", "parse-names" : false, "suffix" : "" } ], "container-title" : "Journal of Product Innovation Management", "id" : "ITEM-1", "issue" : "5", "issued" : { "date-parts" : [ [ "2013" ] ] }, "page" : "976-979", "title" : "Perspective: New product failure rates: Influence of Argumentum ad populum and self-interest", "type" : "article-journal", "volume" : "30" }, "uris" : [ "http://www.mendeley.com/documents/?uuid=eba29b4c-72ff-45e7-987c-33bc11ae1f44" ] } ], "mendeley" : { "formattedCitation" : "(Castellion &amp; Markham, 2013)", "plainTextFormattedCitation" : "(Castellion &amp; Markham, 2013)", "previouslyFormattedCitation" : "(Castellion &amp; Markham, 2013)"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(Castellion &amp; Markham, 2013)</w:t>
      </w:r>
      <w:r w:rsidRPr="006407E5">
        <w:rPr>
          <w:rFonts w:ascii="Times New Roman" w:hAnsi="Times New Roman" w:cs="Times New Roman"/>
        </w:rPr>
        <w:fldChar w:fldCharType="end"/>
      </w:r>
      <w:r w:rsidRPr="006407E5">
        <w:rPr>
          <w:rFonts w:ascii="Times New Roman" w:hAnsi="Times New Roman" w:cs="Times New Roman"/>
        </w:rPr>
        <w:t xml:space="preserve">. Many scholars agree that the risks of new development projects are high. </w:t>
      </w:r>
      <w:r w:rsidR="0021701B">
        <w:rPr>
          <w:rFonts w:ascii="Times New Roman" w:hAnsi="Times New Roman" w:cs="Times New Roman"/>
        </w:rPr>
        <w:t xml:space="preserve">As </w:t>
      </w:r>
      <w:r w:rsidR="0021701B">
        <w:rPr>
          <w:rFonts w:ascii="Times New Roman" w:hAnsi="Times New Roman" w:cs="Times New Roman"/>
        </w:rPr>
        <w:fldChar w:fldCharType="begin"/>
      </w:r>
      <w:r w:rsidR="0021701B">
        <w:rPr>
          <w:rFonts w:ascii="Times New Roman" w:hAnsi="Times New Roman" w:cs="Times New Roman"/>
        </w:rPr>
        <w:instrText xml:space="preserve"> REF _Ref358321385 \h </w:instrText>
      </w:r>
      <w:r w:rsidR="0021701B">
        <w:rPr>
          <w:rFonts w:ascii="Times New Roman" w:hAnsi="Times New Roman" w:cs="Times New Roman"/>
        </w:rPr>
      </w:r>
      <w:r w:rsidR="0021701B">
        <w:rPr>
          <w:rFonts w:ascii="Times New Roman" w:hAnsi="Times New Roman" w:cs="Times New Roman"/>
        </w:rPr>
        <w:fldChar w:fldCharType="separate"/>
      </w:r>
      <w:r w:rsidR="00C2793E">
        <w:t xml:space="preserve">Figure </w:t>
      </w:r>
      <w:r w:rsidR="00C2793E">
        <w:rPr>
          <w:noProof/>
        </w:rPr>
        <w:t>7</w:t>
      </w:r>
      <w:r w:rsidR="0021701B">
        <w:rPr>
          <w:rFonts w:ascii="Times New Roman" w:hAnsi="Times New Roman" w:cs="Times New Roman"/>
        </w:rPr>
        <w:fldChar w:fldCharType="end"/>
      </w:r>
      <w:r w:rsidRPr="006407E5">
        <w:rPr>
          <w:rFonts w:ascii="Times New Roman" w:hAnsi="Times New Roman" w:cs="Times New Roman"/>
        </w:rPr>
        <w:t xml:space="preserve"> above illustrates, the </w:t>
      </w:r>
      <w:r w:rsidRPr="006407E5">
        <w:rPr>
          <w:rFonts w:ascii="Times New Roman" w:hAnsi="Times New Roman" w:cs="Times New Roman"/>
        </w:rPr>
        <w:lastRenderedPageBreak/>
        <w:t xml:space="preserve">new product and service innovation process is inherently risky, and relatively high failure rates have been documented in various industries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"ITEM-1",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"(Wowak et al., 2016)", "plainTextFormattedCitation" : "(Wowak et al., 2016)", "previouslyFormattedCitation" : "(Wowak et al., 2016)"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(Wowak et al., 2016)</w:t>
      </w:r>
      <w:r w:rsidRPr="006407E5">
        <w:rPr>
          <w:rFonts w:ascii="Times New Roman" w:hAnsi="Times New Roman" w:cs="Times New Roman"/>
        </w:rPr>
        <w:fldChar w:fldCharType="end"/>
      </w:r>
      <w:r w:rsidRPr="006407E5">
        <w:rPr>
          <w:rFonts w:ascii="Times New Roman" w:hAnsi="Times New Roman" w:cs="Times New Roman"/>
        </w:rPr>
        <w:t xml:space="preserve">. On one hand, many development projects never result in a commercial offering in the market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"10.1111/jpim.12322", "author" : [ { "dropping-particle" : "", "family" : "Hu", "given" : "Yansong", "non-dropping-particle" : "", "parse-names" : false, "suffix" : "" }, { "dropping-particle" : "", "family" : "McNamara", "given" : "Peter", "non-dropping-particle" : "", "parse-names" : false, "suffix" : "" }, { "dropping-particle" : "", "family" : "Piaskowska", "given" : "Dorota", "non-dropping-particle" : "", "parse-names" : false, "suffix" : "" } ], "container-title" : "Journal of Product Innovation Management", "id" : "ITEM-1", "issue" : "1", "issued" : { "date-parts" : [ [ "2017" ] ] }, "page" : "35-59", "title" : "Project Suspensions and Failures in New Product Development: Returns for Entrepreneurial Firms in Co-Development Alliances", "type" : "article-journal", "volume" : "34" }, "uris" : [ "http://www.mendeley.com/documents/?uuid=7de23b26-18c6-401c-bc97-8041f3b2fb7e" ] }, { "id" : "ITEM-2", "itemData" : { "DOI" : "10.1111/jpim.12273", "ISBN" : "9781617796029", "ISSN" : "15405885", "PMID" : "8190083", "abstract" : "The constant and successful market introduction of new products is of major concern to companies throughout all industries. However, empirical research points to high failure rates of innovations, indicating that most new products fail as they are rejected by consumers due to their resistance to innovation. Several studies have confirmed the importance of passive innovation resistance as a dominant barrier, which has to be overcome before new product adoption can start. However, empirical evidence on how to overcome passive innovation resistance is still lacking. This study intends to address this gap by evaluating the effectiveness of marketing instruments (i.e., mental simulation and benefit comparison) to reduce negative effects of passive innovation resistance on new product adoption. The results of a scenario-based experiment (n = 679) confirm high effectiveness for both instruments. However, the effectiveness varied with the type of passive innovation resistance present. More specifically, mental simulation was found to be the most effective instrument in the case of cognitive passive resistance, whereas benefit comparison was found to be most effective in the case of situational passive resistance. Thereby, the effect of both marketing instruments was stronger the more radical the new product was perceived. Hence, companies should assess the type of passive innovation resistance that is predominant in their target market, and align their choice of marketing instruments that accompany a new product launch to most effectively overcome passive innovation resistance. Employing such new product launch tactics should decrease initial market resistance and thus help companies in reducing innovation failure rates", "author" : [ { "dropping-particle" : "", "family" : "Heidenreich", "given" : "Sven", "non-dropping-particle" : "", "parse-names" : false, "suffix" : "" }, { "dropping-particle" : "", "family" : "Kraemer", "given" : "Tobias", "non-dropping-particle" : "", "parse-names" : false, "suffix" : "" } ], "container-title" : "Journal of Product Innovation Management", "id" : "ITEM-2", "issue" : "3", "issued" : { "date-parts" : [ [ "2016" ] ] }, "page" : "277-297", "title" : "Innovations - Doomed to Fail? Investigating Strategies to Overcome Passive Innovation Resistance", "type" : "article-journal", "volume" : "33" }, "uris" : [ "http://www.mendeley.com/documents/?uuid=ce5e3cb7-eb16-43ca-92a5-d1076cc4842a" ] } ], "mendeley" : { "formattedCitation" : "(Heidenreich &amp; Kraemer, 2016; Hu, McNamara, &amp; Piaskowska, 2017)", "plainTextFormattedCitation" : "(Heidenreich &amp; Kraemer, 2016; Hu, McNamara, &amp; Piaskowska, 2017)", "previouslyFormattedCitation" : "(Heidenreich &amp; Kraemer, 2016; Hu, McNamara, &amp; Piaskowska, 2017)"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(Heidenreich &amp; Kraemer, 2016; Hu, McNamara, &amp; Piaskowska, 2017)</w:t>
      </w:r>
      <w:r w:rsidRPr="006407E5">
        <w:rPr>
          <w:rFonts w:ascii="Times New Roman" w:hAnsi="Times New Roman" w:cs="Times New Roman"/>
        </w:rPr>
        <w:fldChar w:fldCharType="end"/>
      </w:r>
      <w:r w:rsidRPr="006407E5">
        <w:rPr>
          <w:rFonts w:ascii="Times New Roman" w:hAnsi="Times New Roman" w:cs="Times New Roman"/>
        </w:rPr>
        <w:t xml:space="preserve">. From the few that reach the market, on the other hand, a lot of the newly introduced products fail to succeed financially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"10.1111/j.1540-5885.2012.01009.x", "ISBN" : "1540-5885", "ISSN" : "07376782", "PMID" : "89549053", "abstract" : "A persistent myth in product innovation and management is that the failure rate of new products is 80% or higher. How does this false idea continue to displace the conclusions of empirical studies since 1977 that the new product failure rate is 40% or less? We examine the influence of a fallacy that encourages people's unthinking acceptance of ideas on new product failure rates and whose appeal rests primarily on an emotional, rather than a reasoned, argument. Self-interest also plays a major role in keeping this myth alive.", "author" : [ { "dropping-particle" : "", "family" : "Castellion", "given" : "George", "non-dropping-particle" : "", "parse-names" : false, "suffix" : "" }, { "dropping-particle" : "", "family" : "Markham", "given" : "Stephen K.", "non-dropping-particle" : "", "parse-names" : false, "suffix" : "" } ], "container-title" : "Journal of Product Innovation Management", "id" : "ITEM-1", "issue" : "5", "issued" : { "date-parts" : [ [ "2013" ] ] }, "page" : "976-979", "title" : "Perspective: New product failure rates: Influence of Argumentum ad populum and self-interest", "type" : "article-journal", "volume" : "30" }, "uris" : [ "http://www.mendeley.com/documents/?uuid=eba29b4c-72ff-45e7-987c-33bc11ae1f44" ] }, { "id" : "ITEM-2", "itemData" : { "author" : [ { "dropping-particle" : "", "family" : "Bruce", "given" : "Margaret", "non-dropping-particle" : "", "parse-names" : false, "suffix" : "" }, { "dropping-particle" : "", "family" : "Daly", "given" : "Lucy", "non-dropping-particle" : "", "parse-names" : false, "suffix" : "" }, { "dropping-particle" : "", "family" : "Kahn", "given" : "Kenneth B", "non-dropping-particle" : "", "parse-names" : false, "suffix" : "" } ], "container-title" : "Journal of Product Innovation Management", "id" : "ITEM-2", "issued" : { "date-parts" : [ [ "2007" ] ] }, "page" : "456-470", "title" : "Delineating Design Factors that Influence the Global Product Launch Process", "type" : "article-journal", "volume" : "24" }, "uris" : [ "http://www.mendeley.com/documents/?uuid=aae28275-93dd-42c2-9684-105fe3276d8e" ] } ], "mendeley" : { "formattedCitation" : "(Bruce, Daly, &amp; Kahn, 2007; Castellion &amp; Markham, 2013)", "plainTextFormattedCitation" : "(Bruce, Daly, &amp; Kahn, 2007; Castellion &amp; Markham, 2013)", "previouslyFormattedCitation" : "(Bruce, Daly, &amp; Kahn, 2007; Castellion &amp; Markham, 2013)"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(Bruce, Daly, &amp; Kahn, 2007; Castellion &amp; Markham, 2013)</w:t>
      </w:r>
      <w:r w:rsidRPr="006407E5">
        <w:rPr>
          <w:rFonts w:ascii="Times New Roman" w:hAnsi="Times New Roman" w:cs="Times New Roman"/>
        </w:rPr>
        <w:fldChar w:fldCharType="end"/>
      </w:r>
      <w:r w:rsidRPr="006407E5">
        <w:rPr>
          <w:rFonts w:ascii="Times New Roman" w:hAnsi="Times New Roman" w:cs="Times New Roman"/>
        </w:rPr>
        <w:t xml:space="preserve">. In response to the substantial risks and costs of innovation, organizations started to share risks and costs with external development partners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"dropping-particle" : "", "family" : "Chesbrough", "given" : "Henry", "non-dropping-particle" : "", "parse-names" : false, "suffix" : "" } ], "container-title" : "R&amp;D Management", "id" : "ITEM-1", "issued" : { "date-parts" : [ [ "2010" ] ] }, "page" : "1-9", "title" : "The future of open innovation", "type" : "article-journal" }, "uris" : [ "http://www.mendeley.com/documents/?uuid=b72ab66a-e5df-4c16-9ca8-c68543a53ab4" ] }, { "id" : "ITEM-2", "itemData" : { "DOI" : "10.1287/orsc.1080.0404", "ISSN" : "1047-7039", "author" : [ { "dropping-particle" : "", "family" : "Rothaermel", "given" : "Frank T.", "non-dropping-particle" : "", "parse-names" : false, "suffix" : "" }, { "dropping-particle" : "", "family" : "Alexandre", "given" : "Maria Tereza", "non-dropping-particle" : "", "parse-names" : false, "suffix" : "" } ], "container-title" : "Organization Science", "id" : "ITEM-2", "issue" : "4", "issued" : { "date-parts" : [ [ "2009" ] ] }, "page" : "759-780", "title" : "Ambidexterity in Technology Sourcing: The Moderating Role of Absorptive Capacity", "type" : "article-journal", "volume" : "20" }, "uris" : [ "http://www.mendeley.com/documents/?uuid=3c03702c-81e4-4129-b398-5f11a61a91cd" ] } ], "mendeley" : { "formattedCitation" : "(Gassmann, Enkel, &amp; Chesbrough, 2010; Rothaermel &amp; Alexandre, 2009)", "plainTextFormattedCitation" : "(Gassmann, Enkel, &amp; Chesbrough, 2010; Rothaermel &amp; Alexandre, 2009)", "previouslyFormattedCitation" : "(Gassmann, Enkel, &amp; Chesbrough, 2010; Rothaermel &amp; Alexandre, 2009)"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(Gassmann, Enkel, &amp; Chesbrough, 2010; Rothaermel &amp; Alexandre, 2009)</w:t>
      </w:r>
      <w:r w:rsidRPr="006407E5">
        <w:rPr>
          <w:rFonts w:ascii="Times New Roman" w:hAnsi="Times New Roman" w:cs="Times New Roman"/>
        </w:rPr>
        <w:fldChar w:fldCharType="end"/>
      </w:r>
      <w:r w:rsidRPr="006407E5">
        <w:rPr>
          <w:rFonts w:ascii="Times New Roman" w:hAnsi="Times New Roman" w:cs="Times New Roman"/>
        </w:rPr>
        <w:t xml:space="preserve">. This new approach towards innovation has been termed Open Innovation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"Chesbrough", "given" : "Henry", "non-dropping-particle" : "", "parse-names" : false, "suffix" : "" } ], "id" : "ITEM-1",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"plainTextFormattedCitation" : "(Chesbrough, 2003)", "previouslyFormattedCitation" : "(Chesbrough, 2003)"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(Chesbrough, 2003)</w:t>
      </w:r>
      <w:r w:rsidRPr="006407E5">
        <w:rPr>
          <w:rFonts w:ascii="Times New Roman" w:hAnsi="Times New Roman" w:cs="Times New Roman"/>
        </w:rPr>
        <w:fldChar w:fldCharType="end"/>
      </w:r>
      <w:r w:rsidRPr="006407E5">
        <w:rPr>
          <w:rFonts w:ascii="Times New Roman" w:hAnsi="Times New Roman" w:cs="Times New Roman"/>
        </w:rPr>
        <w:t xml:space="preserve"> and it encourages joint innovation across organizational boundaries. In this way, creative new ideas from the outside can be utilized, and external knowledge can be leveraged when integrated effectively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"10.1111/j.1540-5885.2006.00205.x", "ISBN" : "07376782", "ISSN" : "07376782", "abstract" : "The partner selection process in the formation stages of collaborative new product development (NPD) is a neglected topic. The present study investigated the partner selection processes to ascertain the potential of creating competitively advantageous products through collaboration. The goal was to develop a process theory of partner selection for collaborative NPD alliances using a theory development approach. The literatures on NPD, interfirm knowledge transfer and generation, and interorganizational relationships were tapped. These literatures motivated the approach and the research questions. Parallel with the analysis of the literature, a series of case study interviews were conducted with managers currently in collaborative dyads. Managers' inputs were used (1) to guide the theory development process and (2) to validate the relevance of the literature-based assertions. The method of narrative analysis for building theory from case studies was adopted: Multiple indicators were collapsed into single constructs, and recurring sequences or divergences were analyzed. This resulted in the unveiling of phases in the partner selection process. The study's findings suggest that technological alignment of the partners triggered the partner-evaluation process. This phase was followed, in order, by the strategic alignment and relational alignment phases. These later phases were as important as the initial phase in ensuring the transfer and integration of critical know-how and in creating product value through collaboration. In addition to clarifying the definition of codevelopment alliances, this study reveals a comprehensive theoretical model of the technological, strategic, and relational aspects of partner selection in codevelopment alliances, as well as the order in which these aspects are practiced.", "author" : [ { "dropping-particle" : "", "family" : "Emden", "given" : "Zeynep", "non-dropping-particle" : "", "parse-names" : false, "suffix" : "" }, { "dropping-particle" : "", "family" : "Calantone", "given" : "Roger J", "non-dropping-particle" : "", "parse-names" : false, "suffix" : "" }, { "dropping-particle" : "", "family" : "Droge", "given" : "Cornelia", "non-dropping-particle" : "", "parse-names" : false, "suffix" : "" } ], "container-title" : "Journal of Product Innovation Management", "id" : "ITEM-1", "issue" : "4", "issued" : { "date-parts" : [ [ "2006" ] ] }, "page" : "330-341", "title" : "Collaborating for New Product Development: Selecting the Partner with Maximum Potential to Create Value", "type" : "article-journal", "volume" : "23" }, "uris" : [ "http://www.mendeley.com/documents/?uuid=e5e601c8-a968-4ca8-bdf1-f6a41f0f13c0" ] } ], "mendeley" : { "formattedCitation" : "(Emden, Calantone, &amp; Droge, 2006)", "plainTextFormattedCitation" : "(Emden, Calantone, &amp; Droge, 2006)", "previouslyFormattedCitation" : "(Emden, Calantone, &amp; Droge, 2006)"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(Emden, Calantone, &amp; Droge, 2006)</w:t>
      </w:r>
      <w:r w:rsidRPr="006407E5">
        <w:rPr>
          <w:rFonts w:ascii="Times New Roman" w:hAnsi="Times New Roman" w:cs="Times New Roman"/>
        </w:rPr>
        <w:fldChar w:fldCharType="end"/>
      </w:r>
      <w:r w:rsidRPr="006407E5">
        <w:rPr>
          <w:rFonts w:ascii="Times New Roman" w:hAnsi="Times New Roman" w:cs="Times New Roman"/>
        </w:rPr>
        <w:t>.</w:t>
      </w:r>
    </w:p>
    <w:p w14:paraId="7587E845"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Marketing scholars have intensively studied open and user innovation phenomena already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"McNally", "given" : "Regina C", "non-dropping-particle" : "", "parse-names" : false, "suffix" : "" }, { "dropping-particle" : "", "family" : "Akdeniz", "given" : "M Billur", "non-dropping-particle" : "", "parse-names" : false, "suffix" : "" }, { "dropping-particle" : "", "family" : "Calantone", "given" : "Roger J", "non-dropping-particle" : "", "parse-names" : false, "suffix" : "" } ], "container-title" : "Journal of Product Innovation Management", "id" : "ITEM-1", "issue" : "S1", "issued" : { "date-parts" : [ [ "2011" ] ] }, "page" : "63-77", "title" : "New Product Development Processes and New Product Profitability: Exploring the Mediating Role of Speed to Market and Product Quality", "type" : "article-journal", "volume" : "28" }, "uris" : [ "http://www.mendeley.com/documents/?uuid=3a247cca-07a1-4356-b6eb-66d7e9fe7a52" ] } ], "mendeley" : { "formattedCitation" : "(McNally, Akdeniz, &amp; Calantone, 2011)", "plainTextFormattedCitation" : "(McNally, Akdeniz, &amp; Calantone, 2011)", "previouslyFormattedCitation" : "(McNally, Akdeniz, &amp; Calantone,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(McNally, Akdeniz, &amp; Calantone, 2011)</w:t>
      </w:r>
      <w:r w:rsidRPr="006407E5">
        <w:rPr>
          <w:rFonts w:ascii="Times New Roman" w:hAnsi="Times New Roman" w:cs="Times New Roman"/>
        </w:rPr>
        <w:fldChar w:fldCharType="end"/>
      </w:r>
      <w:r w:rsidRPr="006407E5">
        <w:rPr>
          <w:rFonts w:ascii="Times New Roman" w:hAnsi="Times New Roman" w:cs="Times New Roman"/>
        </w:rPr>
        <w:t xml:space="preserve"> and investigated co-creation of value with customers, for example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"Nambisan", "given" : "Satish", "non-dropping-particle" : "", "parse-names" : false, "suffix" : "" } ], "container-title" : "Academy of Management Review", "id" : "ITEM-1", "issue" : "3", "issued" : { "date-parts" : [ [ "2002" ] ] }, "page" : "392-413", "title" : "DESIGNING VIRTUAL CUSTOMER ENVIRONMENTS FOR NEW PRODUCT DEVELOPMENT: TOWARD A THEORY", "type" : "article-journal", "volume" : "27" }, "uris" : [ "http://www.mendeley.com/documents/?uuid=af3b9f18-bcd9-433d-9897-a563c6b83489" ] }, { "id" : "ITEM-2", "itemData" : { "ISBN" : "1094670510", "author" : [ { "dropping-particle" : "", "family" : "Hoyer", "given" : "Wayne D", "non-dropping-particle" : "", "parse-names" : false, "suffix" : "" }, { "dropping-particle" : "", "family" : "Chandy", "given" : "Rajesh", "non-dropping-particle" : "", "parse-names" : false, "suffix" : "" }, { "dropping-particle" : "", "family" : "Dorotic", "given" : "Matilda", "non-dropping-particle" : "", "parse-names" : false, "suffix" : "" }, { "dropping-particle" : "", "family" : "Krafft", "given" : "Manfred", "non-dropping-particle" : "", "parse-names" : false, "suffix" : "" }, { "dropping-particle" : "", "family" : "Singh", "given" : "Siddharth S", "non-dropping-particle" : "", "parse-names" : false, "suffix" : "" } ], "container-title" : "Journal of Service Research", "id" : "ITEM-2", "issue" : "3", "issued" : { "date-parts" : [ [ "2010" ] ] }, "page" : "283-296", "title" : "Consumer Cocreation in New Product Development", "type" : "article-journal", "volume" : "13" }, "uris" : [ "http://www.mendeley.com/documents/?uuid=4ef4f23b-c3f5-4e17-978f-d3d34c3c174f" ] } ], "mendeley" : { "formattedCitation" : "(Hoyer, Chandy, Dorotic, Krafft, &amp; Singh, 2010; Nambisan, 2002)", "plainTextFormattedCitation" : "(Hoyer, Chandy, Dorotic, Krafft, &amp; Singh, 2010; Nambisan, 2002)", "previouslyFormattedCitation" : "(Hoyer, Chandy, Dorotic, Krafft, &amp; Singh, 2010; Nambisan, 2002)"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(Hoyer, Chandy, Dorotic, Krafft, &amp; Singh, 2010; Nambisan, 2002)</w:t>
      </w:r>
      <w:r w:rsidRPr="006407E5">
        <w:rPr>
          <w:rFonts w:ascii="Times New Roman" w:hAnsi="Times New Roman" w:cs="Times New Roman"/>
        </w:rPr>
        <w:fldChar w:fldCharType="end"/>
      </w:r>
      <w:r w:rsidRPr="006407E5">
        <w:rPr>
          <w:rFonts w:ascii="Times New Roman" w:hAnsi="Times New Roman" w:cs="Times New Roman"/>
        </w:rPr>
        <w:t xml:space="preserve">. However, relatively little research attention has been placed on the supply side of the open innovation phenomena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"10.1111/jpim.12125", "ISBN" : "1540-5885", "ISSN" : "07376782", "PMID" : "96425016", "abstract" : "This paper reviews research on open innovation that considers how and why firms commercialize external sources of innovations. It examines both the \"outside-in\" and \"coupled\" modes of open innovation. From an analysis of prior research on how firms leverage external sources of innovation, it suggests a four-phase model in which a linear process - (1) obtaining, (2) integrating, and (3) commercializing external innovations - is combined with (4) interaction between the firm and its collaborators. This model is used to classify papers taken from the top 25 innovation journals, complemented by highly cited work beyond those journals. A review of 291 open innovation-related publications from these sources shows that the majority of these articles indeed address elements of this inbound open innovation process model. Specifically, it finds that researchers have front-loaded their examination of the leveraging process, with an emphasis on obtaining innovations from external sources. However, there is a relative dearth of research related to integrating and commercializing these innovations. Research on obtaining innovations includes searching, enabling, filtering, and acquiring - each category with its own specific set of mechanisms and conditions. Integrating innovations has been mostly studied from an absorptive capacity perspective, with less attention given to the impact of competencies and culture (including \"not invented here\"). Commercializing innovations puts the most emphasis on how external innovations create value rather than how firms capture value from those innovations. Finally, the interaction phase considers both feedback for the linear process and reciprocal innovation processes such as cocreation, network collaboration, and community innovation. This review and synthesis suggests several gaps in prior research. One is a tendency to ignore the importance of business models, despite their central role in distinguishing open innovation from earlier research on interorganizational collaboration in innovation. Another gap is a tendency in open innovation to use \"innovation\" in a way inconsistent with earlier definitions in innovation management. The paper concludes with recommendations for future research that include examining the end-to-end innovation commercialization process, and studying the moderators and limits of leveraging external sources of innovation. \u00a9 2013 Product Development &amp; Management Association.", "author" : [ { "dropping-particle" : "", "family" : "West", "given" : "Joel", "non-dropping-particle" : "", "parse-names" : false, "suffix" : "" }, { "dropping-particle" : "", "family" : "Bogers", "given" : "Marcel", "non-dropping-particle" : "", "parse-names" : false, "suffix" : "" } ], "container-title" : "Journal of Product Innovation Management", "id" : "ITEM-1", "issue" : "4", "issued" : { "date-parts" : [ [ "2014" ] ] }, "page" : "814-831", "title" : "Leveraging External Sources of Innovation: A Review of Research on Open Innovation", "type" : "article-journal", "volume" : "31" }, "uris" : [ "http://www.mendeley.com/documents/?uuid=681826f7-c487-4065-9f0a-99f927a8cd7b" ] } ], "mendeley" : { "formattedCitation" : "(West &amp; Bogers, 2014)", "plainTextFormattedCitation" : "(West &amp; Bogers, 2014)", "previouslyFormattedCitation" : "(West &amp; Bogers, 2014)"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(West &amp; Bogers, 2014)</w:t>
      </w:r>
      <w:r w:rsidRPr="006407E5">
        <w:rPr>
          <w:rFonts w:ascii="Times New Roman" w:hAnsi="Times New Roman" w:cs="Times New Roman"/>
        </w:rPr>
        <w:fldChar w:fldCharType="end"/>
      </w:r>
      <w:r w:rsidRPr="006407E5">
        <w:rPr>
          <w:rFonts w:ascii="Times New Roman" w:hAnsi="Times New Roman" w:cs="Times New Roman"/>
        </w:rPr>
        <w:t xml:space="preserve">. On one hand, traditional supply chain management research has looked at early supplier integration (ESI)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"Takeishi", "given" : "Akira", "non-dropping-particle" : "", "parse-names" : false, "suffix" : "" } ], "container-title" : "Strategic Management Journal", "id" : "ITEM-1", "issue" : "5", "issued" : { "date-parts" : [ [ "2001" ] ] }, "page" : "403-433", "title" : "Bridging Inter- and Intra-Firm Boundaries: Management of Supplier Involvement in Automobile Product Development", "type" : "article-journal", "volume" : "22" }, "uris" : [ "http://www.mendeley.com/documents/?uuid=22ea9f36-a7f8-4c4d-bb26-68cf83637cd9" ] } ], "mendeley" : { "formattedCitation" : "(Takeishi, 2001)", "plainTextFormattedCitation" : "(Takeishi, 2001)", "previouslyFormattedCitation" : "(Takeishi, 2001)"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(Takeishi, 2001)</w:t>
      </w:r>
      <w:r w:rsidRPr="006407E5">
        <w:rPr>
          <w:rFonts w:ascii="Times New Roman" w:hAnsi="Times New Roman" w:cs="Times New Roman"/>
        </w:rPr>
        <w:fldChar w:fldCharType="end"/>
      </w:r>
      <w:r w:rsidRPr="006407E5">
        <w:rPr>
          <w:rFonts w:ascii="Times New Roman" w:hAnsi="Times New Roman" w:cs="Times New Roman"/>
        </w:rPr>
        <w:t xml:space="preserve"> and the involvement of suppliers in new product development (NPD) projects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"10.1016/j.jom.2005.08.007", "author" : [ { "dropping-particle" : "", "family" : "Cousins", "given" : "Paul D", "non-dropping-particle" : "", "parse-names" : false, "suffix" : "" }, { "dropping-particle" : "", "family" : "Handfield", "given" : "Robert B", "non-dropping-particle" : "", "parse-names" : false, "suffix" : "" }, { "dropping-particle" : "", "family" : "Lawson", "given" : "Benn", "non-dropping-particle" : "", "parse-names" : false, "suffix" : "" }, { "dropping-particle" : "", "family" : "Petersen", "given" : "Kenneth J", "non-dropping-particle" : "", "parse-names" : false, "suffix" : "" } ], "container-title" : "Journal of Operations Management", "id" : "ITEM-1", "issued" : { "date-parts" : [ [ "2006" ] ] }, "page" : "851-863", "title" : "Creating supply chain relational capital: The impact of formal and informal socialization processes", "type" : "article-journal", "volume" : "24" }, "uris" : [ "http://www.mendeley.com/documents/?uuid=be683f76-8789-4fca-b42a-5f7020ad4632" ] }, { "id" : "ITEM-2", "itemData" : { "DOI" : "10.1111/j.1540-5885.2009.00343.x", "ISBN" : "1540-5885", "ISSN" : "07376782", "PMID" : "36281983", "abstract" : "Working collaboratively with suppliers is increasingly cited as a \u2018\u2018best practice\u2019\u2019 in product development. The importance of sharing knowledge between buyer and supplier in this context has been well recognized, although comparatively little research exists on the interorganizational socialization mechanisms that facilitate it. The present research proposes and tests a theoretical model of the impact of formal and informal socialization mechanisms on the level of knowledge sharing within interorganizational product development projects and the subsequent effect on buyer firm performance. Results from this study of 111 manufacturing organi- zations in the United Kingdom largely support its hypotheses. It is revealed that informal socialization mechanisms (e.g., communication guidelines, social events) play an important role in facilitating interorganizational knowledge sharing, whereas formal socialization mechanisms (e.g., cross-functional teams, matrix reporting structures) act indirectly through informal socialization to influence knowledge sharing. The results also show that interorganizational knowledge shar- ing is positively associated with supplier contribution to development outcomes, which, in turn, improves buyer product development performance and, ultimately, financial performance. Product development managers are encouraged to build social ties between interorganizational development teams to increase the flow of knowledge and to improve both product development outcomes and financial performance.", "author" : [ { "dropping-particle" : "", "family" : "Lawson", "given" : "Benn", "non-dropping-particle" : "", "parse-names" : false, "suffix" : "" }, { "dropping-particle" : "", "family" : "Petersen", "given" : "Kenneth J.", "non-dropping-particle" : "", "parse-names" : false, "suffix" : "" }, { "dropping-particle" : "", "family" : "Cousins", "given" : "Paul D.", "non-dropping-particle" : "", "parse-names" : false, "suffix" : "" }, { "dropping-particle" : "", "family" : "Handfield", "given" : "Robert B.", "non-dropping-particle" : "", "parse-names" : false, "suffix" : "" } ], "container-title" : "Journal of Product Innovation Management", "id" : "ITEM-2", "issue" : "2", "issued" : { "date-parts" : [ [ "2009" ] ] }, "page" : "156-172", "title" : "Knowledge sharing in interorganizational product development teams: The effect of formal and informal socialization mechanisms", "type" : "article-journal", "volume" : "26" }, "uris" : [ "http://www.mendeley.com/documents/?uuid=9f36bad7-a53e-4825-b049-2f6fb4c7be02" ] } ], "mendeley" : { "formattedCitation" : "(Cousins, Handfield, Lawson, &amp; Petersen, 2006; Lawson, Petersen, Cousins, &amp; Handfield, 2009)", "plainTextFormattedCitation" : "(Cousins, Handfield, Lawson, &amp; Petersen, 2006; Lawson, Petersen, Cousins, &amp; Handfield, 2009)", "previouslyFormattedCitation" : "(Cousins, Handfield, Lawson, &amp; Petersen, 2006; Lawson, Petersen, Cousins, &amp; Handfield, 2009)"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(Cousins, Handfield, Lawson, &amp; Petersen, 2006; Lawson, Petersen, Cousins, &amp; Handfield, 2009)</w:t>
      </w:r>
      <w:r w:rsidRPr="006407E5">
        <w:rPr>
          <w:rFonts w:ascii="Times New Roman" w:hAnsi="Times New Roman" w:cs="Times New Roman"/>
        </w:rPr>
        <w:fldChar w:fldCharType="end"/>
      </w:r>
      <w:r w:rsidRPr="006407E5">
        <w:rPr>
          <w:rFonts w:ascii="Times New Roman" w:hAnsi="Times New Roman" w:cs="Times New Roman"/>
        </w:rPr>
        <w:t xml:space="preserve">. In this traditional, established framework, the in-house R&amp;D department typically was a driving force for the development, and specific innovative products or solutions were procured to simply complement the internal developmental efforts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"Enkel", "given" : "Ellen", "non-dropping-particle" : "", "parse-names" : false, "suffix" : "" }, { "dropping-particle" : "", "family" : "Gassmann", "given" : "Oliver", "non-dropping-particle" : "", "parse-names" : false, "suffix" : "" }, { "dropping-particle" : "", "family" : "Chesbrough", "given" : "Henry", "non-dropping-particle" : "", "parse-names" : false, "suffix" : "" } ], "container-title" : "R&amp;D Management", "id" : "ITEM-1", "issue" : "4", "issued" : { "date-parts" : [ [ "2009" ] ] }, "page" : "311-316", "title" : "Open R &amp; D and open innovation : exploring the phenomenon", "type" : "article-journal", "volume" : "39" }, "uris" : [ "http://www.mendeley.com/documents/?uuid=8e6f6115-4d74-48be-a446-87fcb9e20a64" ] } ], "mendeley" : { "formattedCitation" : "(Enkel, Gassmann, &amp; Chesbrough, 2009)", "plainTextFormattedCitation" : "(Enkel, Gassmann, &amp; Chesbrough, 2009)", "previouslyFormattedCitation" : "(Enkel, Gassmann, &amp; Chesbrough, 2009)"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(Enkel, Gassmann, &amp; Chesbrough, 2009)</w:t>
      </w:r>
      <w:r w:rsidRPr="006407E5">
        <w:rPr>
          <w:rFonts w:ascii="Times New Roman" w:hAnsi="Times New Roman" w:cs="Times New Roman"/>
        </w:rPr>
        <w:fldChar w:fldCharType="end"/>
      </w:r>
      <w:r w:rsidRPr="006407E5">
        <w:rPr>
          <w:rFonts w:ascii="Times New Roman" w:hAnsi="Times New Roman" w:cs="Times New Roman"/>
        </w:rPr>
        <w:t xml:space="preserve">. On the other hand, however, the locus </w:t>
      </w:r>
      <w:r w:rsidRPr="006407E5">
        <w:rPr>
          <w:rFonts w:ascii="Times New Roman" w:hAnsi="Times New Roman" w:cs="Times New Roman"/>
        </w:rPr>
        <w:lastRenderedPageBreak/>
        <w:t xml:space="preserve">of innovation has shifted now, within the new innovation paradigm, from individual firms to the network of constituents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"10.2307/2393988", "ISBN" : "0001-8392", "ISSN" : "0001-8392", "PMID" : "9606053202", "abstract" : "We argue in this paper that when the knowledge base of an industry is both complex and expanding and the sources of expertise are widely dispersed, the locus of innovation will be found in networks of learning, rather than in individual firms. The large-scale reliance on interorganizational collaborations in the biotechnology industry reflects a fundamental and pervasive concern with access to knowledge. We develop a network approach to organizational learning and derive firm-level, longitudinal hypotheses that link research and development alliances, experience with managing interfirm relationships, network position, rates of growth, and portfolios of collaborative activities. We test these hypotheses on a sample of dedicated biotechnology firms in the years 1990-1994. Results from pooled, within-firm, time series analyses support a learning view and have broad implications for future theoretical and empirical research on organizational networks and strategic alliances..", "author" : [ { "dropping-particle" : "", "family" : "Powell", "given" : "Walter W", "non-dropping-particle" : "", "parse-names" : false, "suffix" : "" }, { "dropping-particle" : "", "family" : "Koput", "given" : "Kenneth W", "non-dropping-particle" : "", "parse-names" : false, "suffix" : "" }, { "dropping-particle" : "", "family" : "Smith-Doerr", "given" : "Laurel", "non-dropping-particle" : "", "parse-names" : false, "suffix" : "" } ], "container-title" : "Administrative Science Quarterly", "id" : "ITEM-1", "issue" : "1", "issued" : { "date-parts" : [ [ "1996" ] ] }, "page" : "116-145", "title" : "Interorganizational Collaboration and the Locus of Innovation: Networks of Learning in Biotechnology", "type" : "article-journal", "volume" : "41" }, "uris" : [ "http://www.mendeley.com/documents/?uuid=a25d483b-654f-40c5-ab47-3e2db887d3ee" ] }, { "id" : "ITEM-2", "itemData" : { "author" : [ { "dropping-particle" : "", "family" : "Hoopes", "given" : "DG", "non-dropping-particle" : "", "parse-names" : false, "suffix" : "" }, { "dropping-particle" : "", "family" : "Postrel", "given" : "Steven", "non-dropping-particle" : "", "parse-names" : false, "suffix" : "" } ], "container-title" : "Strategic Management Journal", "id" : "ITEM-2", "issue" : "March 1997", "issued" : { "date-parts" : [ [ "1999" ] ] }, "page" : "837-865", "title" : "Shared knowledge,\u201cglitches,\u201d and product development performance", "type" : "article-journal", "volume" : "865" }, "uris" : [ "http://www.mendeley.com/documents/?uuid=be2359f5-585f-4968-9d06-6deaf8f3af81" ] } ], "mendeley" : { "formattedCitation" : "(Hoopes &amp; Postrel, 1999; Powell, Koput, &amp; Smith-Doerr, 1996)", "plainTextFormattedCitation" : "(Hoopes &amp; Postrel, 1999; Powell, Koput, &amp; Smith-Doerr, 1996)", "previouslyFormattedCitation" : "(Hoopes &amp; Postrel, 1999; Powell, Koput, &amp; Smith-Doerr, 1996)"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(Hoopes &amp; Postrel, 1999; Powell, Koput, &amp; Smith-Doerr, 1996)</w:t>
      </w:r>
      <w:r w:rsidRPr="006407E5">
        <w:rPr>
          <w:rFonts w:ascii="Times New Roman" w:hAnsi="Times New Roman" w:cs="Times New Roman"/>
        </w:rPr>
        <w:fldChar w:fldCharType="end"/>
      </w:r>
      <w:r w:rsidRPr="006407E5">
        <w:rPr>
          <w:rFonts w:ascii="Times New Roman" w:hAnsi="Times New Roman" w:cs="Times New Roman"/>
        </w:rPr>
        <w:t xml:space="preserve">. Each member in such a network is sharing knowledge and contributes as developmental partner to the joint innovation success. The previously solid organizational boundaries have evolved into a “membrane” through which knowledge flows in both directions outside-in and inside-out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"dropping-particle" : "", "family" : "Chesbrough", "given" : "Henry", "non-dropping-particle" : "", "parse-names" : false, "suffix" : "" } ], "container-title" : "R&amp;D Management", "id" : "ITEM-1", "issued" : { "date-parts" : [ [ "2010" ] ] }, "page" : "1-9", "title" : "The future of open innovation", "type" : "article-journal" }, "uris" : [ "http://www.mendeley.com/documents/?uuid=b72ab66a-e5df-4c16-9ca8-c68543a53ab4" ] } ], "mendeley" : { "formattedCitation" : "(Gassmann et al., 2010)", "plainTextFormattedCitation" : "(Gassmann et al., 2010)", "previouslyFormattedCitation" : "(Gassmann et al., 2010)"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(Gassmann et al., 2010)</w:t>
      </w:r>
      <w:r w:rsidRPr="006407E5">
        <w:rPr>
          <w:rFonts w:ascii="Times New Roman" w:hAnsi="Times New Roman" w:cs="Times New Roman"/>
        </w:rPr>
        <w:fldChar w:fldCharType="end"/>
      </w:r>
      <w:r w:rsidRPr="006407E5">
        <w:rPr>
          <w:rFonts w:ascii="Times New Roman" w:hAnsi="Times New Roman" w:cs="Times New Roman"/>
        </w:rPr>
        <w:t xml:space="preserve">. Hence, scholars have called for more supply management research to better understand the consequences of this important development towards more open innovation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"Enkel", "given" : "Ellen", "non-dropping-particle" : "", "parse-names" : false, "suffix" : "" }, { "dropping-particle" : "", "family" : "Gassmann", "given" : "Oliver", "non-dropping-particle" : "", "parse-names" : false, "suffix" : "" }, { "dropping-particle" : "", "family" : "Chesbrough", "given" : "Henry", "non-dropping-particle" : "", "parse-names" : false, "suffix" : "" } ], "container-title" : "R&amp;D Management", "id" : "ITEM-1", "issue" : "4", "issued" : { "date-parts" : [ [ "2009" ] ] }, "page" : "311-316", "title" : "Open R &amp; D and open innovation : exploring the phenomenon", "type" : "article-journal", "volume" : "39" }, "uris" : [ "http://www.mendeley.com/documents/?uuid=8e6f6115-4d74-48be-a446-87fcb9e20a64" ] } ], "mendeley" : { "formattedCitation" : "(Enkel et al., 2009)", "plainTextFormattedCitation" : "(Enkel et al., 2009)", "previouslyFormattedCitation" : "(Enkel et al., 2009)"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(Enkel et al., 2009)</w:t>
      </w:r>
      <w:r w:rsidRPr="006407E5">
        <w:rPr>
          <w:rFonts w:ascii="Times New Roman" w:hAnsi="Times New Roman" w:cs="Times New Roman"/>
        </w:rPr>
        <w:fldChar w:fldCharType="end"/>
      </w:r>
      <w:r w:rsidRPr="006407E5">
        <w:rPr>
          <w:rFonts w:ascii="Times New Roman" w:hAnsi="Times New Roman" w:cs="Times New Roman"/>
        </w:rPr>
        <w:t xml:space="preserve">. </w:t>
      </w:r>
    </w:p>
    <w:p w14:paraId="79E698E6"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Serving in a boundary-spanning function, supply chain managers appear well positioned to extend their role within the open innovation framework by developing new organizational capabilities to effectively identify, acquire, integrate/coordinate, and leverage this external knowledge for the benefit of the organization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"10.1016/j.pursup.2012.01.001", "ISBN" : "1478-4092", "ISSN" : "14784092", "abstract" : "In this study we investigate the influence of subcontracting-in production related jobs, outsourcing and collaborations with non-supply chain partners on small manufacturing firms' operational innovation. Further, we investigate the mechanism through which these sourcing and collaborative strategies influence small firm performance by focusing on the potential mediating role of operational innovation in the relationships. The structural equation modeling analysis of data collected from 476 small manufacturing firms, suggests that outsourcing, subcontracting-in, and collaborations with non-supply chain partners are positively related to operational innovation. Further, the structural equation modeling results indicate that operational innovation fully mediates the influence that subcontracting-in has on financial performance but partially mediates the influence of outsourcing and collaborations with non-supply chain partners on small firm financial performance. Implications for theory and practice are discussed. ?? 2012.", "author" : [ { "dropping-particle" : "", "family" : "Oke", "given" : "Adegoke", "non-dropping-particle" : "", "parse-names" : false, "suffix" : "" }, { "dropping-particle" : "", "family" : "Kach", "given" : "Andrew", "non-dropping-particle" : "", "parse-names" : false, "suffix" : "" } ], "container-title" : "Journal of Purchasing and Supply Management", "id" : "ITEM-1", "issue" : "1", "issued" : { "date-parts" : [ [ "2012" ] ] }, "page" : "46-59", "title" : "Linking sourcing and collaborative strategies to financial performance: The role of operational innovation", "type" : "article-journal", "volume" : "18" }, "uris" : [ "http://www.mendeley.com/documents/?uuid=7eb04bd9-ebb7-4eb5-990a-278bc4389117" ] } ], "mendeley" : { "formattedCitation" : "(Oke &amp; Kach, 2012)", "plainTextFormattedCitation" : "(Oke &amp; Kach, 2012)", "previouslyFormattedCitation" : "(Oke &amp; Kach, 2012)"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(Oke &amp; Kach, 2012)</w:t>
      </w:r>
      <w:r w:rsidRPr="006407E5">
        <w:rPr>
          <w:rFonts w:ascii="Times New Roman" w:hAnsi="Times New Roman" w:cs="Times New Roman"/>
        </w:rPr>
        <w:fldChar w:fldCharType="end"/>
      </w:r>
      <w:r w:rsidRPr="006407E5">
        <w:rPr>
          <w:rFonts w:ascii="Times New Roman" w:hAnsi="Times New Roman" w:cs="Times New Roman"/>
        </w:rPr>
        <w:t xml:space="preserve">. Those activities are aggregated under the concept of supply chain resource orchestration (SCRO). As SCRO is defined and conceptualized in Chapter Three, this chapter will only briefly explain the concept as a starting point for the hypotheses development. </w:t>
      </w:r>
    </w:p>
    <w:p w14:paraId="1E8496E2" w14:textId="58E68447" w:rsidR="009B07A6" w:rsidRPr="006407E5" w:rsidRDefault="009B07A6" w:rsidP="00377F5F">
      <w:pPr>
        <w:spacing w:line="480" w:lineRule="auto"/>
        <w:ind w:firstLine="720"/>
        <w:jc w:val="both"/>
        <w:rPr>
          <w:rFonts w:ascii="Times New Roman" w:hAnsi="Times New Roman" w:cs="Times New Roman"/>
          <w:b/>
        </w:rPr>
      </w:pPr>
      <w:r w:rsidRPr="0090319B">
        <w:rPr>
          <w:rFonts w:ascii="Times New Roman" w:hAnsi="Times New Roman" w:cs="Times New Roman"/>
        </w:rPr>
        <w:t>In this research, supply chain resource orchestration is defined as the relevant</w:t>
      </w:r>
      <w:r w:rsidRPr="006407E5">
        <w:rPr>
          <w:rFonts w:ascii="Times New Roman" w:hAnsi="Times New Roman" w:cs="Times New Roman"/>
        </w:rPr>
        <w:t xml:space="preserve"> processes of managing the acquisition, integration, and exploitation of critical external resources. Supply chain resource orchestration is considered as a multi-dimensional concept with the sub-processes of resource structuring, bundling, and leveraging. Surprisingly, even though it might play an important role within the organizational innovation phenomenon, this construct has received relatively little empirical research attention so far. Many papers on resource orchestration have been solely conceptual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(Sirmon et al., 2011)</w:t>
      </w:r>
      <w:r w:rsidRPr="006407E5">
        <w:rPr>
          <w:rFonts w:ascii="Times New Roman" w:hAnsi="Times New Roman" w:cs="Times New Roman"/>
        </w:rPr>
        <w:fldChar w:fldCharType="end"/>
      </w:r>
      <w:r w:rsidRPr="006407E5">
        <w:rPr>
          <w:rFonts w:ascii="Times New Roman" w:hAnsi="Times New Roman" w:cs="Times New Roman"/>
        </w:rPr>
        <w:t xml:space="preserve">. Scholars have noticed this gap and called for more research on supply management processes within the open innovation framework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"dropping-particle" : "", "family" : "Chesbrough", "given" : "Henry", "non-dropping-particle" : "", "parse-names" : false, "suffix" : "" } ], "container-title" : "R&amp;D Management", "id" : "ITEM-1", "issued" : { "date-parts" : [ [ "2010" ] ] }, "page" : "1-9", "title" : "The future of open innovation", "type" : "article-journal" }, "uris" : [ "http://www.mendeley.com/documents/?uuid=b72ab66a-e5df-4c16-9ca8-c68543a53ab4" ] } ], "mendeley" : { "formattedCitation" : "(Gassmann et al., 2010)", "plainTextFormattedCitation" : "(Gassmann et al., 2010)", "previouslyFormattedCitation" : "(Gassmann et al., 2010)"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 xml:space="preserve">(Gassmann et al., </w:t>
      </w:r>
      <w:r w:rsidRPr="006407E5">
        <w:rPr>
          <w:rFonts w:ascii="Times New Roman" w:hAnsi="Times New Roman" w:cs="Times New Roman"/>
          <w:noProof/>
        </w:rPr>
        <w:lastRenderedPageBreak/>
        <w:t>2010)</w:t>
      </w:r>
      <w:r w:rsidRPr="006407E5">
        <w:rPr>
          <w:rFonts w:ascii="Times New Roman" w:hAnsi="Times New Roman" w:cs="Times New Roman"/>
        </w:rPr>
        <w:fldChar w:fldCharType="end"/>
      </w:r>
      <w:r w:rsidRPr="006407E5">
        <w:rPr>
          <w:rFonts w:ascii="Times New Roman" w:hAnsi="Times New Roman" w:cs="Times New Roman"/>
        </w:rPr>
        <w:t xml:space="preserve">, on practices how to obtain innovative resources from suppliers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"Schoenherr", "given" : "Tobias", "non-dropping-particle" : "", "parse-names" : false, "suffix" : "" }, { "dropping-particle" : "", "family" : "Modi", "given" : "Sachin B", "non-dropping-particle" : "", "parse-names" : false, "suffix" : "" }, { "dropping-particle" : "", "family" : "Benton", "given" : "W C", "non-dropping-particle" : "", "parse-names" : false, "suffix" : "" }, { "dropping-particle" : "", "family" : "Carter", "given" : "Craig R", "non-dropping-particle" : "", "parse-names" : false, "suffix" : "" }, { "dropping-particle" : "", "family" : "Choi", "given" : "Thomas Y", "non-dropping-particle" : "", "parse-names" : false, "suffix" : "" }, { "dropping-particle" : "", "family" : "Larson", "given" : "Paul D", "non-dropping-particle" : "", "parse-names" : false, "suffix" : "" }, { "dropping-particle" : "", "family" : "Leenders", "given" : "Michiel R", "non-dropping-particle" : "", "parse-names" : false, "suffix" : "" }, { "dropping-particle" : "", "family" : "Mabert", "given" : "Vincent A", "non-dropping-particle" : "", "parse-names" : false, "suffix" : "" }, { "dropping-particle" : "", "family" : "Narasimhan", "given" : "Ram", "non-dropping-particle" : "", "parse-names" : false, "suffix" : "" }, { "dropping-particle" : "", "family" : "Wagner", "given" : "Stephan M.", "non-dropping-particle" : "", "parse-names" : false, "suffix" : "" } ], "container-title" : "International Journal of Production Research", "id" : "ITEM-1", "issue" : "16", "issued" : { "date-parts" : [ [ "2012" ] ] }, "page" : "4556-4579", "title" : "Research opportunities in purchasing and supply management", "type" : "article-journal", "volume" : "50" }, "uris" : [ "http://www.mendeley.com/documents/?uuid=9c142a74-fc1a-4fdd-87b9-fe40cf13c928" ] } ], "mendeley" : { "formattedCitation" : "(Schoenherr et al., 2012)", "plainTextFormattedCitation" : "(Schoenherr et al., 2012)", "previouslyFormattedCitation" : "(Schoenherr et al., 2012)"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(Schoenherr et al., 2012)</w:t>
      </w:r>
      <w:r w:rsidRPr="006407E5">
        <w:rPr>
          <w:rFonts w:ascii="Times New Roman" w:hAnsi="Times New Roman" w:cs="Times New Roman"/>
        </w:rPr>
        <w:fldChar w:fldCharType="end"/>
      </w:r>
      <w:r w:rsidRPr="006407E5">
        <w:rPr>
          <w:rFonts w:ascii="Times New Roman" w:hAnsi="Times New Roman" w:cs="Times New Roman"/>
        </w:rPr>
        <w:t>, and generally on inter</w:t>
      </w:r>
      <w:r w:rsidR="003E3441">
        <w:rPr>
          <w:rFonts w:ascii="Times New Roman" w:hAnsi="Times New Roman" w:cs="Times New Roman"/>
        </w:rPr>
        <w:t>-</w:t>
      </w:r>
      <w:r w:rsidRPr="006407E5">
        <w:rPr>
          <w:rFonts w:ascii="Times New Roman" w:hAnsi="Times New Roman" w:cs="Times New Roman"/>
        </w:rPr>
        <w:t xml:space="preserve">firm resource management coordination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"Arlbjorn", "given" : "Jan Stentoft", "non-dropping-particle" : "", "parse-names" : false, "suffix" : "" }, { "dropping-particle" : "", "family" : "Paulraj", "given" : "Antony", "non-dropping-particle" : "", "parse-names" : false, "suffix" : "" } ], "container-title" : "Journal of Supply Chain Management", "id" : "ITEM-1", "issue" : "4", "issued" : { "date-parts" : [ [ "2013" ] ] }, "page" : "3-11", "title" : "SPECIAL TOPIC FORUM ON INNOVATION IN BUSINESS NETWORKS FROM A SUPPLY CHAIN PERSPECTIVE: CURRENT STATUS AND OPPORTUNITIES FOR FUTURE Research", "type" : "article-journal", "volume" : "49" }, "uris" : [ "http://www.mendeley.com/documents/?uuid=79fb76fc-c2d5-4d69-9037-4d94ce3f8b41" ] }, { "id" : "ITEM-2", "itemData" : { "DOI" : "10.1111/jscm.12055", "ISBN" : "1523-2409", "ISSN" : "1745493X", "abstract" : "We highlight key contributions from the special topic forum (STF) articles and detail findings from a survey of researchers interested in the role of resources on supply chain functioning and management. We assert that the STF articles have closed important gaps between what needed to be known and is now known about how and when resources aid supply chains. However, the survey findings suggest that researchers who invoke theories of resources need to be more precise in their theoretical exposition and that future research needs to focus more heavily on the role of resources not just within, but also beyond a firm's boundaries (i.e., interfirm), and how those resources aid supply chains. The survey findings also suggest that future supply chain studies should focus more on investigating contingency relationships, and \u201cfitting\u201d research designs to address the specific research question of interest. Broadly speaking, we conclude that resources within and across firm boundaries are vital to supply chain functioning and management, but that as research evolves, new insights might be best characterized by studies that take stock of critical contingencies.", "author" : [ { "dropping-particle" : "", "family" : "Crook", "given" : "T. Russell", "non-dropping-particle" : "", "parse-names" : false, "suffix" : "" }, { "dropping-particle" : "", "family" : "Esper", "given" : "Terry L.", "non-dropping-particle" : "", "parse-names" : false, "suffix" : "" } ], "container-title" : "Journal of Supply Chain Management", "id" : "ITEM-2", "issue" : "3", "issued" : { "date-parts" : [ [ "2014" ] ] }, "page" : "94-97", "title" : "Do Resources Aid in Supply Chain Functioning and Management? Yes, But More (and More Precise) Research is Needed", "type" : "article-journal", "volume" : "50" }, "uris" : [ "http://www.mendeley.com/documents/?uuid=ffa79fbc-359a-441c-bb62-d948795f562a" ] }, { "id" : "ITEM-3", "itemData" : { "author" : [ { "dropping-particle" : "", "family" : "Dhanaraj", "given" : "Charles", "non-dropping-particle" : "", "parse-names" : false, "suffix" : "" }, { "dropping-particle" : "", "family" : "Parkhe", "given" : "Arvind", "non-dropping-particle" : "", "parse-names" : false, "suffix" : "" } ], "container-title" : "Academy of Management Review", "id" : "ITEM-3", "issue" : "3", "issued" : { "date-parts" : [ [ "2006" ] ] }, "page" : "659-669", "title" : "Orchestrating Innovation Networks", "type" : "article-journal", "volume" : "31" }, "uris" : [ "http://www.mendeley.com/documents/?uuid=5e73eed0-a8b2-4fa5-8610-5d7072f175ec" ] }, { "id" : "ITEM-4", "itemData" : { "author" : [ { "dropping-particle" : "", "family" : "Stock", "given" : "James R", "non-dropping-particle" : "", "parse-names" : false, "suffix" : "" }, { "dropping-particle" : "", "family" : "Boyer", "given" : "Stefanie L", "non-dropping-particle" : "", "parse-names" : false, "suffix" : "" }, { "dropping-particle" : "", "family" : "Harmon", "given" : "Tracy", "non-dropping-particle" : "", "parse-names" : false, "suffix" : "" } ], "container-title" : "Journal of the Academy of Marketing Science", "id" : "ITEM-4", "issued" : { "date-parts" : [ [ "2010" ] ] }, "page" : "32-41", "title" : "Research opportunities in supply chain management", "type" : "article-journal", "volume" : "38" }, "uris" : [ "http://www.mendeley.com/documents/?uuid=9b63c6dd-f3ba-48bd-a2d2-c01224b97c61" ] } ], "mendeley" : { "formattedCitation" : "(Arlbjorn &amp; Paulraj, 2013; Crook &amp; Esper, 2014; Dhanaraj &amp; Parkhe, 2006; Stock, Boyer, &amp; Harmon, 2010)", "plainTextFormattedCitation" : "(Arlbjorn &amp; Paulraj, 2013; Crook &amp; Esper, 2014; Dhanaraj &amp; Parkhe, 2006; Stock, Boyer, &amp; Harmon, 2010)", "previouslyFormattedCitation" : "(Arlbjorn &amp; Paulraj, 2013; Crook &amp; Esper, 2014; Dhanaraj &amp; Parkhe, 2006; Stock, Boyer, &amp; Harmon, 2010)"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(Arlbjorn &amp; Paulraj, 2013; Crook &amp; Esper, 2014; Dhanaraj &amp; Parkhe, 2006; Stock, Boyer, &amp; Harmon, 2010)</w:t>
      </w:r>
      <w:r w:rsidRPr="006407E5">
        <w:rPr>
          <w:rFonts w:ascii="Times New Roman" w:hAnsi="Times New Roman" w:cs="Times New Roman"/>
        </w:rPr>
        <w:fldChar w:fldCharType="end"/>
      </w:r>
      <w:r w:rsidRPr="006407E5">
        <w:rPr>
          <w:rFonts w:ascii="Times New Roman" w:hAnsi="Times New Roman" w:cs="Times New Roman"/>
        </w:rPr>
        <w:t xml:space="preserve">.  </w:t>
      </w:r>
    </w:p>
    <w:p w14:paraId="5F9D2228"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Even though other innovation-related SCM topics have been investigated in depth, this micro-level (operational) practices and capabilities have received little scholarly attention to date capabilities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"10.1002/sej.1227", "author" : [ { "dropping-particle" : "", "family" : "Baert", "given" : "Caroline", "non-dropping-particle" : "", "parse-names" : false, "suffix" : "" }, { "dropping-particle" : "", "family" : "Meuleman", "given" : "Miguel", "non-dropping-particle" : "", "parse-names" : false, "suffix" : "" }, { "dropping-particle" : "", "family" : "Debruyne", "given" : "Marion", "non-dropping-particle" : "", "parse-names" : false, "suffix" : "" }, { "dropping-particle" : "", "family" : "Wright", "given" : "Mike", "non-dropping-particle" : "", "parse-names" : false, "suffix" : "" } ], "container-title" : "Strategic Entrepreneurship Journal", "id" : "ITEM-1", "issued" : { "date-parts" : [ [ "2016" ] ] }, "page" : "346-370", "title" : "PORTFOLIO ENTREPRENEURSHIP AND RESOURCE ORCHESTRATION", "type" : "article-journal", "volume" : "10" }, "uris" : [ "http://www.mendeley.com/documents/?uuid=f0907ead-c14c-4c97-80e2-d3a4c9840688" ] }, { "id" : "ITEM-2",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"ITEM-2",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"(Baert, Meuleman, Debruyne, &amp; Wright, 2016; Sirmon et al., 2011)", "plainTextFormattedCitation" : "(Baert, Meuleman, Debruyne, &amp; Wright, 2016; Sirmon et al., 2011)", "previouslyFormattedCitation" : "(Baert, Meuleman, Debruyne, &amp; Wright, 2016; Sirmon et al.,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(Baert, Meuleman, Debruyne, &amp; Wright, 2016; Sirmon et al., 2011)</w:t>
      </w:r>
      <w:r w:rsidRPr="006407E5">
        <w:rPr>
          <w:rFonts w:ascii="Times New Roman" w:hAnsi="Times New Roman" w:cs="Times New Roman"/>
        </w:rPr>
        <w:fldChar w:fldCharType="end"/>
      </w:r>
      <w:r w:rsidRPr="006407E5">
        <w:rPr>
          <w:rFonts w:ascii="Times New Roman" w:hAnsi="Times New Roman" w:cs="Times New Roman"/>
        </w:rPr>
        <w:t xml:space="preserve">. There is an apparent need to better understand </w:t>
      </w:r>
      <w:r w:rsidRPr="006407E5">
        <w:rPr>
          <w:rFonts w:ascii="Times New Roman" w:hAnsi="Times New Roman" w:cs="Times New Roman"/>
          <w:bCs/>
        </w:rPr>
        <w:t>the operational management of supply chain resources and to gain deeper insights into the relevant managerial practices</w:t>
      </w:r>
      <w:r w:rsidRPr="006407E5">
        <w:rPr>
          <w:rFonts w:ascii="Times New Roman" w:hAnsi="Times New Roman" w:cs="Times New Roman"/>
        </w:rPr>
        <w:t xml:space="preserv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"10.1177/0149206310391805", "ISBN" : "0149-2063", "ISSN" : "0149-2063", "PMID" : "803973233", "abstract" : "Since the 1991 publication of the first Journal of Management special issue devoted to resourcebased inquiry, resource-based theory (RBT) has evolved from a nascent, upstart perspective to one of the most prominent and powerful theories for understanding organizations. Indeed, 20 years after that landmark issue, RBT appears to have reached maturity as a theory. One implication of this maturity is that RBT lies at a critical juncture, one that will be followed either by revitalization of the theory or by its decline. In this introductory article, the authors provide a brief overview of the contributions provided by the commentaries and articles contained in this third Journal of Management special issue on RBT. These contributions center on five themes: interlinkages with other perspectives, processes of resource acquisition and development, the micro-foundations of RBT, RBT and sustainability, and method and measurement issues. Their view is that the commentaries and articles collectively offer a foundation for extending RBT in meaningful new directions and steering clear of decline. They also offer their thoughts about some key opportunities within each of the themes for further revitalizing research involving the RBT.", "author" : [ { "dropping-particle" : "", "family" : "Barney", "given" : "Jay B", "non-dropping-particle" : "", "parse-names" : false, "suffix" : "" }, { "dropping-particle" : "", "family" : "Ketchen", "given" : "David J", "non-dropping-particle" : "", "parse-names" : false, "suffix" : "" }, { "dropping-particle" : "", "family" : "Wright", "given" : "Mike", "non-dropping-particle" : "", "parse-names" : false, "suffix" : "" } ], "container-title" : "Journal of Management", "id" : "ITEM-1", "issue" : "5", "issued" : { "date-parts" : [ [ "2011" ] ] }, "page" : "1299-1315", "title" : "The Future of Resource-Based Theory: Revitalization or Decline?", "type" : "article-journal", "volume" : "37" }, "uris" : [ "http://www.mendeley.com/documents/?uuid=23089156-5e7e-44da-8b56-842aa51589c5" ] }, { "id" : "ITEM-2", "itemData" : { "abstract" : "This article examines the relevance of several prominent theoretical perspectives in strategic management for supply chain management. The resource-based view of the firm, transaction cost economics, organization learning theory and social capital are reviewed for their applicability to important research questions in supply chain management. The work includes a discussion of some common strategic management research methods that can be useful in supply chain management research. The paper concludes that the research in strategic management and supply chain management are complementary and that both fields could benefit from more integration of the work from both. \u00a9 2011 Institute for Supply Management, Inc.\u2122.", "author" : [ { "dropping-particle" : "", "family" : "Hitt", "given" : "Michael A", "non-dropping-particle" : "", "parse-names" : false, "suffix" : "" } ], "container-title" : "Journal of Supply Chain Management", "id" : "ITEM-2", "issue" : "1", "issued" : { "date-parts" : [ [ "2011" ] ] }, "page" : "9-13", "title" : "Relevance of strategic management theory and research for supply chain management", "type" : "article-journal", "volume" : "47" }, "uris" : [ "http://www.mendeley.com/documents/?uuid=41a00fed-258f-4e34-862f-a505930975cf" ] }, { "id" : "ITEM-3",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"ITEM-3", "issue" : "3", "issued" : { "date-parts" : [ [ "2014" ] ] }, "page" : "6-15", "title" : "Resource Gaps and Resource Orchestration Shortfalls in Supply Chain Management: The Case of Product Recalls", "type" : "article-journal", "volume" : "50" }, "uris" : [ "http://www.mendeley.com/documents/?uuid=253c704b-7d13-4b31-9f44-27ec30152f71" ] } ], "mendeley" : { "formattedCitation" : "(Barney, Ketchen, &amp; Wright, 2011; Hitt, 2011; Ketchen, Wowak, &amp; Craighead, 2014)", "plainTextFormattedCitation" : "(Barney, Ketchen, &amp; Wright, 2011; Hitt, 2011; Ketchen, Wowak, &amp; Craighead, 2014)", "previouslyFormattedCitation" : "(Barney, Ketchen, &amp; Wright, 2011; Hitt, 2011; Ketchen, Wowak, &amp; Craighead, 2014)"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(Barney, Ketchen, &amp; Wright, 2011; Hitt, 2011; Ketchen, Wowak, &amp; Craighead, 2014)</w:t>
      </w:r>
      <w:r w:rsidRPr="006407E5">
        <w:rPr>
          <w:rFonts w:ascii="Times New Roman" w:hAnsi="Times New Roman" w:cs="Times New Roman"/>
        </w:rPr>
        <w:fldChar w:fldCharType="end"/>
      </w:r>
      <w:r w:rsidRPr="006407E5">
        <w:rPr>
          <w:rFonts w:ascii="Times New Roman" w:hAnsi="Times New Roman" w:cs="Times New Roman"/>
          <w:bCs/>
        </w:rPr>
        <w:t xml:space="preserve">, going beyond the organizational boundaries of the firm </w:t>
      </w:r>
      <w:r w:rsidRPr="006407E5">
        <w:rPr>
          <w:rFonts w:ascii="Times New Roman" w:hAnsi="Times New Roman" w:cs="Times New Roman"/>
          <w:bCs/>
        </w:rPr>
        <w:fldChar w:fldCharType="begin" w:fldLock="1"/>
      </w:r>
      <w:r w:rsidRPr="006407E5">
        <w:rPr>
          <w:rFonts w:ascii="Times New Roman" w:hAnsi="Times New Roman" w:cs="Times New Roman"/>
          <w:bCs/>
        </w:rPr>
        <w:instrText>ADDIN CSL_CITATION { "citationItems" : [ { "id" : "ITEM-1", "itemData" : { "DOI" : "10.1111/jscm.12051", "ISBN" : "1523-2409", "ISSN" : "1745493X", "abstract" : "Resource-based theory (RBT) suggests that purchasing and supply management (PSM) practices can help buying firms enhance their performance. Consequently, the \"PSM practice-performance link\" has undergone intense empirical investigation over the last two decades. Although most studies report a positive relationship between PSM practices and firm performance, it remains unclear whether and to what extent PSM practices relate to performance. We assess the empirical literature by conducting a meta-analysis of 99 PSM studies from an RBT perspective. Our results indicate strong support for the positive relationships among PSM practices and firm performance. Our findings contribute to the literature by underlining the relevance of PSM, identifying aspects of the PSM function that can be considered \"strategic\" and detecting areas that require additional empirical investigation. Our research also provides guidance to managers as to which PSM practices demonstrate the strongest potential for contributing to buying firm performance. {\u00a9} 2014 Institute for Supply Management, Inc.", "author" : [ { "dropping-particle" : "", "family" : "Zimmermann", "given" : "Friso", "non-dropping-particle" : "", "parse-names" : false, "suffix" : "" }, { "dropping-particle" : "", "family" : "Foerstl", "given" : "Kai", "non-dropping-particle" : "", "parse-names" : false, "suffix" : "" } ], "container-title" : "Journal of Supply Chain Management", "id" : "ITEM-1", "issue" : "3", "issued" : { "date-parts" : [ [ "2014" ] ] }, "page" : "37-54", "title" : "A Meta-Analysis of the \"Purchasing and Supply Management Practice-Performance Link\"", "type" : "article-journal", "volume" : "50" }, "uris" : [ "http://www.mendeley.com/documents/?uuid=33e63af5-784c-48b1-a6ae-d5a112c63023" ] }, { "id" : "ITEM-2", "itemData" : { "DOI" : "10.1111/jscm.12055", "ISBN" : "1523-2409", "ISSN" : "1745493X", "abstract" : "We highlight key contributions from the special topic forum (STF) articles and detail findings from a survey of researchers interested in the role of resources on supply chain functioning and management. We assert that the STF articles have closed important gaps between what needed to be known and is now known about how and when resources aid supply chains. However, the survey findings suggest that researchers who invoke theories of resources need to be more precise in their theoretical exposition and that future research needs to focus more heavily on the role of resources not just within, but also beyond a firm's boundaries (i.e., interfirm), and how those resources aid supply chains. The survey findings also suggest that future supply chain studies should focus more on investigating contingency relationships, and \u201cfitting\u201d research designs to address the specific research question of interest. Broadly speaking, we conclude that resources within and across firm boundaries are vital to supply chain functioning and management, but that as research evolves, new insights might be best characterized by studies that take stock of critical contingencies.", "author" : [ { "dropping-particle" : "", "family" : "Crook", "given" : "T. Russell", "non-dropping-particle" : "", "parse-names" : false, "suffix" : "" }, { "dropping-particle" : "", "family" : "Esper", "given" : "Terry L.", "non-dropping-particle" : "", "parse-names" : false, "suffix" : "" } ], "container-title" : "Journal of Supply Chain Management", "id" : "ITEM-2", "issue" : "3", "issued" : { "date-parts" : [ [ "2014" ] ] }, "page" : "94-97", "title" : "Do Resources Aid in Supply Chain Functioning and Management? Yes, But More (and More Precise) Research is Needed", "type" : "article-journal", "volume" : "50" }, "uris" : [ "http://www.mendeley.com/documents/?uuid=ffa79fbc-359a-441c-bb62-d948795f562a" ] } ], "mendeley" : { "formattedCitation" : "(Crook &amp; Esper, 2014; Zimmermann &amp; Foerstl, 2014)", "plainTextFormattedCitation" : "(Crook &amp; Esper, 2014; Zimmermann &amp; Foerstl, 2014)", "previouslyFormattedCitation" : "(Crook &amp; Esper, 2014; Zimmermann &amp; Foerstl, 2014)" }, "properties" : { "noteIndex" : 0 }, "schema" : "https://github.com/citation-style-language/schema/raw/master/csl-citation.json" }</w:instrText>
      </w:r>
      <w:r w:rsidRPr="006407E5">
        <w:rPr>
          <w:rFonts w:ascii="Times New Roman" w:hAnsi="Times New Roman" w:cs="Times New Roman"/>
          <w:bCs/>
        </w:rPr>
        <w:fldChar w:fldCharType="separate"/>
      </w:r>
      <w:r w:rsidRPr="006407E5">
        <w:rPr>
          <w:rFonts w:ascii="Times New Roman" w:hAnsi="Times New Roman" w:cs="Times New Roman"/>
          <w:bCs/>
          <w:noProof/>
        </w:rPr>
        <w:t>(Crook &amp; Esper, 2014; Zimmermann &amp; Foerstl, 2014)</w:t>
      </w:r>
      <w:r w:rsidRPr="006407E5">
        <w:rPr>
          <w:rFonts w:ascii="Times New Roman" w:hAnsi="Times New Roman" w:cs="Times New Roman"/>
          <w:bCs/>
        </w:rPr>
        <w:fldChar w:fldCharType="end"/>
      </w:r>
      <w:r w:rsidRPr="006407E5">
        <w:rPr>
          <w:rFonts w:ascii="Times New Roman" w:hAnsi="Times New Roman" w:cs="Times New Roman"/>
          <w:bCs/>
        </w:rPr>
        <w:t>.</w:t>
      </w:r>
      <w:r w:rsidRPr="006407E5">
        <w:rPr>
          <w:rFonts w:ascii="Times New Roman" w:hAnsi="Times New Roman" w:cs="Times New Roman"/>
        </w:rPr>
        <w:t xml:space="preserve"> Hence, the research motivation is to better understand those detailed practices and micro-level processes and their impact on organizational performance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"10.1002/smj", "author" : [ { "dropping-particle" : "", "family" : "Crook", "given" : "T Russell", "non-dropping-particle" : "", "parse-names" : false, "suffix" : "" }, { "dropping-particle" : "", "family" : "Jr", "given" : "David J Ketchen", "non-dropping-particle" : "", "parse-names" : false, "suffix" : "" }, { "dropping-particle" : "", "family" : "Combs", "given" : "James G", "non-dropping-particle" : "", "parse-names" : false, "suffix" : "" }, { "dropping-particle" : "", "family" : "Todd", "given" : "Samuel Y", "non-dropping-particle" : "", "parse-names" : false, "suffix" : "" } ], "container-title" : "Strategic Management Journal", "id" : "ITEM-1", "issued" : { "date-parts" : [ [ "2008" ] ] }, "page" : "1141-1154", "title" : "Strategic Resources and Performance: A Meta-Analysis", "type" : "article-journal", "volume" : "29" }, "uris" : [ "http://www.mendeley.com/documents/?uuid=53bdedb7-95db-455e-88be-b29c2a8da8ef" ] }, { "id" : "ITEM-2", "itemData" : { "DOI" : "10.1002/smj", "author" : [ { "dropping-particle" : "", "family" : "Ndofor", "given" : "Hermann Achidi", "non-dropping-particle" : "", "parse-names" : false, "suffix" : "" }, { "dropping-particle" : "", "family" : "Sirmon", "given" : "David G", "non-dropping-particle" : "", "parse-names" : false, "suffix" : "" }, { "dropping-particle" : "", "family" : "He", "given" : "Xiaoming", "non-dropping-particle" : "", "parse-names" : false, "suffix" : "" } ], "container-title" : "Strategic Management Journal", "id" : "ITEM-2", "issued" : { "date-parts" : [ [ "2011" ] ] }, "page" : "640-657", "title" : "FIRM RESOURCES, COMPETITIVE ACTIONS AND PERFORMANCE : INVESTIGATING A MEDIATED MODEL WITH EVIDENCE FROM THE IN-VITRO DIAGNOSTICS INDUSTRY", "type" : "article-journal", "volume" : "32" }, "uris" : [ "http://www.mendeley.com/documents/?uuid=e3584899-1d8e-41c5-8633-fa61e4d31513" ] } ], "mendeley" : { "formattedCitation" : "(Crook, Jr, Combs, &amp; Todd, 2008; Ndofor, Sirmon, &amp; He, 2011)", "plainTextFormattedCitation" : "(Crook, Jr, Combs, &amp; Todd, 2008; Ndofor, Sirmon, &amp; He, 2011)", "previouslyFormattedCitation" : "(Crook, Jr, Combs, &amp; Todd, 2008; Ndofor, Sirmon, &amp; He,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(Crook, Jr, Combs, &amp; Todd, 2008; Ndofor, Sirmon, &amp; He, 2011)</w:t>
      </w:r>
      <w:r w:rsidRPr="006407E5">
        <w:rPr>
          <w:rFonts w:ascii="Times New Roman" w:hAnsi="Times New Roman" w:cs="Times New Roman"/>
        </w:rPr>
        <w:fldChar w:fldCharType="end"/>
      </w:r>
      <w:r w:rsidRPr="006407E5">
        <w:rPr>
          <w:rFonts w:ascii="Times New Roman" w:hAnsi="Times New Roman" w:cs="Times New Roman"/>
        </w:rPr>
        <w:t>.</w:t>
      </w:r>
    </w:p>
    <w:p w14:paraId="2A34525E" w14:textId="77777777" w:rsidR="009B07A6" w:rsidRPr="004F123C" w:rsidRDefault="009B07A6" w:rsidP="00377F5F">
      <w:pPr>
        <w:spacing w:line="480" w:lineRule="auto"/>
        <w:ind w:firstLine="720"/>
        <w:jc w:val="both"/>
        <w:rPr>
          <w:rFonts w:ascii="Times New Roman" w:hAnsi="Times New Roman" w:cs="Times New Roman"/>
        </w:rPr>
      </w:pPr>
      <w:r w:rsidRPr="004F123C">
        <w:rPr>
          <w:rFonts w:ascii="Times New Roman" w:hAnsi="Times New Roman" w:cs="Times New Roman"/>
        </w:rPr>
        <w:t>Anecdotal evidence from a number of interviews with supply chain managers in Chapter Three has confirmed the high relevance of this topic for practitioners. Managers have struggled with managing the interfirm resource flow. For example, one manager was struggling to facilitate the knowledge exchange between partnering organizations in a new product development project:</w:t>
      </w:r>
    </w:p>
    <w:p w14:paraId="3448A0F6" w14:textId="77777777" w:rsidR="009B07A6" w:rsidRPr="004F123C" w:rsidRDefault="009B07A6" w:rsidP="00377F5F">
      <w:pPr>
        <w:ind w:left="720"/>
        <w:jc w:val="both"/>
        <w:rPr>
          <w:rFonts w:ascii="Times New Roman" w:hAnsi="Times New Roman" w:cs="Times New Roman"/>
        </w:rPr>
      </w:pPr>
      <w:r w:rsidRPr="004F123C">
        <w:rPr>
          <w:rFonts w:ascii="Times New Roman" w:hAnsi="Times New Roman" w:cs="Times New Roman"/>
        </w:rPr>
        <w:t xml:space="preserve">“We’ve tried to set up databases …, but they all </w:t>
      </w:r>
      <w:r w:rsidRPr="004F123C">
        <w:rPr>
          <w:rFonts w:ascii="Times New Roman" w:hAnsi="Times New Roman" w:cs="Times New Roman"/>
          <w:b/>
          <w:bCs/>
        </w:rPr>
        <w:t>rely on a pull</w:t>
      </w:r>
      <w:r w:rsidRPr="004F123C">
        <w:rPr>
          <w:rFonts w:ascii="Times New Roman" w:hAnsi="Times New Roman" w:cs="Times New Roman"/>
        </w:rPr>
        <w:t xml:space="preserve">, if you will, from the other program and what you find most of the time is </w:t>
      </w:r>
      <w:r w:rsidRPr="004F123C">
        <w:rPr>
          <w:rFonts w:ascii="Times New Roman" w:hAnsi="Times New Roman" w:cs="Times New Roman"/>
          <w:b/>
          <w:bCs/>
        </w:rPr>
        <w:t>they don’t pull</w:t>
      </w:r>
      <w:r w:rsidRPr="004F123C">
        <w:rPr>
          <w:rFonts w:ascii="Times New Roman" w:hAnsi="Times New Roman" w:cs="Times New Roman"/>
        </w:rPr>
        <w:t xml:space="preserve">. So we’ve tried to </w:t>
      </w:r>
      <w:r w:rsidRPr="004F123C">
        <w:rPr>
          <w:rFonts w:ascii="Times New Roman" w:hAnsi="Times New Roman" w:cs="Times New Roman"/>
          <w:b/>
          <w:bCs/>
        </w:rPr>
        <w:t>find ways</w:t>
      </w:r>
      <w:r w:rsidRPr="004F123C">
        <w:rPr>
          <w:rFonts w:ascii="Times New Roman" w:hAnsi="Times New Roman" w:cs="Times New Roman"/>
        </w:rPr>
        <w:t xml:space="preserve"> </w:t>
      </w:r>
      <w:r w:rsidRPr="004F123C">
        <w:rPr>
          <w:rFonts w:ascii="Times New Roman" w:hAnsi="Times New Roman" w:cs="Times New Roman"/>
          <w:b/>
          <w:bCs/>
        </w:rPr>
        <w:t xml:space="preserve">to push information to programs </w:t>
      </w:r>
      <w:r w:rsidRPr="004F123C">
        <w:rPr>
          <w:rFonts w:ascii="Times New Roman" w:hAnsi="Times New Roman" w:cs="Times New Roman"/>
        </w:rPr>
        <w:t>when they don’t even know to ask questions but I would say that our success on that, I think, is limited</w:t>
      </w:r>
      <w:r w:rsidRPr="004F123C">
        <w:rPr>
          <w:rFonts w:ascii="Times New Roman" w:hAnsi="Times New Roman" w:cs="Times New Roman"/>
          <w:b/>
          <w:bCs/>
          <w:lang w:val="is-IS"/>
        </w:rPr>
        <w:t>”</w:t>
      </w:r>
    </w:p>
    <w:p w14:paraId="6153DBC6" w14:textId="77777777" w:rsidR="009B07A6" w:rsidRPr="004F123C" w:rsidRDefault="009B07A6" w:rsidP="00377F5F">
      <w:pPr>
        <w:ind w:left="720"/>
        <w:jc w:val="both"/>
        <w:rPr>
          <w:rFonts w:ascii="Times New Roman" w:hAnsi="Times New Roman" w:cs="Times New Roman"/>
        </w:rPr>
      </w:pPr>
      <w:r w:rsidRPr="004F123C">
        <w:rPr>
          <w:rFonts w:ascii="Times New Roman" w:hAnsi="Times New Roman" w:cs="Times New Roman"/>
          <w:bCs/>
          <w:lang w:val="is-IS"/>
        </w:rPr>
        <w:t>(Supply Chain Manager, responsible for joint innovation with suppliers)</w:t>
      </w:r>
      <w:r w:rsidRPr="004F123C">
        <w:rPr>
          <w:rFonts w:ascii="Times New Roman" w:hAnsi="Times New Roman" w:cs="Times New Roman"/>
        </w:rPr>
        <w:t xml:space="preserve"> </w:t>
      </w:r>
    </w:p>
    <w:p w14:paraId="69233609" w14:textId="77777777" w:rsidR="009B07A6" w:rsidRDefault="009B07A6" w:rsidP="00377F5F">
      <w:pPr>
        <w:spacing w:line="480" w:lineRule="auto"/>
        <w:jc w:val="both"/>
        <w:rPr>
          <w:rFonts w:ascii="Times New Roman" w:hAnsi="Times New Roman" w:cs="Times New Roman"/>
        </w:rPr>
      </w:pPr>
    </w:p>
    <w:p w14:paraId="45601F42" w14:textId="77777777" w:rsidR="00FA5962" w:rsidRPr="004F123C" w:rsidRDefault="00FA5962" w:rsidP="00377F5F">
      <w:pPr>
        <w:spacing w:line="480" w:lineRule="auto"/>
        <w:jc w:val="both"/>
        <w:rPr>
          <w:rFonts w:ascii="Times New Roman" w:hAnsi="Times New Roman" w:cs="Times New Roman"/>
        </w:rPr>
      </w:pPr>
    </w:p>
    <w:p w14:paraId="06DCE1D2" w14:textId="7D23458D" w:rsidR="009B07A6" w:rsidRPr="002E5029" w:rsidRDefault="009B07A6" w:rsidP="008F361C">
      <w:pPr>
        <w:pStyle w:val="Heading3new"/>
        <w:rPr>
          <w:b/>
        </w:rPr>
      </w:pPr>
      <w:r w:rsidRPr="002E5029">
        <w:lastRenderedPageBreak/>
        <w:t>Research Motivation</w:t>
      </w:r>
    </w:p>
    <w:p w14:paraId="62CFF401"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 xml:space="preserve">In summary, the research gap described has led to the development of the supply chain resource orchestration framework in Chapter Three. Thereby, it was demonstrated that both researchers and practitioners alike have emphasized the need to establish effective SCRO processes in an organization to enhance organizational performance (refer to Chapter Three). They described the need to balance or synchronize the structuring, bundling, and leveraging practices in the organization. </w:t>
      </w:r>
    </w:p>
    <w:p w14:paraId="5ED0A579" w14:textId="77777777" w:rsidR="009B07A6" w:rsidRPr="006407E5" w:rsidRDefault="009B07A6" w:rsidP="00377F5F">
      <w:pPr>
        <w:spacing w:line="480" w:lineRule="auto"/>
        <w:ind w:firstLine="720"/>
        <w:jc w:val="both"/>
        <w:rPr>
          <w:rFonts w:ascii="Times New Roman" w:hAnsi="Times New Roman" w:cs="Times New Roman"/>
        </w:rPr>
      </w:pPr>
      <w:r w:rsidRPr="003E7F51">
        <w:rPr>
          <w:rFonts w:ascii="Times New Roman" w:hAnsi="Times New Roman" w:cs="Times New Roman"/>
        </w:rPr>
        <w:t>Thus, the literature indicates a need to better understand the concrete m</w:t>
      </w:r>
      <w:r w:rsidRPr="003E7F51">
        <w:rPr>
          <w:rFonts w:ascii="Times New Roman" w:hAnsi="Times New Roman" w:cs="Times New Roman"/>
          <w:bCs/>
        </w:rPr>
        <w:t>anagerial practices: How to manage the resource flow in general, and specifically the inflow of external resources from the supply chain?</w:t>
      </w:r>
      <w:r w:rsidRPr="003E7F51">
        <w:rPr>
          <w:rFonts w:ascii="Times New Roman" w:hAnsi="Times New Roman" w:cs="Times New Roman"/>
        </w:rPr>
        <w:t xml:space="preserve"> Furthermore, in Chapters Two and Three, it was noted that the impact of culture matters in the context of innovation </w:t>
      </w:r>
      <w:r w:rsidRPr="003E7F51">
        <w:rPr>
          <w:rFonts w:ascii="Times New Roman" w:hAnsi="Times New Roman" w:cs="Times New Roman"/>
        </w:rPr>
        <w:fldChar w:fldCharType="begin" w:fldLock="1"/>
      </w:r>
      <w:r w:rsidRPr="003E7F51">
        <w:rPr>
          <w:rFonts w:ascii="Times New Roman" w:hAnsi="Times New Roman" w:cs="Times New Roman"/>
        </w:rPr>
        <w:instrText>ADDIN CSL_CITATION { "citationItems" : [ { "id" : "ITEM-1", "itemData" : { "DOI" : "10.1111/jpim.12273", "ISBN" : "9781617796029", "ISSN" : "15405885", "PMID" : "8190083", "abstract" : "The constant and successful market introduction of new products is of major concern to companies throughout all industries. However, empirical research points to high failure rates of innovations, indicating that most new products fail as they are rejected by consumers due to their resistance to innovation. Several studies have confirmed the importance of passive innovation resistance as a dominant barrier, which has to be overcome before new product adoption can start. However, empirical evidence on how to overcome passive innovation resistance is still lacking. This study intends to address this gap by evaluating the effectiveness of marketing instruments (i.e., mental simulation and benefit comparison) to reduce negative effects of passive innovation resistance on new product adoption. The results of a scenario-based experiment (n = 679) confirm high effectiveness for both instruments. However, the effectiveness varied with the type of passive innovation resistance present. More specifically, mental simulation was found to be the most effective instrument in the case of cognitive passive resistance, whereas benefit comparison was found to be most effective in the case of situational passive resistance. Thereby, the effect of both marketing instruments was stronger the more radical the new product was perceived. Hence, companies should assess the type of passive innovation resistance that is predominant in their target market, and align their choice of marketing instruments that accompany a new product launch to most effectively overcome passive innovation resistance. Employing such new product launch tactics should decrease initial market resistance and thus help companies in reducing innovation failure rates", "author" : [ { "dropping-particle" : "", "family" : "Heidenreich", "given" : "Sven", "non-dropping-particle" : "", "parse-names" : false, "suffix" : "" }, { "dropping-particle" : "", "family" : "Kraemer", "given" : "Tobias", "non-dropping-particle" : "", "parse-names" : false, "suffix" : "" } ], "container-title" : "Journal of Product Innovation Management", "id" : "ITEM-1", "issue" : "3", "issued" : { "date-parts" : [ [ "2016" ] ] }, "page" : "277-297", "title" : "Innovations - Doomed to Fail? Investigating Strategies to Overcome Passive Innovation Resistance", "type" : "article-journal", "volume" : "33" }, "uris" : [ "http://www.mendeley.com/documents/?uuid=ce5e3cb7-eb16-43ca-92a5-d1076cc4842a" ] } ], "mendeley" : { "formattedCitation" : "(Heidenreich &amp; Kraemer, 2016)", "plainTextFormattedCitation" : "(Heidenreich &amp; Kraemer, 2016)", "previouslyFormattedCitation" : "(Heidenreich &amp; Kraemer, 2016)" }, "properties" : { "noteIndex" : 0 }, "schema" : "https://github.com/citation-style-language/schema/raw/master/csl-citation.json" }</w:instrText>
      </w:r>
      <w:r w:rsidRPr="003E7F51">
        <w:rPr>
          <w:rFonts w:ascii="Times New Roman" w:hAnsi="Times New Roman" w:cs="Times New Roman"/>
        </w:rPr>
        <w:fldChar w:fldCharType="separate"/>
      </w:r>
      <w:r w:rsidRPr="003E7F51">
        <w:rPr>
          <w:rFonts w:ascii="Times New Roman" w:hAnsi="Times New Roman" w:cs="Times New Roman"/>
          <w:noProof/>
        </w:rPr>
        <w:t>(Heidenreich &amp; Kraemer, 2016)</w:t>
      </w:r>
      <w:r w:rsidRPr="003E7F51">
        <w:rPr>
          <w:rFonts w:ascii="Times New Roman" w:hAnsi="Times New Roman" w:cs="Times New Roman"/>
        </w:rPr>
        <w:fldChar w:fldCharType="end"/>
      </w:r>
      <w:r w:rsidRPr="006407E5">
        <w:rPr>
          <w:rFonts w:ascii="Times New Roman" w:hAnsi="Times New Roman" w:cs="Times New Roman"/>
        </w:rPr>
        <w:t xml:space="preserve">. The cultural orientation affects the resource management practices and their impact on performance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"Oke", "given" : "Adegoke", "non-dropping-particle" : "", "parse-names" : false, "suffix" : "" }, { "dropping-particle" : "", "family" : "Prajogo", "given" : "Daniel I", "non-dropping-particle" : "", "parse-names" : false, "suffix" : "" }, { "dropping-particle" : "", "family" : "Yayaram", "given" : "Jayanth", "non-dropping-particle" : "", "parse-names" : false, "suffix" : "" } ], "container-title" : "Journal of Supply Chain Management", "id" : "ITEM-1", "issue" : "4", "issued" : { "date-parts" : [ [ "2013" ] ] }, "page" : "43-58", "title" : "STRENGTHENING THE INNOVATION CHAIN: THE ROLE OF INTERNAL INNOVATION CLIMATE AND STRATEGIC RELATIONSHIPS WITH SUPPLY CHAIN PARTNERS", "type" : "article-journal", "volume" : "49" }, "uris" : [ "http://www.mendeley.com/documents/?uuid=a24392ea-9943-4c6d-abc7-90a89f2725fa" ] } ], "mendeley" : { "formattedCitation" : "(Oke et al., 2013)", "plainTextFormattedCitation" : "(Oke et al., 2013)", "previouslyFormattedCitation" : "(Oke et al., 2013)"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(Oke et al., 2013)</w:t>
      </w:r>
      <w:r w:rsidRPr="006407E5">
        <w:rPr>
          <w:rFonts w:ascii="Times New Roman" w:hAnsi="Times New Roman" w:cs="Times New Roman"/>
        </w:rPr>
        <w:fldChar w:fldCharType="end"/>
      </w:r>
      <w:r w:rsidRPr="006407E5">
        <w:rPr>
          <w:rFonts w:ascii="Times New Roman" w:hAnsi="Times New Roman" w:cs="Times New Roman"/>
        </w:rPr>
        <w:t xml:space="preserve">. Apparently, the influence of attitudinal factors on resource management practices has not yet received sufficient scholarly attention to date so that critical questions remain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"10.1016/j.jom.2010.02.001", "ISSN" : "0272-6963", "author" : [ { "dropping-particle" : "", "family" : "Azadegan", "given" : "Arash", "non-dropping-particle" : "", "parse-names" : false, "suffix" : "" }, { "dropping-particle" : "", "family" : "Dooley", "given" : "Kevin J", "non-dropping-particle" : "", "parse-names" : false, "suffix" : "" } ], "container-title" : "Journal of Operations Management", "id" : "ITEM-1", "issue" : "6", "issued" : { "date-parts" : [ [ "2010" ] ] }, "page" : "488-505", "title" : "Supplier innovativeness, organizational learning styles and manufacturer performance: An empirical assessment", "type" : "article-journal", "volume" : "28" }, "uris" : [ "http://www.mendeley.com/documents/?uuid=76afabba-f3c3-4fb5-8466-bb21870974dc" ] }, { "id" : "ITEM-2", "itemData" : { "author" : [ { "dropping-particle" : "", "family" : "Brentani", "given" : "Ulrike", "non-dropping-particle" : "De", "parse-names" : false, "suffix" : "" }, { "dropping-particle" : "", "family" : "Kleinschmidt", "given" : "Elko J", "non-dropping-particle" : "", "parse-names" : false, "suffix" : "" } ], "container-title" : "Journal of Product Innovation Management", "id" : "ITEM-2", "issued" : { "date-parts" : [ [ "2004" ] ] }, "page" : "309-333", "title" : "Corporate Culture and Commitment: Impact on Performance of International New Product Development Programs", "type" : "article-journal", "volume" : "21" }, "uris" : [ "http://www.mendeley.com/documents/?uuid=31aee508-d7c7-43f6-8c64-e6ebff7eedcd" ] } ], "mendeley" : { "formattedCitation" : "(Azadegan &amp; Dooley, 2010; De Brentani &amp; Kleinschmidt, 2004)", "plainTextFormattedCitation" : "(Azadegan &amp; Dooley, 2010; De Brentani &amp; Kleinschmidt, 2004)", "previouslyFormattedCitation" : "(Azadegan &amp; Dooley, 2010; De Brentani &amp; Kleinschmidt, 2004)"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(Azadegan &amp; Dooley, 2010; De Brentani &amp; Kleinschmidt, 2004)</w:t>
      </w:r>
      <w:r w:rsidRPr="006407E5">
        <w:rPr>
          <w:rFonts w:ascii="Times New Roman" w:hAnsi="Times New Roman" w:cs="Times New Roman"/>
        </w:rPr>
        <w:fldChar w:fldCharType="end"/>
      </w:r>
      <w:r w:rsidRPr="006407E5">
        <w:rPr>
          <w:rFonts w:ascii="Times New Roman" w:hAnsi="Times New Roman" w:cs="Times New Roman"/>
        </w:rPr>
        <w:t>.</w:t>
      </w:r>
    </w:p>
    <w:p w14:paraId="05690E5E"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How is the firm-wide stance toward innovation affecting organizational </w:t>
      </w:r>
      <w:r w:rsidRPr="003E7F51">
        <w:rPr>
          <w:rFonts w:ascii="Times New Roman" w:hAnsi="Times New Roman" w:cs="Times New Roman"/>
        </w:rPr>
        <w:t xml:space="preserve">performance? What is the moderating influence of attitudinal factors on the performance impact of managerial practices? Scholars have noted a need for </w:t>
      </w:r>
      <w:r>
        <w:rPr>
          <w:rFonts w:ascii="Times New Roman" w:hAnsi="Times New Roman" w:cs="Times New Roman"/>
        </w:rPr>
        <w:t xml:space="preserve">more </w:t>
      </w:r>
      <w:r w:rsidRPr="003E7F51">
        <w:rPr>
          <w:rFonts w:ascii="Times New Roman" w:hAnsi="Times New Roman" w:cs="Times New Roman"/>
        </w:rPr>
        <w:t xml:space="preserve">research on </w:t>
      </w:r>
      <w:r w:rsidRPr="003E7F51">
        <w:rPr>
          <w:rFonts w:ascii="Times New Roman" w:hAnsi="Times New Roman" w:cs="Times New Roman"/>
          <w:bCs/>
        </w:rPr>
        <w:t>influence tactics</w:t>
      </w:r>
      <w:r w:rsidRPr="003E7F51">
        <w:rPr>
          <w:rFonts w:ascii="Times New Roman" w:hAnsi="Times New Roman" w:cs="Times New Roman"/>
        </w:rPr>
        <w:t>/mechanisms</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"Engelen", "given" : "Andreas", "non-dropping-particle" : "", "parse-names" : false, "suffix" : "" }, { "dropping-particle" : "", "family" : "Brettel", "given" : "Malte", "non-dropping-particle" : "", "parse-names" : false, "suffix" : "" } ], "container-title" : "Journal of Product Innovation Management", "id" : "ITEM-1", "issue" : "3", "issued" : { "date-parts" : [ [ "2012" ] ] }, "page" : "489-505", "title" : "A Coalitional Perspective on the Role of the R &amp; D Department Within the Organization", "type" : "article-journal", "volume" : "29" }, "uris" : [ "http://www.mendeley.com/documents/?uuid=e0d6ee5b-22cf-4b38-89e7-9a0c129a74c1" ] } ], "mendeley" : { "formattedCitation" : "(Engelen &amp; Brettel, 2012)", "plainTextFormattedCitation" : "(Engelen &amp; Brettel, 2012)", "previouslyFormattedCitation" : "(Engelen &amp; Brettel, 2012)" }, "properties" : { "noteIndex" : 0 }, "schema" : "https://github.com/citation-style-language/schema/raw/master/csl-citation.json" }</w:instrText>
      </w:r>
      <w:r>
        <w:rPr>
          <w:rFonts w:ascii="Times New Roman" w:hAnsi="Times New Roman" w:cs="Times New Roman"/>
        </w:rPr>
        <w:fldChar w:fldCharType="separate"/>
      </w:r>
      <w:r w:rsidRPr="004E7276">
        <w:rPr>
          <w:rFonts w:ascii="Times New Roman" w:hAnsi="Times New Roman" w:cs="Times New Roman"/>
          <w:noProof/>
        </w:rPr>
        <w:t>(Engelen &amp; Brettel, 2012)</w:t>
      </w:r>
      <w:r>
        <w:rPr>
          <w:rFonts w:ascii="Times New Roman" w:hAnsi="Times New Roman" w:cs="Times New Roman"/>
        </w:rPr>
        <w:fldChar w:fldCharType="end"/>
      </w:r>
      <w:r w:rsidRPr="003E7F51">
        <w:rPr>
          <w:rFonts w:ascii="Times New Roman" w:hAnsi="Times New Roman" w:cs="Times New Roman"/>
        </w:rPr>
        <w:t xml:space="preserve"> and the impact of </w:t>
      </w:r>
      <w:r w:rsidRPr="003E7F51">
        <w:rPr>
          <w:rFonts w:ascii="Times New Roman" w:hAnsi="Times New Roman" w:cs="Times New Roman"/>
          <w:bCs/>
        </w:rPr>
        <w:t>culture</w:t>
      </w:r>
      <w:r w:rsidRPr="003E7F51">
        <w:rPr>
          <w:rFonts w:ascii="Times New Roman" w:hAnsi="Times New Roman" w:cs="Times New Roman"/>
        </w:rPr>
        <w:t xml:space="preserve"> </w:t>
      </w:r>
      <w:r w:rsidRPr="003E7F51">
        <w:rPr>
          <w:rFonts w:ascii="Times New Roman" w:hAnsi="Times New Roman" w:cs="Times New Roman"/>
          <w:bCs/>
        </w:rPr>
        <w:t>and strategic orientation</w:t>
      </w:r>
      <w:r w:rsidRPr="003E7F51">
        <w:rPr>
          <w:rFonts w:ascii="Times New Roman" w:hAnsi="Times New Roman" w:cs="Times New Roman"/>
        </w:rPr>
        <w:t xml:space="preserve"> on new product development performance (strategic innovation capability)</w:t>
      </w:r>
      <w:r w:rsidRPr="006407E5">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"Nakata", "given" : "Cheryl", "non-dropping-particle" : "", "parse-names" : false, "suffix" : "" }, { "dropping-particle" : "", "family" : "Im", "given" : "Subin", "non-dropping-particle" : "", "parse-names" : false, "suffix" : "" } ], "container-title" : "Journal of Product Innovation Management", "id" : "ITEM-1", "issued" : { "date-parts" : [ [ "2010" ] ] }, "page" : "554-571", "title" : "Spurring Cross-Functional Integration for Higher New Product Performance: A Group Effectiveness Perspective", "type" : "article-journal", "volume" : "27" }, "uris" : [ "http://www.mendeley.com/documents/?uuid=de524e51-0275-4728-8f50-2c4cabd03743" ] } ], "mendeley" : { "formattedCitation" : "(Nakata &amp; Im, 2010)", "plainTextFormattedCitation" : "(Nakata &amp; Im, 2010)", "previouslyFormattedCitation" : "(Nakata &amp; Im, 2010)" }, "properties" : { "noteIndex" : 0 }, "schema" : "https://github.com/citation-style-language/schema/raw/master/csl-citation.json" }</w:instrText>
      </w:r>
      <w:r>
        <w:rPr>
          <w:rFonts w:ascii="Times New Roman" w:hAnsi="Times New Roman" w:cs="Times New Roman"/>
        </w:rPr>
        <w:fldChar w:fldCharType="separate"/>
      </w:r>
      <w:r w:rsidRPr="004E7276">
        <w:rPr>
          <w:rFonts w:ascii="Times New Roman" w:hAnsi="Times New Roman" w:cs="Times New Roman"/>
          <w:noProof/>
        </w:rPr>
        <w:t>(Nakata &amp; Im, 2010)</w:t>
      </w:r>
      <w:r>
        <w:rPr>
          <w:rFonts w:ascii="Times New Roman" w:hAnsi="Times New Roman" w:cs="Times New Roman"/>
        </w:rPr>
        <w:fldChar w:fldCharType="end"/>
      </w:r>
      <w:r>
        <w:rPr>
          <w:rFonts w:ascii="Times New Roman" w:hAnsi="Times New Roman" w:cs="Times New Roman"/>
        </w:rPr>
        <w:t>.</w:t>
      </w:r>
    </w:p>
    <w:p w14:paraId="2A58E5D8"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Hence, this research will attempt to address this gap and consider cultural effects on resource management practices. In this dissertation research, EO is understood as the attitude or stance toward innovation on a firm-level.</w:t>
      </w:r>
      <w:r>
        <w:rPr>
          <w:rFonts w:ascii="Times New Roman" w:hAnsi="Times New Roman" w:cs="Times New Roman"/>
        </w:rPr>
        <w:t xml:space="preserve"> </w:t>
      </w:r>
      <w:r w:rsidRPr="006407E5">
        <w:rPr>
          <w:rFonts w:ascii="Times New Roman" w:hAnsi="Times New Roman" w:cs="Times New Roman"/>
        </w:rPr>
        <w:t>T</w:t>
      </w:r>
      <w:r>
        <w:rPr>
          <w:rFonts w:ascii="Times New Roman" w:hAnsi="Times New Roman" w:cs="Times New Roman"/>
        </w:rPr>
        <w:t>he</w:t>
      </w:r>
      <w:r w:rsidRPr="006407E5">
        <w:rPr>
          <w:rFonts w:ascii="Times New Roman" w:hAnsi="Times New Roman" w:cs="Times New Roman"/>
        </w:rPr>
        <w:t xml:space="preserve"> purpose of this research is to test </w:t>
      </w:r>
      <w:r w:rsidRPr="006407E5">
        <w:rPr>
          <w:rFonts w:ascii="Times New Roman" w:hAnsi="Times New Roman" w:cs="Times New Roman"/>
        </w:rPr>
        <w:lastRenderedPageBreak/>
        <w:t xml:space="preserve">the conceptual model of SCRO including the moderating influence of EO and to empirically verify the effects on organizational performance, as conceptualized in </w:t>
      </w:r>
      <w:r w:rsidRPr="00003180">
        <w:rPr>
          <w:rFonts w:ascii="Times New Roman" w:hAnsi="Times New Roman" w:cs="Times New Roman"/>
        </w:rPr>
        <w:t>Chapter Three. This research still takes a firm-level perspective.</w:t>
      </w:r>
      <w:r>
        <w:rPr>
          <w:rFonts w:ascii="Times New Roman" w:hAnsi="Times New Roman" w:cs="Times New Roman"/>
        </w:rPr>
        <w:t xml:space="preserve"> </w:t>
      </w:r>
      <w:r w:rsidRPr="006407E5">
        <w:rPr>
          <w:rFonts w:ascii="Times New Roman" w:hAnsi="Times New Roman" w:cs="Times New Roman"/>
        </w:rPr>
        <w:t>There are two main objectives of this research</w:t>
      </w:r>
      <w:r>
        <w:rPr>
          <w:rFonts w:ascii="Times New Roman" w:hAnsi="Times New Roman" w:cs="Times New Roman"/>
        </w:rPr>
        <w:t xml:space="preserve">: </w:t>
      </w:r>
      <w:r w:rsidRPr="006407E5">
        <w:rPr>
          <w:rFonts w:ascii="Times New Roman" w:hAnsi="Times New Roman" w:cs="Times New Roman"/>
        </w:rPr>
        <w:t>First, this research is intended to test the critical supply chain resource orchestration mechanism and its impact on organizational performance. Second, the study will analyze the moderating influence of corporate entrepreneurial orientation on the relationship between SCRO and organizational performance.</w:t>
      </w:r>
    </w:p>
    <w:p w14:paraId="2F766410" w14:textId="77777777" w:rsidR="009B07A6" w:rsidRPr="006407E5" w:rsidRDefault="009B07A6" w:rsidP="00377F5F">
      <w:pPr>
        <w:spacing w:line="480" w:lineRule="auto"/>
        <w:jc w:val="both"/>
        <w:rPr>
          <w:rFonts w:ascii="Times New Roman" w:hAnsi="Times New Roman" w:cs="Times New Roman"/>
        </w:rPr>
      </w:pPr>
    </w:p>
    <w:p w14:paraId="6BE9966C" w14:textId="77777777" w:rsidR="009B07A6" w:rsidRPr="006407E5" w:rsidRDefault="009B07A6" w:rsidP="00377F5F">
      <w:pPr>
        <w:spacing w:line="480" w:lineRule="auto"/>
        <w:jc w:val="both"/>
        <w:rPr>
          <w:rFonts w:ascii="Times New Roman" w:hAnsi="Times New Roman" w:cs="Times New Roman"/>
        </w:rPr>
      </w:pPr>
      <w:r>
        <w:rPr>
          <w:rFonts w:ascii="Times New Roman" w:hAnsi="Times New Roman" w:cs="Times New Roman"/>
        </w:rPr>
        <w:t>Hence</w:t>
      </w:r>
      <w:r w:rsidRPr="006407E5">
        <w:rPr>
          <w:rFonts w:ascii="Times New Roman" w:hAnsi="Times New Roman" w:cs="Times New Roman"/>
        </w:rPr>
        <w:t>, the research questions for this paper are:</w:t>
      </w:r>
    </w:p>
    <w:p w14:paraId="7B3C9A8D" w14:textId="77777777" w:rsidR="009B07A6" w:rsidRPr="006407E5" w:rsidRDefault="009B07A6" w:rsidP="00890BCF">
      <w:pPr>
        <w:ind w:left="360"/>
        <w:jc w:val="both"/>
        <w:rPr>
          <w:rFonts w:ascii="Times New Roman" w:hAnsi="Times New Roman" w:cs="Times New Roman"/>
        </w:rPr>
      </w:pPr>
      <w:r w:rsidRPr="006407E5">
        <w:rPr>
          <w:rFonts w:ascii="Times New Roman" w:hAnsi="Times New Roman" w:cs="Times New Roman"/>
        </w:rPr>
        <w:t>RQ1: How does supply chain resource orchestration influence innovation and financial performance?</w:t>
      </w:r>
    </w:p>
    <w:p w14:paraId="5F021406" w14:textId="77777777" w:rsidR="009B07A6" w:rsidRPr="006407E5" w:rsidRDefault="009B07A6" w:rsidP="00890BCF">
      <w:pPr>
        <w:ind w:left="360"/>
        <w:jc w:val="both"/>
        <w:rPr>
          <w:rFonts w:ascii="Times New Roman" w:hAnsi="Times New Roman" w:cs="Times New Roman"/>
        </w:rPr>
      </w:pPr>
      <w:r w:rsidRPr="006407E5">
        <w:rPr>
          <w:rFonts w:ascii="Times New Roman" w:hAnsi="Times New Roman" w:cs="Times New Roman"/>
        </w:rPr>
        <w:t>RQ2: How does entrepreneurial orientation affect the relationship between supply chain resource orchestration and organizational performance?</w:t>
      </w:r>
    </w:p>
    <w:p w14:paraId="6DC70D4F" w14:textId="77777777" w:rsidR="009B07A6" w:rsidRPr="006407E5" w:rsidRDefault="009B07A6" w:rsidP="00377F5F">
      <w:pPr>
        <w:spacing w:line="480" w:lineRule="auto"/>
        <w:jc w:val="both"/>
        <w:rPr>
          <w:rFonts w:ascii="Times New Roman" w:hAnsi="Times New Roman" w:cs="Times New Roman"/>
        </w:rPr>
      </w:pPr>
    </w:p>
    <w:p w14:paraId="08567575"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The chapter is structured as follows: First, the relevant literature and applicable theory is briefly reviewed. Second, the supply chain resource orchestration framework is introduced, followed by the development of research hypotheses. In the methodology section, the different structural equation modeling steps are described and the results are summarized. Finally, the discussion of theoretical and practical implications, limitations, and future research opportunities will conclude this chapter.</w:t>
      </w:r>
    </w:p>
    <w:p w14:paraId="77E4B063" w14:textId="77777777" w:rsidR="009B07A6" w:rsidRPr="006407E5" w:rsidRDefault="009B07A6" w:rsidP="00377F5F">
      <w:pPr>
        <w:spacing w:line="480" w:lineRule="auto"/>
        <w:jc w:val="both"/>
        <w:rPr>
          <w:rFonts w:ascii="Times New Roman" w:hAnsi="Times New Roman" w:cs="Times New Roman"/>
        </w:rPr>
      </w:pPr>
    </w:p>
    <w:p w14:paraId="7D666D0D" w14:textId="77777777" w:rsidR="00776510" w:rsidRDefault="00776510" w:rsidP="004C1E27">
      <w:pPr>
        <w:pStyle w:val="Heading2"/>
      </w:pPr>
      <w:bookmarkStart w:id="113" w:name="_Toc358326741"/>
      <w:r>
        <w:t>Theoretical Framework and Hypotheses Development</w:t>
      </w:r>
      <w:bookmarkEnd w:id="113"/>
    </w:p>
    <w:p w14:paraId="6001BF77" w14:textId="77777777" w:rsidR="009B07A6" w:rsidRPr="006407E5" w:rsidRDefault="009B07A6" w:rsidP="004C1E27">
      <w:pPr>
        <w:pStyle w:val="Heading3new"/>
      </w:pPr>
      <w:r w:rsidRPr="006407E5">
        <w:t>Open Innovation Framework</w:t>
      </w:r>
    </w:p>
    <w:p w14:paraId="3E1B222E"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 xml:space="preserve">Researchers have emphasized the need for organizations to utilize externally available knowledge and urged “to take into account the wealth of activity outside the firm”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"Chesbrough", "given" : "Henry", "non-dropping-particle" : "", "parse-names" : false, "suffix" : "" } ], "id" : "ITEM-1",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"manualFormatting" : "(Chesbrough, 2003:52)", "plainTextFormattedCitation" : "(Chesbrough, 2003)", "previouslyFormattedCitation" : "(Chesbrough, 2003)"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(Chesbrough, 2003:52)</w:t>
      </w:r>
      <w:r w:rsidRPr="006407E5">
        <w:rPr>
          <w:rFonts w:ascii="Times New Roman" w:hAnsi="Times New Roman" w:cs="Times New Roman"/>
        </w:rPr>
        <w:fldChar w:fldCharType="end"/>
      </w:r>
      <w:r w:rsidRPr="006407E5">
        <w:rPr>
          <w:rFonts w:ascii="Times New Roman" w:hAnsi="Times New Roman" w:cs="Times New Roman"/>
        </w:rPr>
        <w:t xml:space="preserve">. With a broader scope and distinct from the early supplier </w:t>
      </w:r>
      <w:r w:rsidRPr="006407E5">
        <w:rPr>
          <w:rFonts w:ascii="Times New Roman" w:hAnsi="Times New Roman" w:cs="Times New Roman"/>
        </w:rPr>
        <w:lastRenderedPageBreak/>
        <w:t xml:space="preserve">integration concept, open innovation is a new organizational approach toward innovation and creates the opportunity for new business models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"ISBN" : "978-1-4221-0427-9", "author" : [ { "dropping-particle" : "", "family" : "Chesbrough", "given" : "Henry", "non-dropping-particle" : "", "parse-names" : false, "suffix" : "" } ], "id" : "ITEM-1", "issued" : { "date-parts" : [ [ "2006" ] ] }, "publisher" : "Harvard Business School Press", "publisher-place" : "Boston, MA", "title" : "Open business models: How to thrive in the new innovation landscape", "type" : "book" }, "uris" : [ "http://www.mendeley.com/documents/?uuid=ae1a9449-a1f6-428e-a760-4d1fd41a734d" ] } ], "mendeley" : { "formattedCitation" : "(Chesbrough, 2006)", "plainTextFormattedCitation" : "(Chesbrough, 2006)", "previouslyFormattedCitation" : "(Chesbrough, 2006)"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(Chesbrough, 2006)</w:t>
      </w:r>
      <w:r w:rsidRPr="006407E5">
        <w:rPr>
          <w:rFonts w:ascii="Times New Roman" w:hAnsi="Times New Roman" w:cs="Times New Roman"/>
        </w:rPr>
        <w:fldChar w:fldCharType="end"/>
      </w:r>
      <w:r w:rsidRPr="006407E5">
        <w:rPr>
          <w:rFonts w:ascii="Times New Roman" w:hAnsi="Times New Roman" w:cs="Times New Roman"/>
        </w:rPr>
        <w:t xml:space="preserve">. It is based on a fundamental paradigm shift from a pure internal focus to a holistic perspective on innovation and development activities. Besides, organizations develop an innovation orientation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"Oke", "given" : "Adegoke", "non-dropping-particle" : "", "parse-names" : false, "suffix" : "" }, { "dropping-particle" : "", "family" : "Prajogo", "given" : "Daniel I", "non-dropping-particle" : "", "parse-names" : false, "suffix" : "" }, { "dropping-particle" : "", "family" : "Yayaram", "given" : "Jayanth", "non-dropping-particle" : "", "parse-names" : false, "suffix" : "" } ], "container-title" : "Journal of Supply Chain Management", "id" : "ITEM-1", "issue" : "4", "issued" : { "date-parts" : [ [ "2013" ] ] }, "page" : "43-58", "title" : "STRENGTHENING THE INNOVATION CHAIN: THE ROLE OF INTERNAL INNOVATION CLIMATE AND STRATEGIC RELATIONSHIPS WITH SUPPLY CHAIN PARTNERS", "type" : "article-journal", "volume" : "49" }, "uris" : [ "http://www.mendeley.com/documents/?uuid=a24392ea-9943-4c6d-abc7-90a89f2725fa" ] } ], "mendeley" : { "formattedCitation" : "(Oke et al., 2013)", "plainTextFormattedCitation" : "(Oke et al., 2013)", "previouslyFormattedCitation" : "(Oke et al., 2013)"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(Oke et al., 2013)</w:t>
      </w:r>
      <w:r w:rsidRPr="006407E5">
        <w:rPr>
          <w:rFonts w:ascii="Times New Roman" w:hAnsi="Times New Roman" w:cs="Times New Roman"/>
        </w:rPr>
        <w:fldChar w:fldCharType="end"/>
      </w:r>
      <w:r w:rsidRPr="006407E5">
        <w:rPr>
          <w:rFonts w:ascii="Times New Roman" w:hAnsi="Times New Roman" w:cs="Times New Roman"/>
        </w:rPr>
        <w:t xml:space="preserve">, as discussed in Chapter Two, and are becoming alert to and receptive for ideas generated outside of the organization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"abstract" : "Companies have historically invested in large research and development departments to drive innovation and provide sustainable growth. This model, however, is eroding due to a number of factors. What is emerging is a more open model, where companies recognize that not all good ideas will come from inside the organization and not all good ideas created within the organization can be successfully marketed internally. To date, Open Innovation concepts have been regarded as relevant primarily to \u2018high-technology\u2019 industries, with examples that include Lucent, 3Com, IBM, Intel and Millenium Pharmaceuticals. In this article, we identify organizations in industries outside \u2018high technology\u2019 that are early adopters of the concept. Our findings demonstrate that many Open Innovation concepts are already in use in a wide range of industries. We document practices that appear to assist organizations adopting these concepts, and discover that Open Innovation is not ipso facto a recipe for outsourcing R&amp;D. We conclude that Open Innovation has utility as a paradigm for industrial innovation beyond high tech to more traditional and mature industries.", "author" : [ { "dropping-particle" : "", "family" : "Chesbrough", "given" : "Henry", "non-dropping-particle" : "", "parse-names" : false, "suffix" : "" }, { "dropping-particle" : "", "family" : "Crowther", "given" : "Adrienne Kardon", "non-dropping-particle" : "", "parse-names" : false, "suffix" : "" } ], "container-title" : "R&amp;D Management", "id" : "ITEM-1", "issue" : "3", "issued" : { "date-parts" : [ [ "2006" ] ] }, "page" : "229-236", "title" : "Beyond high tech: Early adopters of open innovation in other industries", "type" : "article-journal", "volume" : "36" }, "uris" : [ "http://www.mendeley.com/documents/?uuid=f4e6a3e0-3858-4eec-af6c-509d8e44595b" ] } ], "mendeley" : { "formattedCitation" : "(Chesbrough &amp; Crowther, 2006)", "plainTextFormattedCitation" : "(Chesbrough &amp; Crowther, 2006)", "previouslyFormattedCitation" : "(Chesbrough &amp; Crowther, 2006)"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(Chesbrough &amp; Crowther, 2006)</w:t>
      </w:r>
      <w:r w:rsidRPr="006407E5">
        <w:rPr>
          <w:rFonts w:ascii="Times New Roman" w:hAnsi="Times New Roman" w:cs="Times New Roman"/>
        </w:rPr>
        <w:fldChar w:fldCharType="end"/>
      </w:r>
      <w:r w:rsidRPr="006407E5">
        <w:rPr>
          <w:rFonts w:ascii="Times New Roman" w:hAnsi="Times New Roman" w:cs="Times New Roman"/>
        </w:rPr>
        <w:t xml:space="preserve">. Fundamentally, open innovation practices are expected to enhance innovation performance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"dropping-particle" : "", "family" : "Chesbrough", "given" : "Henry", "non-dropping-particle" : "", "parse-names" : false, "suffix" : "" } ], "container-title" : "R&amp;D Management", "id" : "ITEM-1", "issued" : { "date-parts" : [ [ "2010" ] ] }, "page" : "1-9", "title" : "The future of open innovation", "type" : "article-journal" }, "uris" : [ "http://www.mendeley.com/documents/?uuid=b72ab66a-e5df-4c16-9ca8-c68543a53ab4" ] } ], "mendeley" : { "formattedCitation" : "(Gassmann et al., 2010)", "plainTextFormattedCitation" : "(Gassmann et al., 2010)", "previouslyFormattedCitation" : "(Gassmann et al., 2010)"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(Gassmann et al., 2010)</w:t>
      </w:r>
      <w:r w:rsidRPr="006407E5">
        <w:rPr>
          <w:rFonts w:ascii="Times New Roman" w:hAnsi="Times New Roman" w:cs="Times New Roman"/>
        </w:rPr>
        <w:fldChar w:fldCharType="end"/>
      </w:r>
      <w:r w:rsidRPr="006407E5">
        <w:rPr>
          <w:rFonts w:ascii="Times New Roman" w:hAnsi="Times New Roman" w:cs="Times New Roman"/>
        </w:rPr>
        <w:t xml:space="preserve">. </w:t>
      </w:r>
    </w:p>
    <w:p w14:paraId="31FB1268"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Following the open innovation framework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"Chesbrough", "given" : "Henry", "non-dropping-particle" : "", "parse-names" : false, "suffix" : "" } ], "id" : "ITEM-1",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"plainTextFormattedCitation" : "(Chesbrough, 2003)", "previouslyFormattedCitation" : "(Chesbrough, 2003)"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(Chesbrough, 2003)</w:t>
      </w:r>
      <w:r w:rsidRPr="006407E5">
        <w:rPr>
          <w:rFonts w:ascii="Times New Roman" w:hAnsi="Times New Roman" w:cs="Times New Roman"/>
        </w:rPr>
        <w:fldChar w:fldCharType="end"/>
      </w:r>
      <w:r w:rsidRPr="006407E5">
        <w:rPr>
          <w:rFonts w:ascii="Times New Roman" w:hAnsi="Times New Roman" w:cs="Times New Roman"/>
        </w:rPr>
        <w:t xml:space="preserve">, innovation originates in a joint collaborative network among internal and external participants. Organizations foster and nurture a mutual exchange of ideas and solutions. Knowledge flows more easily between the external environment and the company’s internal innovation process”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"Gassmann", "given" : "Oliver", "non-dropping-particle" : "", "parse-names" : false, "suffix" : "" }, { "dropping-particle" : "", "family" : "Enkel", "given" : "Ellen", "non-dropping-particle" : "", "parse-names" : false, "suffix" : "" } ], "container-title" : "Proceedings of The R&amp;D Management Conference, Lisbon, Portugal, July 6\u20139.", "id" : "ITEM-1", "issued" : { "date-parts" : [ [ "2004" ] ] }, "page" : "1-18", "title" : "Towards a Theory of Open Innovation: Three Core Process Archetypes", "type" : "paper-conference" }, "uris" : [ "http://www.mendeley.com/documents/?uuid=3aeea0b9-4be6-4349-b20d-9f5884fc2963" ] } ], "mendeley" : { "formattedCitation" : "(Gassmann &amp; Enkel, 2004)", "plainTextFormattedCitation" : "(Gassmann &amp; Enkel, 2004)", "previouslyFormattedCitation" : "(Gassmann &amp; Enkel, 2004)"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(Gassmann &amp; Enkel, 2004)</w:t>
      </w:r>
      <w:r w:rsidRPr="006407E5">
        <w:rPr>
          <w:rFonts w:ascii="Times New Roman" w:hAnsi="Times New Roman" w:cs="Times New Roman"/>
        </w:rPr>
        <w:fldChar w:fldCharType="end"/>
      </w:r>
      <w:r w:rsidRPr="006407E5">
        <w:rPr>
          <w:rFonts w:ascii="Times New Roman" w:hAnsi="Times New Roman" w:cs="Times New Roman"/>
        </w:rPr>
        <w:t xml:space="preserve">. Joint innovation collaboration, the strategic approach towards open innovation, is essential because of increasing product, service, and process complexity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"10.1016/0737-6782(96)82485-4", "ISBN" : "0008-1256", "ISSN" : "00081256", "PMID" : "9512123298", "abstract" : "This article explore the drivers of product development performance in a rapidly changing environment. Effective product developers in turbulent environments, such as Silicon Graphics and NEC, provide a contrast to traditional product development. They exhibit a development process characterized by extreme flexibility and responsiveness. This, in turn, hinges on the capability to gather and rapidly respond to new knowledge about technical and market information as a project evolves. Instead of focusing on execution and implementation, these companies' development process emphasizes the importance of the concept development stage, while keeping the product's specification fluid as late as possible in a project. This ensures the best match between system and component technologies, as well as the maximum flexibility to respond to changes. [ABSTRACT FROM AUTHOR]", "author" : [ { "dropping-particle" : "", "family" : "Iansiti", "given" : "Marco", "non-dropping-particle" : "", "parse-names" : false, "suffix" : "" } ], "container-title" : "California Management Review", "id" : "ITEM-1", "issue" : "1", "issued" : { "date-parts" : [ [ "1995" ] ] }, "page" : "37-58", "title" : "Shooting the Rapids: Managing Product Development In Turbulent Environments", "type" : "article-journal", "volume" : "38" }, "uris" : [ "http://www.mendeley.com/documents/?uuid=6a4f11db-1729-4be2-b89d-cfdf05d8ed48" ] }, { "id" : "ITEM-2", "itemData" : { "author" : [ { "dropping-particle" : "", "family" : "Katz", "given" : "Ralph", "non-dropping-particle" : "", "parse-names" : false, "suffix" : "" }, { "dropping-particle" : "", "family" : "Allen", "given" : "Thomas J", "non-dropping-particle" : "", "parse-names" : false, "suffix" : "" } ], "container-title" : "Academy of Management Journal", "id" : "ITEM-2", "issue" : "1", "issued" : { "date-parts" : [ [ "1985" ] ] }, "page" : "67-87", "title" : "Project Performance and the Locus of Influence in the R&amp;D Matrix", "type" : "article-journal", "volume" : "28" }, "uris" : [ "http://www.mendeley.com/documents/?uuid=a27e57c5-8498-41c1-88d4-8add0280b4ff" ] } ], "mendeley" : { "formattedCitation" : "(Iansiti, 1995; Katz &amp; Allen, 1985)", "plainTextFormattedCitation" : "(Iansiti, 1995; Katz &amp; Allen, 1985)", "previouslyFormattedCitation" : "(Iansiti, 1995; Katz &amp; Allen, 1985)"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(Iansiti, 1995; Katz &amp; Allen, 1985)</w:t>
      </w:r>
      <w:r w:rsidRPr="006407E5">
        <w:rPr>
          <w:rFonts w:ascii="Times New Roman" w:hAnsi="Times New Roman" w:cs="Times New Roman"/>
        </w:rPr>
        <w:fldChar w:fldCharType="end"/>
      </w:r>
      <w:r w:rsidRPr="006407E5">
        <w:rPr>
          <w:rFonts w:ascii="Times New Roman" w:hAnsi="Times New Roman" w:cs="Times New Roman"/>
        </w:rPr>
        <w:t xml:space="preserve">. Likewise, innovation performance has evolved into a strategic weapon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"Song", "given" : "Michael", "non-dropping-particle" : "", "parse-names" : false, "suffix" : "" }, { "dropping-particle" : "", "family" : "Montoya-Weiss", "given" : "Mitzi M", "non-dropping-particle" : "", "parse-names" : false, "suffix" : "" } ], "container-title" : "Academy of Management Journal", "id" : "ITEM-1", "issue" : "1", "issued" : { "date-parts" : [ [ "2001" ] ] }, "page" : "61-80", "title" : "The Effect of Perceived Technological Uncertainty on Japanese New Product Development", "type" : "article-journal", "volume" : "44" }, "uris" : [ "http://www.mendeley.com/documents/?uuid=19430933-958b-4acc-a471-0afc88cdf2f1" ] } ], "mendeley" : { "formattedCitation" : "(Song &amp; Montoya-Weiss, 2001)", "plainTextFormattedCitation" : "(Song &amp; Montoya-Weiss, 2001)", "previouslyFormattedCitation" : "(Song &amp; Montoya-Weiss, 2001)"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(Song &amp; Montoya-Weiss, 2001)</w:t>
      </w:r>
      <w:r w:rsidRPr="006407E5">
        <w:rPr>
          <w:rFonts w:ascii="Times New Roman" w:hAnsi="Times New Roman" w:cs="Times New Roman"/>
        </w:rPr>
        <w:fldChar w:fldCharType="end"/>
      </w:r>
      <w:r w:rsidRPr="006407E5">
        <w:rPr>
          <w:rFonts w:ascii="Times New Roman" w:hAnsi="Times New Roman" w:cs="Times New Roman"/>
        </w:rPr>
        <w:t xml:space="preserve">. Hence, open innovation has emerged as an important competitive enabler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"ISBN" : "978-1-4221-0427-9", "author" : [ { "dropping-particle" : "", "family" : "Chesbrough", "given" : "Henry", "non-dropping-particle" : "", "parse-names" : false, "suffix" : "" } ], "id" : "ITEM-1", "issued" : { "date-parts" : [ [ "2006" ] ] }, "publisher" : "Harvard Business School Press", "publisher-place" : "Boston, MA", "title" : "Open business models: How to thrive in the new innovation landscape", "type" : "book" }, "uris" : [ "http://www.mendeley.com/documents/?uuid=ae1a9449-a1f6-428e-a760-4d1fd41a734d" ] } ], "mendeley" : { "formattedCitation" : "(Chesbrough, 2006)", "plainTextFormattedCitation" : "(Chesbrough, 2006)", "previouslyFormattedCitation" : "(Chesbrough, 2006)"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(Chesbrough, 2006)</w:t>
      </w:r>
      <w:r w:rsidRPr="006407E5">
        <w:rPr>
          <w:rFonts w:ascii="Times New Roman" w:hAnsi="Times New Roman" w:cs="Times New Roman"/>
        </w:rPr>
        <w:fldChar w:fldCharType="end"/>
      </w:r>
      <w:r w:rsidRPr="006407E5">
        <w:rPr>
          <w:rFonts w:ascii="Times New Roman" w:hAnsi="Times New Roman" w:cs="Times New Roman"/>
        </w:rPr>
        <w:t xml:space="preserve"> and a critical driver of growth </w:t>
      </w:r>
      <w:r w:rsidRPr="006407E5">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"10.1007/s11747-011-0258-1", "ISBN" : "1174701102581", "ISSN" : "00920703", "abstract" : "There is a substantial literature on the product development process but comparatively little on the impact of lean launch execution and launch timing on new product performance. Given the costs and risks involved in product commercialization, this research gap is surprising. Delays in product launch can lead to poor channel cooperation and coordination, missed market opportunities, and lost competitive opportunities, yet timing of the launch has not been included in many reported studies. In addition, managers at many firms have prioritized supply chain activities such as integration of logistics with other functional areas in order to obtain cost efficiencies and accelerate time to market; the role of lean launch execution in improving new product performance has also received little research attention. In this study, we build a conceptual model in which lean launch, launch timing, and quality of marketing effort are modeled as precursors to new product performance; we assess the role of market orientation and cross-functional integration in lean launch execution as well as indirect and direct effects of launch timing on performance. We empirically test our model with a sample of 183 U.S.-based corporate managers actively involved in new product launch. We find evidence that execution of a lean launch and effective marketing significantly improve new product performance, and that correct launch timing positively moderates the effect of lean launch on performance. These variables therefore should be carefully considered by managers of new product processes.", "author" : [ { "dropping-particle" : "", "family" : "Calantone", "given" : "Roger J.", "non-dropping-particle" : "", "parse-names" : false, "suffix" : "" }, { "dropping-particle" : "", "family" : "Benedetto", "given" : "C. Anthony", "non-dropping-particle" : "Di", "parse-names" : false, "suffix" : "" } ], "container-title" : "Journal of the Academy of Marketing Science", "id" : "ITEM-1", "issue" : "4", "issued" : { "date-parts" : [ [ "2012" ] ] }, "page" : "526-538", "title" : "The role of lean launch execution and launch timing on new product performance", "type" : "article-journal", "volume" : "40" }, "uris" : [ "http://www.mendeley.com/documents/?uuid=a4805895-b027-49f3-98ad-5b62c6b2d71b" ] } ], "mendeley" : { "formattedCitation" : "(Calantone &amp; Di Benedetto, 2012)", "plainTextFormattedCitation" : "(Calantone &amp; Di Benedetto, 2012)", "previouslyFormattedCitation" : "(Calantone &amp; Di Benedetto, 2012)"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(Calantone &amp; Di Benedetto, 2012)</w:t>
      </w:r>
      <w:r w:rsidRPr="006407E5">
        <w:rPr>
          <w:rFonts w:ascii="Times New Roman" w:hAnsi="Times New Roman" w:cs="Times New Roman"/>
        </w:rPr>
        <w:fldChar w:fldCharType="end"/>
      </w:r>
      <w:r w:rsidRPr="006407E5">
        <w:rPr>
          <w:rFonts w:ascii="Times New Roman" w:hAnsi="Times New Roman" w:cs="Times New Roman"/>
        </w:rPr>
        <w:t xml:space="preserve">. Managing an effective inter-organizational development project can result in substantially faster time to market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"McNally", "given" : "Regina C", "non-dropping-particle" : "", "parse-names" : false, "suffix" : "" }, { "dropping-particle" : "", "family" : "Akdeniz", "given" : "M Billur", "non-dropping-particle" : "", "parse-names" : false, "suffix" : "" }, { "dropping-particle" : "", "family" : "Calantone", "given" : "Roger J", "non-dropping-particle" : "", "parse-names" : false, "suffix" : "" } ], "container-title" : "Journal of Product Innovation Management", "id" : "ITEM-1", "issue" : "S1", "issued" : { "date-parts" : [ [ "2011" ] ] }, "page" : "63-77", "title" : "New Product Development Processes and New Product Profitability: Exploring the Mediating Role of Speed to Market and Product Quality", "type" : "article-journal", "volume" : "28" }, "uris" : [ "http://www.mendeley.com/documents/?uuid=3a247cca-07a1-4356-b6eb-66d7e9fe7a52" ] }, { "id" : "ITEM-2", "itemData" : { "author" : [ { "dropping-particle" : "", "family" : "Benedetto", "given" : "C. Anthony", "non-dropping-particle" : "Di", "parse-names" : false, "suffix" : "" } ], "container-title" : "Journal of Product Innovation Management", "id" : "ITEM-2", "issued" : { "date-parts" : [ [ "1999" ] ] }, "page" : "530-544", "title" : "Identifying the Key Success Factors in New Product Launch", "type" : "article-journal", "volume" : "16" }, "uris" : [ "http://www.mendeley.com/documents/?uuid=360d7bb3-95cf-4f1e-bea9-1f5139a3d88f" ] } ], "mendeley" : { "formattedCitation" : "(Di Benedetto, 1999; McNally et al., 2011)", "plainTextFormattedCitation" : "(Di Benedetto, 1999; McNally et al., 2011)", "previouslyFormattedCitation" : "(Di Benedetto, 1999; McNally et al.,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(Di Benedetto, 1999; McNally et al., 2011)</w:t>
      </w:r>
      <w:r w:rsidRPr="006407E5">
        <w:rPr>
          <w:rFonts w:ascii="Times New Roman" w:hAnsi="Times New Roman" w:cs="Times New Roman"/>
        </w:rPr>
        <w:fldChar w:fldCharType="end"/>
      </w:r>
      <w:r w:rsidRPr="006407E5">
        <w:rPr>
          <w:rFonts w:ascii="Times New Roman" w:hAnsi="Times New Roman" w:cs="Times New Roman"/>
        </w:rPr>
        <w:t xml:space="preserve">. By applying the open innovation approach, companies strategically share risks and costs with partnering organizations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"abstract" : "Companies have historically invested in large research and development departments to drive innovation and provide sustainable growth. This model, however, is eroding due to a number of factors. What is emerging is a more open model, where companies recognize that not all good ideas will come from inside the organization and not all good ideas created within the organization can be successfully marketed internally. To date, Open Innovation concepts have been regarded as relevant primarily to \u2018high-technology\u2019 industries, with examples that include Lucent, 3Com, IBM, Intel and Millenium Pharmaceuticals. In this article, we identify organizations in industries outside \u2018high technology\u2019 that are early adopters of the concept. Our findings demonstrate that many Open Innovation concepts are already in use in a wide range of industries. We document practices that appear to assist organizations adopting these concepts, and discover that Open Innovation is not ipso facto a recipe for outsourcing R&amp;D. We conclude that Open Innovation has utility as a paradigm for industrial innovation beyond high tech to more traditional and mature industries.", "author" : [ { "dropping-particle" : "", "family" : "Chesbrough", "given" : "Henry", "non-dropping-particle" : "", "parse-names" : false, "suffix" : "" }, { "dropping-particle" : "", "family" : "Crowther", "given" : "Adrienne Kardon", "non-dropping-particle" : "", "parse-names" : false, "suffix" : "" } ], "container-title" : "R&amp;D Management", "id" : "ITEM-1", "issue" : "3", "issued" : { "date-parts" : [ [ "2006" ] ] }, "page" : "229-236", "title" : "Beyond high tech: Early adopters of open innovation in other industries", "type" : "article-journal", "volume" : "36" }, "uris" : [ "http://www.mendeley.com/documents/?uuid=f4e6a3e0-3858-4eec-af6c-509d8e44595b" ] } ], "mendeley" : { "formattedCitation" : "(Chesbrough &amp; Crowther, 2006)", "plainTextFormattedCitation" : "(Chesbrough &amp; Crowther, 2006)", "previouslyFormattedCitation" : "(Chesbrough &amp; Crowther, 2006)"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(Chesbrough &amp; Crowther, 2006)</w:t>
      </w:r>
      <w:r w:rsidRPr="006407E5">
        <w:rPr>
          <w:rFonts w:ascii="Times New Roman" w:hAnsi="Times New Roman" w:cs="Times New Roman"/>
        </w:rPr>
        <w:fldChar w:fldCharType="end"/>
      </w:r>
      <w:r w:rsidRPr="006407E5">
        <w:rPr>
          <w:rFonts w:ascii="Times New Roman" w:hAnsi="Times New Roman" w:cs="Times New Roman"/>
        </w:rPr>
        <w:t xml:space="preserve">. </w:t>
      </w:r>
    </w:p>
    <w:p w14:paraId="07FDF581" w14:textId="17280843" w:rsidR="009B07A6" w:rsidRPr="00003180"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The diverse terminology related to open innovation and supply management activities necessitates some clarification, especially in regards to innovation outsourcing </w:t>
      </w:r>
      <w:r w:rsidRPr="00003180">
        <w:rPr>
          <w:rFonts w:ascii="Times New Roman" w:hAnsi="Times New Roman" w:cs="Times New Roman"/>
        </w:rPr>
        <w:t xml:space="preserve">and innovation sourcing. Innovation outsourcing is based on (product) innovations being </w:t>
      </w:r>
      <w:r w:rsidRPr="00003180">
        <w:rPr>
          <w:rFonts w:ascii="Times New Roman" w:hAnsi="Times New Roman" w:cs="Times New Roman"/>
        </w:rPr>
        <w:lastRenderedPageBreak/>
        <w:t xml:space="preserve">fully externally developed, and then implemented or commercialized by the buying organization </w:t>
      </w:r>
      <w:r w:rsidRPr="00003180">
        <w:rPr>
          <w:rFonts w:ascii="Times New Roman" w:hAnsi="Times New Roman" w:cs="Times New Roman"/>
        </w:rPr>
        <w:fldChar w:fldCharType="begin" w:fldLock="1"/>
      </w:r>
      <w:r w:rsidRPr="00003180">
        <w:rPr>
          <w:rFonts w:ascii="Times New Roman" w:hAnsi="Times New Roman" w:cs="Times New Roman"/>
        </w:rPr>
        <w:instrText>ADDIN CSL_CITATION { "citationItems" : [ { "id" : "ITEM-1", "itemData" : { "DOI" : "10.1016/j.respol.2008.04.003", "ISBN" : "0048-7333", "ISSN" : "00487333", "abstract" : "This paper explores the use of specialist knowledge providers as sources of information in the innovation activities of manufacturing and service firms. Specialist knowledge providers are consultancies, private research organisations and the public science-base (i.e., universities and the government research laboratories). These may be engaged by firms in co-operative arrangement for innovation or as informal sources of information. We find, as anticipated, that amongst other factors specialist knowledge providers are more likely to be engaged by firms with more open approaches to innovation, those with high levels of absorptive capacity, those with greater social capital and networking capabilities, as well as by those with deeper commitments to innovation. Overall, the use of specialist knowledge providers tends to complement firms' own internal innovation activities and to complement other external sources of knowledge. Moreover, the individual types of specialist knowledge providers tend to complement rather than substitute for one another. Beyond this we find significant differences in the types of specialist knowledge providers used by manufacturing and service firms. Although service firms are more likely than manufacturers to use specialist knowledge providers, they are more likely to engage consultants, whilst their links with research-based organisations, including the public science-base, are weaker. We ask whether there is a case for increasing the extent to which the public science-base undertakes activities that are relevant to innovation in the services. ?? 2008 Elsevier B.V. All rights reserved.", "author" : [ { "dropping-particle" : "", "family" : "Tether", "given" : "Bruce S.", "non-dropping-particle" : "", "parse-names" : false, "suffix" : "" }, { "dropping-particle" : "", "family" : "Tajar", "given" : "Abdelouahid", "non-dropping-particle" : "", "parse-names" : false, "suffix" : "" } ], "container-title" : "Research Policy", "id" : "ITEM-1", "issue" : "6-7", "issued" : { "date-parts" : [ [ "2008" ] ] }, "page" : "1079-1095", "title" : "Beyond industry-university links: Sourcing knowledge for innovation from consultants, private research organisations and the public science-base", "type" : "article-journal", "volume" : "37" }, "uris" : [ "http://www.mendeley.com/documents/?uuid=a01ede38-b5b5-4378-a02c-9d62f6782527" ] } ], "mendeley" : { "formattedCitation" : "(Tether &amp; Tajar, 2008)", "plainTextFormattedCitation" : "(Tether &amp; Tajar, 2008)", "previouslyFormattedCitation" : "(Tether &amp; Tajar, 2008)" }, "properties" : { "noteIndex" : 0 }, "schema" : "https://github.com/citation-style-language/schema/raw/master/csl-citation.json" }</w:instrText>
      </w:r>
      <w:r w:rsidRPr="00003180">
        <w:rPr>
          <w:rFonts w:ascii="Times New Roman" w:hAnsi="Times New Roman" w:cs="Times New Roman"/>
        </w:rPr>
        <w:fldChar w:fldCharType="separate"/>
      </w:r>
      <w:r w:rsidRPr="00003180">
        <w:rPr>
          <w:rFonts w:ascii="Times New Roman" w:hAnsi="Times New Roman" w:cs="Times New Roman"/>
          <w:noProof/>
        </w:rPr>
        <w:t>(Tether &amp; Tajar, 2008)</w:t>
      </w:r>
      <w:r w:rsidRPr="00003180">
        <w:rPr>
          <w:rFonts w:ascii="Times New Roman" w:hAnsi="Times New Roman" w:cs="Times New Roman"/>
        </w:rPr>
        <w:fldChar w:fldCharType="end"/>
      </w:r>
      <w:r w:rsidRPr="00003180">
        <w:rPr>
          <w:rFonts w:ascii="Times New Roman" w:hAnsi="Times New Roman" w:cs="Times New Roman"/>
        </w:rPr>
        <w:t>. Thus, the locus of innovation resides with an external organization.  However, this dissertation research focuses on supply chain</w:t>
      </w:r>
      <w:r w:rsidRPr="006407E5">
        <w:rPr>
          <w:rFonts w:ascii="Times New Roman" w:hAnsi="Times New Roman" w:cs="Times New Roman"/>
        </w:rPr>
        <w:t xml:space="preserve"> resource orchestration, which utilizes innovation sourcing sub-processes. Recall that SCRO is a systematic SCM process of purchasing, integrating, and exploiting key SC </w:t>
      </w:r>
      <w:r w:rsidRPr="00AD0324">
        <w:rPr>
          <w:rFonts w:ascii="Times New Roman" w:hAnsi="Times New Roman" w:cs="Times New Roman"/>
        </w:rPr>
        <w:t>resources. The SCRO practices that support innovation utilize an innovation sourcing</w:t>
      </w:r>
      <w:r w:rsidRPr="00003180">
        <w:rPr>
          <w:rFonts w:ascii="Times New Roman" w:hAnsi="Times New Roman" w:cs="Times New Roman"/>
        </w:rPr>
        <w:t xml:space="preserve"> sub-process within the open innovation context. The procurement of innovative knowledge from external sources is a key mechanism for (internal) resource accumulation </w:t>
      </w:r>
      <w:r w:rsidRPr="00003180">
        <w:rPr>
          <w:rFonts w:ascii="Times New Roman" w:hAnsi="Times New Roman" w:cs="Times New Roman"/>
        </w:rPr>
        <w:fldChar w:fldCharType="begin" w:fldLock="1"/>
      </w:r>
      <w:r w:rsidRPr="00003180">
        <w:rPr>
          <w:rFonts w:ascii="Times New Roman" w:hAnsi="Times New Roman" w:cs="Times New Roman"/>
        </w:rPr>
        <w:instrText>ADDIN CSL_CITATION { "citationItems" : [ { "id" : "ITEM-1", "itemData" : { "DOI" : "10.1177/0149206311407507", "author" : [ { "dropping-particle" : "", "family" : "Parmigiani", "given" : "Anne", "non-dropping-particle" : "", "parse-names" : false, "suffix" : "" }, { "dropping-particle" : "", "family" : "Rivera-Santos", "given" : "Miguel", "non-dropping-particle" : "", "parse-names" : false, "suffix" : "" } ], "container-title" : "Journal of Management", "id" : "ITEM-1", "issue" : "4", "issued" : { "date-parts" : [ [ "2011" ] ] }, "page" : "1108-1136", "title" : "Clearing a Path Through the Forest: A Meta-Review of Interorganizational Relationships", "type" : "article-journal", "volume" : "37" }, "uris" : [ "http://www.mendeley.com/documents/?uuid=14f71f6c-69af-4335-ae31-22c359a35831" ] } ], "mendeley" : { "formattedCitation" : "(Parmigiani &amp; Rivera-Santos, 2011)", "plainTextFormattedCitation" : "(Parmigiani &amp; Rivera-Santos, 2011)", "previouslyFormattedCitation" : "(Parmigiani &amp; Rivera-Santos, 2011)" }, "properties" : { "noteIndex" : 0 }, "schema" : "https://github.com/citation-style-language/schema/raw/master/csl-citation.json" }</w:instrText>
      </w:r>
      <w:r w:rsidRPr="00003180">
        <w:rPr>
          <w:rFonts w:ascii="Times New Roman" w:hAnsi="Times New Roman" w:cs="Times New Roman"/>
        </w:rPr>
        <w:fldChar w:fldCharType="separate"/>
      </w:r>
      <w:r w:rsidRPr="00003180">
        <w:rPr>
          <w:rFonts w:ascii="Times New Roman" w:hAnsi="Times New Roman" w:cs="Times New Roman"/>
          <w:noProof/>
        </w:rPr>
        <w:t>(Parmigiani &amp; Rivera-Santos, 2011)</w:t>
      </w:r>
      <w:r w:rsidRPr="00003180">
        <w:rPr>
          <w:rFonts w:ascii="Times New Roman" w:hAnsi="Times New Roman" w:cs="Times New Roman"/>
        </w:rPr>
        <w:fldChar w:fldCharType="end"/>
      </w:r>
      <w:r w:rsidRPr="00003180">
        <w:rPr>
          <w:rFonts w:ascii="Times New Roman" w:hAnsi="Times New Roman" w:cs="Times New Roman"/>
        </w:rPr>
        <w:t>. However, SCRO is not solely focused on external relationships but requires internal, cross-functional integration as well. Importantly, supply chain resource orchestration is based on both inter</w:t>
      </w:r>
      <w:r w:rsidR="00797D51">
        <w:rPr>
          <w:rFonts w:ascii="Times New Roman" w:hAnsi="Times New Roman" w:cs="Times New Roman"/>
        </w:rPr>
        <w:t>-</w:t>
      </w:r>
      <w:r w:rsidRPr="00003180">
        <w:rPr>
          <w:rFonts w:ascii="Times New Roman" w:hAnsi="Times New Roman" w:cs="Times New Roman"/>
        </w:rPr>
        <w:t>organizational and intra</w:t>
      </w:r>
      <w:r w:rsidR="00797D51">
        <w:rPr>
          <w:rFonts w:ascii="Times New Roman" w:hAnsi="Times New Roman" w:cs="Times New Roman"/>
        </w:rPr>
        <w:t>-</w:t>
      </w:r>
      <w:r w:rsidRPr="00003180">
        <w:rPr>
          <w:rFonts w:ascii="Times New Roman" w:hAnsi="Times New Roman" w:cs="Times New Roman"/>
        </w:rPr>
        <w:t>organizational activities.</w:t>
      </w:r>
    </w:p>
    <w:p w14:paraId="34C0018C" w14:textId="77777777" w:rsidR="009B07A6" w:rsidRPr="006407E5" w:rsidRDefault="009B07A6" w:rsidP="00377F5F">
      <w:pPr>
        <w:spacing w:line="480" w:lineRule="auto"/>
        <w:jc w:val="both"/>
        <w:rPr>
          <w:rFonts w:ascii="Times New Roman" w:hAnsi="Times New Roman" w:cs="Times New Roman"/>
        </w:rPr>
      </w:pPr>
    </w:p>
    <w:p w14:paraId="45082DBA" w14:textId="77777777" w:rsidR="009B07A6" w:rsidRPr="006407E5" w:rsidRDefault="009B07A6" w:rsidP="00CB4836">
      <w:pPr>
        <w:pStyle w:val="Heading3new"/>
      </w:pPr>
      <w:r w:rsidRPr="006407E5">
        <w:t>Resource Orchestration Theory</w:t>
      </w:r>
    </w:p>
    <w:p w14:paraId="65CF188D"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 xml:space="preserve">For this research, the resource orchestration theory (ROT)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(Sirmon et al., 2011)</w:t>
      </w:r>
      <w:r w:rsidRPr="006407E5">
        <w:rPr>
          <w:rFonts w:ascii="Times New Roman" w:hAnsi="Times New Roman" w:cs="Times New Roman"/>
        </w:rPr>
        <w:fldChar w:fldCharType="end"/>
      </w:r>
      <w:r w:rsidRPr="006407E5">
        <w:rPr>
          <w:rFonts w:ascii="Times New Roman" w:hAnsi="Times New Roman" w:cs="Times New Roman"/>
        </w:rPr>
        <w:t xml:space="preserve"> is be applied as a guiding theoretical lens. As explained in Chapter Three, ROT is derived from the resource based theory (RBT)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"10.1177/014920639101700108", "ISBN" : "8437922992", "ISSN" : "0149-2063", "PMID" : "5978921", "abstract" : "Understanding sources of sustained competitive advantage has become a major area of research in strategic management. Building on the assumptions that strategic resources are hetergeneously distributed across firms and that these differences are stable over time, this article examines the link between firm resources and sustained competitive advantage. Four empirical indicators of the potential of firm resources to genertate sustained competitive advantage - value, rareness, imitability and subsitutability - are discussed. The model is applied by analysing the potential of several firm resources for generating sustained competitive advantages. The article concluded by examining implications of this firm resource model of sustained competitive advantage for other business disciplines.", "author" : [ { "dropping-particle" : "", "family" : "Barney", "given" : "Jay B.", "non-dropping-particle" : "", "parse-names" : false, "suffix" : "" } ], "container-title" : "Journal of Management", "id" : "ITEM-1", "issue" : "1", "issued" : { "date-parts" : [ [ "1991" ] ] }, "page" : "99-120", "title" : "Firm Resources and Sustained Competitive Advantage", "type" : "article-journal", "volume" : "17" }, "uris" : [ "http://www.mendeley.com/documents/?uuid=46d2f2bf-7e29-42e1-af70-21cf0cd4f7a9" ] } ], "mendeley" : { "formattedCitation" : "(Barney, 1991)", "plainTextFormattedCitation" : "(Barney, 1991)", "previouslyFormattedCitation" : "(Barney, 1991)"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(Barney, 1991)</w:t>
      </w:r>
      <w:r w:rsidRPr="006407E5">
        <w:rPr>
          <w:rFonts w:ascii="Times New Roman" w:hAnsi="Times New Roman" w:cs="Times New Roman"/>
        </w:rPr>
        <w:fldChar w:fldCharType="end"/>
      </w:r>
      <w:r w:rsidRPr="006407E5">
        <w:rPr>
          <w:rFonts w:ascii="Times New Roman" w:hAnsi="Times New Roman" w:cs="Times New Roman"/>
        </w:rPr>
        <w:t xml:space="preserve"> and the dynamic capabilities theory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"ISSN" : "01432095", "PMID" : "20859841", "abstract" : "The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 "author" : [ { "dropping-particle" : "", "family" : "Teece", "given" : "David J", "non-dropping-particle" : "", "parse-names" : false, "suffix" : "" }, { "dropping-particle" : "", "family" : "Pisano", "given" : "Gary", "non-dropping-particle" : "", "parse-names" : false, "suffix" : "" }, { "dropping-particle" : "", "family" : "Shuen", "given" : "Amy", "non-dropping-particle" : "", "parse-names" : false, "suffix" : "" } ], "chapter-number" : "19", "container-title" : "Strategic Management Journal", "editor" : [ { "dropping-particle" : "", "family" : "Dosi", "given" : "Giovanni", "non-dropping-particle" : "", "parse-names" : false, "suffix" : "" }, { "dropping-particle" : "", "family" : "Nelson", "given" : "Richard R", "non-dropping-particle" : "", "parse-names" : false, "suffix" : "" }, { "dropping-particle" : "", "family" : "Winter", "given" : "Sidney G", "non-dropping-particle" : "", "parse-names" : false, "suffix" : "" } ], "id" : "ITEM-1", "issue" : "7", "issued" : { "date-parts" : [ [ "1997" ] ] }, "page" : "509-533", "publisher" : "John Wiley &amp; Sons", "title" : "Dynamic capabilities and strategic management", "type" : "article-journal", "volume" : "18" }, "uris" : [ "http://www.mendeley.com/documents/?uuid=02891bcf-d320-4c43-b905-18e5702c29c5" ] } ], "mendeley" : { "formattedCitation" : "(Teece, Pisano, &amp; Shuen, 1997)", "plainTextFormattedCitation" : "(Teece, Pisano, &amp; Shuen, 1997)", "previouslyFormattedCitation" : "(Teece, Pisano, &amp; Shuen, 1997)"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(Teece, Pisano, &amp; Shuen, 1997)</w:t>
      </w:r>
      <w:r w:rsidRPr="006407E5">
        <w:rPr>
          <w:rFonts w:ascii="Times New Roman" w:hAnsi="Times New Roman" w:cs="Times New Roman"/>
        </w:rPr>
        <w:fldChar w:fldCharType="end"/>
      </w:r>
      <w:r w:rsidRPr="006407E5">
        <w:rPr>
          <w:rFonts w:ascii="Times New Roman" w:hAnsi="Times New Roman" w:cs="Times New Roman"/>
        </w:rPr>
        <w:t xml:space="preserve">. According to RBT, the overarching purpose of the organization is to identify the strategic resources that lead to a sustainable competitive advantage in the marketplace. Such resources need to be valuable, rare, and imperfectly imitable. Additionally, the necessary organization needs to be established or developed to enable the effective resource exploitation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"10.1007/s11747-013-0336-7", "ISBN" : "0092-0703", "ISSN" : "00920703", "PMID" : "93922470", "abstract" : "The use of resource-based theory (RBT) in marketing research has increased by more than 500% in the past decade, which suggests its importance as a framework for explaining and predicting competitive advantages and performance outcomes. This article provides a comprehensive review of RBT, including a contemporary definitional foundation for relevant terms and assumptions and a synthesis of empirical findings from marketing literature. This multidimensional analysis of RBT also evaluates extant marketing research according to four perspectives: the marketing domains that use RBT, the characteristics and uses of market-based resources that differentiate it from other research contexts, the extension of RBT to the \"marketing exchange\" as a unit of analysis, and the connection of RBT to related theories. This analysis also reveals some common pitfalls associated with prior research, offers tentative guidelines on how to improve the use of RBT in marketing, and suggests research directions to advance the theorization and empirical testing of RBT in the future.", "author" : [ { "dropping-particle" : "V.", "family" : "Kozlenkova", "given" : "Irina", "non-dropping-particle" : "", "parse-names" : false, "suffix" : "" }, { "dropping-particle" : "", "family" : "Samaha", "given" : "Stephen A.", "non-dropping-particle" : "", "parse-names" : false, "suffix" : "" }, { "dropping-particle" : "", "family" : "Palmatier", "given" : "Robert W.", "non-dropping-particle" : "", "parse-names" : false, "suffix" : "" } ], "container-title" : "Journal of the Academy of Marketing Science", "id" : "ITEM-1", "issue" : "1", "issued" : { "date-parts" : [ [ "2014" ] ] }, "page" : "1-21", "title" : "Resource-based theory in marketing", "type" : "article-journal", "volume" : "42" }, "uris" : [ "http://www.mendeley.com/documents/?uuid=b3b7f208-9a95-411f-b4eb-7ce3493019c4" ] } ], "mendeley" : { "formattedCitation" : "(Kozlenkova, Samaha, &amp; Palmatier, 2014)", "plainTextFormattedCitation" : "(Kozlenkova, Samaha, &amp; Palmatier, 2014)", "previouslyFormattedCitation" : "(Kozlenkova, Samaha, &amp; Palmatier, 2014)"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(Kozlenkova, Samaha, &amp; Palmatier, 2014)</w:t>
      </w:r>
      <w:r w:rsidRPr="006407E5">
        <w:rPr>
          <w:rFonts w:ascii="Times New Roman" w:hAnsi="Times New Roman" w:cs="Times New Roman"/>
        </w:rPr>
        <w:fldChar w:fldCharType="end"/>
      </w:r>
      <w:r w:rsidRPr="006407E5">
        <w:rPr>
          <w:rFonts w:ascii="Times New Roman" w:hAnsi="Times New Roman" w:cs="Times New Roman"/>
        </w:rPr>
        <w:t xml:space="preserve">. Researchers have empirically verified the impact of resources on organizational performance and thereby validated the claims of RBT, as demonstrated in a seminal meta-analysis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"10.1002/smj", "author" : [ { "dropping-particle" : "", "family" : "Crook", "given" : "T Russell", "non-dropping-particle" : "", "parse-names" : false, "suffix" : "" }, { "dropping-particle" : "", "family" : "Jr", "given" : "David J Ketchen", "non-dropping-particle" : "", "parse-names" : false, "suffix" : "" }, { "dropping-particle" : "", "family" : "Combs", "given" : "James G", "non-dropping-particle" : "", "parse-names" : false, "suffix" : "" }, { "dropping-particle" : "", "family" : "Todd", "given" : "Samuel Y", "non-dropping-particle" : "", "parse-names" : false, "suffix" : "" } ], "container-title" : "Strategic Management Journal", "id" : "ITEM-1", "issued" : { "date-parts" : [ [ "2008" ] ] }, "page" : "1141-1154", "title" : "Strategic Resources and Performance: A Meta-Analysis", "type" : "article-journal", "volume" : "29" }, "uris" : [ "http://www.mendeley.com/documents/?uuid=53bdedb7-95db-455e-88be-b29c2a8da8ef" ] } ], "mendeley" : { "formattedCitation" : "(Crook et al., 2008)", "plainTextFormattedCitation" : "(Crook et al., 2008)", "previouslyFormattedCitation" : "(Crook et al., 2008)"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(Crook et al., 2008)</w:t>
      </w:r>
      <w:r w:rsidRPr="006407E5">
        <w:rPr>
          <w:rFonts w:ascii="Times New Roman" w:hAnsi="Times New Roman" w:cs="Times New Roman"/>
        </w:rPr>
        <w:fldChar w:fldCharType="end"/>
      </w:r>
      <w:r w:rsidRPr="006407E5">
        <w:rPr>
          <w:rFonts w:ascii="Times New Roman" w:hAnsi="Times New Roman" w:cs="Times New Roman"/>
        </w:rPr>
        <w:t xml:space="preserve">. RBT has been applied in other fields outside of </w:t>
      </w:r>
      <w:r w:rsidRPr="006407E5">
        <w:rPr>
          <w:rFonts w:ascii="Times New Roman" w:hAnsi="Times New Roman" w:cs="Times New Roman"/>
        </w:rPr>
        <w:lastRenderedPageBreak/>
        <w:t>strategic management, especially</w:t>
      </w:r>
      <w:r w:rsidRPr="006407E5" w:rsidDel="00860E9C">
        <w:rPr>
          <w:rFonts w:ascii="Times New Roman" w:hAnsi="Times New Roman" w:cs="Times New Roman"/>
        </w:rPr>
        <w:t xml:space="preserve"> </w:t>
      </w:r>
      <w:r w:rsidRPr="006407E5">
        <w:rPr>
          <w:rFonts w:ascii="Times New Roman" w:hAnsi="Times New Roman" w:cs="Times New Roman"/>
        </w:rPr>
        <w:t xml:space="preserve">in the supply chain management literature where it belongs to one of the most frequently utilized theories in the discipline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"Defee", "given" : "C Clifford", "non-dropping-particle" : "", "parse-names" : false, "suffix" : "" }, { "dropping-particle" : "", "family" : "Williams", "given" : "Brent", "non-dropping-particle" : "", "parse-names" : false, "suffix" : "" }, { "dropping-particle" : "", "family" : "Randall", "given" : "Wesley S", "non-dropping-particle" : "", "parse-names" : false, "suffix" : "" }, { "dropping-particle" : "", "family" : "Thomas", "given" : "Rodney", "non-dropping-particle" : "", "parse-names" : false, "suffix" : "" } ], "container-title" : "The International Journal of Logistics Management", "id" : "ITEM-1", "issue" : "3", "issued" : { "date-parts" : [ [ "2010" ] ] }, "page" : "404-489", "title" : "An inventory of theory in logistics and SCM research", "type" : "article-journal", "volume" : "21" }, "uris" : [ "http://www.mendeley.com/documents/?uuid=b4ad76e7-2a96-40f1-a8ab-d8df7fab3e1c" ] } ], "mendeley" : { "formattedCitation" : "(Defee, Williams, Randall, &amp; Thomas, 2010)", "plainTextFormattedCitation" : "(Defee, Williams, Randall, &amp; Thomas, 2010)", "previouslyFormattedCitation" : "(Defee, Williams, Randall, &amp; Thomas, 2010)"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(Defee, Williams, Randall, &amp; Thomas, 2010)</w:t>
      </w:r>
      <w:r w:rsidRPr="006407E5">
        <w:rPr>
          <w:rFonts w:ascii="Times New Roman" w:hAnsi="Times New Roman" w:cs="Times New Roman"/>
        </w:rPr>
        <w:fldChar w:fldCharType="end"/>
      </w:r>
      <w:r w:rsidRPr="006407E5">
        <w:rPr>
          <w:rFonts w:ascii="Times New Roman" w:hAnsi="Times New Roman" w:cs="Times New Roman"/>
        </w:rPr>
        <w:t xml:space="preserve">.  </w:t>
      </w:r>
    </w:p>
    <w:p w14:paraId="54EDCD36"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However, researchers have highlighted some limitations of RBT. For instance, RBT has been criticized for emphasizing the resource characteristics necessary to achieve a sustainable competitive advantage while being silent about the actual practices of obtaining those strategic resources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"container-title" : "Academy of Management Review", "id" : "ITEM-1", "issue" : "1", "issued" : { "date-parts" : [ [ "2007" ] ] }, "page" : "273-292", "title" : "Managing Firm Resources in Dynamic Environments to Create Value: Looking Inside the Black Box", "type" : "article-journal", "volume" : "32" }, "uris" : [ "http://www.mendeley.com/documents/?uuid=779ec5d8-7a83-40db-b3a1-b301ac00b320" ] }, { "id" : "ITEM-2",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"ITEM-2", "issued" : { "date-parts" : [ [ "2007" ] ] }, "page" : "1319-1350", "title" : "Explicating Dynamic Capabilities: The Nature and Microfoundations of (Sustainable) Enterprise Performance", "type" : "article-journal", "volume" : "28" }, "uris" : [ "http://www.mendeley.com/documents/?uuid=294c960e-6f43-40bf-808a-3028629ef748" ] } ], "mendeley" : { "formattedCitation" : "(Sirmon, Hitt, &amp; Ireland, 2007; Teece, 2007)", "plainTextFormattedCitation" : "(Sirmon, Hitt, &amp; Ireland, 2007; Teece, 2007)", "previouslyFormattedCitation" : "(Sirmon, Hitt, &amp; Ireland, 2007; Teece, 2007)"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(Sirmon, Hitt, &amp; Ireland, 2007; Teece, 2007)</w:t>
      </w:r>
      <w:r w:rsidRPr="006407E5">
        <w:rPr>
          <w:rFonts w:ascii="Times New Roman" w:hAnsi="Times New Roman" w:cs="Times New Roman"/>
        </w:rPr>
        <w:fldChar w:fldCharType="end"/>
      </w:r>
      <w:r w:rsidRPr="006407E5">
        <w:rPr>
          <w:rFonts w:ascii="Times New Roman" w:hAnsi="Times New Roman" w:cs="Times New Roman"/>
        </w:rPr>
        <w:t xml:space="preserve">. Moreover, scholars have noted that the sole possession of resources is less critical than the actual managerial deployment and effective exploitation of resources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"10.1002/smj.432", "ISBN" : "0143-2095", "ISSN" : "01432095", "PMID" : "224999817", "abstract" : "This paper argues that the gap between the theoretical utility and the practical utility of the resource-based view (RBV) may be narrowed by operationalizing the theory more consistently with Penrose's original framework. The operationalization proposed here is a twofold approach. First, the RBV may be enhanced by the explicit recognition of Penrose's two classes of resources, namely, administrative resources and productive resources. This distinction suggests a focus on the administrative decisions of managers that lead to economic performance. Second, we argue that the RBV is a theory about extraordinary performers or outliers-not averages. Therefore, the statistical methods used in applying the theory must account for individual firm differences, and not be based on means, which statistically neutralize firm differences. We propose a novel Bayesian hierarchical methodology to examine the relationship between administrative decisions and economic performance over time. We develop and explain a measure of competitive advantage that goes beyond comparisons of economic performance. This Bayesian methodology allows us to make meaningful probability statements about specific, individual firms and the effects of the administrative decisions examined in this study. Copyright (C) 2004 John Wiley Sons, Ltd.", "author" : [ { "dropping-particle" : "", "family" : "Hansen", "given" : "Mark H.", "non-dropping-particle" : "", "parse-names" : false, "suffix" : "" }, { "dropping-particle" : "", "family" : "Perry", "given" : "Lee T.", "non-dropping-particle" : "", "parse-names" : false, "suffix" : "" }, { "dropping-particle" : "", "family" : "Reese", "given" : "C. Shane", "non-dropping-particle" : "", "parse-names" : false, "suffix" : "" } ], "container-title" : "Strategic Management Journal", "id" : "ITEM-1", "issue" : "13", "issued" : { "date-parts" : [ [ "2004" ] ] }, "page" : "1279-1295", "title" : "A bayesian operationalization of the resource-based view", "type" : "article-journal", "volume" : "25" }, "uris" : [ "http://www.mendeley.com/documents/?uuid=b0b4c3ef-b3ac-4072-be8e-93437ab2c851" ] }, { "id" : "ITEM-2",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"ITEM-2",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"(Hansen, Perry, &amp; Reese, 2004; Wowak et al., 2016)", "plainTextFormattedCitation" : "(Hansen, Perry, &amp; Reese, 2004; Wowak et al., 2016)", "previouslyFormattedCitation" : "(Hansen, Perry, &amp; Reese, 2004; Wowak et al., 2016)"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(Hansen, Perry, &amp; Reese, 2004; Wowak et al., 2016)</w:t>
      </w:r>
      <w:r w:rsidRPr="006407E5">
        <w:rPr>
          <w:rFonts w:ascii="Times New Roman" w:hAnsi="Times New Roman" w:cs="Times New Roman"/>
        </w:rPr>
        <w:fldChar w:fldCharType="end"/>
      </w:r>
      <w:r w:rsidRPr="006407E5">
        <w:rPr>
          <w:rFonts w:ascii="Times New Roman" w:hAnsi="Times New Roman" w:cs="Times New Roman"/>
        </w:rPr>
        <w:t xml:space="preserve">. </w:t>
      </w:r>
    </w:p>
    <w:p w14:paraId="41E6715A"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Subsequently, the dynamic capabilities theory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"10.1002/smj", "abstract" : "This paper draws on the social and behavioral sciences in an endeavor to specify the nature and microfoundations of the capabilities necessary to sustain superior enterprise performance in an open economy with rapid innovation and globally dispersed sources of invention, innovation, and manufacturing capability. Dynamic capabilities enable business enterprises to create, deploy, and protect the intangible assets that support superior long- run business performance. The microfoundations of dynamic capabilities\u2014the distinct skills, processes, procedures, organizational structures, decision rules, and disciplines\u2014which undergird enterprise-level sensing, seizing, and reconfiguring capacities are difficult to develop and deploy. Enterprises with strong dynamic capabilities are intensely entrepreneurial. They not only adapt to business ecosystems, but also shape them through innovation and through collaboration with other enterprises, entities, and institutions. The framework advanced can help scholars understand the foundations of long-run enterprise success while helping managers delineate relevant strategic considerations and the priorities they must adopt to enhance enterprise performance and escape the zero profittendency associated with operating in markets open to global competition.", "author" : [ { "dropping-particle" : "", "family" : "Teece", "given" : "David J", "non-dropping-particle" : "", "parse-names" : false, "suffix" : "" } ], "container-title" : "Strategic Management Journal", "id" : "ITEM-1", "issued" : { "date-parts" : [ [ "2007" ] ] }, "page" : "1319-1350", "title" : "Explicating Dynamic Capabilities: The Nature and Microfoundations of (Sustainable) Enterprise Performance", "type" : "article-journal", "volume" : "28" }, "uris" : [ "http://www.mendeley.com/documents/?uuid=294c960e-6f43-40bf-808a-3028629ef748" ] }, { "id" : "ITEM-2", "itemData" : { "author" : [ { "dropping-particle" : "", "family" : "Eisenhardt", "given" : "Kathleen M", "non-dropping-particle" : "", "parse-names" : false, "suffix" : "" }, { "dropping-particle" : "", "family" : "Martin", "given" : "Jeffrey A", "non-dropping-particle" : "", "parse-names" : false, "suffix" : "" } ], "container-title" : "Strategic Management Journal", "id" : "ITEM-2", "issued" : { "date-parts" : [ [ "2000" ] ] }, "page" : "1105-1121", "title" : "Dynamic Capabilities: What Are They?", "type" : "article-journal", "volume" : "21" }, "uris" : [ "http://www.mendeley.com/documents/?uuid=29651fe3-b2a9-482d-82cf-c139477ca50d" ] } ], "mendeley" : { "formattedCitation" : "(Eisenhardt &amp; Martin, 2000; Teece, 2007)", "plainTextFormattedCitation" : "(Eisenhardt &amp; Martin, 2000; Teece, 2007)", "previouslyFormattedCitation" : "(Eisenhardt &amp; Martin, 2000; Teece, 2007)"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(Eisenhardt &amp; Martin, 2000; Teece, 2007)</w:t>
      </w:r>
      <w:r w:rsidRPr="006407E5">
        <w:rPr>
          <w:rFonts w:ascii="Times New Roman" w:hAnsi="Times New Roman" w:cs="Times New Roman"/>
        </w:rPr>
        <w:fldChar w:fldCharType="end"/>
      </w:r>
      <w:r w:rsidRPr="006407E5">
        <w:rPr>
          <w:rFonts w:ascii="Times New Roman" w:hAnsi="Times New Roman" w:cs="Times New Roman"/>
        </w:rPr>
        <w:t xml:space="preserve"> emerged to address some of those shortcomings. Dynamic capabilities have been described as organizational and strategic processes aiming at the identification, integration and re-configuration of essential resources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"ISSN" : "01432095", "PMID" : "20859841", "abstract" : "The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 "author" : [ { "dropping-particle" : "", "family" : "Teece", "given" : "David J", "non-dropping-particle" : "", "parse-names" : false, "suffix" : "" }, { "dropping-particle" : "", "family" : "Pisano", "given" : "Gary", "non-dropping-particle" : "", "parse-names" : false, "suffix" : "" }, { "dropping-particle" : "", "family" : "Shuen", "given" : "Amy", "non-dropping-particle" : "", "parse-names" : false, "suffix" : "" } ], "chapter-number" : "19", "container-title" : "Strategic Management Journal", "editor" : [ { "dropping-particle" : "", "family" : "Dosi", "given" : "Giovanni", "non-dropping-particle" : "", "parse-names" : false, "suffix" : "" }, { "dropping-particle" : "", "family" : "Nelson", "given" : "Richard R", "non-dropping-particle" : "", "parse-names" : false, "suffix" : "" }, { "dropping-particle" : "", "family" : "Winter", "given" : "Sidney G", "non-dropping-particle" : "", "parse-names" : false, "suffix" : "" } ], "id" : "ITEM-1", "issue" : "7", "issued" : { "date-parts" : [ [ "1997" ] ] }, "page" : "509-533", "publisher" : "John Wiley &amp; Sons", "title" : "Dynamic capabilities and strategic management", "type" : "article-journal", "volume" : "18" }, "uris" : [ "http://www.mendeley.com/documents/?uuid=02891bcf-d320-4c43-b905-18e5702c29c5" ] } ], "mendeley" : { "formattedCitation" : "(Teece et al., 1997)", "plainTextFormattedCitation" : "(Teece et al., 1997)", "previouslyFormattedCitation" : "(Teece et al., 1997)"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(Teece et al., 1997)</w:t>
      </w:r>
      <w:r w:rsidRPr="006407E5">
        <w:rPr>
          <w:rFonts w:ascii="Times New Roman" w:hAnsi="Times New Roman" w:cs="Times New Roman"/>
        </w:rPr>
        <w:fldChar w:fldCharType="end"/>
      </w:r>
      <w:r w:rsidRPr="006407E5">
        <w:rPr>
          <w:rFonts w:ascii="Times New Roman" w:hAnsi="Times New Roman" w:cs="Times New Roman"/>
        </w:rPr>
        <w:t xml:space="preserve">. How is dynamics capability theory related to supply chain resource orchestration and innovation? Establishing effective supply chain resource orchestration practices would enable the focal firm to better adapt when facing dynamic environmental changes and thereby create a temporary competitive advantage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"ISSN" : "01432095", "PMID" : "10927828", "abstract" : "Defining ordinary or 'zero-level' capabilities as those that permit a firm to 'make a living' in the short term, one can define dynamic capabilities as those that operate to extend, modify or create ordinary capabilities. Logically, one can then proceed to elaborate a hierarchy of higher-order capabilities. However, it is argued here that the strategic substance of capabilities involves patterning of activity, and that costly investments are typically v required to create and sustain such patterning-for example, in product development. Firms can accomplish change without reliance on dynamic capability, by means here termed 'ad hoc problem solving.' Whether higher-order capabilities arc created or not depends on the costs and benefits of the investments relative to ad hoc problem solving, and so does the 'level of the game' at which strategic competition effectively occurs. Copyright (C) 2003 John Wiley Sons, Ltd.", "author" : [ { "dropping-particle" : "", "family" : "Winter", "given" : "Sidney G.", "non-dropping-particle" : "", "parse-names" : false, "suffix" : "" } ], "container-title" : "Strategic Management Journal", "id" : "ITEM-1", "issue" : "10", "issued" : { "date-parts" : [ [ "2003" ] ] }, "page" : "991-995", "title" : "Understanding dynamic capabilities", "type" : "article-journal", "volume" : "24" }, "uris" : [ "http://www.mendeley.com/documents/?uuid=a59a74fc-c20a-4859-8419-2f5b254681b7" ] } ], "mendeley" : { "formattedCitation" : "(Winter, 2003)", "plainTextFormattedCitation" : "(Winter, 2003)", "previouslyFormattedCitation" : "(Winter, 2003)"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(Winter, 2003)</w:t>
      </w:r>
      <w:r w:rsidRPr="006407E5">
        <w:rPr>
          <w:rFonts w:ascii="Times New Roman" w:hAnsi="Times New Roman" w:cs="Times New Roman"/>
        </w:rPr>
        <w:fldChar w:fldCharType="end"/>
      </w:r>
      <w:r w:rsidRPr="006407E5">
        <w:rPr>
          <w:rFonts w:ascii="Times New Roman" w:hAnsi="Times New Roman" w:cs="Times New Roman"/>
        </w:rPr>
        <w:t xml:space="preserve">. In this way, SCRO would play an extended role in the value-creation strategy of an organization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"Wiklund", "given" : "Johan", "non-dropping-particle" : "", "parse-names" : false, "suffix" : "" }, { "dropping-particle" : "", "family" : "Shepherd", "given" : "Dean", "non-dropping-particle" : "", "parse-names" : false, "suffix" : "" } ], "container-title" : "Strategic Management Journal", "id" : "ITEM-1", "issued" : { "date-parts" : [ [ "2003" ] ] }, "page" : "1307-1314", "title" : "Knowledge-Based Resources, Entrepreneurial Orientation, and the Performance of Small and Medium-Sized Businesses", "type" : "article-journal", "volume" : "24" }, "uris" : [ "http://www.mendeley.com/documents/?uuid=c0927bc8-e0b4-483a-8342-a9a4ed75a37b" ] } ], "mendeley" : { "formattedCitation" : "(Wiklund &amp; Shepherd, 2003)", "plainTextFormattedCitation" : "(Wiklund &amp; Shepherd, 2003)", "previouslyFormattedCitation" : "(Wiklund &amp; Shepherd, 2003)"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(Wiklund &amp; Shepherd, 2003)</w:t>
      </w:r>
      <w:r w:rsidRPr="006407E5">
        <w:rPr>
          <w:rFonts w:ascii="Times New Roman" w:hAnsi="Times New Roman" w:cs="Times New Roman"/>
        </w:rPr>
        <w:fldChar w:fldCharType="end"/>
      </w:r>
      <w:r w:rsidRPr="006407E5">
        <w:rPr>
          <w:rFonts w:ascii="Times New Roman" w:hAnsi="Times New Roman" w:cs="Times New Roman"/>
        </w:rPr>
        <w:t>. As defined above, SCRO involves the identification, acquisition, integration, and re-configuration of resources. Hence, following Teece (1997), such critical supply chain resource orchestration processes could be considered as dynamic capabilities of the organization.</w:t>
      </w:r>
    </w:p>
    <w:p w14:paraId="40975047" w14:textId="77777777" w:rsidR="009B07A6" w:rsidRDefault="009B07A6" w:rsidP="00377F5F">
      <w:pPr>
        <w:spacing w:line="480" w:lineRule="auto"/>
        <w:jc w:val="both"/>
        <w:rPr>
          <w:rFonts w:ascii="Times New Roman" w:hAnsi="Times New Roman" w:cs="Times New Roman"/>
        </w:rPr>
      </w:pPr>
    </w:p>
    <w:p w14:paraId="139BF727" w14:textId="77777777" w:rsidR="00FA5962" w:rsidRPr="006407E5" w:rsidRDefault="00FA5962" w:rsidP="00377F5F">
      <w:pPr>
        <w:spacing w:line="480" w:lineRule="auto"/>
        <w:jc w:val="both"/>
        <w:rPr>
          <w:rFonts w:ascii="Times New Roman" w:hAnsi="Times New Roman" w:cs="Times New Roman"/>
        </w:rPr>
      </w:pPr>
    </w:p>
    <w:p w14:paraId="07EF91AF" w14:textId="77777777" w:rsidR="009B07A6" w:rsidRPr="006407E5" w:rsidRDefault="009B07A6" w:rsidP="00CB4836">
      <w:pPr>
        <w:pStyle w:val="Heading3new"/>
      </w:pPr>
      <w:r w:rsidRPr="006407E5">
        <w:lastRenderedPageBreak/>
        <w:t>Supply chain resource orchestration (SCRO)</w:t>
      </w:r>
    </w:p>
    <w:p w14:paraId="0CB48A8B"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 xml:space="preserve">The latest development in terms of resource management theories relates to synchronized resource orchestration practices. The emphasis of resource orchestration lies on acquiring and combining resources to achieve new resource configurations, and on the respective leveraging mechanisms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"10.1002/sej.121", "author" : [ { "dropping-particle" : "", "family" : "Chirico", "given" : "Francesco", "non-dropping-particle" : "", "parse-names" : false, "suffix" : "" }, { "dropping-particle" : "", "family" : "Sirmon", "given" : "David G", "non-dropping-particle" : "", "parse-names" : false, "suffix" : "" }, { "dropping-particle" : "", "family" : "Sciascia", "given" : "Salvatore", "non-dropping-particle" : "", "parse-names" : false, "suffix" : "" }, { "dropping-particle" : "", "family" : "Mazzola", "given" : "Pietro", "non-dropping-particle" : "", "parse-names" : false, "suffix" : "" } ], "container-title" : "Strategic Entrepreneurship Journal", "id" : "ITEM-1", "issued" : { "date-parts" : [ [ "2011" ] ] }, "page" : "307-326", "title" : "Resource Orchestration in Family Firms: Investigating How Entrepreneurial Orientation, Generational Involvement, and Participative Strategy Affect Performance", "type" : "article-journal", "volume" : "5" }, "uris" : [ "http://www.mendeley.com/documents/?uuid=77264939-5a09-4c64-a81d-03c21f59225a" ] } ], "mendeley" : { "formattedCitation" : "(Chirico, Sirmon, Sciascia, &amp; Mazzola, 2011)", "plainTextFormattedCitation" : "(Chirico, Sirmon, Sciascia, &amp; Mazzola, 2011)", "previouslyFormattedCitation" : "(Chirico, Sirmon, Sciascia, &amp; Mazzola,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(Chirico, Sirmon, Sciascia, &amp; Mazzola, 2011)</w:t>
      </w:r>
      <w:r w:rsidRPr="006407E5">
        <w:rPr>
          <w:rFonts w:ascii="Times New Roman" w:hAnsi="Times New Roman" w:cs="Times New Roman"/>
        </w:rPr>
        <w:fldChar w:fldCharType="end"/>
      </w:r>
      <w:r w:rsidRPr="006407E5">
        <w:rPr>
          <w:rFonts w:ascii="Times New Roman" w:hAnsi="Times New Roman" w:cs="Times New Roman"/>
        </w:rPr>
        <w:t xml:space="preserve">. By synthesizing the theoretical frameworks of both asset orchestration and resource management, Sirmon et al. (2007, 2011) have developed the new theoretical framework of resource orchestration theory (ROT). By extending the domain of RBT and dynamic capability </w:t>
      </w:r>
      <w:r w:rsidRPr="00BC4AC8">
        <w:rPr>
          <w:rFonts w:ascii="Times New Roman" w:hAnsi="Times New Roman" w:cs="Times New Roman"/>
        </w:rPr>
        <w:t>theory, ROT specifically emphasizes the important managerial role of structuring,</w:t>
      </w:r>
      <w:r w:rsidRPr="006407E5">
        <w:rPr>
          <w:rFonts w:ascii="Times New Roman" w:hAnsi="Times New Roman" w:cs="Times New Roman"/>
        </w:rPr>
        <w:t xml:space="preserve"> bundling, and leveraging the organization’s resources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"abstract" : "This article examines the relevance of several prominent theoretical perspectives in strategic management for supply chain management. The resource-based view of the firm, transaction cost economics, organization learning theory and social capital are reviewed for their applicability to important research questions in supply chain management. The work includes a discussion of some common strategic management research methods that can be useful in supply chain management research. The paper concludes that the research in strategic management and supply chain management are complementary and that both fields could benefit from more integration of the work from both. \u00a9 2011 Institute for Supply Management, Inc.\u2122.", "author" : [ { "dropping-particle" : "", "family" : "Hitt", "given" : "Michael A", "non-dropping-particle" : "", "parse-names" : false, "suffix" : "" } ], "container-title" : "Journal of Supply Chain Management", "id" : "ITEM-1", "issue" : "1", "issued" : { "date-parts" : [ [ "2011" ] ] }, "page" : "9-13", "title" : "Relevance of strategic management theory and research for supply chain management", "type" : "article-journal", "volume" : "47" }, "uris" : [ "http://www.mendeley.com/documents/?uuid=41a00fed-258f-4e34-862f-a505930975cf" ] } ], "mendeley" : { "formattedCitation" : "(Hitt, 2011)", "plainTextFormattedCitation" : "(Hitt, 2011)", "previouslyFormattedCitation" : "(Hitt,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(Hitt, 2011)</w:t>
      </w:r>
      <w:r w:rsidRPr="006407E5">
        <w:rPr>
          <w:rFonts w:ascii="Times New Roman" w:hAnsi="Times New Roman" w:cs="Times New Roman"/>
        </w:rPr>
        <w:fldChar w:fldCharType="end"/>
      </w:r>
      <w:r w:rsidRPr="006407E5">
        <w:rPr>
          <w:rFonts w:ascii="Times New Roman" w:hAnsi="Times New Roman" w:cs="Times New Roman"/>
        </w:rPr>
        <w:t xml:space="preserve">. In this way, ROT addresses the main criticism toward RBT and explains the practices how resources can be employed to create customer value and achieve a (temporary) competitive advantage. ROT underlines the criticality of management practices and decision-making. </w:t>
      </w:r>
    </w:p>
    <w:p w14:paraId="0533B12B" w14:textId="77777777" w:rsidR="009B07A6" w:rsidRPr="006407E5" w:rsidRDefault="009B07A6" w:rsidP="00377F5F">
      <w:pPr>
        <w:spacing w:line="480" w:lineRule="auto"/>
        <w:ind w:firstLine="720"/>
        <w:jc w:val="both"/>
        <w:rPr>
          <w:rFonts w:ascii="Times New Roman" w:hAnsi="Times New Roman" w:cs="Times New Roman"/>
        </w:rPr>
      </w:pPr>
      <w:r w:rsidRPr="00BC4AC8">
        <w:rPr>
          <w:rFonts w:ascii="Times New Roman" w:hAnsi="Times New Roman" w:cs="Times New Roman"/>
        </w:rPr>
        <w:t xml:space="preserve">In the literature, the focus has shifted from the mere possession of resources to the effective </w:t>
      </w:r>
      <w:r w:rsidRPr="00BC4AC8">
        <w:rPr>
          <w:rFonts w:ascii="Times New Roman" w:hAnsi="Times New Roman" w:cs="Times New Roman"/>
          <w:bCs/>
        </w:rPr>
        <w:t xml:space="preserve">orchestration of a firm's key resources </w:t>
      </w:r>
      <w:r w:rsidRPr="00BC4AC8">
        <w:rPr>
          <w:rFonts w:ascii="Times New Roman" w:hAnsi="Times New Roman" w:cs="Times New Roman"/>
          <w:bCs/>
        </w:rPr>
        <w:fldChar w:fldCharType="begin" w:fldLock="1"/>
      </w:r>
      <w:r w:rsidRPr="00BC4AC8">
        <w:rPr>
          <w:rFonts w:ascii="Times New Roman" w:hAnsi="Times New Roman" w:cs="Times New Roman"/>
          <w:bCs/>
        </w:rPr>
        <w:instrText>ADDIN CSL_CITATION { "citationItems" : [ { "id" : "ITEM-1", "itemData" : { "DOI" : "10.1002/sej.121", "author" : [ { "dropping-particle" : "", "family" : "Chirico", "given" : "Francesco", "non-dropping-particle" : "", "parse-names" : false, "suffix" : "" }, { "dropping-particle" : "", "family" : "Sirmon", "given" : "David G", "non-dropping-particle" : "", "parse-names" : false, "suffix" : "" }, { "dropping-particle" : "", "family" : "Sciascia", "given" : "Salvatore", "non-dropping-particle" : "", "parse-names" : false, "suffix" : "" }, { "dropping-particle" : "", "family" : "Mazzola", "given" : "Pietro", "non-dropping-particle" : "", "parse-names" : false, "suffix" : "" } ], "container-title" : "Strategic Entrepreneurship Journal", "id" : "ITEM-1", "issued" : { "date-parts" : [ [ "2011" ] ] }, "page" : "307-326", "title" : "Resource Orchestration in Family Firms: Investigating How Entrepreneurial Orientation, Generational Involvement, and Participative Strategy Affect Performance", "type" : "article-journal", "volume" : "5" }, "uris" : [ "http://www.mendeley.com/documents/?uuid=77264939-5a09-4c64-a81d-03c21f59225a" ] } ], "mendeley" : { "formattedCitation" : "(Chirico et al., 2011)", "plainTextFormattedCitation" : "(Chirico et al., 2011)", "previouslyFormattedCitation" : "(Chirico et al., 2011)" }, "properties" : { "noteIndex" : 0 }, "schema" : "https://github.com/citation-style-language/schema/raw/master/csl-citation.json" }</w:instrText>
      </w:r>
      <w:r w:rsidRPr="00BC4AC8">
        <w:rPr>
          <w:rFonts w:ascii="Times New Roman" w:hAnsi="Times New Roman" w:cs="Times New Roman"/>
          <w:bCs/>
        </w:rPr>
        <w:fldChar w:fldCharType="separate"/>
      </w:r>
      <w:r w:rsidRPr="00BC4AC8">
        <w:rPr>
          <w:rFonts w:ascii="Times New Roman" w:hAnsi="Times New Roman" w:cs="Times New Roman"/>
          <w:bCs/>
          <w:noProof/>
        </w:rPr>
        <w:t>(Chirico et al., 2011)</w:t>
      </w:r>
      <w:r w:rsidRPr="00BC4AC8">
        <w:rPr>
          <w:rFonts w:ascii="Times New Roman" w:hAnsi="Times New Roman" w:cs="Times New Roman"/>
          <w:bCs/>
        </w:rPr>
        <w:fldChar w:fldCharType="end"/>
      </w:r>
      <w:r w:rsidRPr="00BC4AC8">
        <w:rPr>
          <w:rFonts w:ascii="Times New Roman" w:hAnsi="Times New Roman" w:cs="Times New Roman"/>
          <w:bCs/>
        </w:rPr>
        <w:t>.  Managerial practices, rather than resource characteristics, can lead to s</w:t>
      </w:r>
      <w:r w:rsidRPr="00BC4AC8">
        <w:rPr>
          <w:rFonts w:ascii="Times New Roman" w:hAnsi="Times New Roman" w:cs="Times New Roman"/>
        </w:rPr>
        <w:t xml:space="preserve">uperior performance and the realization of a competitive advantage </w:t>
      </w:r>
      <w:r w:rsidRPr="00BC4AC8">
        <w:rPr>
          <w:rFonts w:ascii="Times New Roman" w:hAnsi="Times New Roman" w:cs="Times New Roman"/>
        </w:rPr>
        <w:fldChar w:fldCharType="begin" w:fldLock="1"/>
      </w:r>
      <w:r w:rsidRPr="00BC4AC8">
        <w:rPr>
          <w:rFonts w:ascii="Times New Roman" w:hAnsi="Times New Roman" w:cs="Times New Roman"/>
        </w:rPr>
        <w:instrText>ADDIN CSL_CITATION { "citationItems" : [ { "id" : "ITEM-1", "itemData" : { "abstract" : "Product recalls are often painful to endure, but they also create important opportunities for learning. Although past research implicitly treats recalls as monolithic, our grounded theory investigation uncovered four types of recalls. Each type of recall provides insight about the adequacy of a firm\u2019s resource endowments and how a firm orchestrates the activities around its resources. For researchers, our study highlights the value of examining the confluence of recalls, resource gaps, and resource orchestration shortfalls to better understand the role of resources within supply chain manage- ment. For managers, our study highlights the value of knowing what type of recall a firm is facing and how to remedy the problems that led to the recall.", "author" : [ { "dropping-particle" : "", "family" : "Ketchen", "given" : "David J", "non-dropping-particle" : "", "parse-names" : false, "suffix" : "" }, { "dropping-particle" : "", "family" : "Wowak", "given" : "Kaitlin D", "non-dropping-particle" : "", "parse-names" : false, "suffix" : "" }, { "dropping-particle" : "", "family" : "Craighead", "given" : "Christopher W", "non-dropping-particle" : "", "parse-names" : false, "suffix" : "" } ], "container-title" : "Journal of Supply Chain Management", "id" : "ITEM-1", "issue" : "3", "issued" : { "date-parts" : [ [ "2014" ] ] }, "page" : "6-15", "title" : "Resource Gaps and Resource Orchestration Shortfalls in Supply Chain Management: The Case of Product Recalls", "type" : "article-journal", "volume" : "50" }, "uris" : [ "http://www.mendeley.com/documents/?uuid=253c704b-7d13-4b31-9f44-27ec30152f71" ] }, { "id" : "ITEM-2", "itemData" : { "DOI" : "10.1002/smj.432", "ISBN" : "0143-2095", "ISSN" : "01432095", "PMID" : "224999817", "abstract" : "This paper argues that the gap between the theoretical utility and the practical utility of the resource-based view (RBV) may be narrowed by operationalizing the theory more consistently with Penrose's original framework. The operationalization proposed here is a twofold approach. First, the RBV may be enhanced by the explicit recognition of Penrose's two classes of resources, namely, administrative resources and productive resources. This distinction suggests a focus on the administrative decisions of managers that lead to economic performance. Second, we argue that the RBV is a theory about extraordinary performers or outliers-not averages. Therefore, the statistical methods used in applying the theory must account for individual firm differences, and not be based on means, which statistically neutralize firm differences. We propose a novel Bayesian hierarchical methodology to examine the relationship between administrative decisions and economic performance over time. We develop and explain a measure of competitive advantage that goes beyond comparisons of economic performance. This Bayesian methodology allows us to make meaningful probability statements about specific, individual firms and the effects of the administrative decisions examined in this study. Copyright (C) 2004 John Wiley Sons, Ltd.", "author" : [ { "dropping-particle" : "", "family" : "Hansen", "given" : "Mark H.", "non-dropping-particle" : "", "parse-names" : false, "suffix" : "" }, { "dropping-particle" : "", "family" : "Perry", "given" : "Lee T.", "non-dropping-particle" : "", "parse-names" : false, "suffix" : "" }, { "dropping-particle" : "", "family" : "Reese", "given" : "C. Shane", "non-dropping-particle" : "", "parse-names" : false, "suffix" : "" } ], "container-title" : "Strategic Management Journal", "id" : "ITEM-2", "issue" : "13", "issued" : { "date-parts" : [ [ "2004" ] ] }, "page" : "1279-1295", "title" : "A bayesian operationalization of the resource-based view", "type" : "article-journal", "volume" : "25" }, "uris" : [ "http://www.mendeley.com/documents/?uuid=b0b4c3ef-b3ac-4072-be8e-93437ab2c851" ] } ], "mendeley" : { "formattedCitation" : "(Hansen et al., 2004; Ketchen et al., 2014)", "plainTextFormattedCitation" : "(Hansen et al., 2004; Ketchen et al., 2014)", "previouslyFormattedCitation" : "(Hansen et al., 2004; Ketchen et al., 2014)" }, "properties" : { "noteIndex" : 0 }, "schema" : "https://github.com/citation-style-language/schema/raw/master/csl-citation.json" }</w:instrText>
      </w:r>
      <w:r w:rsidRPr="00BC4AC8">
        <w:rPr>
          <w:rFonts w:ascii="Times New Roman" w:hAnsi="Times New Roman" w:cs="Times New Roman"/>
        </w:rPr>
        <w:fldChar w:fldCharType="separate"/>
      </w:r>
      <w:r w:rsidRPr="00BC4AC8">
        <w:rPr>
          <w:rFonts w:ascii="Times New Roman" w:hAnsi="Times New Roman" w:cs="Times New Roman"/>
          <w:noProof/>
        </w:rPr>
        <w:t>(Hansen et al., 2004; Ketchen et al., 2014)</w:t>
      </w:r>
      <w:r w:rsidRPr="00BC4AC8">
        <w:rPr>
          <w:rFonts w:ascii="Times New Roman" w:hAnsi="Times New Roman" w:cs="Times New Roman"/>
        </w:rPr>
        <w:fldChar w:fldCharType="end"/>
      </w:r>
      <w:r w:rsidRPr="00BC4AC8">
        <w:rPr>
          <w:rFonts w:ascii="Times New Roman" w:hAnsi="Times New Roman" w:cs="Times New Roman"/>
        </w:rPr>
        <w:t xml:space="preserve">. “What a firm </w:t>
      </w:r>
      <w:r w:rsidRPr="00BC4AC8">
        <w:rPr>
          <w:rFonts w:ascii="Times New Roman" w:hAnsi="Times New Roman" w:cs="Times New Roman"/>
          <w:bCs/>
          <w:i/>
        </w:rPr>
        <w:t>does</w:t>
      </w:r>
      <w:r w:rsidRPr="00BC4AC8">
        <w:rPr>
          <w:rFonts w:ascii="Times New Roman" w:hAnsi="Times New Roman" w:cs="Times New Roman"/>
        </w:rPr>
        <w:t xml:space="preserve"> with its resources is at least as important as which resources it possesses”  (Hansen et al., 2004, p. 1280). Essential is how resources are deployed, configured, and exploited to enhance the organization’s competitive position </w:t>
      </w:r>
      <w:r w:rsidRPr="00BC4AC8">
        <w:rPr>
          <w:rFonts w:ascii="Times New Roman" w:hAnsi="Times New Roman" w:cs="Times New Roman"/>
        </w:rPr>
        <w:fldChar w:fldCharType="begin" w:fldLock="1"/>
      </w:r>
      <w:r w:rsidRPr="00BC4AC8">
        <w:rPr>
          <w:rFonts w:ascii="Times New Roman" w:hAnsi="Times New Roman" w:cs="Times New Roman"/>
        </w:rPr>
        <w:instrText>ADDIN CSL_CITATION { "citationItems" : [ { "id" : "ITEM-1", "itemData" : { "DOI" : "10.1002/smj.432", "ISBN" : "0143-2095", "ISSN" : "01432095", "PMID" : "224999817", "abstract" : "This paper argues that the gap between the theoretical utility and the practical utility of the resource-based view (RBV) may be narrowed by operationalizing the theory more consistently with Penrose's original framework. The operationalization proposed here is a twofold approach. First, the RBV may be enhanced by the explicit recognition of Penrose's two classes of resources, namely, administrative resources and productive resources. This distinction suggests a focus on the administrative decisions of managers that lead to economic performance. Second, we argue that the RBV is a theory about extraordinary performers or outliers-not averages. Therefore, the statistical methods used in applying the theory must account for individual firm differences, and not be based on means, which statistically neutralize firm differences. We propose a novel Bayesian hierarchical methodology to examine the relationship between administrative decisions and economic performance over time. We develop and explain a measure of competitive advantage that goes beyond comparisons of economic performance. This Bayesian methodology allows us to make meaningful probability statements about specific, individual firms and the effects of the administrative decisions examined in this study. Copyright (C) 2004 John Wiley Sons, Ltd.", "author" : [ { "dropping-particle" : "", "family" : "Hansen", "given" : "Mark H.", "non-dropping-particle" : "", "parse-names" : false, "suffix" : "" }, { "dropping-particle" : "", "family" : "Perry", "given" : "Lee T.", "non-dropping-particle" : "", "parse-names" : false, "suffix" : "" }, { "dropping-particle" : "", "family" : "Reese", "given" : "C. Shane", "non-dropping-particle" : "", "parse-names" : false, "suffix" : "" } ], "container-title" : "Strategic Management Journal", "id" : "ITEM-1", "issue" : "13", "issued" : { "date-parts" : [ [ "2004" ] ] }, "page" : "1279-1295", "title" : "A bayesian operationalization of the resource-based view", "type" : "article-journal", "volume" : "25" }, "uris" : [ "http://www.mendeley.com/documents/?uuid=b0b4c3ef-b3ac-4072-be8e-93437ab2c851" ] } ], "mendeley" : { "formattedCitation" : "(Hansen et al., 2004)", "plainTextFormattedCitation" : "(Hansen et al., 2004)", "previouslyFormattedCitation" : "(Hansen et al., 2004)" }, "properties" : { "noteIndex" : 0 }, "schema" : "https://github.com/citation-style-language/schema/raw/master/csl-citation.json" }</w:instrText>
      </w:r>
      <w:r w:rsidRPr="00BC4AC8">
        <w:rPr>
          <w:rFonts w:ascii="Times New Roman" w:hAnsi="Times New Roman" w:cs="Times New Roman"/>
        </w:rPr>
        <w:fldChar w:fldCharType="separate"/>
      </w:r>
      <w:r w:rsidRPr="00BC4AC8">
        <w:rPr>
          <w:rFonts w:ascii="Times New Roman" w:hAnsi="Times New Roman" w:cs="Times New Roman"/>
          <w:noProof/>
        </w:rPr>
        <w:t>(Hansen et al., 2004)</w:t>
      </w:r>
      <w:r w:rsidRPr="00BC4AC8">
        <w:rPr>
          <w:rFonts w:ascii="Times New Roman" w:hAnsi="Times New Roman" w:cs="Times New Roman"/>
        </w:rPr>
        <w:fldChar w:fldCharType="end"/>
      </w:r>
      <w:r w:rsidRPr="00BC4AC8">
        <w:rPr>
          <w:rFonts w:ascii="Times New Roman" w:hAnsi="Times New Roman" w:cs="Times New Roman"/>
        </w:rPr>
        <w:t>.</w:t>
      </w:r>
    </w:p>
    <w:p w14:paraId="2B207AB7" w14:textId="4E3DF5FA"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The effective coordination of those main three RO managerial sub-processes (structuring, bundling, and leveraging) is critical for the organization’s value-creation performance and the subsequent achievement of a competitive advantage </w:t>
      </w:r>
      <w:r w:rsidRPr="00BC4AC8">
        <w:rPr>
          <w:rFonts w:ascii="Times New Roman" w:hAnsi="Times New Roman" w:cs="Times New Roman"/>
        </w:rPr>
        <w:fldChar w:fldCharType="begin" w:fldLock="1"/>
      </w:r>
      <w:r w:rsidRPr="00BC4AC8">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Pr="00BC4AC8">
        <w:rPr>
          <w:rFonts w:ascii="Times New Roman" w:hAnsi="Times New Roman" w:cs="Times New Roman"/>
        </w:rPr>
        <w:fldChar w:fldCharType="separate"/>
      </w:r>
      <w:r w:rsidRPr="00BC4AC8">
        <w:rPr>
          <w:rFonts w:ascii="Times New Roman" w:hAnsi="Times New Roman" w:cs="Times New Roman"/>
          <w:noProof/>
        </w:rPr>
        <w:t>(Sirmon et al., 2011)</w:t>
      </w:r>
      <w:r w:rsidRPr="00BC4AC8">
        <w:rPr>
          <w:rFonts w:ascii="Times New Roman" w:hAnsi="Times New Roman" w:cs="Times New Roman"/>
        </w:rPr>
        <w:fldChar w:fldCharType="end"/>
      </w:r>
      <w:r w:rsidRPr="00BC4AC8">
        <w:rPr>
          <w:rFonts w:ascii="Times New Roman" w:hAnsi="Times New Roman" w:cs="Times New Roman"/>
        </w:rPr>
        <w:t xml:space="preserve">.  The </w:t>
      </w:r>
      <w:r w:rsidRPr="00BC4AC8">
        <w:rPr>
          <w:rFonts w:ascii="Times New Roman" w:hAnsi="Times New Roman" w:cs="Times New Roman"/>
          <w:bCs/>
        </w:rPr>
        <w:t>synchronization</w:t>
      </w:r>
      <w:r w:rsidRPr="00BC4AC8">
        <w:rPr>
          <w:rFonts w:ascii="Times New Roman" w:hAnsi="Times New Roman" w:cs="Times New Roman"/>
        </w:rPr>
        <w:t xml:space="preserve"> of the firm’s resource structuring, bundling, and leveraging </w:t>
      </w:r>
      <w:r w:rsidRPr="00BC4AC8">
        <w:rPr>
          <w:rFonts w:ascii="Times New Roman" w:hAnsi="Times New Roman" w:cs="Times New Roman"/>
        </w:rPr>
        <w:lastRenderedPageBreak/>
        <w:t xml:space="preserve">activities </w:t>
      </w:r>
      <w:r w:rsidRPr="00BC4AC8">
        <w:rPr>
          <w:rFonts w:ascii="Times New Roman" w:hAnsi="Times New Roman" w:cs="Times New Roman"/>
          <w:bCs/>
        </w:rPr>
        <w:t>creates value and enables to achieve a competitive advantage</w:t>
      </w:r>
      <w:r w:rsidR="0099244C">
        <w:rPr>
          <w:rFonts w:ascii="Times New Roman" w:hAnsi="Times New Roman" w:cs="Times New Roman"/>
          <w:bCs/>
        </w:rPr>
        <w:t xml:space="preserve"> </w:t>
      </w:r>
      <w:r w:rsidR="0099244C" w:rsidRPr="006407E5">
        <w:rPr>
          <w:rFonts w:ascii="Times New Roman" w:hAnsi="Times New Roman" w:cs="Times New Roman"/>
        </w:rPr>
        <w:fldChar w:fldCharType="begin" w:fldLock="1"/>
      </w:r>
      <w:r w:rsidR="0099244C" w:rsidRPr="006407E5">
        <w:rPr>
          <w:rFonts w:ascii="Times New Roman" w:hAnsi="Times New Roman" w:cs="Times New Roman"/>
        </w:rPr>
        <w:instrText>ADDIN CSL_CITATION { "citationItems" : [ { "id" : "ITEM-1", "itemData" : { "author" : [ { "dropping-particle" : "", "family" : "Wowak", "given" : "Kaitlin D", "non-dropping-particle" : "", "parse-names" : false, "suffix" : "" }, { "dropping-particle" : "", "family" : "Craighead", "given" : "Christopher W", "non-dropping-particle" : "", "parse-names" : false, "suffix" : "" }, { "dropping-particle" : "", "family" : "Ketchen", "given" : "David J", "non-dropping-particle" : "", "parse-names" : false, "suffix" : "" }, { "dropping-particle" : "", "family" : "Hult", "given" : "G.Tomas M", "non-dropping-particle" : "", "parse-names" : false, "suffix" : "" } ], "container-title" : "Journal of Supply Chain Management", "id" : "ITEM-1", "issue" : "1", "issued" : { "date-parts" : [ [ "2016" ] ] }, "page" : "66-81", "title" : "Toward a \"theoretical toolbox\" for the supplier-enabled fuzzy front end of the new product development process", "type" : "article-journal", "volume" : "52" }, "uris" : [ "http://www.mendeley.com/documents/?uuid=4d2eea83-02a5-4de7-bb28-bb5c657ece07" ] } ], "mendeley" : { "formattedCitation" : "(Wowak et al., 2016)", "plainTextFormattedCitation" : "(Wowak et al., 2016)", "previouslyFormattedCitation" : "(Wowak et al., 2016)" }, "properties" : { "noteIndex" : 0 }, "schema" : "https://github.com/citation-style-language/schema/raw/master/csl-citation.json" }</w:instrText>
      </w:r>
      <w:r w:rsidR="0099244C" w:rsidRPr="006407E5">
        <w:rPr>
          <w:rFonts w:ascii="Times New Roman" w:hAnsi="Times New Roman" w:cs="Times New Roman"/>
        </w:rPr>
        <w:fldChar w:fldCharType="separate"/>
      </w:r>
      <w:r w:rsidR="0099244C" w:rsidRPr="006407E5">
        <w:rPr>
          <w:rFonts w:ascii="Times New Roman" w:hAnsi="Times New Roman" w:cs="Times New Roman"/>
          <w:noProof/>
        </w:rPr>
        <w:t>(Wowak et al., 2016)</w:t>
      </w:r>
      <w:r w:rsidR="0099244C" w:rsidRPr="006407E5">
        <w:rPr>
          <w:rFonts w:ascii="Times New Roman" w:hAnsi="Times New Roman" w:cs="Times New Roman"/>
        </w:rPr>
        <w:fldChar w:fldCharType="end"/>
      </w:r>
      <w:r w:rsidR="0099244C" w:rsidRPr="006407E5">
        <w:rPr>
          <w:rFonts w:ascii="Times New Roman" w:hAnsi="Times New Roman" w:cs="Times New Roman"/>
        </w:rPr>
        <w:t xml:space="preserve">. </w:t>
      </w:r>
    </w:p>
    <w:p w14:paraId="18108BE2" w14:textId="5AB7C3DB"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Scholars have observed that each practice/sub</w:t>
      </w:r>
      <w:r>
        <w:rPr>
          <w:rFonts w:ascii="Times New Roman" w:hAnsi="Times New Roman" w:cs="Times New Roman"/>
        </w:rPr>
        <w:t>-</w:t>
      </w:r>
      <w:r w:rsidRPr="006407E5">
        <w:rPr>
          <w:rFonts w:ascii="Times New Roman" w:hAnsi="Times New Roman" w:cs="Times New Roman"/>
        </w:rPr>
        <w:t xml:space="preserve">process is vital, and specifically the synchronization of the three practices could enhance performance </w:t>
      </w:r>
      <w:r w:rsidRPr="00BC4AC8">
        <w:rPr>
          <w:rFonts w:ascii="Times New Roman" w:hAnsi="Times New Roman" w:cs="Times New Roman"/>
        </w:rPr>
        <w:fldChar w:fldCharType="begin" w:fldLock="1"/>
      </w:r>
      <w:r w:rsidRPr="00BC4AC8">
        <w:rPr>
          <w:rFonts w:ascii="Times New Roman" w:hAnsi="Times New Roman" w:cs="Times New Roman"/>
        </w:rPr>
        <w:instrText>ADDIN CSL_CITATION { "citationItems" : [ { "id" : "ITEM-1", "itemData" : { "DOI" : "10.1016/j.jom.2014.06.003", "ISSN" : "0272-6963", "author" : [ { "dropping-particle" : "", "family" : "Koufteros", "given" : "Xenophon", "non-dropping-particle" : "", "parse-names" : false, "suffix" : "" }, { "dropping-particle" : "", "family" : "Verghese", "given" : "Anto", "non-dropping-particle" : "", "parse-names" : false, "suffix" : "" }, { "dropping-particle" : "", "family" : "Lucianetti", "given" : "Lorenzo", "non-dropping-particle" : "", "parse-names" : false, "suffix" : "" } ], "container-title" : "Journal of Operations Management", "id" : "ITEM-1", "issue" : "6", "issued" : { "date-parts" : [ [ "2014" ] ] }, "page" : "313-336", "publisher" : "Elsevier B.V.", "title" : "The effect of performance measurement systems on firm performance: A cross-sectional and a longitudinal study", "type" : "article-journal", "volume" : "32" }, "uris" : [ "http://www.mendeley.com/documents/?uuid=4019bf10-e246-4bfe-8b14-65083d2d2c97" ] } ], "mendeley" : { "formattedCitation" : "(Koufteros, Verghese, &amp; Lucianetti, 2014)", "plainTextFormattedCitation" : "(Koufteros, Verghese, &amp; Lucianetti, 2014)", "previouslyFormattedCitation" : "(Koufteros, Verghese, &amp; Lucianetti, 2014)" }, "properties" : { "noteIndex" : 0 }, "schema" : "https://github.com/citation-style-language/schema/raw/master/csl-citation.json" }</w:instrText>
      </w:r>
      <w:r w:rsidRPr="00BC4AC8">
        <w:rPr>
          <w:rFonts w:ascii="Times New Roman" w:hAnsi="Times New Roman" w:cs="Times New Roman"/>
        </w:rPr>
        <w:fldChar w:fldCharType="separate"/>
      </w:r>
      <w:r w:rsidRPr="00BC4AC8">
        <w:rPr>
          <w:rFonts w:ascii="Times New Roman" w:hAnsi="Times New Roman" w:cs="Times New Roman"/>
          <w:noProof/>
        </w:rPr>
        <w:t>(Koufteros, Verghese, &amp; Lucianetti, 2014)</w:t>
      </w:r>
      <w:r w:rsidRPr="00BC4AC8">
        <w:rPr>
          <w:rFonts w:ascii="Times New Roman" w:hAnsi="Times New Roman" w:cs="Times New Roman"/>
        </w:rPr>
        <w:fldChar w:fldCharType="end"/>
      </w:r>
      <w:r w:rsidRPr="00BC4AC8">
        <w:rPr>
          <w:rFonts w:ascii="Times New Roman" w:hAnsi="Times New Roman" w:cs="Times New Roman"/>
        </w:rPr>
        <w:t>. Hence, neglecting one sub-process could be very detrimental to the organization. Managers must find the right balance among the three SCRO sub-processes. These three sub-processes of structuring, bundling, and leveraging</w:t>
      </w:r>
      <w:r w:rsidRPr="006407E5">
        <w:rPr>
          <w:rFonts w:ascii="Times New Roman" w:hAnsi="Times New Roman" w:cs="Times New Roman"/>
        </w:rPr>
        <w:t xml:space="preserve"> </w:t>
      </w:r>
      <w:r w:rsidRPr="00BC4AC8">
        <w:rPr>
          <w:rFonts w:ascii="Times New Roman" w:hAnsi="Times New Roman" w:cs="Times New Roman"/>
        </w:rPr>
        <w:t>are extended to the supply chain domain will be explained next. The following section will introduce the main theoretical constructs that are relevant for the supply chain resource orchestration framework.</w:t>
      </w:r>
    </w:p>
    <w:p w14:paraId="4DD328EE" w14:textId="77777777" w:rsidR="009B07A6" w:rsidRPr="006407E5" w:rsidRDefault="009B07A6" w:rsidP="00377F5F">
      <w:pPr>
        <w:spacing w:line="480" w:lineRule="auto"/>
        <w:jc w:val="both"/>
        <w:rPr>
          <w:rFonts w:ascii="Times New Roman" w:hAnsi="Times New Roman" w:cs="Times New Roman"/>
        </w:rPr>
      </w:pPr>
    </w:p>
    <w:p w14:paraId="0E2CC579" w14:textId="77777777" w:rsidR="00C2793E" w:rsidRDefault="009B07A6" w:rsidP="00F9031F">
      <w:pPr>
        <w:pStyle w:val="Caption"/>
        <w:keepNext/>
        <w:jc w:val="both"/>
      </w:pPr>
      <w:r w:rsidRPr="006407E5">
        <w:rPr>
          <w:rFonts w:cs="Times New Roman"/>
        </w:rPr>
        <w:t xml:space="preserve">(Supply Chain) Resource structuring is defined as acquiring or divesting resources to shape a resource portfolio </w:t>
      </w:r>
      <w:r w:rsidRPr="006407E5">
        <w:rPr>
          <w:rFonts w:cs="Times New Roman"/>
        </w:rPr>
        <w:fldChar w:fldCharType="begin" w:fldLock="1"/>
      </w:r>
      <w:r w:rsidRPr="006407E5">
        <w:rPr>
          <w:rFonts w:cs="Times New Roman"/>
        </w:rPr>
        <w:instrText>ADDIN CSL_CITATION { "citationItems" : [ { "id" : "ITEM-1", "itemData" : { "author" : [ { "dropping-particle" : "", "family" : "Hitt", "given" : "Michael A", "non-dropping-particle" : "", "parse-names" : false, "suffix" : "" }, { "dropping-particle" : "", "family" : "Ireland", "given" : "R Duane", "non-dropping-particle" : "", "parse-names" : false, "suffix" : "" }, { "dropping-particle" : "", "family" : "Sirmon", "given" : "David G", "non-dropping-particle" : "", "parse-names" : false, "suffix" : "" }, { "dropping-particle" : "", "family" : "Trahms", "given" : "Cheryl A", "non-dropping-particle" : "", "parse-names" : false, "suffix" : "" } ], "container-title" : "Academy of Management Perspectives", "id" : "ITEM-1", "issue" : "May", "issued" : { "date-parts" : [ [ "2011" ] ] }, "page" : "57-75", "title" : "Strategic Entrepreneurship: Creating Value for Individuals, Organizations, and Society", "type" : "article-journal" }, "uris" : [ "http://www.mendeley.com/documents/?uuid=a440eb44-a14e-41a2-85e6-3af528235937" ] } ], "mendeley" : { "formattedCitation" : "(Hitt, Ireland, Sirmon, &amp; Trahms, 2011)", "plainTextFormattedCitation" : "(Hitt, Ireland, Sirmon, &amp; Trahms, 2011)", "previouslyFormattedCitation" : "(Hitt, Ireland, Sirmon, &amp; Trahms, 2011)" }, "properties" : { "noteIndex" : 0 }, "schema" : "https://github.com/citation-style-language/schema/raw/master/csl-citation.json" }</w:instrText>
      </w:r>
      <w:r w:rsidRPr="006407E5">
        <w:rPr>
          <w:rFonts w:cs="Times New Roman"/>
        </w:rPr>
        <w:fldChar w:fldCharType="separate"/>
      </w:r>
      <w:r w:rsidRPr="006407E5">
        <w:rPr>
          <w:rFonts w:cs="Times New Roman"/>
          <w:noProof/>
        </w:rPr>
        <w:t>(Hitt, Ireland, Sirmon, &amp; Trahms, 2011)</w:t>
      </w:r>
      <w:r w:rsidRPr="006407E5">
        <w:rPr>
          <w:rFonts w:cs="Times New Roman"/>
        </w:rPr>
        <w:fldChar w:fldCharType="end"/>
      </w:r>
      <w:r w:rsidRPr="006407E5">
        <w:rPr>
          <w:rFonts w:cs="Times New Roman"/>
        </w:rPr>
        <w:t xml:space="preserve">. Initially, an organization determines the delta between available in-house resources and the total resource requirements. When resources are neither readily available nor feasibly developed in-house, they will be acquired from external constituents </w:t>
      </w:r>
      <w:r w:rsidRPr="006407E5">
        <w:rPr>
          <w:rFonts w:cs="Times New Roman"/>
        </w:rPr>
        <w:fldChar w:fldCharType="begin" w:fldLock="1"/>
      </w:r>
      <w:r w:rsidRPr="006407E5">
        <w:rPr>
          <w:rFonts w:cs="Times New Roman"/>
        </w:rPr>
        <w:instrText>ADDIN CSL_CITATION { "citationItems" : [ { "id" : "ITEM-1", "itemData" : { "author" : [ { "dropping-particle" : "", "family" : "Dierickx", "given" : "Ingemar", "non-dropping-particle" : "", "parse-names" : false, "suffix" : "" }, { "dropping-particle" : "", "family" : "Cool", "given" : "Karel", "non-dropping-particle" : "", "parse-names" : false, "suffix" : "" } ], "container-title" : "Management Science", "id" : "ITEM-1", "issue" : "12", "issued" : { "date-parts" : [ [ "1989" ] ] }, "page" : "1504-1511", "title" : "Asset Stock Accumulation and Sustainability of Competitive Advantage", "type" : "article-journal", "volume" : "35" }, "uris" : [ "http://www.mendeley.com/documents/?uuid=79146218-55ff-4b53-8df7-b9356bdf8b71" ] }, { "id" : "ITEM-2", "itemData" : { "author" : [ { "dropping-particle" : "", "family" : "Barney", "given" : "Jay B.", "non-dropping-particle" : "", "parse-names" : false, "suffix" : "" } ], "container-title" : "Management Science", "id" : "ITEM-2", "issue" : "10", "issued" : { "date-parts" : [ [ "1986" ] ] }, "page" : "1231-1241", "title" : "Strategic Factor Markets: Expectations, Luck , and Business Strategy", "type" : "article-journal", "volume" : "32" }, "uris" : [ "http://www.mendeley.com/documents/?uuid=a8ade927-e43b-42ae-b792-11658c9e3895" ] } ], "mendeley" : { "formattedCitation" : "(Barney, 1986; Dierickx &amp; Cool, 1989)", "plainTextFormattedCitation" : "(Barney, 1986; Dierickx &amp; Cool, 1989)", "previouslyFormattedCitation" : "(Barney, 1986; Dierickx &amp; Cool, 1989)" }, "properties" : { "noteIndex" : 0 }, "schema" : "https://github.com/citation-style-language/schema/raw/master/csl-citation.json" }</w:instrText>
      </w:r>
      <w:r w:rsidRPr="006407E5">
        <w:rPr>
          <w:rFonts w:cs="Times New Roman"/>
        </w:rPr>
        <w:fldChar w:fldCharType="separate"/>
      </w:r>
      <w:r w:rsidRPr="006407E5">
        <w:rPr>
          <w:rFonts w:cs="Times New Roman"/>
          <w:noProof/>
        </w:rPr>
        <w:t>(Barney, 1986; Dierickx &amp; Cool, 1989)</w:t>
      </w:r>
      <w:r w:rsidRPr="006407E5">
        <w:rPr>
          <w:rFonts w:cs="Times New Roman"/>
        </w:rPr>
        <w:fldChar w:fldCharType="end"/>
      </w:r>
      <w:r w:rsidRPr="006407E5">
        <w:rPr>
          <w:rFonts w:cs="Times New Roman"/>
        </w:rPr>
        <w:t xml:space="preserve">. Likewise, superfluous in-house resources are divested after being identified as dispensable for future operations. The main definitions of structuring and its sub-processes are summarized </w:t>
      </w:r>
      <w:r w:rsidR="00A86B54">
        <w:rPr>
          <w:rFonts w:cs="Times New Roman"/>
        </w:rPr>
        <w:t xml:space="preserve">in </w:t>
      </w:r>
      <w:r w:rsidR="00A86B54">
        <w:rPr>
          <w:rFonts w:cs="Times New Roman"/>
        </w:rPr>
        <w:fldChar w:fldCharType="begin"/>
      </w:r>
      <w:r w:rsidR="00A86B54">
        <w:rPr>
          <w:rFonts w:cs="Times New Roman"/>
        </w:rPr>
        <w:instrText xml:space="preserve"> REF _Ref358322012 \h </w:instrText>
      </w:r>
      <w:r w:rsidR="00A86B54">
        <w:rPr>
          <w:rFonts w:cs="Times New Roman"/>
        </w:rPr>
      </w:r>
      <w:r w:rsidR="00A86B54">
        <w:rPr>
          <w:rFonts w:cs="Times New Roman"/>
        </w:rPr>
        <w:fldChar w:fldCharType="separate"/>
      </w:r>
    </w:p>
    <w:p w14:paraId="66A064DB" w14:textId="77777777" w:rsidR="00C2793E" w:rsidRDefault="00C2793E" w:rsidP="00F9031F">
      <w:pPr>
        <w:pStyle w:val="Caption"/>
        <w:keepNext/>
        <w:jc w:val="both"/>
      </w:pPr>
    </w:p>
    <w:p w14:paraId="324A24B7" w14:textId="77777777" w:rsidR="00C2793E" w:rsidRDefault="00C2793E" w:rsidP="00F9031F">
      <w:pPr>
        <w:pStyle w:val="Caption"/>
        <w:keepNext/>
        <w:jc w:val="both"/>
      </w:pPr>
    </w:p>
    <w:p w14:paraId="38D60568" w14:textId="76415F60" w:rsidR="009B07A6" w:rsidRPr="006407E5" w:rsidRDefault="00C2793E" w:rsidP="00377F5F">
      <w:pPr>
        <w:spacing w:line="480" w:lineRule="auto"/>
        <w:jc w:val="both"/>
        <w:rPr>
          <w:rFonts w:ascii="Times New Roman" w:hAnsi="Times New Roman" w:cs="Times New Roman"/>
        </w:rPr>
      </w:pPr>
      <w:r>
        <w:t xml:space="preserve">Table </w:t>
      </w:r>
      <w:r>
        <w:rPr>
          <w:noProof/>
        </w:rPr>
        <w:t>19</w:t>
      </w:r>
      <w:r w:rsidR="00A86B54">
        <w:rPr>
          <w:rFonts w:ascii="Times New Roman" w:hAnsi="Times New Roman" w:cs="Times New Roman"/>
        </w:rPr>
        <w:fldChar w:fldCharType="end"/>
      </w:r>
      <w:r w:rsidR="009B07A6" w:rsidRPr="006407E5">
        <w:rPr>
          <w:rFonts w:ascii="Times New Roman" w:hAnsi="Times New Roman" w:cs="Times New Roman"/>
        </w:rPr>
        <w:t xml:space="preserve">. </w:t>
      </w:r>
    </w:p>
    <w:p w14:paraId="38E87B90" w14:textId="77777777" w:rsidR="00AA2A98" w:rsidRDefault="00AA2A98" w:rsidP="00F9031F">
      <w:pPr>
        <w:pStyle w:val="Caption"/>
        <w:keepNext/>
        <w:jc w:val="both"/>
      </w:pPr>
      <w:bookmarkStart w:id="114" w:name="_Ref358322012"/>
    </w:p>
    <w:p w14:paraId="6EA1C024" w14:textId="77777777" w:rsidR="00AA2A98" w:rsidRDefault="00AA2A98" w:rsidP="00F9031F">
      <w:pPr>
        <w:pStyle w:val="Caption"/>
        <w:keepNext/>
        <w:jc w:val="both"/>
      </w:pPr>
    </w:p>
    <w:p w14:paraId="1F410145" w14:textId="77777777" w:rsidR="00AA2A98" w:rsidRDefault="00AA2A98" w:rsidP="00F9031F">
      <w:pPr>
        <w:pStyle w:val="Caption"/>
        <w:keepNext/>
        <w:jc w:val="both"/>
      </w:pPr>
    </w:p>
    <w:p w14:paraId="6C7A12BB" w14:textId="69BA3A23" w:rsidR="00F9031F" w:rsidRDefault="00F9031F" w:rsidP="00F9031F">
      <w:pPr>
        <w:pStyle w:val="Caption"/>
        <w:keepNext/>
        <w:jc w:val="both"/>
      </w:pPr>
      <w:bookmarkStart w:id="115" w:name="_Toc358326855"/>
      <w:r>
        <w:t xml:space="preserve">Table </w:t>
      </w:r>
      <w:fldSimple w:instr=" SEQ Table \* ARABIC ">
        <w:r w:rsidR="00C2793E">
          <w:rPr>
            <w:noProof/>
          </w:rPr>
          <w:t>19</w:t>
        </w:r>
        <w:bookmarkEnd w:id="115"/>
      </w:fldSimple>
      <w:bookmarkEnd w:id="114"/>
    </w:p>
    <w:p w14:paraId="059A438C" w14:textId="285540CF" w:rsidR="009B07A6" w:rsidRPr="00BC4AC8" w:rsidRDefault="009B07A6" w:rsidP="00377F5F">
      <w:pPr>
        <w:jc w:val="both"/>
        <w:rPr>
          <w:rFonts w:ascii="Times New Roman" w:hAnsi="Times New Roman" w:cs="Times New Roman"/>
          <w:b/>
        </w:rPr>
      </w:pPr>
      <w:r w:rsidRPr="00BC4AC8">
        <w:rPr>
          <w:rFonts w:ascii="Times New Roman" w:hAnsi="Times New Roman" w:cs="Times New Roman"/>
          <w:b/>
        </w:rPr>
        <w:t>Definitions of Structuring and its Sub-processes</w:t>
      </w:r>
    </w:p>
    <w:p w14:paraId="0A1E0065"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noProof/>
        </w:rPr>
        <w:lastRenderedPageBreak/>
        <w:drawing>
          <wp:inline distT="0" distB="0" distL="0" distR="0" wp14:anchorId="04CA60BC" wp14:editId="62EDB43B">
            <wp:extent cx="5486400" cy="368617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3686175"/>
                    </a:xfrm>
                    <a:prstGeom prst="rect">
                      <a:avLst/>
                    </a:prstGeom>
                    <a:noFill/>
                    <a:ln>
                      <a:noFill/>
                    </a:ln>
                  </pic:spPr>
                </pic:pic>
              </a:graphicData>
            </a:graphic>
          </wp:inline>
        </w:drawing>
      </w:r>
    </w:p>
    <w:p w14:paraId="3C01CE73" w14:textId="77777777" w:rsidR="009B07A6" w:rsidRPr="00B36C50" w:rsidRDefault="009B07A6" w:rsidP="00377F5F">
      <w:pPr>
        <w:jc w:val="both"/>
        <w:rPr>
          <w:rFonts w:ascii="Times New Roman" w:hAnsi="Times New Roman" w:cs="Times New Roman"/>
          <w:sz w:val="18"/>
          <w:szCs w:val="18"/>
        </w:rPr>
      </w:pPr>
      <w:r w:rsidRPr="00B36C50">
        <w:rPr>
          <w:rFonts w:ascii="Times New Roman" w:hAnsi="Times New Roman" w:cs="Times New Roman"/>
          <w:sz w:val="18"/>
          <w:szCs w:val="18"/>
        </w:rPr>
        <w:t>Sources: Barney, 1986; Dierickx &amp; Cool, 1989; Sirmon et al., 2007; Sirmon et al., 2011; Hitt et al., 2011; Baert et al., 2016</w:t>
      </w:r>
    </w:p>
    <w:p w14:paraId="2C59EE9D" w14:textId="77777777" w:rsidR="009B07A6" w:rsidRPr="006407E5" w:rsidRDefault="009B07A6" w:rsidP="00377F5F">
      <w:pPr>
        <w:spacing w:line="480" w:lineRule="auto"/>
        <w:jc w:val="both"/>
        <w:rPr>
          <w:rFonts w:ascii="Times New Roman" w:hAnsi="Times New Roman" w:cs="Times New Roman"/>
        </w:rPr>
      </w:pPr>
    </w:p>
    <w:p w14:paraId="1123D8E7" w14:textId="150910D3" w:rsidR="009B07A6" w:rsidRDefault="009B07A6" w:rsidP="00377F5F">
      <w:pPr>
        <w:spacing w:line="480" w:lineRule="auto"/>
        <w:jc w:val="both"/>
        <w:rPr>
          <w:rFonts w:ascii="Times New Roman" w:hAnsi="Times New Roman" w:cs="Times New Roman"/>
        </w:rPr>
      </w:pPr>
      <w:r w:rsidRPr="006407E5">
        <w:rPr>
          <w:rFonts w:ascii="Times New Roman" w:hAnsi="Times New Roman" w:cs="Times New Roman"/>
          <w:b/>
        </w:rPr>
        <w:t xml:space="preserve">(Supply Chain) </w:t>
      </w:r>
      <w:r>
        <w:rPr>
          <w:rFonts w:ascii="Times New Roman" w:hAnsi="Times New Roman" w:cs="Times New Roman"/>
          <w:b/>
        </w:rPr>
        <w:t>Resource Bundling</w:t>
      </w:r>
      <w:r w:rsidRPr="006407E5">
        <w:rPr>
          <w:rFonts w:ascii="Times New Roman" w:hAnsi="Times New Roman" w:cs="Times New Roman"/>
          <w:b/>
        </w:rPr>
        <w:t xml:space="preserve"> </w:t>
      </w:r>
      <w:r w:rsidRPr="006407E5">
        <w:rPr>
          <w:rFonts w:ascii="Times New Roman" w:hAnsi="Times New Roman" w:cs="Times New Roman"/>
        </w:rPr>
        <w:t xml:space="preserve">is defined as integrating resources from the supply chain to shape new capabilities that help creating a competitive advantage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"container-title" : "Academy of Management Review", "id" : "ITEM-1", "issue" : "1", "issued" : { "date-parts" : [ [ "2007" ] ] }, "page" : "273-292", "title" : "Managing Firm Resources in Dynamic Environments to Create Value: Looking Inside the Black Box", "type" : "article-journal", "volume" : "32" }, "uris" : [ "http://www.mendeley.com/documents/?uuid=779ec5d8-7a83-40db-b3a1-b301ac00b320" ] } ], "mendeley" : { "formattedCitation" : "(Sirmon et al., 2007)", "plainTextFormattedCitation" : "(Sirmon et al., 2007)", "previouslyFormattedCitation" : "(Sirmon et al., 2007)"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(Sirmon et al., 2007)</w:t>
      </w:r>
      <w:r w:rsidRPr="006407E5">
        <w:rPr>
          <w:rFonts w:ascii="Times New Roman" w:hAnsi="Times New Roman" w:cs="Times New Roman"/>
        </w:rPr>
        <w:fldChar w:fldCharType="end"/>
      </w:r>
      <w:r w:rsidRPr="006407E5">
        <w:rPr>
          <w:rFonts w:ascii="Times New Roman" w:hAnsi="Times New Roman" w:cs="Times New Roman"/>
        </w:rPr>
        <w:t xml:space="preserve">. Effectively combining the current in-house resources with complementary (external) supply chain resources should result in new competitive resource bundles.  By combining complementary resources and capabilities, firms can realize synergies and could gain a competitive advantage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"10.1002/smj", "author" : [ { "dropping-particle" : "", "family" : "Wang", "given" : "Lihua", "non-dropping-particle" : "", "parse-names" : false, "suffix" : "" }, { "dropping-particle" : "", "family" : "Zajac", "given" : "Edward J", "non-dropping-particle" : "", "parse-names" : false, "suffix" : "" } ], "container-title" : "Strategic Management Journal", "id" : "ITEM-1", "issued" : { "date-parts" : [ [ "2007" ] ] }, "page" : "1291-1317", "title" : "Alliance Or Acquisition? A Dyadic Perspective On Interfirm Resource Combinations", "type" : "article-journal", "volume" : "28" }, "uris" : [ "http://www.mendeley.com/documents/?uuid=6d2eea59-6a4b-4bb5-9707-80b72e2fc686" ] } ], "mendeley" : { "formattedCitation" : "(Wang &amp; Zajac, 2007)", "plainTextFormattedCitation" : "(Wang &amp; Zajac, 2007)", "previouslyFormattedCitation" : "(Wang &amp; Zajac, 2007)"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(Wang &amp; Zajac, 2007)</w:t>
      </w:r>
      <w:r w:rsidRPr="006407E5">
        <w:rPr>
          <w:rFonts w:ascii="Times New Roman" w:hAnsi="Times New Roman" w:cs="Times New Roman"/>
        </w:rPr>
        <w:fldChar w:fldCharType="end"/>
      </w:r>
      <w:r w:rsidRPr="006407E5">
        <w:rPr>
          <w:rFonts w:ascii="Times New Roman" w:hAnsi="Times New Roman" w:cs="Times New Roman"/>
        </w:rPr>
        <w:t xml:space="preserve">. </w:t>
      </w:r>
      <w:r w:rsidR="00A86B54">
        <w:rPr>
          <w:rFonts w:ascii="Times New Roman" w:hAnsi="Times New Roman" w:cs="Times New Roman"/>
        </w:rPr>
        <w:fldChar w:fldCharType="begin"/>
      </w:r>
      <w:r w:rsidR="00A86B54">
        <w:rPr>
          <w:rFonts w:ascii="Times New Roman" w:hAnsi="Times New Roman" w:cs="Times New Roman"/>
        </w:rPr>
        <w:instrText xml:space="preserve"> REF _Ref358322061 \h </w:instrText>
      </w:r>
      <w:r w:rsidR="00A86B54">
        <w:rPr>
          <w:rFonts w:ascii="Times New Roman" w:hAnsi="Times New Roman" w:cs="Times New Roman"/>
        </w:rPr>
      </w:r>
      <w:r w:rsidR="00A86B54">
        <w:rPr>
          <w:rFonts w:ascii="Times New Roman" w:hAnsi="Times New Roman" w:cs="Times New Roman"/>
        </w:rPr>
        <w:fldChar w:fldCharType="separate"/>
      </w:r>
      <w:r w:rsidR="00C2793E">
        <w:t xml:space="preserve">Table </w:t>
      </w:r>
      <w:r w:rsidR="00C2793E">
        <w:rPr>
          <w:noProof/>
        </w:rPr>
        <w:t>20</w:t>
      </w:r>
      <w:r w:rsidR="00A86B54">
        <w:rPr>
          <w:rFonts w:ascii="Times New Roman" w:hAnsi="Times New Roman" w:cs="Times New Roman"/>
        </w:rPr>
        <w:fldChar w:fldCharType="end"/>
      </w:r>
      <w:r w:rsidR="00A86B54">
        <w:rPr>
          <w:rFonts w:ascii="Times New Roman" w:hAnsi="Times New Roman" w:cs="Times New Roman"/>
        </w:rPr>
        <w:t xml:space="preserve"> </w:t>
      </w:r>
      <w:r w:rsidRPr="006407E5">
        <w:rPr>
          <w:rFonts w:ascii="Times New Roman" w:hAnsi="Times New Roman" w:cs="Times New Roman"/>
        </w:rPr>
        <w:t>summarizes the bundling-related definitions from the literature.</w:t>
      </w:r>
      <w:r>
        <w:rPr>
          <w:rFonts w:ascii="Times New Roman" w:hAnsi="Times New Roman" w:cs="Times New Roman"/>
        </w:rPr>
        <w:t xml:space="preserve"> </w:t>
      </w:r>
    </w:p>
    <w:p w14:paraId="2744BD8F" w14:textId="77777777" w:rsidR="009B07A6" w:rsidRDefault="009B07A6" w:rsidP="00377F5F">
      <w:pPr>
        <w:spacing w:line="480" w:lineRule="auto"/>
        <w:jc w:val="both"/>
        <w:rPr>
          <w:rFonts w:ascii="Times New Roman" w:hAnsi="Times New Roman" w:cs="Times New Roman"/>
        </w:rPr>
      </w:pPr>
    </w:p>
    <w:p w14:paraId="1328CDCD" w14:textId="77777777" w:rsidR="009B07A6" w:rsidRDefault="009B07A6" w:rsidP="00377F5F">
      <w:pPr>
        <w:spacing w:line="480" w:lineRule="auto"/>
        <w:jc w:val="both"/>
        <w:rPr>
          <w:rFonts w:ascii="Times New Roman" w:hAnsi="Times New Roman" w:cs="Times New Roman"/>
        </w:rPr>
      </w:pPr>
    </w:p>
    <w:p w14:paraId="1F6BE374" w14:textId="77777777" w:rsidR="009B07A6" w:rsidRDefault="009B07A6" w:rsidP="00377F5F">
      <w:pPr>
        <w:spacing w:line="480" w:lineRule="auto"/>
        <w:jc w:val="both"/>
        <w:rPr>
          <w:rFonts w:ascii="Times New Roman" w:hAnsi="Times New Roman" w:cs="Times New Roman"/>
        </w:rPr>
      </w:pPr>
    </w:p>
    <w:p w14:paraId="0901928A" w14:textId="77777777" w:rsidR="009B07A6" w:rsidRDefault="009B07A6" w:rsidP="00377F5F">
      <w:pPr>
        <w:spacing w:line="480" w:lineRule="auto"/>
        <w:jc w:val="both"/>
        <w:rPr>
          <w:rFonts w:ascii="Times New Roman" w:hAnsi="Times New Roman" w:cs="Times New Roman"/>
        </w:rPr>
      </w:pPr>
    </w:p>
    <w:p w14:paraId="1C5F70DB" w14:textId="77777777" w:rsidR="009B07A6" w:rsidRDefault="009B07A6" w:rsidP="00377F5F">
      <w:pPr>
        <w:spacing w:line="480" w:lineRule="auto"/>
        <w:jc w:val="both"/>
        <w:rPr>
          <w:rFonts w:ascii="Times New Roman" w:hAnsi="Times New Roman" w:cs="Times New Roman"/>
        </w:rPr>
      </w:pPr>
    </w:p>
    <w:p w14:paraId="652D24DF" w14:textId="00DCD2B8" w:rsidR="00A86B54" w:rsidRDefault="00A86B54" w:rsidP="00A86B54">
      <w:pPr>
        <w:pStyle w:val="Caption"/>
        <w:keepNext/>
        <w:jc w:val="both"/>
      </w:pPr>
      <w:bookmarkStart w:id="116" w:name="_Toc358326856"/>
      <w:bookmarkStart w:id="117" w:name="_Ref358322061"/>
      <w:r>
        <w:lastRenderedPageBreak/>
        <w:t xml:space="preserve">Table </w:t>
      </w:r>
      <w:fldSimple w:instr=" SEQ Table \* ARABIC ">
        <w:r w:rsidR="00C2793E">
          <w:rPr>
            <w:noProof/>
          </w:rPr>
          <w:t>20</w:t>
        </w:r>
        <w:bookmarkEnd w:id="116"/>
      </w:fldSimple>
      <w:bookmarkEnd w:id="117"/>
    </w:p>
    <w:p w14:paraId="1479484B" w14:textId="328C9E38" w:rsidR="009B07A6" w:rsidRPr="00BC4AC8" w:rsidRDefault="009B07A6" w:rsidP="00377F5F">
      <w:pPr>
        <w:jc w:val="both"/>
        <w:rPr>
          <w:rFonts w:ascii="Times New Roman" w:hAnsi="Times New Roman" w:cs="Times New Roman"/>
          <w:b/>
        </w:rPr>
      </w:pPr>
      <w:r w:rsidRPr="00BC4AC8">
        <w:rPr>
          <w:rFonts w:ascii="Times New Roman" w:hAnsi="Times New Roman" w:cs="Times New Roman"/>
          <w:b/>
        </w:rPr>
        <w:t>Definitions of Bundling and its Sub-processes</w:t>
      </w:r>
    </w:p>
    <w:p w14:paraId="0BD72AB5"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noProof/>
        </w:rPr>
        <w:drawing>
          <wp:inline distT="0" distB="0" distL="0" distR="0" wp14:anchorId="54283484" wp14:editId="25739A2D">
            <wp:extent cx="5486400" cy="5940743"/>
            <wp:effectExtent l="0" t="0" r="0" b="3175"/>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5940743"/>
                    </a:xfrm>
                    <a:prstGeom prst="rect">
                      <a:avLst/>
                    </a:prstGeom>
                    <a:noFill/>
                    <a:ln>
                      <a:noFill/>
                    </a:ln>
                  </pic:spPr>
                </pic:pic>
              </a:graphicData>
            </a:graphic>
          </wp:inline>
        </w:drawing>
      </w:r>
    </w:p>
    <w:p w14:paraId="588E23D7" w14:textId="77777777" w:rsidR="009B07A6" w:rsidRPr="00B36C50" w:rsidRDefault="009B07A6" w:rsidP="00377F5F">
      <w:pPr>
        <w:jc w:val="both"/>
        <w:rPr>
          <w:rFonts w:ascii="Times New Roman" w:hAnsi="Times New Roman" w:cs="Times New Roman"/>
          <w:sz w:val="18"/>
          <w:szCs w:val="18"/>
        </w:rPr>
      </w:pPr>
      <w:r w:rsidRPr="00B36C50">
        <w:rPr>
          <w:rFonts w:ascii="Times New Roman" w:hAnsi="Times New Roman" w:cs="Times New Roman"/>
          <w:sz w:val="18"/>
          <w:szCs w:val="18"/>
        </w:rPr>
        <w:t>Sources: Sirmon et al., 2007; Wang &amp; Zajac, 2007; Sirmon et al., 2011; Hitt et al., 2011; Baert et al., 2016</w:t>
      </w:r>
    </w:p>
    <w:p w14:paraId="6001D0E3" w14:textId="77777777" w:rsidR="009B07A6" w:rsidRPr="006407E5" w:rsidRDefault="009B07A6" w:rsidP="00377F5F">
      <w:pPr>
        <w:spacing w:line="480" w:lineRule="auto"/>
        <w:jc w:val="both"/>
        <w:rPr>
          <w:rFonts w:ascii="Times New Roman" w:hAnsi="Times New Roman" w:cs="Times New Roman"/>
        </w:rPr>
      </w:pPr>
    </w:p>
    <w:p w14:paraId="40B76FE1" w14:textId="7481D65E" w:rsidR="009B07A6" w:rsidRDefault="009B07A6" w:rsidP="00377F5F">
      <w:pPr>
        <w:spacing w:line="480" w:lineRule="auto"/>
        <w:jc w:val="both"/>
        <w:rPr>
          <w:rFonts w:ascii="Times New Roman" w:hAnsi="Times New Roman" w:cs="Times New Roman"/>
        </w:rPr>
      </w:pPr>
      <w:r w:rsidRPr="006407E5">
        <w:rPr>
          <w:rFonts w:ascii="Times New Roman" w:hAnsi="Times New Roman" w:cs="Times New Roman"/>
          <w:b/>
        </w:rPr>
        <w:t xml:space="preserve">(Supply Chain) Resource leveraging: </w:t>
      </w:r>
      <w:r w:rsidRPr="006407E5">
        <w:rPr>
          <w:rFonts w:ascii="Times New Roman" w:hAnsi="Times New Roman" w:cs="Times New Roman"/>
        </w:rPr>
        <w:t>This third SCRO sub-process is defined as exploiting the capabilities (that are based on bundles of resources) to create (end) customer value.</w:t>
      </w:r>
      <w:r>
        <w:rPr>
          <w:rFonts w:ascii="Times New Roman" w:hAnsi="Times New Roman" w:cs="Times New Roman"/>
        </w:rPr>
        <w:t xml:space="preserve"> </w:t>
      </w:r>
      <w:r w:rsidRPr="006407E5">
        <w:rPr>
          <w:rFonts w:ascii="Times New Roman" w:hAnsi="Times New Roman" w:cs="Times New Roman"/>
        </w:rPr>
        <w:t xml:space="preserve">The reconfiguration of resources and capabilities is the </w:t>
      </w:r>
      <w:r>
        <w:rPr>
          <w:rFonts w:ascii="Times New Roman" w:hAnsi="Times New Roman" w:cs="Times New Roman"/>
        </w:rPr>
        <w:t>foundation</w:t>
      </w:r>
      <w:r w:rsidRPr="006407E5">
        <w:rPr>
          <w:rFonts w:ascii="Times New Roman" w:hAnsi="Times New Roman" w:cs="Times New Roman"/>
        </w:rPr>
        <w:t xml:space="preserve"> for effective leveraging processes </w:t>
      </w:r>
      <w:r>
        <w:rPr>
          <w:rFonts w:ascii="Times New Roman" w:hAnsi="Times New Roman" w:cs="Times New Roman"/>
        </w:rPr>
        <w:t xml:space="preserve">and enables </w:t>
      </w:r>
      <w:r w:rsidRPr="006407E5">
        <w:rPr>
          <w:rFonts w:ascii="Times New Roman" w:hAnsi="Times New Roman" w:cs="Times New Roman"/>
        </w:rPr>
        <w:t xml:space="preserve">to create customer value in competitive market environments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"ISSN" : "01432095", "PMID" : "10927828", "abstract" : "Defining ordinary or 'zero-level' capabilities as those that permit a firm to 'make a living' in the short term, one can define dynamic capabilities as those that operate to extend, modify or create ordinary capabilities. Logically, one can then proceed to elaborate a hierarchy of higher-order capabilities. However, it is argued here that the strategic substance of capabilities involves patterning of activity, and that costly investments are typically v required to create and sustain such patterning-for example, in product development. Firms can accomplish change without reliance on dynamic capability, by means here termed 'ad hoc problem solving.' Whether higher-order capabilities arc created or not depends on the costs and benefits of the investments relative to ad hoc problem solving, and so does the 'level of the game' at which strategic competition effectively occurs. Copyright (C) 2003 John Wiley Sons, Ltd.", "author" : [ { "dropping-particle" : "", "family" : "Winter", "given" : "Sidney G.", "non-dropping-particle" : "", "parse-names" : false, "suffix" : "" } ], "container-title" : "Strategic Management Journal", "id" : "ITEM-1", "issue" : "10", "issued" : { "date-parts" : [ [ "2003" ] ] }, "page" : "991-995", "title" : "Understanding dynamic capabilities", "type" : "article-journal", "volume" : "24" }, "uris" : [ "http://www.mendeley.com/documents/?uuid=a59a74fc-c20a-4859-8419-2f5b254681b7" ] } ], "mendeley" : { "formattedCitation" : "(Winter, 2003)", "plainTextFormattedCitation" : "(Winter, 2003)", "previouslyFormattedCitation" : "(Winter, 2003)"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(Winter, 2003)</w:t>
      </w:r>
      <w:r w:rsidRPr="006407E5">
        <w:rPr>
          <w:rFonts w:ascii="Times New Roman" w:hAnsi="Times New Roman" w:cs="Times New Roman"/>
        </w:rPr>
        <w:fldChar w:fldCharType="end"/>
      </w:r>
      <w:r w:rsidRPr="006407E5">
        <w:rPr>
          <w:rFonts w:ascii="Times New Roman" w:hAnsi="Times New Roman" w:cs="Times New Roman"/>
        </w:rPr>
        <w:t>.</w:t>
      </w:r>
      <w:r>
        <w:rPr>
          <w:rFonts w:ascii="Times New Roman" w:hAnsi="Times New Roman" w:cs="Times New Roman"/>
        </w:rPr>
        <w:t xml:space="preserve"> Other researchers have particularly highlighted the </w:t>
      </w:r>
      <w:r>
        <w:rPr>
          <w:rFonts w:ascii="Times New Roman" w:hAnsi="Times New Roman" w:cs="Times New Roman"/>
        </w:rPr>
        <w:lastRenderedPageBreak/>
        <w:t>necessity to develop a consistent</w:t>
      </w:r>
      <w:r w:rsidRPr="00BC4AC8">
        <w:rPr>
          <w:rFonts w:ascii="Times New Roman" w:hAnsi="Times New Roman" w:cs="Times New Roman"/>
        </w:rPr>
        <w:t xml:space="preserve"> ‘vision’ or direction for the </w:t>
      </w:r>
      <w:r>
        <w:rPr>
          <w:rFonts w:ascii="Times New Roman" w:hAnsi="Times New Roman" w:cs="Times New Roman"/>
        </w:rPr>
        <w:t xml:space="preserve">resource exploitation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"10.1002/sej.121", "author" : [ { "dropping-particle" : "", "family" : "Chirico", "given" : "Francesco", "non-dropping-particle" : "", "parse-names" : false, "suffix" : "" }, { "dropping-particle" : "", "family" : "Sirmon", "given" : "David G", "non-dropping-particle" : "", "parse-names" : false, "suffix" : "" }, { "dropping-particle" : "", "family" : "Sciascia", "given" : "Salvatore", "non-dropping-particle" : "", "parse-names" : false, "suffix" : "" }, { "dropping-particle" : "", "family" : "Mazzola", "given" : "Pietro", "non-dropping-particle" : "", "parse-names" : false, "suffix" : "" } ], "container-title" : "Strategic Entrepreneurship Journal", "id" : "ITEM-1", "issued" : { "date-parts" : [ [ "2011" ] ] }, "page" : "307-326", "title" : "Resource Orchestration in Family Firms: Investigating How Entrepreneurial Orientation, Generational Involvement, and Participative Strategy Affect Performance", "type" : "article-journal", "volume" : "5" }, "uris" : [ "http://www.mendeley.com/documents/?uuid=77264939-5a09-4c64-a81d-03c21f59225a" ] } ], "mendeley" : { "formattedCitation" : "(Chirico et al., 2011)", "plainTextFormattedCitation" : "(Chirico et al., 2011)", "previouslyFormattedCitation" : "(Chirico et al., 2011)" }, "properties" : { "noteIndex" : 0 }, "schema" : "https://github.com/citation-style-language/schema/raw/master/csl-citation.json" }</w:instrText>
      </w:r>
      <w:r>
        <w:rPr>
          <w:rFonts w:ascii="Times New Roman" w:hAnsi="Times New Roman" w:cs="Times New Roman"/>
        </w:rPr>
        <w:fldChar w:fldCharType="separate"/>
      </w:r>
      <w:r w:rsidRPr="00BC4AC8">
        <w:rPr>
          <w:rFonts w:ascii="Times New Roman" w:hAnsi="Times New Roman" w:cs="Times New Roman"/>
          <w:noProof/>
        </w:rPr>
        <w:t>(Chirico et al., 2011)</w:t>
      </w:r>
      <w:r>
        <w:rPr>
          <w:rFonts w:ascii="Times New Roman" w:hAnsi="Times New Roman" w:cs="Times New Roman"/>
        </w:rPr>
        <w:fldChar w:fldCharType="end"/>
      </w:r>
      <w:r>
        <w:rPr>
          <w:rFonts w:ascii="Times New Roman" w:hAnsi="Times New Roman" w:cs="Times New Roman"/>
        </w:rPr>
        <w:t xml:space="preserve">. This aspect is addressed by the mobilizing sub-process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Pr>
          <w:rFonts w:ascii="Times New Roman" w:hAnsi="Times New Roman" w:cs="Times New Roman"/>
        </w:rPr>
        <w:fldChar w:fldCharType="separate"/>
      </w:r>
      <w:r w:rsidRPr="00BC4AC8">
        <w:rPr>
          <w:rFonts w:ascii="Times New Roman" w:hAnsi="Times New Roman" w:cs="Times New Roman"/>
          <w:noProof/>
        </w:rPr>
        <w:t>(Sirmon et al., 2011)</w:t>
      </w:r>
      <w:r>
        <w:rPr>
          <w:rFonts w:ascii="Times New Roman" w:hAnsi="Times New Roman" w:cs="Times New Roman"/>
        </w:rPr>
        <w:fldChar w:fldCharType="end"/>
      </w:r>
      <w:r>
        <w:rPr>
          <w:rFonts w:ascii="Times New Roman" w:hAnsi="Times New Roman" w:cs="Times New Roman"/>
        </w:rPr>
        <w:t xml:space="preserve">. </w:t>
      </w:r>
      <w:r w:rsidR="003C2028">
        <w:rPr>
          <w:rFonts w:ascii="Times New Roman" w:hAnsi="Times New Roman" w:cs="Times New Roman"/>
        </w:rPr>
        <w:t>The leveraging</w:t>
      </w:r>
      <w:r w:rsidR="003C2028" w:rsidRPr="006407E5">
        <w:rPr>
          <w:rFonts w:ascii="Times New Roman" w:hAnsi="Times New Roman" w:cs="Times New Roman"/>
        </w:rPr>
        <w:t>-related definitions from the literature</w:t>
      </w:r>
      <w:r w:rsidR="003C2028">
        <w:rPr>
          <w:rFonts w:ascii="Times New Roman" w:hAnsi="Times New Roman" w:cs="Times New Roman"/>
        </w:rPr>
        <w:t xml:space="preserve"> are summarized in </w:t>
      </w:r>
      <w:r w:rsidR="00B36C50">
        <w:rPr>
          <w:rFonts w:ascii="Times New Roman" w:hAnsi="Times New Roman" w:cs="Times New Roman"/>
        </w:rPr>
        <w:fldChar w:fldCharType="begin"/>
      </w:r>
      <w:r w:rsidR="00B36C50">
        <w:rPr>
          <w:rFonts w:ascii="Times New Roman" w:hAnsi="Times New Roman" w:cs="Times New Roman"/>
        </w:rPr>
        <w:instrText xml:space="preserve"> REF _Ref358322173 \h </w:instrText>
      </w:r>
      <w:r w:rsidR="00B36C50">
        <w:rPr>
          <w:rFonts w:ascii="Times New Roman" w:hAnsi="Times New Roman" w:cs="Times New Roman"/>
        </w:rPr>
      </w:r>
      <w:r w:rsidR="00B36C50">
        <w:rPr>
          <w:rFonts w:ascii="Times New Roman" w:hAnsi="Times New Roman" w:cs="Times New Roman"/>
        </w:rPr>
        <w:fldChar w:fldCharType="separate"/>
      </w:r>
      <w:r w:rsidR="00C2793E">
        <w:t xml:space="preserve">Table </w:t>
      </w:r>
      <w:r w:rsidR="00C2793E">
        <w:rPr>
          <w:noProof/>
        </w:rPr>
        <w:t>21</w:t>
      </w:r>
      <w:r w:rsidR="00B36C50">
        <w:rPr>
          <w:rFonts w:ascii="Times New Roman" w:hAnsi="Times New Roman" w:cs="Times New Roman"/>
        </w:rPr>
        <w:fldChar w:fldCharType="end"/>
      </w:r>
      <w:r w:rsidR="003C2028">
        <w:rPr>
          <w:rFonts w:ascii="Times New Roman" w:hAnsi="Times New Roman" w:cs="Times New Roman"/>
        </w:rPr>
        <w:t>.</w:t>
      </w:r>
    </w:p>
    <w:p w14:paraId="584BD54A" w14:textId="77777777" w:rsidR="009B07A6" w:rsidRDefault="009B07A6" w:rsidP="00377F5F">
      <w:pPr>
        <w:spacing w:line="480" w:lineRule="auto"/>
        <w:jc w:val="both"/>
        <w:rPr>
          <w:rFonts w:ascii="Times New Roman" w:hAnsi="Times New Roman" w:cs="Times New Roman"/>
        </w:rPr>
      </w:pPr>
    </w:p>
    <w:p w14:paraId="7CD9FE9F" w14:textId="590753F7" w:rsidR="008366CB" w:rsidRDefault="008366CB" w:rsidP="008366CB">
      <w:pPr>
        <w:pStyle w:val="Caption"/>
        <w:keepNext/>
        <w:jc w:val="both"/>
      </w:pPr>
      <w:bookmarkStart w:id="118" w:name="_Toc358326857"/>
      <w:bookmarkStart w:id="119" w:name="_Ref358322173"/>
      <w:r>
        <w:t xml:space="preserve">Table </w:t>
      </w:r>
      <w:fldSimple w:instr=" SEQ Table \* ARABIC ">
        <w:r w:rsidR="00C2793E">
          <w:rPr>
            <w:noProof/>
          </w:rPr>
          <w:t>21</w:t>
        </w:r>
        <w:bookmarkEnd w:id="118"/>
      </w:fldSimple>
      <w:bookmarkEnd w:id="119"/>
    </w:p>
    <w:p w14:paraId="70426DD1" w14:textId="092D0ACB" w:rsidR="009B07A6" w:rsidRPr="003E6110" w:rsidRDefault="009B07A6" w:rsidP="00377F5F">
      <w:pPr>
        <w:jc w:val="both"/>
        <w:rPr>
          <w:rFonts w:ascii="Times New Roman" w:hAnsi="Times New Roman" w:cs="Times New Roman"/>
          <w:b/>
        </w:rPr>
      </w:pPr>
      <w:r w:rsidRPr="003E6110">
        <w:rPr>
          <w:rFonts w:ascii="Times New Roman" w:hAnsi="Times New Roman" w:cs="Times New Roman"/>
          <w:b/>
        </w:rPr>
        <w:t>Definitions of Leveraging and its Sub-processes</w:t>
      </w:r>
    </w:p>
    <w:p w14:paraId="3F7BE762"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noProof/>
        </w:rPr>
        <w:lastRenderedPageBreak/>
        <w:drawing>
          <wp:inline distT="0" distB="0" distL="0" distR="0" wp14:anchorId="5EEE6B3D" wp14:editId="7B94FA85">
            <wp:extent cx="4914900" cy="8086547"/>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15196" cy="8087035"/>
                    </a:xfrm>
                    <a:prstGeom prst="rect">
                      <a:avLst/>
                    </a:prstGeom>
                    <a:noFill/>
                    <a:ln>
                      <a:noFill/>
                    </a:ln>
                  </pic:spPr>
                </pic:pic>
              </a:graphicData>
            </a:graphic>
          </wp:inline>
        </w:drawing>
      </w:r>
    </w:p>
    <w:p w14:paraId="0F686934" w14:textId="77777777" w:rsidR="009B07A6" w:rsidRPr="00B36C50" w:rsidRDefault="009B07A6" w:rsidP="00377F5F">
      <w:pPr>
        <w:jc w:val="both"/>
        <w:rPr>
          <w:rFonts w:ascii="Times New Roman" w:hAnsi="Times New Roman" w:cs="Times New Roman"/>
          <w:sz w:val="18"/>
          <w:szCs w:val="18"/>
        </w:rPr>
      </w:pPr>
      <w:r w:rsidRPr="00B36C50">
        <w:rPr>
          <w:rFonts w:ascii="Times New Roman" w:hAnsi="Times New Roman" w:cs="Times New Roman"/>
          <w:sz w:val="18"/>
          <w:szCs w:val="18"/>
        </w:rPr>
        <w:t>Sources: Baert et al., 2016; Chirico et al., 2011; Crook et al., 2008; Hitt et al., 2011; Ketchen et al., 2014; Sirmon et al., 2007; Sirmon et al., 2011</w:t>
      </w:r>
    </w:p>
    <w:p w14:paraId="3398B81F" w14:textId="77777777" w:rsidR="009B07A6" w:rsidRPr="006407E5" w:rsidRDefault="009B07A6" w:rsidP="00377F5F">
      <w:pPr>
        <w:spacing w:line="480" w:lineRule="auto"/>
        <w:jc w:val="both"/>
        <w:rPr>
          <w:rFonts w:ascii="Times New Roman" w:hAnsi="Times New Roman" w:cs="Times New Roman"/>
        </w:rPr>
      </w:pPr>
    </w:p>
    <w:p w14:paraId="04DC5B00" w14:textId="77777777" w:rsidR="009B07A6" w:rsidRPr="006407E5" w:rsidRDefault="009B07A6" w:rsidP="00377F5F">
      <w:pPr>
        <w:spacing w:line="480" w:lineRule="auto"/>
        <w:jc w:val="both"/>
        <w:rPr>
          <w:rFonts w:ascii="Times New Roman" w:hAnsi="Times New Roman" w:cs="Times New Roman"/>
        </w:rPr>
      </w:pPr>
    </w:p>
    <w:p w14:paraId="149BCB65" w14:textId="77777777" w:rsidR="009B07A6" w:rsidRPr="006407E5" w:rsidRDefault="009B07A6" w:rsidP="00377F5F">
      <w:pPr>
        <w:spacing w:line="480" w:lineRule="auto"/>
        <w:jc w:val="both"/>
        <w:rPr>
          <w:rFonts w:ascii="Times New Roman" w:hAnsi="Times New Roman" w:cs="Times New Roman"/>
          <w:highlight w:val="yellow"/>
        </w:rPr>
      </w:pPr>
      <w:r w:rsidRPr="00583902">
        <w:rPr>
          <w:rFonts w:ascii="Times New Roman" w:hAnsi="Times New Roman" w:cs="Times New Roman"/>
        </w:rPr>
        <w:t xml:space="preserve">To summarize the relevant literature to SCRO constructs: The innovation success is dependent on the effective acquisition of essential knowledge from its supply network partners that may provide a diverse set of ideas, expertise, and capabilities </w:t>
      </w:r>
      <w:r w:rsidRPr="00583902">
        <w:rPr>
          <w:rFonts w:ascii="Times New Roman" w:hAnsi="Times New Roman" w:cs="Times New Roman"/>
        </w:rPr>
        <w:fldChar w:fldCharType="begin" w:fldLock="1"/>
      </w:r>
      <w:r w:rsidRPr="00583902">
        <w:rPr>
          <w:rFonts w:ascii="Times New Roman" w:hAnsi="Times New Roman" w:cs="Times New Roman"/>
        </w:rPr>
        <w:instrText>ADDIN CSL_CITATION { "citationItems" : [ { "id" : "ITEM-1", "itemData" : { "author" : [ { "dropping-particle" : "", "family" : "Narasimhan", "given" : "Ram", "non-dropping-particle" : "", "parse-names" : false, "suffix" : "" }, { "dropping-particle" : "", "family" : "Narayanan", "given" : "Sriram", "non-dropping-particle" : "", "parse-names" : false, "suffix" : "" } ], "container-title" : "Journal of Supply Chain Management", "id" : "ITEM-1", "issue" : "4", "issued" : { "date-parts" : [ [ "2013" ] ] }, "page" : "27-42", "title" : "Perspectives on Supply Network\u2013Enabled Innovations", "type" : "article-journal", "volume" : "49" }, "uris" : [ "http://www.mendeley.com/documents/?uuid=2ca194a1-c543-4543-92e2-c55240562cb4" ] } ], "mendeley" : { "formattedCitation" : "(Narasimhan &amp; Narayanan, 2013)", "plainTextFormattedCitation" : "(Narasimhan &amp; Narayanan, 2013)", "previouslyFormattedCitation" : "(Narasimhan &amp; Narayanan, 2013)" }, "properties" : { "noteIndex" : 0 }, "schema" : "https://github.com/citation-style-language/schema/raw/master/csl-citation.json" }</w:instrText>
      </w:r>
      <w:r w:rsidRPr="00583902">
        <w:rPr>
          <w:rFonts w:ascii="Times New Roman" w:hAnsi="Times New Roman" w:cs="Times New Roman"/>
        </w:rPr>
        <w:fldChar w:fldCharType="separate"/>
      </w:r>
      <w:r w:rsidRPr="00583902">
        <w:rPr>
          <w:rFonts w:ascii="Times New Roman" w:hAnsi="Times New Roman" w:cs="Times New Roman"/>
          <w:noProof/>
        </w:rPr>
        <w:t>(Narasimhan &amp; Narayanan, 2013)</w:t>
      </w:r>
      <w:r w:rsidRPr="00583902">
        <w:rPr>
          <w:rFonts w:ascii="Times New Roman" w:hAnsi="Times New Roman" w:cs="Times New Roman"/>
        </w:rPr>
        <w:fldChar w:fldCharType="end"/>
      </w:r>
      <w:r w:rsidRPr="006407E5">
        <w:rPr>
          <w:rFonts w:ascii="Times New Roman" w:hAnsi="Times New Roman" w:cs="Times New Roman"/>
        </w:rPr>
        <w:t xml:space="preserve">. This acquisition relates to one of the three sub-processes of SCRO </w:t>
      </w:r>
      <w:r w:rsidRPr="006407E5">
        <w:rPr>
          <w:rFonts w:ascii="Times New Roman" w:hAnsi="Times New Roman" w:cs="Times New Roman"/>
          <w:b/>
        </w:rPr>
        <w:t>[resource structuring]</w:t>
      </w:r>
      <w:r w:rsidRPr="006407E5">
        <w:rPr>
          <w:rFonts w:ascii="Times New Roman" w:hAnsi="Times New Roman" w:cs="Times New Roman"/>
        </w:rPr>
        <w:t xml:space="preserve">.  Employing such external yet heterogeneous knowledge base is expected to enhance the innovation capability of the organization. Nevertheless, the process of integrating and absorbing externally acquired knowledge </w:t>
      </w:r>
      <w:r w:rsidRPr="006407E5">
        <w:rPr>
          <w:rFonts w:ascii="Times New Roman" w:hAnsi="Times New Roman" w:cs="Times New Roman"/>
          <w:b/>
        </w:rPr>
        <w:t>[resource bundling]</w:t>
      </w:r>
      <w:r w:rsidRPr="006407E5">
        <w:rPr>
          <w:rFonts w:ascii="Times New Roman" w:hAnsi="Times New Roman" w:cs="Times New Roman"/>
        </w:rPr>
        <w:t xml:space="preserve"> is a second decisive aspect. This bundling capability of a firm determines the ability to adapt the accessible external information and integrate it to match internal knowledge needs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"10.1016/j.jom.2010.02.001", "ISSN" : "0272-6963", "author" : [ { "dropping-particle" : "", "family" : "Azadegan", "given" : "Arash", "non-dropping-particle" : "", "parse-names" : false, "suffix" : "" }, { "dropping-particle" : "", "family" : "Dooley", "given" : "Kevin J", "non-dropping-particle" : "", "parse-names" : false, "suffix" : "" } ], "container-title" : "Journal of Operations Management", "id" : "ITEM-1", "issue" : "6", "issued" : { "date-parts" : [ [ "2010" ] ] }, "page" : "488-505", "title" : "Supplier innovativeness, organizational learning styles and manufacturer performance: An empirical assessment", "type" : "article-journal", "volume" : "28" }, "uris" : [ "http://www.mendeley.com/documents/?uuid=76afabba-f3c3-4fb5-8466-bb21870974dc" ] } ], "mendeley" : { "formattedCitation" : "(Azadegan &amp; Dooley, 2010)", "plainTextFormattedCitation" : "(Azadegan &amp; Dooley, 2010)", "previouslyFormattedCitation" : "(Azadegan &amp; Dooley, 2010)"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(Azadegan &amp; Dooley, 2010)</w:t>
      </w:r>
      <w:r w:rsidRPr="006407E5">
        <w:rPr>
          <w:rFonts w:ascii="Times New Roman" w:hAnsi="Times New Roman" w:cs="Times New Roman"/>
        </w:rPr>
        <w:fldChar w:fldCharType="end"/>
      </w:r>
      <w:r w:rsidRPr="006407E5">
        <w:rPr>
          <w:rFonts w:ascii="Times New Roman" w:hAnsi="Times New Roman" w:cs="Times New Roman"/>
        </w:rPr>
        <w:t xml:space="preserve">. Finally, the capability for internal exploitation of externally acquired knowledge is the third decisive factor </w:t>
      </w:r>
      <w:r w:rsidRPr="006407E5">
        <w:rPr>
          <w:rFonts w:ascii="Times New Roman" w:hAnsi="Times New Roman" w:cs="Times New Roman"/>
          <w:b/>
        </w:rPr>
        <w:t>[resource leveraging]</w:t>
      </w:r>
      <w:r w:rsidRPr="006407E5">
        <w:rPr>
          <w:rFonts w:ascii="Times New Roman" w:hAnsi="Times New Roman" w:cs="Times New Roman"/>
        </w:rPr>
        <w:t xml:space="preserve">. Only the successful commercialization of this newly acquired and integrated knowledge will provide a foundation for innovation and financial performance. Thereby, enhancing information access </w:t>
      </w:r>
      <w:r w:rsidRPr="006407E5">
        <w:rPr>
          <w:rFonts w:ascii="Times New Roman" w:hAnsi="Times New Roman" w:cs="Times New Roman"/>
          <w:b/>
        </w:rPr>
        <w:t xml:space="preserve">[resource structuring] </w:t>
      </w:r>
      <w:r w:rsidRPr="006407E5">
        <w:rPr>
          <w:rFonts w:ascii="Times New Roman" w:hAnsi="Times New Roman" w:cs="Times New Roman"/>
        </w:rPr>
        <w:t xml:space="preserve">from external partners and balancing/connecting it with internal knowledge </w:t>
      </w:r>
      <w:r w:rsidRPr="006407E5">
        <w:rPr>
          <w:rFonts w:ascii="Times New Roman" w:hAnsi="Times New Roman" w:cs="Times New Roman"/>
          <w:b/>
        </w:rPr>
        <w:t xml:space="preserve">[resource bundling] </w:t>
      </w:r>
      <w:r w:rsidRPr="006407E5">
        <w:rPr>
          <w:rFonts w:ascii="Times New Roman" w:hAnsi="Times New Roman" w:cs="Times New Roman"/>
        </w:rPr>
        <w:t xml:space="preserve">to enable the commercialization </w:t>
      </w:r>
      <w:r w:rsidRPr="006407E5">
        <w:rPr>
          <w:rFonts w:ascii="Times New Roman" w:hAnsi="Times New Roman" w:cs="Times New Roman"/>
          <w:b/>
        </w:rPr>
        <w:t xml:space="preserve">[resource leveraging] </w:t>
      </w:r>
      <w:r w:rsidRPr="006407E5">
        <w:rPr>
          <w:rFonts w:ascii="Times New Roman" w:hAnsi="Times New Roman" w:cs="Times New Roman"/>
        </w:rPr>
        <w:t xml:space="preserve">are three critical managerial practices for an organization. All those three sub-processes of SCRO appear to interdependently influence the innovation and financial performance outcome. </w:t>
      </w:r>
    </w:p>
    <w:p w14:paraId="37D6A49A"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Following the theory elaboration in Chapter Three and the SCRO explanations in the preceding section, SCRO is expected to influence organizational performance. </w:t>
      </w:r>
      <w:r w:rsidRPr="00583902">
        <w:rPr>
          <w:rFonts w:ascii="Times New Roman" w:hAnsi="Times New Roman" w:cs="Times New Roman"/>
        </w:rPr>
        <w:t xml:space="preserve">Especially based on the open innovation framework </w:t>
      </w:r>
      <w:r w:rsidRPr="00583902">
        <w:rPr>
          <w:rFonts w:ascii="Times New Roman" w:hAnsi="Times New Roman" w:cs="Times New Roman"/>
        </w:rPr>
        <w:fldChar w:fldCharType="begin" w:fldLock="1"/>
      </w:r>
      <w:r w:rsidRPr="00583902">
        <w:rPr>
          <w:rFonts w:ascii="Times New Roman" w:hAnsi="Times New Roman" w:cs="Times New Roman"/>
        </w:rPr>
        <w:instrText>ADDIN CSL_CITATION { "citationItems" : [ { "id" : "ITEM-1", "itemData" : { "author" : [ { "dropping-particle" : "", "family" : "Chesbrough", "given" : "Henry", "non-dropping-particle" : "", "parse-names" : false, "suffix" : "" } ], "id" : "ITEM-1", "issued" : { "date-parts" : [ [ "2003" ] ] }, "publisher" : "Harvard Business School Publication Corp.", "publisher-place" : "Boston, MA", "title" : "Open Innovation: The New Imperative for Creating and Profiting from Technology", "type" : "book" }, "uris" : [ "http://www.mendeley.com/documents/?uuid=ca258e7c-6304-4ea5-8d8b-e79adc24e7d2" ] } ], "mendeley" : { "formattedCitation" : "(Chesbrough, 2003)", "plainTextFormattedCitation" : "(Chesbrough, 2003)", "previouslyFormattedCitation" : "(Chesbrough, 2003)" }, "properties" : { "noteIndex" : 0 }, "schema" : "https://github.com/citation-style-language/schema/raw/master/csl-citation.json" }</w:instrText>
      </w:r>
      <w:r w:rsidRPr="00583902">
        <w:rPr>
          <w:rFonts w:ascii="Times New Roman" w:hAnsi="Times New Roman" w:cs="Times New Roman"/>
        </w:rPr>
        <w:fldChar w:fldCharType="separate"/>
      </w:r>
      <w:r w:rsidRPr="00583902">
        <w:rPr>
          <w:rFonts w:ascii="Times New Roman" w:hAnsi="Times New Roman" w:cs="Times New Roman"/>
          <w:noProof/>
        </w:rPr>
        <w:t>(Chesbrough, 2003)</w:t>
      </w:r>
      <w:r w:rsidRPr="00583902">
        <w:rPr>
          <w:rFonts w:ascii="Times New Roman" w:hAnsi="Times New Roman" w:cs="Times New Roman"/>
        </w:rPr>
        <w:fldChar w:fldCharType="end"/>
      </w:r>
      <w:r w:rsidRPr="00583902">
        <w:rPr>
          <w:rFonts w:ascii="Times New Roman" w:hAnsi="Times New Roman" w:cs="Times New Roman"/>
        </w:rPr>
        <w:t>, supply chain resource orchestration processes will enable the organization to tap into the wealth of</w:t>
      </w:r>
      <w:r w:rsidRPr="006407E5">
        <w:rPr>
          <w:rFonts w:ascii="Times New Roman" w:hAnsi="Times New Roman" w:cs="Times New Roman"/>
        </w:rPr>
        <w:t xml:space="preserve"> externally available knowledge. Consequently, SCRO as a new capability of the company should enhance the organization’s ability to innovate and result in better market and/or </w:t>
      </w:r>
      <w:r w:rsidRPr="006407E5">
        <w:rPr>
          <w:rFonts w:ascii="Times New Roman" w:hAnsi="Times New Roman" w:cs="Times New Roman"/>
        </w:rPr>
        <w:lastRenderedPageBreak/>
        <w:t>technological innovation achievements. Thereby, both innovation and, ultimately, financial performance should be increased due to SCRO practices. Accordingly, it is hypothesized:</w:t>
      </w:r>
    </w:p>
    <w:p w14:paraId="407589A7" w14:textId="77777777" w:rsidR="009B07A6" w:rsidRPr="006407E5" w:rsidRDefault="009B07A6" w:rsidP="00377F5F">
      <w:pPr>
        <w:spacing w:line="480" w:lineRule="auto"/>
        <w:jc w:val="both"/>
        <w:rPr>
          <w:rFonts w:ascii="Times New Roman" w:hAnsi="Times New Roman" w:cs="Times New Roman"/>
        </w:rPr>
      </w:pPr>
    </w:p>
    <w:p w14:paraId="782EA01C"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b/>
        </w:rPr>
        <w:t>Hypothesis H</w:t>
      </w:r>
      <w:r w:rsidRPr="006407E5">
        <w:rPr>
          <w:rFonts w:ascii="Times New Roman" w:hAnsi="Times New Roman" w:cs="Times New Roman"/>
          <w:b/>
          <w:vertAlign w:val="subscript"/>
        </w:rPr>
        <w:t>1A</w:t>
      </w:r>
      <w:r w:rsidRPr="006407E5">
        <w:rPr>
          <w:rFonts w:ascii="Times New Roman" w:hAnsi="Times New Roman" w:cs="Times New Roman"/>
        </w:rPr>
        <w:t>: SCRO is positively associated with innovation performance.</w:t>
      </w:r>
    </w:p>
    <w:p w14:paraId="2FC14736"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b/>
        </w:rPr>
        <w:t>Hypothesis H</w:t>
      </w:r>
      <w:r w:rsidRPr="006407E5">
        <w:rPr>
          <w:rFonts w:ascii="Times New Roman" w:hAnsi="Times New Roman" w:cs="Times New Roman"/>
          <w:b/>
          <w:vertAlign w:val="subscript"/>
        </w:rPr>
        <w:t>1B</w:t>
      </w:r>
      <w:r w:rsidRPr="006407E5">
        <w:rPr>
          <w:rFonts w:ascii="Times New Roman" w:hAnsi="Times New Roman" w:cs="Times New Roman"/>
        </w:rPr>
        <w:t>: SCRO is positively associated with financial performance.</w:t>
      </w:r>
    </w:p>
    <w:p w14:paraId="24D5B1F8" w14:textId="77777777" w:rsidR="009B07A6" w:rsidRPr="006407E5" w:rsidRDefault="009B07A6" w:rsidP="00377F5F">
      <w:pPr>
        <w:spacing w:line="480" w:lineRule="auto"/>
        <w:jc w:val="both"/>
        <w:rPr>
          <w:rFonts w:ascii="Times New Roman" w:hAnsi="Times New Roman" w:cs="Times New Roman"/>
        </w:rPr>
      </w:pPr>
    </w:p>
    <w:p w14:paraId="35193848" w14:textId="77777777" w:rsidR="009B07A6" w:rsidRPr="006407E5" w:rsidRDefault="009B07A6" w:rsidP="001550F6">
      <w:pPr>
        <w:pStyle w:val="Heading3new"/>
      </w:pPr>
      <w:r w:rsidRPr="006407E5">
        <w:t xml:space="preserve">Innovation and Financial Performance  </w:t>
      </w:r>
    </w:p>
    <w:p w14:paraId="2390FD0C" w14:textId="77777777" w:rsidR="009B07A6" w:rsidRDefault="009B07A6" w:rsidP="00377F5F">
      <w:pPr>
        <w:spacing w:line="480" w:lineRule="auto"/>
        <w:jc w:val="both"/>
        <w:rPr>
          <w:rFonts w:ascii="Times New Roman" w:hAnsi="Times New Roman" w:cs="Times New Roman"/>
        </w:rPr>
      </w:pPr>
      <w:r w:rsidRPr="006407E5">
        <w:rPr>
          <w:rFonts w:ascii="Times New Roman" w:hAnsi="Times New Roman" w:cs="Times New Roman"/>
        </w:rPr>
        <w:t>In the SCRO framework, innovation and financial performance are the outcome variables at the level of the organization, and will be described in the following section.</w:t>
      </w:r>
      <w:r>
        <w:rPr>
          <w:rFonts w:ascii="Times New Roman" w:hAnsi="Times New Roman" w:cs="Times New Roman"/>
        </w:rPr>
        <w:t xml:space="preserve"> </w:t>
      </w:r>
      <w:r w:rsidRPr="00583902">
        <w:rPr>
          <w:rFonts w:ascii="Times New Roman" w:hAnsi="Times New Roman" w:cs="Times New Roman"/>
        </w:rPr>
        <w:t>Innovation performance has been defined in numerous different ways in the literature as</w:t>
      </w:r>
      <w:r w:rsidRPr="006407E5">
        <w:rPr>
          <w:rFonts w:ascii="Times New Roman" w:hAnsi="Times New Roman" w:cs="Times New Roman"/>
        </w:rPr>
        <w:t xml:space="preserve"> explained in Chapter Two. Some researchers have emphasized the degree of commercial success of new products or services, while others focused on the achievement of internal objectives related to product/service quality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"De", "family" : "Luca", "given" : "Luigi M.", "non-dropping-particle" : "", "parse-names" : false, "suffix" : "" }, { "dropping-particle" : "", "family" : "Atuahene-Gima", "given" : "Kwaku", "non-dropping-particle" : "", "parse-names" : false, "suffix" : "" } ], "container-title" : "Journal of Marketing", "id" : "ITEM-1", "issue" : "1", "issued" : { "date-parts" : [ [ "2007" ] ] }, "page" : "95-112", "title" : "Market Knowledge Dimensions and Cross-Functional Collaboration: Examining the Different Routes to Product Innovation Performance", "type" : "article-journal", "volume" : "71" }, "uris" : [ "http://www.mendeley.com/documents/?uuid=47310e74-e4bf-4b64-b420-fdf9f0c993ca" ] }, { "id" : "ITEM-2", "itemData" : { "DOI" : "10.1016/j.jbusres.2007.11.016", "ISSN" : "0148-2963", "author" : [ { "dropping-particle" : "", "family" : "Chen", "given" : "Chung-jen", "non-dropping-particle" : "", "parse-names" : false, "suffix" : "" }, { "dropping-particle" : "", "family" : "Huang", "given" : "Jing-wen", "non-dropping-particle" : "", "parse-names" : false, "suffix" : "" } ], "container-title" : "Journal of Business Research", "id" : "ITEM-2", "issue" : "1", "issued" : { "date-parts" : [ [ "2009" ] ] }, "page" : "104-114", "title" : "Strategic human resource practices and innovation performance \u2014 The mediating role of knowledge management capacity", "type" : "article-journal", "volume" : "62" }, "uris" : [ "http://www.mendeley.com/documents/?uuid=86c0b8af-b1ff-4e08-946d-f3f1e77fadbf" ] } ], "mendeley" : { "formattedCitation" : "(Chen &amp; Huang, 2009; Luca &amp; Atuahene-Gima, 2007)", "plainTextFormattedCitation" : "(Chen &amp; Huang, 2009; Luca &amp; Atuahene-Gima, 2007)", "previouslyFormattedCitation" : "(Chen &amp; Huang, 2009; Luca &amp; Atuahene-Gima, 2007)"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(Chen &amp; Huang, 2009; Luca &amp; Atuahene-Gima, 2007)</w:t>
      </w:r>
      <w:r w:rsidRPr="006407E5">
        <w:rPr>
          <w:rFonts w:ascii="Times New Roman" w:hAnsi="Times New Roman" w:cs="Times New Roman"/>
        </w:rPr>
        <w:fldChar w:fldCharType="end"/>
      </w:r>
      <w:r w:rsidRPr="006407E5">
        <w:rPr>
          <w:rFonts w:ascii="Times New Roman" w:hAnsi="Times New Roman" w:cs="Times New Roman"/>
        </w:rPr>
        <w:t xml:space="preserve">. In other studies, the performance outcome of innovation activities refers to market (e.g., number of new products or services introduced) or technological (e.g., registered patents or patent citations) achievements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"10.2307/1251596", "ISBN" : "00222429", "ISSN" : "00222429", "PMID" : "4999838", "abstract" : "It is proposed that a firms strategy and how it perceives environmental uncertainty can influence the need for R&amp;D-marketing integration. Factors related to organizational design and senior management support, along with the sociocultural differences between R&amp;D and marketing managers, can influence the level of integration achieved by an organization. Finally, it is proposed that the gap between the level of integration needed and that achieved can influence innovation success.", "author" : [ { "dropping-particle" : "", "family" : "Gupta", "given" : "Ashok K", "non-dropping-particle" : "", "parse-names" : false, "suffix" : "" }, { "dropping-particle" : "", "family" : "Raj", "given" : "S P", "non-dropping-particle" : "", "parse-names" : false, "suffix" : "" }, { "dropping-particle" : "", "family" : "Wilemon", "given" : "David", "non-dropping-particle" : "", "parse-names" : false, "suffix" : "" } ], "container-title" : "Journal of Marketing", "id" : "ITEM-1", "issue" : "2", "issued" : { "date-parts" : [ [ "1986" ] ] }, "page" : "7-17", "title" : "A model for studying R&amp;D--marketing interface in the product innovation process", "type" : "article-journal", "volume" : "50" }, "uris" : [ "http://www.mendeley.com/documents/?uuid=bb0464e1-08ad-4e23-b5b8-e1759ed04b99" ] } ], "mendeley" : { "formattedCitation" : "(Gupta, Raj, &amp; Wilemon, 1986)", "plainTextFormattedCitation" : "(Gupta, Raj, &amp; Wilemon, 1986)", "previouslyFormattedCitation" : "(Gupta, Raj, &amp; Wilemon, 1986)"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(Gupta, Raj, &amp; Wilemon, 1986)</w:t>
      </w:r>
      <w:r w:rsidRPr="006407E5">
        <w:rPr>
          <w:rFonts w:ascii="Times New Roman" w:hAnsi="Times New Roman" w:cs="Times New Roman"/>
        </w:rPr>
        <w:fldChar w:fldCharType="end"/>
      </w:r>
      <w:r w:rsidRPr="006407E5">
        <w:rPr>
          <w:rFonts w:ascii="Times New Roman" w:hAnsi="Times New Roman" w:cs="Times New Roman"/>
        </w:rPr>
        <w:t xml:space="preserve">. In this research, innovation performance is understood relatively broadly so that a combination of the established definitions will be applied. </w:t>
      </w:r>
    </w:p>
    <w:p w14:paraId="0C487580"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Innovation performance definitions partially overlap the domain of financial performance constructs as outlined in Chapter Two. Some researchers have used product-level measures (e.g., product profitability) for financial performance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"Swink", "given" : "Morgan", "non-dropping-particle" : "", "parse-names" : false, "suffix" : "" }, { "dropping-particle" : "", "family" : "Talluri", "given" : "Srinivas", "non-dropping-particle" : "", "parse-names" : false, "suffix" : "" }, { "dropping-particle" : "", "family" : "Pandejpong", "given" : "Temyos", "non-dropping-particle" : "", "parse-names" : false, "suffix" : "" } ], "container-title" : "Journal of Operations Management", "id" : "ITEM-1", "issued" : { "date-parts" : [ [ "2006" ] ] }, "page" : "542-562", "title" : "Faster , better , cheaper: A study of NPD project efficiency and performance tradeoffs", "type" : "article-journal", "volume" : "24" }, "uris" : [ "http://www.mendeley.com/documents/?uuid=51fb85c5-948a-4ccb-8d60-a27228ccd096" ] } ], "mendeley" : { "formattedCitation" : "(Swink, Talluri, &amp; Pandejpong, 2006)", "plainTextFormattedCitation" : "(Swink, Talluri, &amp; Pandejpong, 2006)", "previouslyFormattedCitation" : "(Swink, Talluri, &amp; Pandejpong, 2006)"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(Swink, Talluri, &amp; Pandejpong, 2006)</w:t>
      </w:r>
      <w:r w:rsidRPr="006407E5">
        <w:rPr>
          <w:rFonts w:ascii="Times New Roman" w:hAnsi="Times New Roman" w:cs="Times New Roman"/>
        </w:rPr>
        <w:fldChar w:fldCharType="end"/>
      </w:r>
      <w:r w:rsidRPr="006407E5">
        <w:rPr>
          <w:rFonts w:ascii="Times New Roman" w:hAnsi="Times New Roman" w:cs="Times New Roman"/>
        </w:rPr>
        <w:t xml:space="preserve">. Others have applied firm-level measures such profitability or asset utilization to assess the financial strength of a </w:t>
      </w:r>
      <w:r w:rsidRPr="00583902">
        <w:rPr>
          <w:rFonts w:ascii="Times New Roman" w:hAnsi="Times New Roman" w:cs="Times New Roman"/>
        </w:rPr>
        <w:t xml:space="preserve">firm </w:t>
      </w:r>
      <w:r w:rsidRPr="00583902">
        <w:rPr>
          <w:rFonts w:ascii="Times New Roman" w:hAnsi="Times New Roman" w:cs="Times New Roman"/>
        </w:rPr>
        <w:fldChar w:fldCharType="begin" w:fldLock="1"/>
      </w:r>
      <w:r w:rsidRPr="00583902">
        <w:rPr>
          <w:rFonts w:ascii="Times New Roman" w:hAnsi="Times New Roman" w:cs="Times New Roman"/>
        </w:rPr>
        <w:instrText>ADDIN CSL_CITATION { "citationItems" : [ { "id" : "ITEM-1", "itemData" : { "author" : [ { "dropping-particle" : "", "family" : "Leuschner", "given" : "Rudolf", "non-dropping-particle" : "", "parse-names" : false, "suffix" : "" }, { "dropping-particle" : "", "family" : "Carter", "given" : "Craig R", "non-dropping-particle" : "", "parse-names" : false, "suffix" : "" }, { "dropping-particle" : "", "family" : "Goldsby", "given" : "Thomas J", "non-dropping-particle" : "", "parse-names" : false, "suffix" : "" }, { "dropping-particle" : "", "family" : "Rogers", "given" : "Zachary S", "non-dropping-particle" : "", "parse-names" : false, "suffix" : "" } ], "container-title" : "Journal of Supply Chain Management", "id" : "ITEM-1", "issue" : "1", "issued" : { "date-parts" : [ [ "2014" ] ] }, "page" : "21-43", "title" : "THIRD-PARTY LOGISTICS: A META-ANALYTIC REVIEW AND INVESTIGATION OF ITS IMPACT ON PERFORMANCE", "type" : "article-journal", "volume" : "50" }, "uris" : [ "http://www.mendeley.com/documents/?uuid=967a81eb-e5bd-4cbe-8b1e-59bd1baefc97" ] } ], "mendeley" : { "formattedCitation" : "(Leuschner, Carter, Goldsby, &amp; Rogers, 2014)", "plainTextFormattedCitation" : "(Leuschner, Carter, Goldsby, &amp; Rogers, 2014)", "previouslyFormattedCitation" : "(Leuschner, Carter, Goldsby, &amp; Rogers, 2014)" }, "properties" : { "noteIndex" : 0 }, "schema" : "https://github.com/citation-style-language/schema/raw/master/csl-citation.json" }</w:instrText>
      </w:r>
      <w:r w:rsidRPr="00583902">
        <w:rPr>
          <w:rFonts w:ascii="Times New Roman" w:hAnsi="Times New Roman" w:cs="Times New Roman"/>
        </w:rPr>
        <w:fldChar w:fldCharType="separate"/>
      </w:r>
      <w:r w:rsidRPr="00583902">
        <w:rPr>
          <w:rFonts w:ascii="Times New Roman" w:hAnsi="Times New Roman" w:cs="Times New Roman"/>
          <w:noProof/>
        </w:rPr>
        <w:t>(Leuschner, Carter, Goldsby, &amp; Rogers, 2014)</w:t>
      </w:r>
      <w:r w:rsidRPr="00583902">
        <w:rPr>
          <w:rFonts w:ascii="Times New Roman" w:hAnsi="Times New Roman" w:cs="Times New Roman"/>
        </w:rPr>
        <w:fldChar w:fldCharType="end"/>
      </w:r>
      <w:r w:rsidRPr="00583902">
        <w:rPr>
          <w:rFonts w:ascii="Times New Roman" w:hAnsi="Times New Roman" w:cs="Times New Roman"/>
        </w:rPr>
        <w:t>. Financial performance</w:t>
      </w:r>
      <w:r w:rsidRPr="006407E5">
        <w:rPr>
          <w:rFonts w:ascii="Times New Roman" w:hAnsi="Times New Roman" w:cs="Times New Roman"/>
        </w:rPr>
        <w:t xml:space="preserve"> (profitability, return on assets, return on investment, etc.) is a frequently applied indicator of organizational performance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"10.1177/0149206308330560", "ISBN" : "0149-2063", "ISSN" : "0149-2063", "PMID" : "296", "abstract" : "Richard, P. J., Devinney, T. M., Yip, G. S., &amp; Johnson, G. (2009). Measuring Organizational Performance: Towards Methodological Best Practice Journal of Management, Vol. 35(3), 718-804.", "author" : [ { "dropping-particle" : "", "family" : "Richard", "given" : "PJ J.", "non-dropping-particle" : "", "parse-names" : false, "suffix" : "" }, { "dropping-particle" : "", "family" : "Devinney", "given" : "T. M.", "non-dropping-particle" : "", "parse-names" : false, "suffix" : "" }, { "dropping-particle" : "", "family" : "Yip", "given" : "G", "non-dropping-particle" : "", "parse-names" : false, "suffix" : "" }, { "dropping-particle" : "", "family" : "Johnson", "given" : "G.", "non-dropping-particle" : "", "parse-names" : false, "suffix" : "" } ], "container-title" : "Journal of Management", "id" : "ITEM-1", "issue" : "3", "issued" : { "date-parts" : [ [ "2009" ] ] }, "page" : "718-804", "title" : "Measuring Organizational Performance: Towards Methodological Best Practice", "type" : "article-journal", "volume" : "35" }, "uris" : [ "http://www.mendeley.com/documents/?uuid=f35542e4-b5d9-4ccd-8beb-fb6f2b5bee7e" ] } ], "mendeley" : { "formattedCitation" : "(Richard, Devinney, Yip, &amp; Johnson, 2009)", "plainTextFormattedCitation" : "(Richard, Devinney, Yip, &amp; Johnson, 2009)", "previouslyFormattedCitation" : "(Richard, Devinney, Yip, &amp; Johnson, 2009)"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 xml:space="preserve">(Richard, </w:t>
      </w:r>
      <w:r w:rsidRPr="006407E5">
        <w:rPr>
          <w:rFonts w:ascii="Times New Roman" w:hAnsi="Times New Roman" w:cs="Times New Roman"/>
          <w:noProof/>
        </w:rPr>
        <w:lastRenderedPageBreak/>
        <w:t>Devinney, Yip, &amp; Johnson, 2009)</w:t>
      </w:r>
      <w:r w:rsidRPr="006407E5">
        <w:rPr>
          <w:rFonts w:ascii="Times New Roman" w:hAnsi="Times New Roman" w:cs="Times New Roman"/>
        </w:rPr>
        <w:fldChar w:fldCharType="end"/>
      </w:r>
      <w:r w:rsidRPr="006407E5">
        <w:rPr>
          <w:rFonts w:ascii="Times New Roman" w:hAnsi="Times New Roman" w:cs="Times New Roman"/>
        </w:rPr>
        <w:t xml:space="preserve">, and will be utilized as a dependent variable in this dissertation research. Firm financial performance is the consequence of sales performance and naturally an antecedent of shareholder economic return, both of which are related constructs of organizational performance </w:t>
      </w:r>
      <w:r w:rsidRPr="006407E5">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"10.1177/0149206308330560", "ISBN" : "0149-2063", "ISSN" : "0149-2063", "PMID" : "296", "abstract" : "Richard, P. J., Devinney, T. M., Yip, G. S., &amp; Johnson, G. (2009). Measuring Organizational Performance: Towards Methodological Best Practice Journal of Management, Vol. 35(3), 718-804.", "author" : [ { "dropping-particle" : "", "family" : "Richard", "given" : "PJ J.", "non-dropping-particle" : "", "parse-names" : false, "suffix" : "" }, { "dropping-particle" : "", "family" : "Devinney", "given" : "T. M.", "non-dropping-particle" : "", "parse-names" : false, "suffix" : "" }, { "dropping-particle" : "", "family" : "Yip", "given" : "G", "non-dropping-particle" : "", "parse-names" : false, "suffix" : "" }, { "dropping-particle" : "", "family" : "Johnson", "given" : "G.", "non-dropping-particle" : "", "parse-names" : false, "suffix" : "" } ], "container-title" : "Journal of Management", "id" : "ITEM-1", "issue" : "3", "issued" : { "date-parts" : [ [ "2009" ] ] }, "page" : "718-804", "title" : "Measuring Organizational Performance: Towards Methodological Best Practice", "type" : "article-journal", "volume" : "35" }, "uris" : [ "http://www.mendeley.com/documents/?uuid=f35542e4-b5d9-4ccd-8beb-fb6f2b5bee7e" ] } ], "mendeley" : { "formattedCitation" : "(Richard et al., 2009)", "plainTextFormattedCitation" : "(Richard et al., 2009)", "previouslyFormattedCitation" : "(Richard et al., 2009)"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(Richard et al., 2009)</w:t>
      </w:r>
      <w:r w:rsidRPr="006407E5">
        <w:rPr>
          <w:rFonts w:ascii="Times New Roman" w:hAnsi="Times New Roman" w:cs="Times New Roman"/>
        </w:rPr>
        <w:fldChar w:fldCharType="end"/>
      </w:r>
      <w:r w:rsidRPr="006407E5">
        <w:rPr>
          <w:rFonts w:ascii="Times New Roman" w:hAnsi="Times New Roman" w:cs="Times New Roman"/>
        </w:rPr>
        <w:t xml:space="preserve">. Recent meta-analysis results have confirmed a significant financial performance impact of resources and resource management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"10.1002/smj", "author" : [ { "dropping-particle" : "", "family" : "Crook", "given" : "T Russell", "non-dropping-particle" : "", "parse-names" : false, "suffix" : "" }, { "dropping-particle" : "", "family" : "Jr", "given" : "David J Ketchen", "non-dropping-particle" : "", "parse-names" : false, "suffix" : "" }, { "dropping-particle" : "", "family" : "Combs", "given" : "James G", "non-dropping-particle" : "", "parse-names" : false, "suffix" : "" }, { "dropping-particle" : "", "family" : "Todd", "given" : "Samuel Y", "non-dropping-particle" : "", "parse-names" : false, "suffix" : "" } ], "container-title" : "Strategic Management Journal", "id" : "ITEM-1", "issued" : { "date-parts" : [ [ "2008" ] ] }, "page" : "1141-1154", "title" : "Strategic Resources and Performance: A Meta-Analysis", "type" : "article-journal", "volume" : "29" }, "uris" : [ "http://www.mendeley.com/documents/?uuid=53bdedb7-95db-455e-88be-b29c2a8da8ef" ] } ], "mendeley" : { "formattedCitation" : "(Crook et al., 2008)", "plainTextFormattedCitation" : "(Crook et al., 2008)", "previouslyFormattedCitation" : "(Crook et al., 2008)"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(Crook et al., 2008)</w:t>
      </w:r>
      <w:r w:rsidRPr="006407E5">
        <w:rPr>
          <w:rFonts w:ascii="Times New Roman" w:hAnsi="Times New Roman" w:cs="Times New Roman"/>
        </w:rPr>
        <w:fldChar w:fldCharType="end"/>
      </w:r>
      <w:r w:rsidRPr="006407E5">
        <w:rPr>
          <w:rFonts w:ascii="Times New Roman" w:hAnsi="Times New Roman" w:cs="Times New Roman"/>
        </w:rPr>
        <w:t xml:space="preserve">. </w:t>
      </w:r>
    </w:p>
    <w:p w14:paraId="52D0758F" w14:textId="77777777" w:rsidR="009B07A6" w:rsidRPr="006407E5" w:rsidRDefault="009B07A6" w:rsidP="00377F5F">
      <w:pPr>
        <w:spacing w:line="480" w:lineRule="auto"/>
        <w:jc w:val="both"/>
        <w:rPr>
          <w:rFonts w:ascii="Times New Roman" w:hAnsi="Times New Roman" w:cs="Times New Roman"/>
        </w:rPr>
      </w:pPr>
    </w:p>
    <w:p w14:paraId="223AC26C" w14:textId="77777777" w:rsidR="009B07A6" w:rsidRPr="006407E5" w:rsidRDefault="009B07A6" w:rsidP="00CB4836">
      <w:pPr>
        <w:pStyle w:val="Heading3new"/>
      </w:pPr>
      <w:r w:rsidRPr="006407E5">
        <w:t>Entrepreneurial Orientation</w:t>
      </w:r>
    </w:p>
    <w:p w14:paraId="43416A0C"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 xml:space="preserve">In Chapters Two and Three, it was argued that cultural effects matter in this supply chain-driven innovation context. In this research study, the construct of entrepreneurial orientation (EO) is applied as an existing, well-established construct to test both direct effects and the moderating influence on innovation and financial performance. Researchers have assessed EO as essential for creating a common vision, particularly in regards to successful resource exploitation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"10.1002/sej.121", "author" : [ { "dropping-particle" : "", "family" : "Chirico", "given" : "Francesco", "non-dropping-particle" : "", "parse-names" : false, "suffix" : "" }, { "dropping-particle" : "", "family" : "Sirmon", "given" : "David G", "non-dropping-particle" : "", "parse-names" : false, "suffix" : "" }, { "dropping-particle" : "", "family" : "Sciascia", "given" : "Salvatore", "non-dropping-particle" : "", "parse-names" : false, "suffix" : "" }, { "dropping-particle" : "", "family" : "Mazzola", "given" : "Pietro", "non-dropping-particle" : "", "parse-names" : false, "suffix" : "" } ], "container-title" : "Strategic Entrepreneurship Journal", "id" : "ITEM-1", "issued" : { "date-parts" : [ [ "2011" ] ] }, "page" : "307-326", "title" : "Resource Orchestration in Family Firms: Investigating How Entrepreneurial Orientation, Generational Involvement, and Participative Strategy Affect Performance", "type" : "article-journal", "volume" : "5" }, "uris" : [ "http://www.mendeley.com/documents/?uuid=77264939-5a09-4c64-a81d-03c21f59225a" ] } ], "mendeley" : { "formattedCitation" : "(Chirico et al., 2011)", "plainTextFormattedCitation" : "(Chirico et al., 2011)", "previouslyFormattedCitation" : "(Chirico et al.,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(Chirico et al., 2011)</w:t>
      </w:r>
      <w:r w:rsidRPr="006407E5">
        <w:rPr>
          <w:rFonts w:ascii="Times New Roman" w:hAnsi="Times New Roman" w:cs="Times New Roman"/>
        </w:rPr>
        <w:fldChar w:fldCharType="end"/>
      </w:r>
      <w:r w:rsidRPr="006407E5">
        <w:rPr>
          <w:rFonts w:ascii="Times New Roman" w:hAnsi="Times New Roman" w:cs="Times New Roman"/>
        </w:rPr>
        <w:t xml:space="preserve">.  </w:t>
      </w:r>
    </w:p>
    <w:p w14:paraId="3F8E2CC5"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Entrepreneurial Orientation (EO) is reflecting the strategic posture towards entrepreneurship and innovation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"10.1002/smj", "author" : [ { "dropping-particle" : "", "family" : "Anderson", "given" : "Brian S", "non-dropping-particle" : "", "parse-names" : false, "suffix" : "" }, { "dropping-particle" : "", "family" : "Kreiser", "given" : "Patrick M", "non-dropping-particle" : "", "parse-names" : false, "suffix" : "" }, { "dropping-particle" : "", "family" : "Kuratko, Donald", "given" : "F", "non-dropping-particle" : "", "parse-names" : false, "suffix" : "" }, { "dropping-particle" : "", "family" : "Hornsby", "given" : "Jeffrey S.", "non-dropping-particle" : "", "parse-names" : false, "suffix" : "" }, { "dropping-particle" : "", "family" : "Eshima", "given" : "Yoshihiro", "non-dropping-particle" : "", "parse-names" : false, "suffix" : "" } ], "container-title" : "Strategic Management Journal", "id" : "ITEM-1", "issued" : { "date-parts" : [ [ "2015" ] ] }, "page" : "1579-1596", "title" : "Reconceptualizing Entrepreneurial Orientation", "type" : "article-journal", "volume" : "36" }, "uris" : [ "http://www.mendeley.com/documents/?uuid=ffa11111-49a0-4834-a565-d0efc2541567" ] } ], "mendeley" : { "formattedCitation" : "(Anderson, Kreiser, Kuratko, Donald, Hornsby, &amp; Eshima, 2015)", "plainTextFormattedCitation" : "(Anderson, Kreiser, Kuratko, Donald, Hornsby, &amp; Eshima, 2015)", "previouslyFormattedCitation" : "(Anderson, Kreiser, Kuratko, Donald, Hornsby, &amp; Eshima, 2015)"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(Anderson, Kreiser, Kuratko, Donald, Hornsby, &amp; Eshima, 2015)</w:t>
      </w:r>
      <w:r w:rsidRPr="006407E5">
        <w:rPr>
          <w:rFonts w:ascii="Times New Roman" w:hAnsi="Times New Roman" w:cs="Times New Roman"/>
        </w:rPr>
        <w:fldChar w:fldCharType="end"/>
      </w:r>
      <w:r w:rsidRPr="006407E5">
        <w:rPr>
          <w:rFonts w:ascii="Times New Roman" w:hAnsi="Times New Roman" w:cs="Times New Roman"/>
        </w:rPr>
        <w:t xml:space="preserve"> and has been defined primarily as innovativeness, proactiveness, and risk taking propensity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"10.1111/j.1540-6520.2011.00455.x", "author" : [ { "dropping-particle" : "", "family" : "George", "given" : "Bradley A", "non-dropping-particle" : "", "parse-names" : false, "suffix" : "" }, { "dropping-particle" : "", "family" : "Marino", "given" : "Louis", "non-dropping-particle" : "", "parse-names" : false, "suffix" : "" } ], "container-title" : "Entrepreneurship Theory and Practice", "id" : "ITEM-1", "issue" : "5", "issued" : { "date-parts" : [ [ "2011" ] ] }, "page" : "989-1025", "title" : "The Epistemology of Entrepreneurial Orientation: Conceptual Formation, Modeling, and Operationalization", "type" : "article-journal", "volume" : "35" }, "uris" : [ "http://www.mendeley.com/documents/?uuid=a04669a3-e5da-4170-ba14-40786d30e5c6" ] }, { "id" : "ITEM-2", "itemData" : { "author" : [ { "dropping-particle" : "", "family" : "Covin", "given" : "Jeffrey G", "non-dropping-particle" : "", "parse-names" : false, "suffix" : "" }, { "dropping-particle" : "", "family" : "Slevin", "given" : "Dennis P.", "non-dropping-particle" : "", "parse-names" : false, "suffix" : "" } ], "container-title" : "Strategic Management Journal", "id" : "ITEM-2", "issue" : "1", "issued" : { "date-parts" : [ [ "1989" ] ] }, "page" : "75-87", "title" : "Strategic Management of Small Firms in Hostile and Benign Environments", "type" : "article-journal", "volume" : "10" }, "uris" : [ "http://www.mendeley.com/documents/?uuid=de728628-9c28-49b7-b240-d81390e68ff0" ] } ], "mendeley" : { "formattedCitation" : "(Covin &amp; Slevin, 1989; George &amp; Marino, 2011)", "plainTextFormattedCitation" : "(Covin &amp; Slevin, 1989; George &amp; Marino, 2011)", "previouslyFormattedCitation" : "(Covin &amp; Slevin, 1989; George &amp; Marino, 2011)"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(Covin &amp; Slevin, 1989; George &amp; Marino, 2011)</w:t>
      </w:r>
      <w:r w:rsidRPr="006407E5">
        <w:rPr>
          <w:rFonts w:ascii="Times New Roman" w:hAnsi="Times New Roman" w:cs="Times New Roman"/>
        </w:rPr>
        <w:fldChar w:fldCharType="end"/>
      </w:r>
      <w:r w:rsidRPr="006407E5">
        <w:rPr>
          <w:rFonts w:ascii="Times New Roman" w:hAnsi="Times New Roman" w:cs="Times New Roman"/>
        </w:rPr>
        <w:t xml:space="preserve">. Researchers have already demonstrated that EO can positively influence the innovation performance of an organization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"10.1002/smj", "author" : [ { "dropping-particle" : "", "family" : "Patel", "given" : "Pankaj C", "non-dropping-particle" : "", "parse-names" : false, "suffix" : "" }, { "dropping-particle" : "", "family" : "Kohtamakl", "given" : "Marko", "non-dropping-particle" : "", "parse-names" : false, "suffix" : "" }, { "dropping-particle" : "", "family" : "Parida", "given" : "Vinit", "non-dropping-particle" : "", "parse-names" : false, "suffix" : "" }, { "dropping-particle" : "", "family" : "Wincent", "given" : "Joakim", "non-dropping-particle" : "", "parse-names" : false, "suffix" : "" } ], "container-title" : "Strategic Management Journal", "id" : "ITEM-1", "issued" : { "date-parts" : [ [ "2015" ] ] }, "page" : "1739-1749", "title" : "Orientation-As-Experimentation and Firm Performance: The Enabling Role of Absorptive Capacity", "type" : "article-journal", "volume" : "36" }, "uris" : [ "http://www.mendeley.com/documents/?uuid=c0d3dd53-8b26-4ca8-bd85-35b463943f93" ] } ], "mendeley" : { "formattedCitation" : "(Patel, Kohtamakl, Parida, &amp; Wincent, 2015)", "plainTextFormattedCitation" : "(Patel, Kohtamakl, Parida, &amp; Wincent, 2015)", "previouslyFormattedCitation" : "(Patel, Kohtamakl, Parida, &amp; Wincent, 2015)"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(Patel, Kohtamakl, Parida, &amp; Wincent, 2015)</w:t>
      </w:r>
      <w:r w:rsidRPr="006407E5">
        <w:rPr>
          <w:rFonts w:ascii="Times New Roman" w:hAnsi="Times New Roman" w:cs="Times New Roman"/>
        </w:rPr>
        <w:fldChar w:fldCharType="end"/>
      </w:r>
      <w:r w:rsidRPr="006407E5">
        <w:rPr>
          <w:rFonts w:ascii="Times New Roman" w:hAnsi="Times New Roman" w:cs="Times New Roman"/>
        </w:rPr>
        <w:t xml:space="preserve">. </w:t>
      </w:r>
    </w:p>
    <w:p w14:paraId="4C58564F" w14:textId="77777777" w:rsidR="009B07A6" w:rsidRPr="006407E5"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To build on such prior work, this research study will investigate whether those well-established EO-related research findings would be applicable for the corporate SCM environment. In this study, it will be tested whether EO is moderating the relationship between SCRO and innovation and financial performance. Furthermore, the direct </w:t>
      </w:r>
      <w:r w:rsidRPr="006407E5">
        <w:rPr>
          <w:rFonts w:ascii="Times New Roman" w:hAnsi="Times New Roman" w:cs="Times New Roman"/>
        </w:rPr>
        <w:lastRenderedPageBreak/>
        <w:t>influence on both performance variables will be assessed, which leads to the following hypotheses:</w:t>
      </w:r>
    </w:p>
    <w:p w14:paraId="73F3FF3F" w14:textId="77777777" w:rsidR="009B07A6" w:rsidRPr="006407E5" w:rsidRDefault="009B07A6" w:rsidP="00377F5F">
      <w:pPr>
        <w:spacing w:line="480" w:lineRule="auto"/>
        <w:jc w:val="both"/>
        <w:rPr>
          <w:rFonts w:ascii="Times New Roman" w:hAnsi="Times New Roman" w:cs="Times New Roman"/>
        </w:rPr>
      </w:pPr>
    </w:p>
    <w:p w14:paraId="7293F8F6"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b/>
        </w:rPr>
        <w:t>Hypothesis H</w:t>
      </w:r>
      <w:r w:rsidRPr="006407E5">
        <w:rPr>
          <w:rFonts w:ascii="Times New Roman" w:hAnsi="Times New Roman" w:cs="Times New Roman"/>
          <w:b/>
          <w:vertAlign w:val="subscript"/>
        </w:rPr>
        <w:t>2A</w:t>
      </w:r>
      <w:r w:rsidRPr="006407E5">
        <w:rPr>
          <w:rFonts w:ascii="Times New Roman" w:hAnsi="Times New Roman" w:cs="Times New Roman"/>
        </w:rPr>
        <w:t>:  Entrepreneurial Orientation is positively associated with innovation performance.</w:t>
      </w:r>
    </w:p>
    <w:p w14:paraId="31C2F6EB"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b/>
        </w:rPr>
        <w:t>Hypothesis H</w:t>
      </w:r>
      <w:r w:rsidRPr="006407E5">
        <w:rPr>
          <w:rFonts w:ascii="Times New Roman" w:hAnsi="Times New Roman" w:cs="Times New Roman"/>
          <w:b/>
          <w:vertAlign w:val="subscript"/>
        </w:rPr>
        <w:t>2B</w:t>
      </w:r>
      <w:r w:rsidRPr="006407E5">
        <w:rPr>
          <w:rFonts w:ascii="Times New Roman" w:hAnsi="Times New Roman" w:cs="Times New Roman"/>
        </w:rPr>
        <w:t>:  Entrepreneurial Orientation is positively associated with financial performance.</w:t>
      </w:r>
    </w:p>
    <w:p w14:paraId="1F877176" w14:textId="77777777" w:rsidR="009B07A6" w:rsidRPr="006407E5" w:rsidRDefault="009B07A6" w:rsidP="00377F5F">
      <w:pPr>
        <w:spacing w:line="480" w:lineRule="auto"/>
        <w:jc w:val="both"/>
        <w:rPr>
          <w:rFonts w:ascii="Times New Roman" w:hAnsi="Times New Roman" w:cs="Times New Roman"/>
        </w:rPr>
      </w:pPr>
    </w:p>
    <w:p w14:paraId="2A187869" w14:textId="77777777" w:rsidR="009B07A6" w:rsidRPr="006407E5" w:rsidRDefault="009B07A6" w:rsidP="00377F5F">
      <w:pPr>
        <w:spacing w:line="480" w:lineRule="auto"/>
        <w:jc w:val="both"/>
        <w:rPr>
          <w:rFonts w:ascii="Times New Roman" w:hAnsi="Times New Roman" w:cs="Times New Roman"/>
        </w:rPr>
      </w:pPr>
      <w:r w:rsidRPr="00583902">
        <w:rPr>
          <w:rFonts w:ascii="Times New Roman" w:hAnsi="Times New Roman" w:cs="Times New Roman"/>
        </w:rPr>
        <w:t>Following the entrepreneurship literature, the EO mindset would also be critical for both innovation and financial performance. The interaction between both constructs appears</w:t>
      </w:r>
      <w:r w:rsidRPr="006407E5">
        <w:rPr>
          <w:rFonts w:ascii="Times New Roman" w:hAnsi="Times New Roman" w:cs="Times New Roman"/>
        </w:rPr>
        <w:t xml:space="preserve"> particularly meaningful. An organization with strong SCRO capabilities on one hand but only limited EO levels is hypothesized to achieve high financial performance outcomes but only limited innovation performance (possibly only incremental innovation). The moderation effects of EO are hypothesized as follows:</w:t>
      </w:r>
    </w:p>
    <w:p w14:paraId="07D024FF" w14:textId="77777777" w:rsidR="009B07A6" w:rsidRPr="006407E5" w:rsidRDefault="009B07A6" w:rsidP="00377F5F">
      <w:pPr>
        <w:spacing w:line="480" w:lineRule="auto"/>
        <w:jc w:val="both"/>
        <w:rPr>
          <w:rFonts w:ascii="Times New Roman" w:hAnsi="Times New Roman" w:cs="Times New Roman"/>
        </w:rPr>
      </w:pPr>
    </w:p>
    <w:p w14:paraId="5727FDBD"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b/>
        </w:rPr>
        <w:t>Hypothesis H</w:t>
      </w:r>
      <w:r w:rsidRPr="006407E5">
        <w:rPr>
          <w:rFonts w:ascii="Times New Roman" w:hAnsi="Times New Roman" w:cs="Times New Roman"/>
          <w:b/>
          <w:vertAlign w:val="subscript"/>
        </w:rPr>
        <w:t>3A</w:t>
      </w:r>
      <w:r w:rsidRPr="006407E5">
        <w:rPr>
          <w:rFonts w:ascii="Times New Roman" w:hAnsi="Times New Roman" w:cs="Times New Roman"/>
        </w:rPr>
        <w:t>:  Entrepreneurial Orientation is positively moderating the relationship of SCRO with innovation performance.</w:t>
      </w:r>
    </w:p>
    <w:p w14:paraId="343E10DB" w14:textId="77777777" w:rsidR="009B07A6" w:rsidRPr="006407E5" w:rsidRDefault="009B07A6" w:rsidP="00377F5F">
      <w:pPr>
        <w:jc w:val="both"/>
        <w:rPr>
          <w:rFonts w:ascii="Times New Roman" w:hAnsi="Times New Roman" w:cs="Times New Roman"/>
        </w:rPr>
      </w:pPr>
      <w:r w:rsidRPr="006407E5">
        <w:rPr>
          <w:rFonts w:ascii="Times New Roman" w:hAnsi="Times New Roman" w:cs="Times New Roman"/>
          <w:b/>
        </w:rPr>
        <w:t>Hypothesis H</w:t>
      </w:r>
      <w:r w:rsidRPr="006407E5">
        <w:rPr>
          <w:rFonts w:ascii="Times New Roman" w:hAnsi="Times New Roman" w:cs="Times New Roman"/>
          <w:b/>
          <w:vertAlign w:val="subscript"/>
        </w:rPr>
        <w:t>3B</w:t>
      </w:r>
      <w:r w:rsidRPr="006407E5">
        <w:rPr>
          <w:rFonts w:ascii="Times New Roman" w:hAnsi="Times New Roman" w:cs="Times New Roman"/>
        </w:rPr>
        <w:t>:  Entrepreneurial Orientation is positively moderating the relationship of SCRO with financial performance.</w:t>
      </w:r>
    </w:p>
    <w:p w14:paraId="4C196931" w14:textId="77777777" w:rsidR="009B07A6" w:rsidRPr="006407E5" w:rsidRDefault="009B07A6" w:rsidP="00377F5F">
      <w:pPr>
        <w:spacing w:line="480" w:lineRule="auto"/>
        <w:jc w:val="both"/>
        <w:rPr>
          <w:rFonts w:ascii="Times New Roman" w:hAnsi="Times New Roman" w:cs="Times New Roman"/>
        </w:rPr>
      </w:pPr>
    </w:p>
    <w:p w14:paraId="05E54928"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Similarly, the presence of strong SCRO practices might strengthen the performance consequences of entrepreneurial orientation. Therefore, a mediating influence of SCRO is hypothesized:</w:t>
      </w:r>
    </w:p>
    <w:p w14:paraId="48343A87" w14:textId="77777777" w:rsidR="009B07A6" w:rsidRPr="006407E5" w:rsidRDefault="009B07A6" w:rsidP="00377F5F">
      <w:pPr>
        <w:spacing w:line="480" w:lineRule="auto"/>
        <w:jc w:val="both"/>
        <w:rPr>
          <w:rFonts w:ascii="Times New Roman" w:hAnsi="Times New Roman" w:cs="Times New Roman"/>
          <w:b/>
        </w:rPr>
      </w:pPr>
      <w:r w:rsidRPr="006407E5">
        <w:rPr>
          <w:rFonts w:ascii="Times New Roman" w:hAnsi="Times New Roman" w:cs="Times New Roman"/>
          <w:b/>
        </w:rPr>
        <w:t xml:space="preserve"> </w:t>
      </w:r>
    </w:p>
    <w:p w14:paraId="16B63353" w14:textId="7AF1352B" w:rsidR="009B07A6" w:rsidRPr="00583902" w:rsidRDefault="009B07A6" w:rsidP="00377F5F">
      <w:pPr>
        <w:jc w:val="both"/>
        <w:rPr>
          <w:rFonts w:ascii="Times New Roman" w:hAnsi="Times New Roman" w:cs="Times New Roman"/>
        </w:rPr>
      </w:pPr>
      <w:r w:rsidRPr="00583902">
        <w:rPr>
          <w:rFonts w:ascii="Times New Roman" w:hAnsi="Times New Roman" w:cs="Times New Roman"/>
          <w:b/>
        </w:rPr>
        <w:t>Hypothesis H</w:t>
      </w:r>
      <w:r w:rsidRPr="00583902">
        <w:rPr>
          <w:rFonts w:ascii="Times New Roman" w:hAnsi="Times New Roman" w:cs="Times New Roman"/>
          <w:b/>
          <w:vertAlign w:val="subscript"/>
        </w:rPr>
        <w:t>4A</w:t>
      </w:r>
      <w:r w:rsidRPr="00583902">
        <w:rPr>
          <w:rFonts w:ascii="Times New Roman" w:hAnsi="Times New Roman" w:cs="Times New Roman"/>
          <w:b/>
        </w:rPr>
        <w:t xml:space="preserve">:  </w:t>
      </w:r>
      <w:r w:rsidRPr="00583902">
        <w:rPr>
          <w:rFonts w:ascii="Times New Roman" w:hAnsi="Times New Roman" w:cs="Times New Roman"/>
        </w:rPr>
        <w:t>Supply Chain Resource Orchestration is partially mediating the relationship between Entrepreneurial Orientation and Innovation Performance</w:t>
      </w:r>
      <w:r w:rsidR="00CB4836">
        <w:rPr>
          <w:rFonts w:ascii="Times New Roman" w:hAnsi="Times New Roman" w:cs="Times New Roman"/>
        </w:rPr>
        <w:t>.</w:t>
      </w:r>
    </w:p>
    <w:p w14:paraId="66DBA84E" w14:textId="1291B4C6" w:rsidR="009B07A6" w:rsidRPr="006407E5" w:rsidRDefault="009B07A6" w:rsidP="00377F5F">
      <w:pPr>
        <w:jc w:val="both"/>
        <w:rPr>
          <w:rFonts w:ascii="Times New Roman" w:hAnsi="Times New Roman" w:cs="Times New Roman"/>
        </w:rPr>
      </w:pPr>
      <w:r w:rsidRPr="00583902">
        <w:rPr>
          <w:rFonts w:ascii="Times New Roman" w:hAnsi="Times New Roman" w:cs="Times New Roman"/>
          <w:b/>
        </w:rPr>
        <w:t>Hypothesis H</w:t>
      </w:r>
      <w:r w:rsidRPr="00583902">
        <w:rPr>
          <w:rFonts w:ascii="Times New Roman" w:hAnsi="Times New Roman" w:cs="Times New Roman"/>
          <w:b/>
          <w:vertAlign w:val="subscript"/>
        </w:rPr>
        <w:t>4B</w:t>
      </w:r>
      <w:r w:rsidRPr="00583902">
        <w:rPr>
          <w:rFonts w:ascii="Times New Roman" w:hAnsi="Times New Roman" w:cs="Times New Roman"/>
          <w:b/>
        </w:rPr>
        <w:t xml:space="preserve">:  </w:t>
      </w:r>
      <w:r w:rsidRPr="00583902">
        <w:rPr>
          <w:rFonts w:ascii="Times New Roman" w:hAnsi="Times New Roman" w:cs="Times New Roman"/>
        </w:rPr>
        <w:t>Supply Chain Resource Orchestration is partially</w:t>
      </w:r>
      <w:r w:rsidRPr="006407E5">
        <w:rPr>
          <w:rFonts w:ascii="Times New Roman" w:hAnsi="Times New Roman" w:cs="Times New Roman"/>
        </w:rPr>
        <w:t xml:space="preserve"> mediating the relationship between Entrepreneurial Orientation and Financial Performance</w:t>
      </w:r>
      <w:r w:rsidR="00CB4836">
        <w:rPr>
          <w:rFonts w:ascii="Times New Roman" w:hAnsi="Times New Roman" w:cs="Times New Roman"/>
        </w:rPr>
        <w:t>.</w:t>
      </w:r>
    </w:p>
    <w:p w14:paraId="13D4982C" w14:textId="77777777" w:rsidR="009B07A6" w:rsidRPr="006407E5" w:rsidRDefault="009B07A6" w:rsidP="00377F5F">
      <w:pPr>
        <w:spacing w:line="480" w:lineRule="auto"/>
        <w:jc w:val="both"/>
        <w:rPr>
          <w:rFonts w:ascii="Times New Roman" w:hAnsi="Times New Roman" w:cs="Times New Roman"/>
        </w:rPr>
      </w:pPr>
    </w:p>
    <w:p w14:paraId="5DDE8FAC" w14:textId="0F8A4286"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 xml:space="preserve">In conclusion of the conceptual development, </w:t>
      </w:r>
      <w:r w:rsidR="00543A4E">
        <w:rPr>
          <w:rFonts w:ascii="Times New Roman" w:hAnsi="Times New Roman" w:cs="Times New Roman"/>
        </w:rPr>
        <w:fldChar w:fldCharType="begin"/>
      </w:r>
      <w:r w:rsidR="00543A4E">
        <w:rPr>
          <w:rFonts w:ascii="Times New Roman" w:hAnsi="Times New Roman" w:cs="Times New Roman"/>
        </w:rPr>
        <w:instrText xml:space="preserve"> REF _Ref358322372 \h </w:instrText>
      </w:r>
      <w:r w:rsidR="00543A4E">
        <w:rPr>
          <w:rFonts w:ascii="Times New Roman" w:hAnsi="Times New Roman" w:cs="Times New Roman"/>
        </w:rPr>
      </w:r>
      <w:r w:rsidR="00543A4E">
        <w:rPr>
          <w:rFonts w:ascii="Times New Roman" w:hAnsi="Times New Roman" w:cs="Times New Roman"/>
        </w:rPr>
        <w:fldChar w:fldCharType="separate"/>
      </w:r>
      <w:r w:rsidR="00C2793E">
        <w:t xml:space="preserve">Figure </w:t>
      </w:r>
      <w:r w:rsidR="00C2793E">
        <w:rPr>
          <w:noProof/>
        </w:rPr>
        <w:t>8</w:t>
      </w:r>
      <w:r w:rsidR="00543A4E">
        <w:rPr>
          <w:rFonts w:ascii="Times New Roman" w:hAnsi="Times New Roman" w:cs="Times New Roman"/>
        </w:rPr>
        <w:fldChar w:fldCharType="end"/>
      </w:r>
      <w:r w:rsidR="00543A4E">
        <w:rPr>
          <w:rFonts w:ascii="Times New Roman" w:hAnsi="Times New Roman" w:cs="Times New Roman"/>
        </w:rPr>
        <w:t xml:space="preserve"> </w:t>
      </w:r>
      <w:r w:rsidRPr="006407E5">
        <w:rPr>
          <w:rFonts w:ascii="Times New Roman" w:hAnsi="Times New Roman" w:cs="Times New Roman"/>
        </w:rPr>
        <w:t xml:space="preserve">illustrates the conceptual model of supply chain resource orchestration.  </w:t>
      </w:r>
    </w:p>
    <w:p w14:paraId="3E3AA276" w14:textId="77777777" w:rsidR="009B07A6" w:rsidRPr="006407E5" w:rsidRDefault="009B07A6" w:rsidP="00377F5F">
      <w:pPr>
        <w:spacing w:line="480" w:lineRule="auto"/>
        <w:jc w:val="both"/>
        <w:rPr>
          <w:rFonts w:ascii="Times New Roman" w:hAnsi="Times New Roman" w:cs="Times New Roman"/>
        </w:rPr>
      </w:pPr>
    </w:p>
    <w:p w14:paraId="6A774EB3" w14:textId="77777777" w:rsidR="009B07A6" w:rsidRPr="006407E5" w:rsidRDefault="009B07A6" w:rsidP="00377F5F">
      <w:pPr>
        <w:spacing w:line="480" w:lineRule="auto"/>
        <w:jc w:val="both"/>
        <w:rPr>
          <w:rFonts w:ascii="Times New Roman" w:hAnsi="Times New Roman" w:cs="Times New Roman"/>
        </w:rPr>
      </w:pPr>
    </w:p>
    <w:p w14:paraId="7E130DF4"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noProof/>
        </w:rPr>
        <w:drawing>
          <wp:inline distT="0" distB="0" distL="0" distR="0" wp14:anchorId="1D5BA7B8" wp14:editId="603E0ACB">
            <wp:extent cx="5486400" cy="267838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2678380"/>
                    </a:xfrm>
                    <a:prstGeom prst="rect">
                      <a:avLst/>
                    </a:prstGeom>
                    <a:noFill/>
                    <a:ln>
                      <a:noFill/>
                    </a:ln>
                  </pic:spPr>
                </pic:pic>
              </a:graphicData>
            </a:graphic>
          </wp:inline>
        </w:drawing>
      </w:r>
    </w:p>
    <w:p w14:paraId="5FB91115" w14:textId="2915BF61" w:rsidR="00B862CB" w:rsidRDefault="00B862CB" w:rsidP="00B862CB">
      <w:pPr>
        <w:pStyle w:val="Caption"/>
        <w:keepNext/>
        <w:jc w:val="both"/>
      </w:pPr>
      <w:bookmarkStart w:id="120" w:name="_Ref358322372"/>
      <w:bookmarkStart w:id="121" w:name="_Toc358326882"/>
      <w:r>
        <w:t xml:space="preserve">Figure </w:t>
      </w:r>
      <w:fldSimple w:instr=" SEQ Figure \* ARABIC ">
        <w:r w:rsidR="00C2793E">
          <w:rPr>
            <w:noProof/>
          </w:rPr>
          <w:t>8</w:t>
        </w:r>
      </w:fldSimple>
      <w:bookmarkEnd w:id="120"/>
      <w:r w:rsidR="00AA2A98">
        <w:rPr>
          <w:noProof/>
        </w:rPr>
        <w:t xml:space="preserve"> -</w:t>
      </w:r>
      <w:r>
        <w:t xml:space="preserve"> </w:t>
      </w:r>
      <w:r w:rsidRPr="006407E5">
        <w:rPr>
          <w:rFonts w:cs="Times New Roman"/>
        </w:rPr>
        <w:t>Conceptual Model</w:t>
      </w:r>
      <w:r w:rsidR="00543A4E">
        <w:rPr>
          <w:rFonts w:cs="Times New Roman"/>
        </w:rPr>
        <w:t xml:space="preserve"> of SCRO</w:t>
      </w:r>
      <w:bookmarkEnd w:id="121"/>
      <w:r w:rsidRPr="006407E5">
        <w:rPr>
          <w:rFonts w:cs="Times New Roman"/>
        </w:rPr>
        <w:t xml:space="preserve">  </w:t>
      </w:r>
    </w:p>
    <w:p w14:paraId="1636EB26" w14:textId="77777777" w:rsidR="009B07A6" w:rsidRPr="006407E5" w:rsidRDefault="009B07A6" w:rsidP="00377F5F">
      <w:pPr>
        <w:spacing w:line="480" w:lineRule="auto"/>
        <w:jc w:val="both"/>
        <w:rPr>
          <w:rFonts w:ascii="Times New Roman" w:hAnsi="Times New Roman" w:cs="Times New Roman"/>
          <w:b/>
        </w:rPr>
      </w:pPr>
    </w:p>
    <w:p w14:paraId="53E7D7B0" w14:textId="7AD0D709" w:rsidR="009B07A6" w:rsidRPr="006407E5" w:rsidRDefault="009B07A6" w:rsidP="00CB4836">
      <w:pPr>
        <w:pStyle w:val="Heading2"/>
      </w:pPr>
      <w:bookmarkStart w:id="122" w:name="_Toc358326742"/>
      <w:r>
        <w:t>Methodology</w:t>
      </w:r>
      <w:bookmarkEnd w:id="122"/>
    </w:p>
    <w:p w14:paraId="004A4E56" w14:textId="77777777" w:rsidR="009B07A6" w:rsidRPr="006407E5" w:rsidRDefault="009B07A6" w:rsidP="00377F5F">
      <w:pPr>
        <w:spacing w:line="480" w:lineRule="auto"/>
        <w:jc w:val="both"/>
        <w:rPr>
          <w:rFonts w:ascii="Times New Roman" w:hAnsi="Times New Roman" w:cs="Times New Roman"/>
        </w:rPr>
      </w:pPr>
      <w:r w:rsidRPr="006407E5">
        <w:rPr>
          <w:rFonts w:ascii="Times New Roman" w:hAnsi="Times New Roman" w:cs="Times New Roman"/>
        </w:rPr>
        <w:t>This research of testing the supply chain resource orchestration framework was conducted in several steps. First, a literature review was performed to understand the current body of literature on this phenomenon. Furthermore, a number of research interviews with supply chain managers were conducted to enhance the understanding of this complex phenomenon. Based on that foundation (literature review and research interviews), a conceptual model of supply chain resource orchestration was developed, as outlined in Chapter Three.</w:t>
      </w:r>
    </w:p>
    <w:p w14:paraId="3DABF316" w14:textId="77777777" w:rsidR="009B07A6" w:rsidRDefault="009B07A6" w:rsidP="00377F5F">
      <w:pPr>
        <w:spacing w:line="480" w:lineRule="auto"/>
        <w:ind w:firstLine="720"/>
        <w:jc w:val="both"/>
        <w:rPr>
          <w:rFonts w:ascii="Times New Roman" w:hAnsi="Times New Roman" w:cs="Times New Roman"/>
        </w:rPr>
      </w:pPr>
      <w:r w:rsidRPr="006407E5">
        <w:rPr>
          <w:rFonts w:ascii="Times New Roman" w:hAnsi="Times New Roman" w:cs="Times New Roman"/>
        </w:rPr>
        <w:t xml:space="preserve">In this chapter, the conceptual SCRO model and the hypotheses are empirically tested. Data for this dissertation study was collected with a cross-sectional and internet-based survey design methodology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"Dillman", "given" : "Don A", "non-dropping-particle" : "", "parse-names" : false, "suffix" : "" } ], "edition" : "Second Edi", "id" : "ITEM-1", "issued" : { "date-parts" : [ [ "2007" ] ] }, "publisher" : "John Wiley &amp; Sons", "publisher-place" : "Hoboken, NJ", "title" : "Mail and Internet Surveys: The Tailored Design Method", "type" : "book" }, "uris" : [ "http://www.mendeley.com/documents/?uuid=e0d1081e-e7c0-4929-bc35-4fb48d25eb7d" ] } ], "mendeley" : { "formattedCitation" : "(Dillman, 2007)", "plainTextFormattedCitation" : "(Dillman, 2007)", "previouslyFormattedCitation" : "(Dillman, 2007)"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(Dillman, 2007)</w:t>
      </w:r>
      <w:r w:rsidRPr="006407E5">
        <w:rPr>
          <w:rFonts w:ascii="Times New Roman" w:hAnsi="Times New Roman" w:cs="Times New Roman"/>
        </w:rPr>
        <w:fldChar w:fldCharType="end"/>
      </w:r>
      <w:r w:rsidRPr="006407E5">
        <w:rPr>
          <w:rFonts w:ascii="Times New Roman" w:hAnsi="Times New Roman" w:cs="Times New Roman"/>
        </w:rPr>
        <w:t xml:space="preserve">.  The survey method has been used very frequently in supply chain research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"Defee", "given" : "C Clifford", "non-dropping-particle" : "", "parse-names" : false, "suffix" : "" }, { "dropping-particle" : "", "family" : "Williams", "given" : "Brent", "non-dropping-particle" : "", "parse-names" : false, "suffix" : "" }, { "dropping-particle" : "", "family" : "Randall", "given" : "Wesley S", "non-dropping-particle" : "", "parse-names" : false, "suffix" : "" }, { "dropping-particle" : "", "family" : "Thomas", "given" : "Rodney", "non-dropping-particle" : "", "parse-names" : false, "suffix" : "" } ], "container-title" : "The International Journal of Logistics Management", "id" : "ITEM-1", "issue" : "3", "issued" : { "date-parts" : [ [ "2010" ] ] }, "page" : "404-489", "title" : "An inventory of theory in logistics and SCM research", "type" : "article-journal", "volume" : "21" }, "uris" : [ "http://www.mendeley.com/documents/?uuid=b4ad76e7-2a96-40f1-a8ab-d8df7fab3e1c" ] } ], "mendeley" : { "formattedCitation" : "(Defee et al., 2010)", "plainTextFormattedCitation" : "(Defee et al., 2010)", "previouslyFormattedCitation" : "(Defee et al., 2010)"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(Defee et al., 2010)</w:t>
      </w:r>
      <w:r w:rsidRPr="006407E5">
        <w:rPr>
          <w:rFonts w:ascii="Times New Roman" w:hAnsi="Times New Roman" w:cs="Times New Roman"/>
        </w:rPr>
        <w:fldChar w:fldCharType="end"/>
      </w:r>
      <w:r w:rsidRPr="006407E5">
        <w:rPr>
          <w:rFonts w:ascii="Times New Roman" w:hAnsi="Times New Roman" w:cs="Times New Roman"/>
        </w:rPr>
        <w:t xml:space="preserve"> and is appropriate to address this study’s research question(s). Advantages of survey designs include the opportunity to </w:t>
      </w:r>
      <w:r w:rsidRPr="006407E5">
        <w:rPr>
          <w:rFonts w:ascii="Times New Roman" w:hAnsi="Times New Roman" w:cs="Times New Roman"/>
        </w:rPr>
        <w:lastRenderedPageBreak/>
        <w:t xml:space="preserve">collect perceptional measures from respondents, drawing data from a large population, and relatively low costs compared to some other designs (e.g., experiments). </w:t>
      </w:r>
      <w:r w:rsidRPr="006407E5">
        <w:rPr>
          <w:rFonts w:ascii="Times New Roman" w:hAnsi="Times New Roman" w:cs="Times New Roman"/>
          <w:bCs/>
        </w:rPr>
        <w:t>Survey</w:t>
      </w:r>
      <w:r w:rsidRPr="006407E5">
        <w:rPr>
          <w:rFonts w:ascii="Times New Roman" w:hAnsi="Times New Roman" w:cs="Times New Roman"/>
          <w:b/>
          <w:bCs/>
        </w:rPr>
        <w:t xml:space="preserve"> </w:t>
      </w:r>
      <w:r w:rsidRPr="006407E5">
        <w:rPr>
          <w:rFonts w:ascii="Times New Roman" w:hAnsi="Times New Roman" w:cs="Times New Roman"/>
        </w:rPr>
        <w:t xml:space="preserve">design can capture a large cross-section of the population so that its results enable higher generalizability than other methods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"McGrath", "given" : "Joseph E.", "non-dropping-particle" : "", "parse-names" : false, "suffix" : "" } ], "container-title" : "American Behavioral Scientist", "id" : "ITEM-1", "issue" : "2", "issued" : { "date-parts" : [ [ "1981" ] ] }, "page" : "179-210", "title" : "Dilemmatics: The Study of Research Choices and Dilemmas", "type" : "article-journal", "volume" : "25" }, "uris" : [ "http://www.mendeley.com/documents/?uuid=207c19d8-c727-4d2e-a65d-649f00c1f5b3" ] } ], "mendeley" : { "formattedCitation" : "(McGrath, 1981)", "plainTextFormattedCitation" : "(McGrath, 1981)", "previouslyFormattedCitation" : "(McGrath, 1981)"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(McGrath, 1981)</w:t>
      </w:r>
      <w:r w:rsidRPr="006407E5">
        <w:rPr>
          <w:rFonts w:ascii="Times New Roman" w:hAnsi="Times New Roman" w:cs="Times New Roman"/>
        </w:rPr>
        <w:fldChar w:fldCharType="end"/>
      </w:r>
      <w:r w:rsidRPr="006407E5">
        <w:rPr>
          <w:rFonts w:ascii="Times New Roman" w:hAnsi="Times New Roman" w:cs="Times New Roman"/>
        </w:rPr>
        <w:t xml:space="preserve">. In terms of supply chain resource orchestration and entrepreneurial orientation, the collection of perceptional data appears advisable, because neither SCRO nor EO could be captured directly. Furthermore, a survey might be the best approach to collect perceptional innovation performance data for industries where frequently used proxies such as patent registrations or patent citations are not available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"10.1111/j.1540-5885.2006.00214.x", "ISBN" : "1540-5885", "ISSN" : "07376782", "PMID" : "22165106", "abstract" : "Uncertainty about the ability for technological knowledge to be transformed to meet market demands, lack of complementary technologies, the lack of developed markets for a given technical feature, and other types of uncertainty add significant challenges to organizations as they develop products for future markets. In spite of these sig- nificant challenges, some organizations develop a dynamic capability in new product development that becomes a powerful source of competitive advantage and a source of renewal, growth, and adaptation as the environment changes. Many approaches to new product development (e.g., cross-functional development teams, quality function deployment, early supplier involvement, heavyweight product development teams) address the need to integrate knowledge more rapidly and effectively within projects. These approaches do not address, however, how knowledge is integrated over time or how integration of knowledge from previous new product development efforts influ- ences the firm\u2019s new product development performance. This study focuses on pro- viding a greater understanding of the integrative practices that contribute to this capability in new product development. Based on insights from the innovation and learning literatures, this study proposes relationships about the influence of knowledge retention and interpretation activities on the organization\u2019s ability to integrate knowl- edge developed in prior new product development projects and on new product devel- opment performance. Data collected from a sample of new product development professionals are employed to test the proposed relationships among knowledge re- tention, knowledge interpretation, integration of prior knowledge, and new product development performance. The findings suggest that knowledge retention and inter- pretation activities positively impact a firm\u2019s new product development performance. In particular, practices that enable the retention and interpretation of knowledge im- prove new product development performance indirectly through the firm\u2019s enhanced ability to apply knowledge developed in prior product development projects to sub- sequent projects. Practices that enable the interpretation of knowledge in the firm\u2019s current strategic context also improve new product development performance directly. These findings lead to important implications for managing new product development.", "author" : [ { "dropping-particle" : "", "family" : "Marsh", "given" : "Sarah J.", "non-dropping-particle" : "", "parse-names" : false, "suffix" : "" }, { "dropping-particle" : "", "family" : "Stock", "given" : "Gregory N.", "non-dropping-particle" : "", "parse-names" : false, "suffix" : "" } ], "container-title" : "Journal of Product Innovation Management", "id" : "ITEM-1", "issue" : "5", "issued" : { "date-parts" : [ [ "2006" ] ] }, "page" : "422-436", "title" : "Creating dynamic capability: The role of intertemporal integration, knowledge retention, and interpretation", "type" : "article-journal", "volume" : "23" }, "uris" : [ "http://www.mendeley.com/documents/?uuid=105d8240-1c39-4520-aa51-3845736cc784" ] } ], "mendeley" : { "formattedCitation" : "(Marsh &amp; Stock, 2006)", "plainTextFormattedCitation" : "(Marsh &amp; Stock, 2006)", "previouslyFormattedCitation" : "(Marsh &amp; Stock, 2006)"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(Marsh &amp; Stock, 2006)</w:t>
      </w:r>
      <w:r w:rsidRPr="006407E5">
        <w:rPr>
          <w:rFonts w:ascii="Times New Roman" w:hAnsi="Times New Roman" w:cs="Times New Roman"/>
        </w:rPr>
        <w:fldChar w:fldCharType="end"/>
      </w:r>
      <w:r w:rsidRPr="006407E5">
        <w:rPr>
          <w:rFonts w:ascii="Times New Roman" w:hAnsi="Times New Roman" w:cs="Times New Roman"/>
        </w:rPr>
        <w:t>. Specifically, the survey allowed collecting data from practitioners employed in the service industry, which has been researched to a lesser extent than traditional product-based industry in terms of innovation.</w:t>
      </w:r>
    </w:p>
    <w:p w14:paraId="08997587" w14:textId="77777777" w:rsidR="009B07A6" w:rsidRPr="006407E5" w:rsidRDefault="009B07A6" w:rsidP="007436E7">
      <w:pPr>
        <w:spacing w:line="480" w:lineRule="auto"/>
        <w:ind w:firstLine="720"/>
        <w:jc w:val="both"/>
        <w:rPr>
          <w:rFonts w:ascii="Times New Roman" w:hAnsi="Times New Roman" w:cs="Times New Roman"/>
        </w:rPr>
      </w:pPr>
    </w:p>
    <w:p w14:paraId="023E7870" w14:textId="77777777" w:rsidR="009B07A6" w:rsidRPr="006407E5" w:rsidRDefault="009B07A6" w:rsidP="00BC0CFE">
      <w:pPr>
        <w:pStyle w:val="Heading3new"/>
      </w:pPr>
      <w:r w:rsidRPr="00E25430">
        <w:t xml:space="preserve">Structural Equation Modeling Method </w:t>
      </w:r>
    </w:p>
    <w:p w14:paraId="319F239A" w14:textId="77777777" w:rsidR="009B07A6" w:rsidRPr="006407E5" w:rsidRDefault="009B07A6" w:rsidP="007436E7">
      <w:pPr>
        <w:spacing w:line="480" w:lineRule="auto"/>
        <w:jc w:val="both"/>
        <w:rPr>
          <w:rFonts w:ascii="Times New Roman" w:hAnsi="Times New Roman" w:cs="Times New Roman"/>
        </w:rPr>
      </w:pPr>
      <w:r w:rsidRPr="006407E5">
        <w:rPr>
          <w:rFonts w:ascii="Times New Roman" w:hAnsi="Times New Roman" w:cs="Times New Roman"/>
        </w:rPr>
        <w:t xml:space="preserve">With the structural equation modeling (SEM) technique, both a measurement model (confirmatory factor analysis FFA) and a structural model (path analysis) are developed and tested. SEM allows conducting both analyses in a combined way. A measurement model is critical to assess how well the observed measurement items (indicators) serve as a measurement instrument for the latent constructs/variables. As a major advantage, SEM is able to account for measurement error in the latent variables when estimating the path relationships between the factors, and in assessing all relationships simultaneously (not sequentially as in regression analysis)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"Rolph E", "non-dropping-particle" : "", "parse-names" : false, "suffix" : "" } ], "edition" : "7th", "id" : "ITEM-1", "issued" : { "date-parts" : [ [ "2010" ] ] }, "publisher" : "Pearson Education", "publisher-place" : "Upper Saddle River, NJ", "title" : "Multivariate Data Analysis", "type" : "book" }, "uris" : [ "http://www.mendeley.com/documents/?uuid=85133774-881c-45ab-a721-cedeebec9514" ] } ], "mendeley" : { "formattedCitation" : "(Hair, Black, Babin, &amp; Anderson, 2010)", "plainTextFormattedCitation" : "(Hair, Black, Babin, &amp; Anderson, 2010)", "previouslyFormattedCitation" : "(Hair, Black, Babin, &amp; Anderson, 2010)"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(Hair, Black, Babin, &amp; Anderson, 2010)</w:t>
      </w:r>
      <w:r w:rsidRPr="006407E5">
        <w:rPr>
          <w:rFonts w:ascii="Times New Roman" w:hAnsi="Times New Roman" w:cs="Times New Roman"/>
        </w:rPr>
        <w:fldChar w:fldCharType="end"/>
      </w:r>
      <w:r w:rsidRPr="006407E5">
        <w:rPr>
          <w:rFonts w:ascii="Times New Roman" w:hAnsi="Times New Roman" w:cs="Times New Roman"/>
        </w:rPr>
        <w:t xml:space="preserve">. </w:t>
      </w:r>
    </w:p>
    <w:p w14:paraId="4125864B" w14:textId="77777777" w:rsidR="009B07A6" w:rsidRPr="006407E5" w:rsidRDefault="009B07A6" w:rsidP="007436E7">
      <w:pPr>
        <w:spacing w:line="480" w:lineRule="auto"/>
        <w:jc w:val="both"/>
        <w:rPr>
          <w:rFonts w:ascii="Times New Roman" w:hAnsi="Times New Roman" w:cs="Times New Roman"/>
        </w:rPr>
      </w:pPr>
    </w:p>
    <w:p w14:paraId="579DB054" w14:textId="77777777" w:rsidR="009B07A6" w:rsidRPr="009B3693" w:rsidRDefault="009B07A6" w:rsidP="00BC0CFE">
      <w:pPr>
        <w:pStyle w:val="Heading4new"/>
      </w:pPr>
      <w:r w:rsidRPr="009B3693">
        <w:t>Exploratory Factor Analysis</w:t>
      </w:r>
    </w:p>
    <w:p w14:paraId="5782727C" w14:textId="77777777" w:rsidR="009B07A6" w:rsidRPr="009B3693" w:rsidRDefault="009B07A6" w:rsidP="007436E7">
      <w:pPr>
        <w:spacing w:line="480" w:lineRule="auto"/>
        <w:jc w:val="both"/>
        <w:rPr>
          <w:rFonts w:ascii="Times New Roman" w:hAnsi="Times New Roman" w:cs="Times New Roman"/>
        </w:rPr>
      </w:pPr>
      <w:r w:rsidRPr="009B3693">
        <w:rPr>
          <w:rFonts w:ascii="Times New Roman" w:hAnsi="Times New Roman" w:cs="Times New Roman"/>
        </w:rPr>
        <w:t xml:space="preserve">Some researchers have recommended doing an EFA as an initial step of measurement model analysis when using measurement items in a new context. </w:t>
      </w:r>
    </w:p>
    <w:p w14:paraId="426EF56F" w14:textId="77777777" w:rsidR="009B07A6" w:rsidRDefault="009B07A6" w:rsidP="007436E7">
      <w:pPr>
        <w:spacing w:line="480" w:lineRule="auto"/>
        <w:jc w:val="both"/>
        <w:rPr>
          <w:rFonts w:ascii="Times New Roman" w:hAnsi="Times New Roman" w:cs="Times New Roman"/>
        </w:rPr>
      </w:pPr>
      <w:r w:rsidRPr="009B3693">
        <w:rPr>
          <w:rFonts w:ascii="Times New Roman" w:hAnsi="Times New Roman" w:cs="Times New Roman"/>
        </w:rPr>
        <w:lastRenderedPageBreak/>
        <w:t xml:space="preserve">As there are no established and verified scales available for SCRO, an exploratory factor analysis (EFA), which is an unguided method, was conducted in SPSS. EFA assists in indicating how many factors are necessary to explain the relationships among a set of indicators with estimation of factor loadings. Thus, an </w:t>
      </w:r>
      <w:r w:rsidRPr="009B3693">
        <w:rPr>
          <w:rFonts w:ascii="Times New Roman" w:hAnsi="Times New Roman" w:cs="Times New Roman"/>
          <w:b/>
        </w:rPr>
        <w:t>exploratory factor analysis</w:t>
      </w:r>
      <w:r w:rsidRPr="009B3693">
        <w:rPr>
          <w:rFonts w:ascii="Times New Roman" w:hAnsi="Times New Roman" w:cs="Times New Roman"/>
        </w:rPr>
        <w:t xml:space="preserve"> (EFA) was performed for supply chain resource orchestration and entrepreneurial orientation. The initial model with all items was analyzed (KMO test was significant, the lowest communalities were checked.  The Eigenvalue = 1 was used as a cut-off criterion. However, a number of cross-loadings were noticeable. Step-by-step, the individual items were removed to eliminate the problem of cross-loaders (the item with the lowest communality was chosen for the next removal step) until all cross-loadings were</w:t>
      </w:r>
      <w:r w:rsidRPr="006407E5">
        <w:rPr>
          <w:rFonts w:ascii="Times New Roman" w:hAnsi="Times New Roman" w:cs="Times New Roman"/>
        </w:rPr>
        <w:t xml:space="preserve"> eliminated. The EFA results were then used for the subsequent confirmatory factor analysis that will be described later in this section.</w:t>
      </w:r>
      <w:r>
        <w:rPr>
          <w:rFonts w:ascii="Times New Roman" w:hAnsi="Times New Roman" w:cs="Times New Roman"/>
        </w:rPr>
        <w:t xml:space="preserve"> </w:t>
      </w:r>
    </w:p>
    <w:p w14:paraId="35CA7CDD" w14:textId="77777777" w:rsidR="009B07A6" w:rsidRPr="009B3693" w:rsidRDefault="009B07A6" w:rsidP="007436E7">
      <w:pPr>
        <w:spacing w:line="480" w:lineRule="auto"/>
        <w:jc w:val="both"/>
        <w:rPr>
          <w:rFonts w:ascii="Times New Roman" w:hAnsi="Times New Roman" w:cs="Times New Roman"/>
        </w:rPr>
      </w:pPr>
    </w:p>
    <w:p w14:paraId="34250673" w14:textId="77777777" w:rsidR="009B07A6" w:rsidRPr="00E25430" w:rsidRDefault="009B07A6" w:rsidP="00BC0CFE">
      <w:pPr>
        <w:pStyle w:val="Heading4new"/>
      </w:pPr>
      <w:r w:rsidRPr="00E25430">
        <w:t xml:space="preserve">Survey Instrument Development </w:t>
      </w:r>
    </w:p>
    <w:p w14:paraId="0B752D4B" w14:textId="4730FC7D" w:rsidR="009B07A6" w:rsidRPr="006407E5" w:rsidRDefault="009B07A6" w:rsidP="007436E7">
      <w:pPr>
        <w:spacing w:line="480" w:lineRule="auto"/>
        <w:jc w:val="both"/>
        <w:rPr>
          <w:rFonts w:ascii="Times New Roman" w:hAnsi="Times New Roman" w:cs="Times New Roman"/>
        </w:rPr>
      </w:pPr>
      <w:r w:rsidRPr="006407E5">
        <w:rPr>
          <w:rFonts w:ascii="Times New Roman" w:hAnsi="Times New Roman" w:cs="Times New Roman"/>
        </w:rPr>
        <w:t xml:space="preserve">The survey questions are based on the existing literature. Following other researchers, a detailed survey pre-test with supply chain management scholars and practitioners was performed to verify the questionnaire beforehand and clarify potentially ambiguous questions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"Dillman", "given" : "Don A", "non-dropping-particle" : "", "parse-names" : false, "suffix" : "" } ], "edition" : "Second Edi", "id" : "ITEM-1", "issued" : { "date-parts" : [ [ "2007" ] ] }, "publisher" : "John Wiley &amp; Sons", "publisher-place" : "Hoboken, NJ", "title" : "Mail and Internet Surveys: The Tailored Design Method", "type" : "book" }, "uris" : [ "http://www.mendeley.com/documents/?uuid=e0d1081e-e7c0-4929-bc35-4fb48d25eb7d" ] } ], "mendeley" : { "formattedCitation" : "(Dillman, 2007)", "plainTextFormattedCitation" : "(Dillman, 2007)", "previouslyFormattedCitation" : "(Dillman, 2007)"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(Dillman, 2007)</w:t>
      </w:r>
      <w:r w:rsidRPr="006407E5">
        <w:rPr>
          <w:rFonts w:ascii="Times New Roman" w:hAnsi="Times New Roman" w:cs="Times New Roman"/>
        </w:rPr>
        <w:fldChar w:fldCharType="end"/>
      </w:r>
      <w:r w:rsidRPr="006407E5">
        <w:rPr>
          <w:rFonts w:ascii="Times New Roman" w:hAnsi="Times New Roman" w:cs="Times New Roman"/>
        </w:rPr>
        <w:t xml:space="preserve">. The questionnaire was reviewed by eleven supply chain, marketing, and entrepreneurship scholars and a number of practitioners from the author’s former employer. They were asked to read through the questionnaire and provide feedback whether the questions were clear, understandable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"DOI" : "10.1037//0021-9010.86.1.114", "author" : [ { "dropping-particle" : "", "family" : "Lindell", "given" : "Michael K", "non-dropping-particle" : "", "parse-names" : false, "suffix" : "" }, { "dropping-particle" : "", "family" : "Whitney", "given" : "David J", "non-dropping-particle" : "", "parse-names" : false, "suffix" : "" } ], "container-title" : "Journal of Applied Psychology", "id" : "ITEM-1", "issue" : "1", "issued" : { "date-parts" : [ [ "2001" ] ] }, "page" : "114-121", "title" : "Accounting for Common Method Variance in Cross-Sectional Research Design", "type" : "article-journal", "volume" : "86" }, "uris" : [ "http://www.mendeley.com/documents/?uuid=ad2c8992-0f3e-490b-bec0-3f6b30724063" ] } ], "mendeley" : { "formattedCitation" : "(Lindell &amp; Whitney, 2001)", "plainTextFormattedCitation" : "(Lindell &amp; Whitney, 2001)", "previouslyFormattedCitation" : "(Lindell &amp; Whitney, 2001)"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(Lindell &amp; Whitney, 2001)</w:t>
      </w:r>
      <w:r w:rsidRPr="006407E5">
        <w:rPr>
          <w:rFonts w:ascii="Times New Roman" w:hAnsi="Times New Roman" w:cs="Times New Roman"/>
        </w:rPr>
        <w:fldChar w:fldCharType="end"/>
      </w:r>
      <w:r w:rsidRPr="006407E5">
        <w:rPr>
          <w:rFonts w:ascii="Times New Roman" w:hAnsi="Times New Roman" w:cs="Times New Roman"/>
        </w:rPr>
        <w:t xml:space="preserve">. They also commented on the survey length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"Dillman", "given" : "Don A", "non-dropping-particle" : "", "parse-names" : false, "suffix" : "" } ], "edition" : "Second Edi", "id" : "ITEM-1", "issued" : { "date-parts" : [ [ "2007" ] ] }, "publisher" : "John Wiley &amp; Sons", "publisher-place" : "Hoboken, NJ", "title" : "Mail and Internet Surveys: The Tailored Design Method", "type" : "book" }, "uris" : [ "http://www.mendeley.com/documents/?uuid=e0d1081e-e7c0-4929-bc35-4fb48d25eb7d" ] } ], "mendeley" : { "formattedCitation" : "(Dillman, 2007)", "plainTextFormattedCitation" : "(Dillman, 2007)", "previouslyFormattedCitation" : "(Dillman, 2007)"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(Dillman, 2007)</w:t>
      </w:r>
      <w:r w:rsidRPr="006407E5">
        <w:rPr>
          <w:rFonts w:ascii="Times New Roman" w:hAnsi="Times New Roman" w:cs="Times New Roman"/>
        </w:rPr>
        <w:fldChar w:fldCharType="end"/>
      </w:r>
      <w:r w:rsidRPr="006407E5">
        <w:rPr>
          <w:rFonts w:ascii="Times New Roman" w:hAnsi="Times New Roman" w:cs="Times New Roman"/>
        </w:rPr>
        <w:t xml:space="preserve">. Due to their feedback, the attention checks and marker variables were slightly adjusted to ensure a better question flow. Two questions (intended as marker variables) were dropped because it appeared too obvious to the reviewers as insufficiently related to the study focus. Hence, the pre-testers </w:t>
      </w:r>
      <w:r w:rsidRPr="006407E5">
        <w:rPr>
          <w:rFonts w:ascii="Times New Roman" w:hAnsi="Times New Roman" w:cs="Times New Roman"/>
        </w:rPr>
        <w:lastRenderedPageBreak/>
        <w:t xml:space="preserve">highlighted this as problematic and even possibly annoying for the respondents.  The wording of some questions was refined to eliminate any ambiguity as much as possible </w:t>
      </w:r>
      <w:r w:rsidRPr="006407E5">
        <w:rPr>
          <w:rFonts w:ascii="Times New Roman" w:hAnsi="Times New Roman" w:cs="Times New Roman"/>
        </w:rPr>
        <w:fldChar w:fldCharType="begin" w:fldLock="1"/>
      </w:r>
      <w:r w:rsidRPr="006407E5">
        <w:rPr>
          <w:rFonts w:ascii="Times New Roman" w:hAnsi="Times New Roman" w:cs="Times New Roman"/>
        </w:rPr>
        <w:instrText>ADDIN CSL_CITATION { "citationItems" : [ { "id" : "ITEM-1", "itemData" : { "author" : [ { "dropping-particle" : "", "family" : "Schwarz", "given" : "Norbert", "non-dropping-particle" : "", "parse-names" : false, "suffix" : "" } ], "container-title" : "American Psychologist", "id" : "ITEM-1", "issue" : "2", "issued" : { "date-parts" : [ [ "1999" ] ] }, "page" : "93-105", "title" : "Self-Reports: How the Questions Shape the Answers", "type" : "article-journal", "volume" : "54" }, "uris" : [ "http://www.mendeley.com/documents/?uuid=698eef24-43eb-47aa-ad71-739bbd2c35fd" ] } ], "mendeley" : { "formattedCitation" : "(Schwarz, 1999)", "plainTextFormattedCitation" : "(Schwarz, 1999)", "previouslyFormattedCitation" : "(Schwarz, 1999)" }, "properties" : { "noteIndex" : 0 }, "schema" : "https://github.com/citation-style-language/schema/raw/master/csl-citation.json" }</w:instrText>
      </w:r>
      <w:r w:rsidRPr="006407E5">
        <w:rPr>
          <w:rFonts w:ascii="Times New Roman" w:hAnsi="Times New Roman" w:cs="Times New Roman"/>
        </w:rPr>
        <w:fldChar w:fldCharType="separate"/>
      </w:r>
      <w:r w:rsidRPr="006407E5">
        <w:rPr>
          <w:rFonts w:ascii="Times New Roman" w:hAnsi="Times New Roman" w:cs="Times New Roman"/>
          <w:noProof/>
        </w:rPr>
        <w:t>(Schwarz, 1999)</w:t>
      </w:r>
      <w:r w:rsidRPr="006407E5">
        <w:rPr>
          <w:rFonts w:ascii="Times New Roman" w:hAnsi="Times New Roman" w:cs="Times New Roman"/>
        </w:rPr>
        <w:fldChar w:fldCharType="end"/>
      </w:r>
      <w:r w:rsidRPr="006407E5">
        <w:rPr>
          <w:rFonts w:ascii="Times New Roman" w:hAnsi="Times New Roman" w:cs="Times New Roman"/>
        </w:rPr>
        <w:t>. Based on this review process, the final survey included some relatively minor adaptions and rephrasing of questions to eliminate potential ambiguities</w:t>
      </w:r>
      <w:r>
        <w:rPr>
          <w:rFonts w:ascii="Times New Roman" w:hAnsi="Times New Roman" w:cs="Times New Roman"/>
        </w:rPr>
        <w:t>.</w:t>
      </w:r>
    </w:p>
    <w:p w14:paraId="29573C9C" w14:textId="77777777" w:rsidR="009B07A6" w:rsidRDefault="009B07A6" w:rsidP="007436E7">
      <w:pPr>
        <w:spacing w:line="480" w:lineRule="auto"/>
        <w:jc w:val="both"/>
        <w:rPr>
          <w:rFonts w:ascii="Times New Roman" w:hAnsi="Times New Roman" w:cs="Times New Roman"/>
        </w:rPr>
      </w:pPr>
    </w:p>
    <w:p w14:paraId="74971080" w14:textId="77777777" w:rsidR="00CB019C" w:rsidRPr="00975B92" w:rsidRDefault="00CB019C" w:rsidP="00BC0CFE">
      <w:pPr>
        <w:pStyle w:val="Heading4new"/>
      </w:pPr>
      <w:r w:rsidRPr="00975B92">
        <w:t xml:space="preserve">Measurement Items  </w:t>
      </w:r>
    </w:p>
    <w:p w14:paraId="62610405"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Existing scales were used as much as feasible. The survey was administered using panel data from Qualtrics. To better understand boundary conditions of the particular setting, several control variables were included. With the exception of the SCRO construct, existing measurement scales could be used for this survey research and adapted if necessary. The advantage was that those existing scales were previously tested and validated already. Hence, current scales for entrepreneurial orientation, innovation performance, and financial performance were utilized. However, there is no available scale for either resource orchestration or supply chain resource orchestration practices available yet. So far, other researchers have operationalized related constructs such as resource integration practices, sourcing processes, SCM practices, or orchestration practices, etc.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"10.1016/j.jom.2014.09.004", "ISSN" : "0272-6963", "author" : [ { "dropping-particle" : "", "family" : "Vanpoucke", "given" : "Evelyne", "non-dropping-particle" : "", "parse-names" : false, "suffix" : "" }, { "dropping-particle" : "", "family" : "Vereecke", "given" : "Ann", "non-dropping-particle" : "", "parse-names" : false, "suffix" : "" }, { "dropping-particle" : "", "family" : "Wetzels", "given" : "Martin", "non-dropping-particle" : "", "parse-names" : false, "suffix" : "" } ], "container-title" : "Journal of Operations Management", "id" : "ITEM-1", "issue" : "7-8", "issued" : { "date-parts" : [ [ "2014" ] ] }, "page" : "446-461", "publisher" : "Elsevier B.V.", "title" : "Developing supplier integration capabilities for sustainable competitive advantage: A dynamic capabilities approach", "type" : "article-journal", "volume" : "32" }, "uris" : [ "http://www.mendeley.com/documents/?uuid=69c0584a-cdeb-41ad-b930-8d5211b9e200" ] }, { "id" : "ITEM-2", "itemData" : { "DOI" : "10.1016/j.jom.2005.01.002", "author" : [ { "dropping-particle" : "", "family" : "Li", "given" : "Suhong", "non-dropping-particle" : "", "parse-names" : false, "suffix" : "" }, { "dropping-particle" : "", "family" : "Rao", "given" : "S Subba", "non-dropping-particle" : "", "parse-names" : false, "suffix" : "" }, { "dropping-particle" : "", "family" : "Ragu-Nathan", "given" : "T S", "non-dropping-particle" : "", "parse-names" : false, "suffix" : "" }, { "dropping-particle" : "", "family" : "Ragu-Nathan", "given" : "Bhanu", "non-dropping-particle" : "", "parse-names" : false, "suffix" : "" } ], "container-title" : "Journal of Operations Management", "id" : "ITEM-2", "issued" : { "date-parts" : [ [ "2005" ] ] }, "page" : "618-641", "title" : "Development and validation of a measurement instrument for studying supply chain management practices", "type" : "article-journal", "volume" : "23" }, "uris" : [ "http://www.mendeley.com/documents/?uuid=4674cbd7-3b54-4a13-a106-48b9df0ae2dc" ] } ], "mendeley" : { "formattedCitation" : "(Li et al., 2005; Vanpoucke, Vereecke, &amp; Wetzels, 2014)", "plainTextFormattedCitation" : "(Li et al., 2005; Vanpoucke, Vereecke, &amp; Wetzels, 2014)", "previouslyFormattedCitation" : "(Li et al., 2005; Vanpoucke, Vereecke, &amp; Wetzels, 2014)"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(Li et al., 2005; Vanpoucke, Vereecke, &amp; Wetzels, 2014)</w:t>
      </w:r>
      <w:r w:rsidRPr="00975B92">
        <w:rPr>
          <w:rFonts w:ascii="Times New Roman" w:hAnsi="Times New Roman" w:cs="Times New Roman"/>
        </w:rPr>
        <w:fldChar w:fldCharType="end"/>
      </w:r>
      <w:r w:rsidRPr="00975B92">
        <w:rPr>
          <w:rFonts w:ascii="Times New Roman" w:hAnsi="Times New Roman" w:cs="Times New Roman"/>
        </w:rPr>
        <w:t xml:space="preserve"> which served as a foundation. Hence, particular effort was placed on item generation, scale development, and construct validation (Hinkin 1995, deVellis 2003, Hair et al. 2010). </w:t>
      </w:r>
    </w:p>
    <w:p w14:paraId="3EE42808" w14:textId="1CCF10DE"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As recommended by other researchers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"Hinkin", "given" : "Timothy", "non-dropping-particle" : "", "parse-names" : false, "suffix" : "" } ], "container-title" : "Journal of Management", "id" : "ITEM-1", "issued" : { "date-parts" : [ [ "1995" ] ] }, "page" : "967-988", "title" : "A Review of Scale Development Practices in the Study of Organizations", "type" : "article-journal", "volume" : "21" }, "uris" : [ "http://www.mendeley.com/documents/?uuid=b80f199c-7ae9-4bb7-81a0-4cf8abed0b95" ] } ], "mendeley" : { "formattedCitation" : "(Hinkin, 1995)", "plainTextFormattedCitation" : "(Hinkin, 1995)", "previouslyFormattedCitation" : "(Hinkin, 1995)"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(Hinkin, 1995)</w:t>
      </w:r>
      <w:r w:rsidRPr="00975B92">
        <w:rPr>
          <w:rFonts w:ascii="Times New Roman" w:hAnsi="Times New Roman" w:cs="Times New Roman"/>
        </w:rPr>
        <w:fldChar w:fldCharType="end"/>
      </w:r>
      <w:r w:rsidRPr="00975B92">
        <w:rPr>
          <w:rFonts w:ascii="Times New Roman" w:hAnsi="Times New Roman" w:cs="Times New Roman"/>
        </w:rPr>
        <w:t>, a consistent 7-point Likert</w:t>
      </w:r>
      <w:r w:rsidR="006637D8">
        <w:rPr>
          <w:rFonts w:ascii="Times New Roman" w:hAnsi="Times New Roman" w:cs="Times New Roman"/>
        </w:rPr>
        <w:t>-type</w:t>
      </w:r>
      <w:r w:rsidRPr="00975B92">
        <w:rPr>
          <w:rFonts w:ascii="Times New Roman" w:hAnsi="Times New Roman" w:cs="Times New Roman"/>
        </w:rPr>
        <w:t xml:space="preserve"> scale with the end points of ‘‘strongly disagree’’ and ‘‘strongly agree’’ was applied for measuring both the predictors (SCRO and EO) and the outcome variables (innovation and financial performance). The next section will include the pre-testing and pilot testing of the survey instrument, and a description of the detailed steps conducted to verify the construct validity of all items.</w:t>
      </w:r>
    </w:p>
    <w:p w14:paraId="3179B5C6" w14:textId="77777777" w:rsidR="00BC0CFE" w:rsidRDefault="00BC0CFE" w:rsidP="007436E7">
      <w:pPr>
        <w:spacing w:line="480" w:lineRule="auto"/>
        <w:jc w:val="both"/>
        <w:rPr>
          <w:rFonts w:ascii="Times New Roman" w:hAnsi="Times New Roman" w:cs="Times New Roman"/>
          <w:b/>
        </w:rPr>
      </w:pPr>
    </w:p>
    <w:p w14:paraId="51E08A2E" w14:textId="77777777" w:rsidR="00CB019C" w:rsidRPr="00975B92" w:rsidRDefault="00CB019C" w:rsidP="00BC0CFE">
      <w:pPr>
        <w:pStyle w:val="Heading4new"/>
      </w:pPr>
      <w:r w:rsidRPr="00975B92">
        <w:t>Supply Chain Resource Orchestration</w:t>
      </w:r>
    </w:p>
    <w:p w14:paraId="2E21E74B" w14:textId="224E4446"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The SCRO items were developed on the basis of the emerging resource orchestration research stream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"10.1177/0149206310385695", "abstract" : "In this article, the authors discuss how an emerging research stream, which they term resource orchestration, has the potential to extend the understanding of resource-based theory (RBT) by explicitly addressing the role of managers\u2019 actions to effectively structure, bundle, and leverage firm resources. First, the authors review this emerging stream by comparing two related frame- works, resource management and asset orchestration. This comparison leads to their integra- tion, which enables a more precise understanding of managers\u2019 roles within RBT. Then the authors discuss what is known and what remains to be known about resource orchestration. This leads to in-depth reviews of three areas where research on resource orchestration can be used to extend RBT. These areas are (1) breadth (resource orchestration across the scope of the firm), (2) life cycle (resource orchestration at various stages of firm maturity), and (3) depth (resource orchestration across levels of the firm). They close with a discussion of future research that will extend resource orchestration and contribute to a more robust RBT.", "author" : [ { "dropping-particle" : "", "family" : "Sirmon", "given" : "David G", "non-dropping-particle" : "", "parse-names" : false, "suffix" : "" }, { "dropping-particle" : "", "family" : "Hitt", "given" : "Michael A", "non-dropping-particle" : "", "parse-names" : false, "suffix" : "" }, { "dropping-particle" : "", "family" : "Ireland", "given" : "R Duane", "non-dropping-particle" : "", "parse-names" : false, "suffix" : "" }, { "dropping-particle" : "", "family" : "Gilbert", "given" : "Brett Anitra", "non-dropping-particle" : "", "parse-names" : false, "suffix" : "" } ], "container-title" : "Journal of Management", "id" : "ITEM-1", "issue" : "5", "issued" : { "date-parts" : [ [ "2011" ] ] }, "page" : "1390-1412", "title" : "Resource Orchestration to Create Competitive Advantage : Breadth , Depth , and Life Cycle Effects", "type" : "article-journal", "volume" : "37" }, "uris" : [ "http://www.mendeley.com/documents/?uuid=df01772e-ce13-438b-8f66-311820f46da2" ] } ], "mendeley" : { "formattedCitation" : "(Sirmon et al., 2011)", "plainTextFormattedCitation" : "(Sirmon et al., 2011)", "previouslyFormattedCitation" : "(Sirmon et al., 2011)"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(Sirmon et al., 2011)</w:t>
      </w:r>
      <w:r w:rsidRPr="00975B92">
        <w:rPr>
          <w:rFonts w:ascii="Times New Roman" w:hAnsi="Times New Roman" w:cs="Times New Roman"/>
        </w:rPr>
        <w:fldChar w:fldCharType="end"/>
      </w:r>
      <w:r w:rsidRPr="00975B92">
        <w:rPr>
          <w:rFonts w:ascii="Times New Roman" w:hAnsi="Times New Roman" w:cs="Times New Roman"/>
        </w:rPr>
        <w:t xml:space="preserve"> as well as the research interviews with practitioners from various industries and firm sizes. The literature definitions of SCRO and its three sub-processes were already depicted in the prior Tables 1</w:t>
      </w:r>
      <w:r w:rsidR="001711CF">
        <w:rPr>
          <w:rFonts w:ascii="Times New Roman" w:hAnsi="Times New Roman" w:cs="Times New Roman"/>
        </w:rPr>
        <w:t>9</w:t>
      </w:r>
      <w:r w:rsidRPr="00975B92">
        <w:rPr>
          <w:rFonts w:ascii="Times New Roman" w:hAnsi="Times New Roman" w:cs="Times New Roman"/>
        </w:rPr>
        <w:t>-</w:t>
      </w:r>
      <w:r w:rsidR="001711CF">
        <w:rPr>
          <w:rFonts w:ascii="Times New Roman" w:hAnsi="Times New Roman" w:cs="Times New Roman"/>
        </w:rPr>
        <w:t>21</w:t>
      </w:r>
      <w:r w:rsidRPr="00975B92">
        <w:rPr>
          <w:rFonts w:ascii="Times New Roman" w:hAnsi="Times New Roman" w:cs="Times New Roman"/>
        </w:rPr>
        <w:t xml:space="preserve">. All the three main sub-processes of resource structuring, bundling, and leveraging are addressed with multiple scale items to enhance the reliability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"Hinkin", "given" : "Timothy", "non-dropping-particle" : "", "parse-names" : false, "suffix" : "" } ], "container-title" : "Journal of Management", "id" : "ITEM-1", "issued" : { "date-parts" : [ [ "1995" ] ] }, "page" : "967-988", "title" : "A Review of Scale Development Practices in the Study of Organizations", "type" : "article-journal", "volume" : "21" }, "uris" : [ "http://www.mendeley.com/documents/?uuid=b80f199c-7ae9-4bb7-81a0-4cf8abed0b95" ] }, { "id" : "ITEM-2", "itemData" : { "ISBN" : "978-0-7619-2605-4", "author" : [ { "dropping-particle" : "", "family" : "DeVellis", "given" : "Robert F.", "non-dropping-particle" : "", "parse-names" : false, "suffix" : "" } ], "edition" : "Second Edi", "id" : "ITEM-2", "issued" : { "date-parts" : [ [ "2003" ] ] }, "publisher" : "Sage Publications", "publisher-place" : "Thousand Oaks, CA", "title" : "Scale Development: Theory and Applications", "type" : "book" }, "uris" : [ "http://www.mendeley.com/documents/?uuid=a8998dfb-35c4-4b7f-afd4-165e0a275b0a" ] } ], "mendeley" : { "formattedCitation" : "(DeVellis, 2003; Hinkin, 1995)", "plainTextFormattedCitation" : "(DeVellis, 2003; Hinkin, 1995)", "previouslyFormattedCitation" : "(DeVellis, 2003; Hinkin, 1995)"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(DeVellis, 2003; Hinkin, 1995)</w:t>
      </w:r>
      <w:r w:rsidRPr="00975B92">
        <w:rPr>
          <w:rFonts w:ascii="Times New Roman" w:hAnsi="Times New Roman" w:cs="Times New Roman"/>
        </w:rPr>
        <w:fldChar w:fldCharType="end"/>
      </w:r>
      <w:r w:rsidRPr="00975B92">
        <w:rPr>
          <w:rFonts w:ascii="Times New Roman" w:hAnsi="Times New Roman" w:cs="Times New Roman"/>
        </w:rPr>
        <w:t xml:space="preserve">. The following Tables </w:t>
      </w:r>
      <w:r w:rsidR="001711CF">
        <w:rPr>
          <w:rFonts w:ascii="Times New Roman" w:hAnsi="Times New Roman" w:cs="Times New Roman"/>
        </w:rPr>
        <w:t>22</w:t>
      </w:r>
      <w:r w:rsidRPr="00975B92">
        <w:rPr>
          <w:rFonts w:ascii="Times New Roman" w:hAnsi="Times New Roman" w:cs="Times New Roman"/>
        </w:rPr>
        <w:t>-</w:t>
      </w:r>
      <w:r w:rsidR="001711CF">
        <w:rPr>
          <w:rFonts w:ascii="Times New Roman" w:hAnsi="Times New Roman" w:cs="Times New Roman"/>
        </w:rPr>
        <w:t>24</w:t>
      </w:r>
      <w:r w:rsidRPr="00975B92">
        <w:rPr>
          <w:rFonts w:ascii="Times New Roman" w:hAnsi="Times New Roman" w:cs="Times New Roman"/>
        </w:rPr>
        <w:t xml:space="preserve"> summarize the measurement items for SCRO, EO, and both performance constructs.</w:t>
      </w:r>
    </w:p>
    <w:p w14:paraId="65B30741" w14:textId="77777777" w:rsidR="00CB019C" w:rsidRPr="00975B92" w:rsidRDefault="00CB019C" w:rsidP="007436E7">
      <w:pPr>
        <w:spacing w:line="480" w:lineRule="auto"/>
        <w:jc w:val="both"/>
        <w:rPr>
          <w:rFonts w:ascii="Times New Roman" w:hAnsi="Times New Roman" w:cs="Times New Roman"/>
        </w:rPr>
      </w:pPr>
    </w:p>
    <w:p w14:paraId="593701EC" w14:textId="68F2F51C" w:rsidR="001711CF" w:rsidRDefault="001711CF" w:rsidP="001711CF">
      <w:pPr>
        <w:pStyle w:val="Caption"/>
        <w:keepNext/>
        <w:jc w:val="both"/>
      </w:pPr>
      <w:bookmarkStart w:id="123" w:name="_Toc358326858"/>
      <w:r>
        <w:t xml:space="preserve">Table </w:t>
      </w:r>
      <w:fldSimple w:instr=" SEQ Table \* ARABIC ">
        <w:r w:rsidR="00C2793E">
          <w:rPr>
            <w:noProof/>
          </w:rPr>
          <w:t>22</w:t>
        </w:r>
        <w:bookmarkEnd w:id="123"/>
      </w:fldSimple>
    </w:p>
    <w:p w14:paraId="202A2EBE" w14:textId="4BB21BFF"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Measurement Items of SCRO</w:t>
      </w:r>
    </w:p>
    <w:tbl>
      <w:tblPr>
        <w:tblStyle w:val="TableGrid"/>
        <w:tblW w:w="0" w:type="auto"/>
        <w:tblLook w:val="04A0" w:firstRow="1" w:lastRow="0" w:firstColumn="1" w:lastColumn="0" w:noHBand="0" w:noVBand="1"/>
      </w:tblPr>
      <w:tblGrid>
        <w:gridCol w:w="1603"/>
        <w:gridCol w:w="7253"/>
      </w:tblGrid>
      <w:tr w:rsidR="00CB019C" w:rsidRPr="00975B92" w14:paraId="5469E91E" w14:textId="77777777" w:rsidTr="00776510">
        <w:tc>
          <w:tcPr>
            <w:tcW w:w="1603" w:type="dxa"/>
          </w:tcPr>
          <w:p w14:paraId="0D4FF89B"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SCRO</w:t>
            </w:r>
          </w:p>
        </w:tc>
        <w:tc>
          <w:tcPr>
            <w:tcW w:w="7253" w:type="dxa"/>
          </w:tcPr>
          <w:p w14:paraId="50011405"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Adapted from: Hitt et al., 2011; Li et al., 2005; Sirmon et al., 2007, 2011 Vanpoucke et al., 2014; Wowak et al., 2016</w:t>
            </w:r>
          </w:p>
        </w:tc>
      </w:tr>
      <w:tr w:rsidR="00CB019C" w:rsidRPr="00975B92" w14:paraId="522A04C1" w14:textId="77777777" w:rsidTr="00776510">
        <w:tc>
          <w:tcPr>
            <w:tcW w:w="1603" w:type="dxa"/>
          </w:tcPr>
          <w:p w14:paraId="7E2113EA"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Structuring</w:t>
            </w:r>
          </w:p>
        </w:tc>
        <w:tc>
          <w:tcPr>
            <w:tcW w:w="7253" w:type="dxa"/>
          </w:tcPr>
          <w:p w14:paraId="5605E70D"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My organization …</w:t>
            </w:r>
          </w:p>
          <w:p w14:paraId="3B7DBF0E" w14:textId="77777777" w:rsidR="00CB019C" w:rsidRPr="00975B92" w:rsidRDefault="00CB019C" w:rsidP="007436E7">
            <w:pPr>
              <w:tabs>
                <w:tab w:val="center" w:pos="4320"/>
                <w:tab w:val="right" w:pos="8640"/>
              </w:tabs>
              <w:jc w:val="both"/>
              <w:rPr>
                <w:rFonts w:ascii="Times New Roman" w:hAnsi="Times New Roman" w:cs="Times New Roman"/>
              </w:rPr>
            </w:pPr>
          </w:p>
          <w:p w14:paraId="6217540D"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Obtains externally available know how from the supply chain to complement existing capabilities  </w:t>
            </w:r>
          </w:p>
          <w:p w14:paraId="34005A01"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Invests in innovative technology developed by external companies from the supply chain  </w:t>
            </w:r>
          </w:p>
          <w:p w14:paraId="0C89A5B1"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Renews its in-house process capabilities by adding expertise from suppliers  </w:t>
            </w:r>
          </w:p>
          <w:p w14:paraId="17A63C2A"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Updates the in-house technology with supply chain input  </w:t>
            </w:r>
          </w:p>
          <w:p w14:paraId="5F5EC7F6"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Captures knowledge from the supply chain  </w:t>
            </w:r>
          </w:p>
        </w:tc>
      </w:tr>
      <w:tr w:rsidR="00CB019C" w:rsidRPr="00975B92" w14:paraId="1F5D7A5B" w14:textId="77777777" w:rsidTr="00776510">
        <w:tc>
          <w:tcPr>
            <w:tcW w:w="1603" w:type="dxa"/>
          </w:tcPr>
          <w:p w14:paraId="31053888"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Bundling</w:t>
            </w:r>
          </w:p>
        </w:tc>
        <w:tc>
          <w:tcPr>
            <w:tcW w:w="7253" w:type="dxa"/>
          </w:tcPr>
          <w:p w14:paraId="305679C5"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My organization …</w:t>
            </w:r>
          </w:p>
          <w:p w14:paraId="008A5589" w14:textId="77777777" w:rsidR="00CB019C" w:rsidRPr="00975B92" w:rsidRDefault="00CB019C" w:rsidP="007436E7">
            <w:pPr>
              <w:tabs>
                <w:tab w:val="center" w:pos="4320"/>
                <w:tab w:val="right" w:pos="8640"/>
              </w:tabs>
              <w:jc w:val="both"/>
              <w:rPr>
                <w:rFonts w:ascii="Times New Roman" w:hAnsi="Times New Roman" w:cs="Times New Roman"/>
              </w:rPr>
            </w:pPr>
          </w:p>
          <w:p w14:paraId="56000983"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Recombines external knowledge to create new organizational know how  </w:t>
            </w:r>
          </w:p>
          <w:p w14:paraId="5A79CEE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Converts external knowledge into in-house capabilities  </w:t>
            </w:r>
          </w:p>
          <w:p w14:paraId="0E02E02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Synchronizes internal with external innovation activities  </w:t>
            </w:r>
          </w:p>
        </w:tc>
      </w:tr>
      <w:tr w:rsidR="00CB019C" w:rsidRPr="00975B92" w14:paraId="5B8B4BF8" w14:textId="77777777" w:rsidTr="00776510">
        <w:tc>
          <w:tcPr>
            <w:tcW w:w="1603" w:type="dxa"/>
          </w:tcPr>
          <w:p w14:paraId="602BAE27"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Leveraging </w:t>
            </w:r>
            <w:r w:rsidRPr="00975B92">
              <w:rPr>
                <w:rFonts w:ascii="Times New Roman" w:hAnsi="Times New Roman" w:cs="Times New Roman"/>
                <w:b/>
              </w:rPr>
              <w:t xml:space="preserve"> </w:t>
            </w:r>
          </w:p>
        </w:tc>
        <w:tc>
          <w:tcPr>
            <w:tcW w:w="7253" w:type="dxa"/>
          </w:tcPr>
          <w:p w14:paraId="06C4F7BF"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My organization …</w:t>
            </w:r>
          </w:p>
          <w:p w14:paraId="4D610B3D" w14:textId="77777777" w:rsidR="00CB019C" w:rsidRPr="00975B92" w:rsidRDefault="00CB019C" w:rsidP="007436E7">
            <w:pPr>
              <w:tabs>
                <w:tab w:val="center" w:pos="4320"/>
                <w:tab w:val="right" w:pos="8640"/>
              </w:tabs>
              <w:jc w:val="both"/>
              <w:rPr>
                <w:rFonts w:ascii="Times New Roman" w:hAnsi="Times New Roman" w:cs="Times New Roman"/>
              </w:rPr>
            </w:pPr>
          </w:p>
          <w:p w14:paraId="1EF90D7C"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Coordinates the product /service development activities with members of our supply chain  </w:t>
            </w:r>
          </w:p>
          <w:p w14:paraId="53871E38"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Creates liaison position(s) to facilitate the information flow with our suppliers  </w:t>
            </w:r>
          </w:p>
          <w:p w14:paraId="019F31D3"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Uses colocation between in-house experts and external development </w:t>
            </w:r>
            <w:r w:rsidRPr="00975B92">
              <w:rPr>
                <w:rFonts w:ascii="Times New Roman" w:hAnsi="Times New Roman" w:cs="Times New Roman"/>
              </w:rPr>
              <w:lastRenderedPageBreak/>
              <w:t xml:space="preserve">partners from the supply chain  </w:t>
            </w:r>
          </w:p>
          <w:p w14:paraId="53471935"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Emphasizes joint decision-making with key suppliers involved in NPD  </w:t>
            </w:r>
          </w:p>
          <w:p w14:paraId="699EF0E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Utilizes development capabilities to take advantage of market opportunities </w:t>
            </w:r>
          </w:p>
          <w:p w14:paraId="118BB8E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Offers innovative solutions to customers based on joint development with members of the supply chain  </w:t>
            </w:r>
          </w:p>
          <w:p w14:paraId="3840AB71"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Deploys supply chain resources to create customer value in the marketplace  </w:t>
            </w:r>
          </w:p>
          <w:p w14:paraId="23FDD2C3" w14:textId="77777777" w:rsidR="00CB019C" w:rsidRPr="00975B92" w:rsidRDefault="00CB019C" w:rsidP="007436E7">
            <w:pPr>
              <w:tabs>
                <w:tab w:val="center" w:pos="4320"/>
                <w:tab w:val="right" w:pos="8640"/>
              </w:tabs>
              <w:jc w:val="both"/>
              <w:rPr>
                <w:rFonts w:ascii="Times New Roman" w:hAnsi="Times New Roman" w:cs="Times New Roman"/>
              </w:rPr>
            </w:pPr>
          </w:p>
        </w:tc>
      </w:tr>
    </w:tbl>
    <w:p w14:paraId="09EE4DBA" w14:textId="77777777" w:rsidR="00CB019C" w:rsidRPr="00975B92" w:rsidRDefault="00CB019C" w:rsidP="007436E7">
      <w:pPr>
        <w:spacing w:line="480" w:lineRule="auto"/>
        <w:jc w:val="both"/>
        <w:rPr>
          <w:rFonts w:ascii="Times New Roman" w:hAnsi="Times New Roman" w:cs="Times New Roman"/>
        </w:rPr>
      </w:pPr>
    </w:p>
    <w:p w14:paraId="162889E0" w14:textId="77777777" w:rsidR="00CB019C" w:rsidRPr="00975B92" w:rsidRDefault="00CB019C" w:rsidP="00BC0CFE">
      <w:pPr>
        <w:pStyle w:val="Heading4new"/>
      </w:pPr>
      <w:r w:rsidRPr="00975B92">
        <w:t>Entrepreneurial Orientation</w:t>
      </w:r>
    </w:p>
    <w:p w14:paraId="2C3E1DC8"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To operationalize the EO construct, existing scales were used and adapted as needed. For this dissertation research, eleven relevant papers that used the EO construct either as independent or moderating variables were analyzed in terms of the EO scale applied. All of those papers used EO as a firm-level construct. Those studies have typically utilized a single respondent (e.g., a member of the top management team) to determine this firm-level orientation. To measure the dimensions of entrepreneurial orientation, some researchers have used three firm-level components, namely </w:t>
      </w:r>
      <w:r w:rsidRPr="00975B92">
        <w:rPr>
          <w:rFonts w:ascii="Times New Roman" w:hAnsi="Times New Roman" w:cs="Times New Roman"/>
          <w:b/>
        </w:rPr>
        <w:t>innovativeness</w:t>
      </w:r>
      <w:r w:rsidRPr="00975B92">
        <w:rPr>
          <w:rFonts w:ascii="Times New Roman" w:hAnsi="Times New Roman" w:cs="Times New Roman"/>
        </w:rPr>
        <w:t xml:space="preserve"> (creativity and pioneering), </w:t>
      </w:r>
      <w:r w:rsidRPr="00975B92">
        <w:rPr>
          <w:rFonts w:ascii="Times New Roman" w:hAnsi="Times New Roman" w:cs="Times New Roman"/>
          <w:b/>
        </w:rPr>
        <w:t>risk</w:t>
      </w:r>
      <w:r w:rsidRPr="00975B92">
        <w:rPr>
          <w:rFonts w:ascii="Times New Roman" w:hAnsi="Times New Roman" w:cs="Times New Roman"/>
        </w:rPr>
        <w:t xml:space="preserve"> </w:t>
      </w:r>
      <w:r w:rsidRPr="00975B92">
        <w:rPr>
          <w:rFonts w:ascii="Times New Roman" w:hAnsi="Times New Roman" w:cs="Times New Roman"/>
          <w:b/>
        </w:rPr>
        <w:t>taking</w:t>
      </w:r>
      <w:r w:rsidRPr="00975B92">
        <w:rPr>
          <w:rFonts w:ascii="Times New Roman" w:hAnsi="Times New Roman" w:cs="Times New Roman"/>
        </w:rPr>
        <w:t xml:space="preserve"> (propensity to take risks), and </w:t>
      </w:r>
      <w:r w:rsidRPr="00975B92">
        <w:rPr>
          <w:rFonts w:ascii="Times New Roman" w:hAnsi="Times New Roman" w:cs="Times New Roman"/>
          <w:b/>
        </w:rPr>
        <w:t>proactiveness</w:t>
      </w:r>
      <w:r w:rsidRPr="00975B92">
        <w:rPr>
          <w:rFonts w:ascii="Times New Roman" w:hAnsi="Times New Roman" w:cs="Times New Roman"/>
        </w:rPr>
        <w:t xml:space="preserve"> (anticipation) derived from the EO conceptualization of Miller (1983). Researchers have defined </w:t>
      </w:r>
      <w:r w:rsidRPr="00975B92">
        <w:rPr>
          <w:rFonts w:ascii="Times New Roman" w:hAnsi="Times New Roman" w:cs="Times New Roman"/>
          <w:b/>
        </w:rPr>
        <w:t>innovativeness</w:t>
      </w:r>
      <w:r w:rsidRPr="00975B92">
        <w:rPr>
          <w:rFonts w:ascii="Times New Roman" w:hAnsi="Times New Roman" w:cs="Times New Roman"/>
        </w:rPr>
        <w:t xml:space="preserve"> as the “capability to develop and introduce new products or processes”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"10.1016/j.jom.2010.02.001", "ISSN" : "0272-6963", "author" : [ { "dropping-particle" : "", "family" : "Azadegan", "given" : "Arash", "non-dropping-particle" : "", "parse-names" : false, "suffix" : "" }, { "dropping-particle" : "", "family" : "Dooley", "given" : "Kevin J", "non-dropping-particle" : "", "parse-names" : false, "suffix" : "" } ], "container-title" : "Journal of Operations Management", "id" : "ITEM-1", "issue" : "6", "issued" : { "date-parts" : [ [ "2010" ] ] }, "page" : "488-505", "title" : "Supplier innovativeness, organizational learning styles and manufacturer performance: An empirical assessment", "type" : "article-journal", "volume" : "28" }, "locator" : "489", "uris" : [ "http://www.mendeley.com/documents/?uuid=76afabba-f3c3-4fb5-8466-bb21870974dc" ] } ], "mendeley" : { "formattedCitation" : "(Azadegan &amp; Dooley, 2010, p. 489)", "plainTextFormattedCitation" : "(Azadegan &amp; Dooley, 2010, p. 489)", "previouslyFormattedCitation" : "(Azadegan &amp; Dooley, 2010, p. 489)"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(Azadegan &amp; Dooley, 2010, p. 489)</w:t>
      </w:r>
      <w:r w:rsidRPr="00975B92">
        <w:rPr>
          <w:rFonts w:ascii="Times New Roman" w:hAnsi="Times New Roman" w:cs="Times New Roman"/>
        </w:rPr>
        <w:fldChar w:fldCharType="end"/>
      </w:r>
      <w:r w:rsidRPr="00975B92">
        <w:rPr>
          <w:rFonts w:ascii="Times New Roman" w:hAnsi="Times New Roman" w:cs="Times New Roman"/>
        </w:rPr>
        <w:t xml:space="preserve">. Innovativeness has been also described as a firm-level capability that includes being receptive to new ideas, products, or processes, and fostering their implementation or adoption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"10.1111/j.1540-5885.2008.00300.x", "ISBN" : "1540-5885", "ISSN" : "07376782", "abstract" : "This research proposes and tests a model of direct and indirect effects linking four antecedents to new product success: (1) a proactive strategic orientation along with enabling (2) organic organizational structures should lead to more (3) innovativeness and (4) market intelligence. Innovativeness and market intelligence should in turn lead to greater new product success. The relationships among the four antecedents are not hypothesized to be moderated by environmental turbulence because their domain is intraorganizational. However, the relationships from intraorganizational constructs to new product success are hypothesized to be moderated by environmental turbulence because success depends in part on the environment in which the new product must compete. The model was tested using a sample composed of 202 small business units of manufacturers on the Fortune 500. The sample was heavily involved in new product development: Their average annual research and development budget was $360.4 million, and approximately 8.2% of sales came from products introduced in the last five years. A two-group structural equation model analysis supports the moderation model overall and reveals the pattern of direct, indirect, and total effects. The results show that innovativeness (but not market intelligence) directly predicts new product success when turbulence is high, whereas market intelligence (but not innovativeness) directly engenders new product success in low turbulence. Environmental turbulence also affects the total indirect impact of strategy proactiveness and organizational organicity on new product success. These indirect effects operate through innovativeness and market intelligence as complete mediators.", "author" : [ { "dropping-particle" : "", "family" : "Droge", "given" : "Cornelia", "non-dropping-particle" : "", "parse-names" : false, "suffix" : "" }, { "dropping-particle" : "", "family" : "Calantone", "given" : "Roger", "non-dropping-particle" : "", "parse-names" : false, "suffix" : "" }, { "dropping-particle" : "", "family" : "Harmancioglu", "given" : "Nukhet", "non-dropping-particle" : "", "parse-names" : false, "suffix" : "" } ], "container-title" : "Journal of Product Innovation Management", "id" : "ITEM-1", "issue" : "3", "issued" : { "date-parts" : [ [ "2008" ] ] }, "page" : "272-286", "title" : "New product success: Is it really controllable by managers in highly turbulent environments?", "type" : "article-journal", "volume" : "25" }, "uris" : [ "http://www.mendeley.com/documents/?uuid=1dfab031-e4f7-4dc4-8409-7fd298b44d65" ] } ], "mendeley" : { "formattedCitation" : "(Droge, Calantone, &amp; Harmancioglu, 2008)", "plainTextFormattedCitation" : "(Droge, Calantone, &amp; Harmancioglu, 2008)", "previouslyFormattedCitation" : "(Droge, Calantone, &amp; Harmancioglu, 2008)"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(Droge, Calantone, &amp; Harmancioglu, 2008)</w:t>
      </w:r>
      <w:r w:rsidRPr="00975B92">
        <w:rPr>
          <w:rFonts w:ascii="Times New Roman" w:hAnsi="Times New Roman" w:cs="Times New Roman"/>
        </w:rPr>
        <w:fldChar w:fldCharType="end"/>
      </w:r>
      <w:r w:rsidRPr="00975B92">
        <w:rPr>
          <w:rFonts w:ascii="Times New Roman" w:hAnsi="Times New Roman" w:cs="Times New Roman"/>
        </w:rPr>
        <w:t xml:space="preserve">. </w:t>
      </w:r>
      <w:r w:rsidRPr="00975B92">
        <w:rPr>
          <w:rFonts w:ascii="Times New Roman" w:hAnsi="Times New Roman" w:cs="Times New Roman"/>
          <w:b/>
        </w:rPr>
        <w:t>Risk taking</w:t>
      </w:r>
      <w:r w:rsidRPr="00975B92">
        <w:rPr>
          <w:rFonts w:ascii="Times New Roman" w:hAnsi="Times New Roman" w:cs="Times New Roman"/>
        </w:rPr>
        <w:t xml:space="preserve"> has been described as “taking bold actions by venturing into the unknown, borrowing heavily, and/or committing significant resources to ventures in uncertain environments.”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"10.1111/j.1540-6520.2009.00308.x", "author" : [ { "dropping-particle" : "", "family" : "Rauch", "given" : "Andreas", "non-dropping-particle" : "", "parse-names" : false, "suffix" : "" }, { "dropping-particle" : "", "family" : "Wiklund", "given" : "Johan", "non-dropping-particle" : "", "parse-names" : false, "suffix" : "" }, { "dropping-particle" : "", "family" : "Frese", "given" : "Michael", "non-dropping-particle" : "", "parse-names" : false, "suffix" : "" } ], "container-title" : "Entrepreneurship Theory and Practice", "id" : "ITEM-1", "issue" : "May", "issued" : { "date-parts" : [ [ "2009" ] ] }, "page" : "761-787", "title" : "Entrepreneurial Orientation and Business Performance: An Assessment of Past Research and Suggestions for the Future", "type" : "article-journal" }, "locator" : "763", "uris" : [ "http://www.mendeley.com/documents/?uuid=ef78abd0-44b5-40a4-b2c7-ea5df1356f57" ] } ], "mendeley" : { "formattedCitation" : "(Rauch, Wiklund, &amp; Frese, 2009, p. 763)", "plainTextFormattedCitation" : "(Rauch, Wiklund, &amp; Frese, 2009, p. 763)", "previouslyFormattedCitation" : "(Rauch, Wiklund, &amp; Frese, 2009, p. 763)"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(Rauch, Wiklund, &amp; Frese, 2009, p. 763)</w:t>
      </w:r>
      <w:r w:rsidRPr="00975B92">
        <w:rPr>
          <w:rFonts w:ascii="Times New Roman" w:hAnsi="Times New Roman" w:cs="Times New Roman"/>
        </w:rPr>
        <w:fldChar w:fldCharType="end"/>
      </w:r>
      <w:r w:rsidRPr="00975B92">
        <w:rPr>
          <w:rFonts w:ascii="Times New Roman" w:hAnsi="Times New Roman" w:cs="Times New Roman"/>
        </w:rPr>
        <w:t xml:space="preserve">. Finally, the construct of proactiveness has been defined as “an opportunity-seeking, forward-looking perspective </w:t>
      </w:r>
      <w:r w:rsidRPr="00975B92">
        <w:rPr>
          <w:rFonts w:ascii="Times New Roman" w:hAnsi="Times New Roman" w:cs="Times New Roman"/>
        </w:rPr>
        <w:lastRenderedPageBreak/>
        <w:t xml:space="preserve">characterized by the introduction of new products and services ahead of the competition and acting in anticipation of future demand.”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"10.1111/j.1540-6520.2009.00308.x", "author" : [ { "dropping-particle" : "", "family" : "Rauch", "given" : "Andreas", "non-dropping-particle" : "", "parse-names" : false, "suffix" : "" }, { "dropping-particle" : "", "family" : "Wiklund", "given" : "Johan", "non-dropping-particle" : "", "parse-names" : false, "suffix" : "" }, { "dropping-particle" : "", "family" : "Frese", "given" : "Michael", "non-dropping-particle" : "", "parse-names" : false, "suffix" : "" } ], "container-title" : "Entrepreneurship Theory and Practice", "id" : "ITEM-1", "issue" : "May", "issued" : { "date-parts" : [ [ "2009" ] ] }, "page" : "761-787", "title" : "Entrepreneurial Orientation and Business Performance: An Assessment of Past Research and Suggestions for the Future", "type" : "article-journal" }, "locator" : "763", "uris" : [ "http://www.mendeley.com/documents/?uuid=ef78abd0-44b5-40a4-b2c7-ea5df1356f57" ] } ], "mendeley" : { "formattedCitation" : "(Rauch et al., 2009, p. 763)", "plainTextFormattedCitation" : "(Rauch et al., 2009, p. 763)", "previouslyFormattedCitation" : "(Rauch et al., 2009, p. 763)"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(Rauch et al., 2009, p. 763)</w:t>
      </w:r>
      <w:r w:rsidRPr="00975B92">
        <w:rPr>
          <w:rFonts w:ascii="Times New Roman" w:hAnsi="Times New Roman" w:cs="Times New Roman"/>
        </w:rPr>
        <w:fldChar w:fldCharType="end"/>
      </w:r>
      <w:r w:rsidRPr="00975B92">
        <w:rPr>
          <w:rFonts w:ascii="Times New Roman" w:hAnsi="Times New Roman" w:cs="Times New Roman"/>
        </w:rPr>
        <w:t xml:space="preserve">. </w:t>
      </w:r>
    </w:p>
    <w:p w14:paraId="66095F77" w14:textId="7988384D" w:rsidR="00CB019C" w:rsidRPr="00975B92" w:rsidRDefault="00CB019C" w:rsidP="007436E7">
      <w:pPr>
        <w:spacing w:line="480" w:lineRule="auto"/>
        <w:jc w:val="both"/>
        <w:rPr>
          <w:rFonts w:ascii="Times New Roman" w:hAnsi="Times New Roman" w:cs="Times New Roman"/>
          <w:color w:val="000000" w:themeColor="text1"/>
        </w:rPr>
      </w:pPr>
      <w:r w:rsidRPr="00975B92">
        <w:rPr>
          <w:rFonts w:ascii="Times New Roman" w:hAnsi="Times New Roman" w:cs="Times New Roman"/>
        </w:rPr>
        <w:t xml:space="preserve">The traditional 3-dimensional Miller scale has been used repeatedly in prior innovation-related research </w:t>
      </w:r>
      <w:r w:rsidRPr="00975B92">
        <w:rPr>
          <w:rFonts w:ascii="Times New Roman" w:hAnsi="Times New Roman" w:cs="Times New Roman"/>
          <w:color w:val="000000" w:themeColor="text1"/>
        </w:rPr>
        <w:fldChar w:fldCharType="begin" w:fldLock="1"/>
      </w:r>
      <w:r w:rsidRPr="00975B92">
        <w:rPr>
          <w:rFonts w:ascii="Times New Roman" w:hAnsi="Times New Roman" w:cs="Times New Roman"/>
          <w:color w:val="000000" w:themeColor="text1"/>
        </w:rPr>
        <w:instrText>ADDIN CSL_CITATION { "citationItems" : [ { "id" : "ITEM-1", "itemData" : { "DOI" : "10.1177/0149206312469666", "author" : [ { "dropping-particle" : "", "family" : "Cao", "given" : "Qing", "non-dropping-particle" : "", "parse-names" : false, "suffix" : "" }, { "dropping-particle" : "", "family" : "Simsek", "given" : "Zeki", "non-dropping-particle" : "", "parse-names" : false, "suffix" : "" }, { "dropping-particle" : "", "family" : "Jansen", "given" : "Justin J P", "non-dropping-particle" : "", "parse-names" : false, "suffix" : "" } ], "container-title" : "Journal of Management", "id" : "ITEM-1", "issue" : "7", "issued" : { "date-parts" : [ [ "2015" ] ] }, "page" : "1957-1981", "title" : "CEO Social Capital and Entrepreneurial Orientation of the Firm: Bonding and Bridging Effects", "type" : "article-journal", "volume" : "41" }, "uris" : [ "http://www.mendeley.com/documents/?uuid=f4eb721c-b06f-42d5-9710-1d568d60cbdc" ] }, { "id" : "ITEM-2", "itemData" : { "author" : [ { "dropping-particle" : "", "family" : "Wiklund", "given" : "Johan", "non-dropping-particle" : "", "parse-names" : false, "suffix" : "" }, { "dropping-particle" : "", "family" : "Shepherd", "given" : "Dean", "non-dropping-particle" : "", "parse-names" : false, "suffix" : "" } ], "container-title" : "Strategic Management Journal", "id" : "ITEM-2", "issued" : { "date-parts" : [ [ "2003" ] ] }, "page" : "1307-1314", "title" : "Knowledge-Based Resources, Entrepreneurial Orientation, and the Performance of Small and Medium-Sized Businesses", "type" : "article-journal", "volume" : "24" }, "uris" : [ "http://www.mendeley.com/documents/?uuid=c0927bc8-e0b4-483a-8342-a9a4ed75a37b" ] }, { "id" : "ITEM-3", "itemData" : { "DOI" : "10.1111/j.1540-6520.2010.00420.x", "author" : [ { "dropping-particle" : "", "family" : "Wiklund", "given" : "Johan", "non-dropping-particle" : "", "parse-names" : false, "suffix" : "" }, { "dropping-particle" : "", "family" : "Davidsson", "given" : "Per", "non-dropping-particle" : "", "parse-names" : false, "suffix" : "" }, { "dropping-particle" : "", "family" : "Audretsch", "given" : "David B.", "non-dropping-particle" : "", "parse-names" : false, "suffix" : "" }, { "dropping-particle" : "", "family" : "Karlsson", "given" : "Charlie", "non-dropping-particle" : "", "parse-names" : false, "suffix" : "" } ], "container-title" : "Entrepreneurship Theory and Practice", "id" : "ITEM-3", "issue" : "January", "issued" : { "date-parts" : [ [ "2011" ] ] }, "page" : "1-9", "title" : "The Future of Entrepreneurship Research", "type" : "article-journal" }, "uris" : [ "http://www.mendeley.com/documents/?uuid=ea88fac0-9366-43e7-aad7-6ca981230d12" ] }, { "id" : "ITEM-4", "itemData" : { "DOI" : "10.1111/j.1540-6520.2009.00308.x", "author" : [ { "dropping-particle" : "", "family" : "Rauch", "given" : "Andreas", "non-dropping-particle" : "", "parse-names" : false, "suffix" : "" }, { "dropping-particle" : "", "family" : "Wiklund", "given" : "Johan", "non-dropping-particle" : "", "parse-names" : false, "suffix" : "" }, { "dropping-particle" : "", "family" : "Frese", "given" : "Michael", "non-dropping-particle" : "", "parse-names" : false, "suffix" : "" } ], "container-title" : "Entrepreneurship Theory and Practice", "id" : "ITEM-4", "issue" : "May", "issued" : { "date-parts" : [ [ "2009" ] ] }, "page" : "761-787", "title" : "Entrepreneurial Orientation and Business Performance: An Assessment of Past Research and Suggestions for the Future", "type" : "article-journal" }, "uris" : [ "http://www.mendeley.com/documents/?uuid=ef78abd0-44b5-40a4-b2c7-ea5df1356f57" ] } ], "mendeley" : { "formattedCitation" : "(Cao, Simsek, &amp; Jansen, 2015; Rauch et al., 2009; Wiklund, Davidsson, Audretsch, &amp; Karlsson, 2011; Wiklund &amp; Shepherd, 2003)", "plainTextFormattedCitation" : "(Cao, Simsek, &amp; Jansen, 2015; Rauch et al., 2009; Wiklund, Davidsson, Audretsch, &amp; Karlsson, 2011; Wiklund &amp; Shepherd, 2003)", "previouslyFormattedCitation" : "(Cao, Simsek, &amp; Jansen, 2015; Rauch et al., 2009; Wiklund, Davidsson, Audretsch, &amp; Karlsson, 2011; Wiklund &amp; Shepherd, 2003)" }, "properties" : { "noteIndex" : 0 }, "schema" : "https://github.com/citation-style-language/schema/raw/master/csl-citation.json" }</w:instrText>
      </w:r>
      <w:r w:rsidRPr="00975B92">
        <w:rPr>
          <w:rFonts w:ascii="Times New Roman" w:hAnsi="Times New Roman" w:cs="Times New Roman"/>
          <w:color w:val="000000" w:themeColor="text1"/>
        </w:rPr>
        <w:fldChar w:fldCharType="separate"/>
      </w:r>
      <w:r w:rsidRPr="00975B92">
        <w:rPr>
          <w:rFonts w:ascii="Times New Roman" w:hAnsi="Times New Roman" w:cs="Times New Roman"/>
          <w:noProof/>
          <w:color w:val="000000" w:themeColor="text1"/>
        </w:rPr>
        <w:t>(Cao, Simsek, &amp; Jansen, 2015; Rauch et al., 2009; Wiklund, Davidsson, Audretsch, &amp; Karlsson, 2011; Wiklund &amp; Shepherd, 2003)</w:t>
      </w:r>
      <w:r w:rsidRPr="00975B92">
        <w:rPr>
          <w:rFonts w:ascii="Times New Roman" w:hAnsi="Times New Roman" w:cs="Times New Roman"/>
          <w:color w:val="000000" w:themeColor="text1"/>
        </w:rPr>
        <w:fldChar w:fldCharType="end"/>
      </w:r>
      <w:r w:rsidRPr="00975B92">
        <w:rPr>
          <w:rFonts w:ascii="Times New Roman" w:hAnsi="Times New Roman" w:cs="Times New Roman"/>
          <w:color w:val="000000" w:themeColor="text1"/>
        </w:rPr>
        <w:t xml:space="preserve">. Other researchers have added the dimensions of </w:t>
      </w:r>
      <w:r w:rsidRPr="00975B92">
        <w:rPr>
          <w:rFonts w:ascii="Times New Roman" w:hAnsi="Times New Roman" w:cs="Times New Roman"/>
          <w:b/>
          <w:color w:val="000000" w:themeColor="text1"/>
        </w:rPr>
        <w:t>autonomy</w:t>
      </w:r>
      <w:r w:rsidRPr="00975B92">
        <w:rPr>
          <w:rFonts w:ascii="Times New Roman" w:hAnsi="Times New Roman" w:cs="Times New Roman"/>
          <w:color w:val="000000" w:themeColor="text1"/>
        </w:rPr>
        <w:t xml:space="preserve"> and competitive </w:t>
      </w:r>
      <w:r w:rsidRPr="00975B92">
        <w:rPr>
          <w:rFonts w:ascii="Times New Roman" w:hAnsi="Times New Roman" w:cs="Times New Roman"/>
          <w:b/>
          <w:color w:val="000000" w:themeColor="text1"/>
        </w:rPr>
        <w:t>aggressiveness</w:t>
      </w:r>
      <w:r w:rsidRPr="00975B92">
        <w:rPr>
          <w:rFonts w:ascii="Times New Roman" w:hAnsi="Times New Roman" w:cs="Times New Roman"/>
          <w:color w:val="000000" w:themeColor="text1"/>
        </w:rPr>
        <w:t xml:space="preserve"> to the EO scale </w:t>
      </w:r>
      <w:r w:rsidRPr="00975B92">
        <w:rPr>
          <w:rFonts w:ascii="Times New Roman" w:hAnsi="Times New Roman" w:cs="Times New Roman"/>
          <w:color w:val="000000" w:themeColor="text1"/>
        </w:rPr>
        <w:fldChar w:fldCharType="begin" w:fldLock="1"/>
      </w:r>
      <w:r w:rsidRPr="00975B92">
        <w:rPr>
          <w:rFonts w:ascii="Times New Roman" w:hAnsi="Times New Roman" w:cs="Times New Roman"/>
          <w:color w:val="000000" w:themeColor="text1"/>
        </w:rPr>
        <w:instrText>ADDIN CSL_CITATION { "citationItems" : [ { "id" : "ITEM-1", "itemData" : { "DOI" : "10.1111/j.1540-6520.2009.00308.x", "author" : [ { "dropping-particle" : "", "family" : "Rauch", "given" : "Andreas", "non-dropping-particle" : "", "parse-names" : false, "suffix" : "" }, { "dropping-particle" : "", "family" : "Wiklund", "given" : "Johan", "non-dropping-particle" : "", "parse-names" : false, "suffix" : "" }, { "dropping-particle" : "", "family" : "Frese", "given" : "Michael", "non-dropping-particle" : "", "parse-names" : false, "suffix" : "" } ], "container-title" : "Entrepreneurship Theory and Practice", "id" : "ITEM-1", "issue" : "May", "issued" : { "date-parts" : [ [ "2009" ] ] }, "page" : "761-787", "title" : "Entrepreneurial Orientation and Business Performance: An Assessment of Past Research and Suggestions for the Future", "type" : "article-journal" }, "uris" : [ "http://www.mendeley.com/documents/?uuid=ef78abd0-44b5-40a4-b2c7-ea5df1356f57" ] } ], "mendeley" : { "formattedCitation" : "(Rauch et al., 2009)", "plainTextFormattedCitation" : "(Rauch et al., 2009)", "previouslyFormattedCitation" : "(Rauch et al., 2009)" }, "properties" : { "noteIndex" : 0 }, "schema" : "https://github.com/citation-style-language/schema/raw/master/csl-citation.json" }</w:instrText>
      </w:r>
      <w:r w:rsidRPr="00975B92">
        <w:rPr>
          <w:rFonts w:ascii="Times New Roman" w:hAnsi="Times New Roman" w:cs="Times New Roman"/>
          <w:color w:val="000000" w:themeColor="text1"/>
        </w:rPr>
        <w:fldChar w:fldCharType="separate"/>
      </w:r>
      <w:r w:rsidRPr="00975B92">
        <w:rPr>
          <w:rFonts w:ascii="Times New Roman" w:hAnsi="Times New Roman" w:cs="Times New Roman"/>
          <w:noProof/>
          <w:color w:val="000000" w:themeColor="text1"/>
        </w:rPr>
        <w:t>(Rauch et al., 2009)</w:t>
      </w:r>
      <w:r w:rsidRPr="00975B92">
        <w:rPr>
          <w:rFonts w:ascii="Times New Roman" w:hAnsi="Times New Roman" w:cs="Times New Roman"/>
          <w:color w:val="000000" w:themeColor="text1"/>
        </w:rPr>
        <w:fldChar w:fldCharType="end"/>
      </w:r>
      <w:r w:rsidRPr="00975B92">
        <w:rPr>
          <w:rFonts w:ascii="Times New Roman" w:hAnsi="Times New Roman" w:cs="Times New Roman"/>
          <w:color w:val="000000" w:themeColor="text1"/>
        </w:rPr>
        <w:t xml:space="preserve">.  </w:t>
      </w:r>
      <w:r w:rsidRPr="00975B92">
        <w:rPr>
          <w:rFonts w:ascii="Times New Roman" w:hAnsi="Times New Roman" w:cs="Times New Roman"/>
          <w:b/>
          <w:color w:val="000000" w:themeColor="text1"/>
        </w:rPr>
        <w:t xml:space="preserve">Competitive </w:t>
      </w:r>
      <w:r w:rsidRPr="00975B92">
        <w:rPr>
          <w:rFonts w:ascii="Times New Roman" w:hAnsi="Times New Roman" w:cs="Times New Roman"/>
          <w:b/>
          <w:iCs/>
          <w:color w:val="000000" w:themeColor="text1"/>
        </w:rPr>
        <w:t>aggressiveness</w:t>
      </w:r>
      <w:r w:rsidRPr="00975B92">
        <w:rPr>
          <w:rFonts w:ascii="Times New Roman" w:hAnsi="Times New Roman" w:cs="Times New Roman"/>
          <w:iCs/>
          <w:color w:val="000000" w:themeColor="text1"/>
        </w:rPr>
        <w:t xml:space="preserve"> </w:t>
      </w:r>
      <w:r w:rsidRPr="00975B92">
        <w:rPr>
          <w:rFonts w:ascii="Times New Roman" w:hAnsi="Times New Roman" w:cs="Times New Roman"/>
          <w:color w:val="000000" w:themeColor="text1"/>
        </w:rPr>
        <w:t xml:space="preserve">refers to the intensity of an organization to outperform its competition and some key attributes are a robust and offensive stance or aggressive actions toward rivals in the market place </w:t>
      </w:r>
      <w:r w:rsidRPr="00975B92">
        <w:rPr>
          <w:rFonts w:ascii="Times New Roman" w:hAnsi="Times New Roman" w:cs="Times New Roman"/>
          <w:color w:val="000000" w:themeColor="text1"/>
        </w:rPr>
        <w:fldChar w:fldCharType="begin" w:fldLock="1"/>
      </w:r>
      <w:r w:rsidRPr="00975B92">
        <w:rPr>
          <w:rFonts w:ascii="Times New Roman" w:hAnsi="Times New Roman" w:cs="Times New Roman"/>
          <w:color w:val="000000" w:themeColor="text1"/>
        </w:rPr>
        <w:instrText>ADDIN CSL_CITATION { "citationItems" : [ { "id" : "ITEM-1", "itemData" : { "author" : [ { "dropping-particle" : "", "family" : "Lumpkin", "given" : "G T", "non-dropping-particle" : "", "parse-names" : false, "suffix" : "" }, { "dropping-particle" : "", "family" : "Dess", "given" : "Gregory G", "non-dropping-particle" : "", "parse-names" : false, "suffix" : "" } ], "container-title" : "Academy of Management Review", "id" : "ITEM-1", "issue" : "1", "issued" : { "date-parts" : [ [ "1996" ] ] }, "page" : "135-172", "title" : "Clarifying the Entrepreneurial Orientation Construct and Linking it to Performance", "type" : "article-journal", "volume" : "21" }, "uris" : [ "http://www.mendeley.com/documents/?uuid=3bc845c8-0cd9-4014-88b0-8039bb435ecb" ] }, { "id" : "ITEM-2", "itemData" : { "DOI" : "10.1177/0149206311425612", "ISBN" : "0149206311425", "author" : [ { "dropping-particle" : "", "family" : "Rosenbusch", "given" : "Nina", "non-dropping-particle" : "", "parse-names" : false, "suffix" : "" }, { "dropping-particle" : "", "family" : "Rauch", "given" : "Andreas", "non-dropping-particle" : "", "parse-names" : false, "suffix" : "" }, { "dropping-particle" : "", "family" : "Bausch", "given" : "Andreas", "non-dropping-particle" : "", "parse-names" : false, "suffix" : "" } ], "container-title" : "Journal of Management", "id" : "ITEM-2", "issue" : "3", "issued" : { "date-parts" : [ [ "2013" ] ] }, "page" : "633-659", "title" : "The Mediating Role of Entrepreneurial Orientation in the Task Environment \u2013 Performance Relationship : A Meta-Analysis", "type" : "article-journal", "volume" : "39" }, "uris" : [ "http://www.mendeley.com/documents/?uuid=f41e7f4c-0397-4f76-b97c-2d1076d68fea" ] }, { "id" : "ITEM-3", "itemData" : { "DOI" : "10.1111/j.1540-6520.2009.00308.x", "author" : [ { "dropping-particle" : "", "family" : "Rauch", "given" : "Andreas", "non-dropping-particle" : "", "parse-names" : false, "suffix" : "" }, { "dropping-particle" : "", "family" : "Wiklund", "given" : "Johan", "non-dropping-particle" : "", "parse-names" : false, "suffix" : "" }, { "dropping-particle" : "", "family" : "Frese", "given" : "Michael", "non-dropping-particle" : "", "parse-names" : false, "suffix" : "" } ], "container-title" : "Entrepreneurship Theory and Practice", "id" : "ITEM-3", "issue" : "May", "issued" : { "date-parts" : [ [ "2009" ] ] }, "page" : "761-787", "title" : "Entrepreneurial Orientation and Business Performance: An Assessment of Past Research and Suggestions for the Future", "type" : "article-journal" }, "uris" : [ "http://www.mendeley.com/documents/?uuid=ef78abd0-44b5-40a4-b2c7-ea5df1356f57" ] } ], "mendeley" : { "formattedCitation" : "(Lumpkin &amp; Dess, 1996; Rauch et al., 2009; Rosenbusch, Rauch, &amp; Bausch, 2013)", "plainTextFormattedCitation" : "(Lumpkin &amp; Dess, 1996; Rauch et al., 2009; Rosenbusch, Rauch, &amp; Bausch, 2013)", "previouslyFormattedCitation" : "(Lumpkin &amp; Dess, 1996; Rauch et al., 2009; Rosenbusch, Rauch, &amp; Bausch, 2013)" }, "properties" : { "noteIndex" : 0 }, "schema" : "https://github.com/citation-style-language/schema/raw/master/csl-citation.json" }</w:instrText>
      </w:r>
      <w:r w:rsidRPr="00975B92">
        <w:rPr>
          <w:rFonts w:ascii="Times New Roman" w:hAnsi="Times New Roman" w:cs="Times New Roman"/>
          <w:color w:val="000000" w:themeColor="text1"/>
        </w:rPr>
        <w:fldChar w:fldCharType="separate"/>
      </w:r>
      <w:r w:rsidRPr="00975B92">
        <w:rPr>
          <w:rFonts w:ascii="Times New Roman" w:hAnsi="Times New Roman" w:cs="Times New Roman"/>
          <w:noProof/>
          <w:color w:val="000000" w:themeColor="text1"/>
        </w:rPr>
        <w:t>(Lumpkin &amp; Dess, 1996; Rauch et al., 2009; Rosenbusch, Rauch, &amp; Bausch, 2013)</w:t>
      </w:r>
      <w:r w:rsidRPr="00975B92">
        <w:rPr>
          <w:rFonts w:ascii="Times New Roman" w:hAnsi="Times New Roman" w:cs="Times New Roman"/>
          <w:color w:val="000000" w:themeColor="text1"/>
        </w:rPr>
        <w:fldChar w:fldCharType="end"/>
      </w:r>
      <w:r w:rsidRPr="00975B92">
        <w:rPr>
          <w:rFonts w:ascii="Times New Roman" w:hAnsi="Times New Roman" w:cs="Times New Roman"/>
          <w:color w:val="000000" w:themeColor="text1"/>
        </w:rPr>
        <w:t xml:space="preserve">. </w:t>
      </w:r>
      <w:r w:rsidRPr="00975B92">
        <w:rPr>
          <w:rFonts w:ascii="Times New Roman" w:hAnsi="Times New Roman" w:cs="Times New Roman"/>
          <w:b/>
          <w:iCs/>
          <w:color w:val="000000" w:themeColor="text1"/>
        </w:rPr>
        <w:t>Autonomy</w:t>
      </w:r>
      <w:r w:rsidRPr="00975B92">
        <w:rPr>
          <w:rFonts w:ascii="Times New Roman" w:hAnsi="Times New Roman" w:cs="Times New Roman"/>
          <w:iCs/>
          <w:color w:val="000000" w:themeColor="text1"/>
        </w:rPr>
        <w:t xml:space="preserve"> </w:t>
      </w:r>
      <w:r w:rsidRPr="00975B92">
        <w:rPr>
          <w:rFonts w:ascii="Times New Roman" w:hAnsi="Times New Roman" w:cs="Times New Roman"/>
          <w:color w:val="000000" w:themeColor="text1"/>
        </w:rPr>
        <w:t>is related to independent decision-making and implementation of new ideas by mana</w:t>
      </w:r>
      <w:r w:rsidR="00E9518C">
        <w:rPr>
          <w:rFonts w:ascii="Times New Roman" w:hAnsi="Times New Roman" w:cs="Times New Roman"/>
          <w:color w:val="000000" w:themeColor="text1"/>
        </w:rPr>
        <w:t>gement or organizational groups</w:t>
      </w:r>
      <w:r w:rsidRPr="00975B92">
        <w:rPr>
          <w:rFonts w:ascii="Times New Roman" w:hAnsi="Times New Roman" w:cs="Times New Roman"/>
          <w:color w:val="000000" w:themeColor="text1"/>
        </w:rPr>
        <w:t xml:space="preserve"> </w:t>
      </w:r>
      <w:r w:rsidRPr="00975B92">
        <w:rPr>
          <w:rFonts w:ascii="Times New Roman" w:hAnsi="Times New Roman" w:cs="Times New Roman"/>
          <w:color w:val="000000" w:themeColor="text1"/>
        </w:rPr>
        <w:fldChar w:fldCharType="begin" w:fldLock="1"/>
      </w:r>
      <w:r w:rsidRPr="00975B92">
        <w:rPr>
          <w:rFonts w:ascii="Times New Roman" w:hAnsi="Times New Roman" w:cs="Times New Roman"/>
          <w:color w:val="000000" w:themeColor="text1"/>
        </w:rPr>
        <w:instrText>ADDIN CSL_CITATION { "citationItems" : [ { "id" : "ITEM-1", "itemData" : { "DOI" : "10.1177/0149206312469666", "author" : [ { "dropping-particle" : "", "family" : "Cao", "given" : "Qing", "non-dropping-particle" : "", "parse-names" : false, "suffix" : "" }, { "dropping-particle" : "", "family" : "Simsek", "given" : "Zeki", "non-dropping-particle" : "", "parse-names" : false, "suffix" : "" }, { "dropping-particle" : "", "family" : "Jansen", "given" : "Justin J P", "non-dropping-particle" : "", "parse-names" : false, "suffix" : "" } ], "container-title" : "Journal of Management", "id" : "ITEM-1", "issue" : "7", "issued" : { "date-parts" : [ [ "2015" ] ] }, "page" : "1957-1981", "title" : "CEO Social Capital and Entrepreneurial Orientation of the Firm: Bonding and Bridging Effects", "type" : "article-journal", "volume" : "41" }, "uris" : [ "http://www.mendeley.com/documents/?uuid=f4eb721c-b06f-42d5-9710-1d568d60cbdc" ] }, { "id" : "ITEM-2", "itemData" : { "author" : [ { "dropping-particle" : "", "family" : "Covin", "given" : "Jeffrey G", "non-dropping-particle" : "", "parse-names" : false, "suffix" : "" }, { "dropping-particle" : "", "family" : "Slevin", "given" : "Dennis P.", "non-dropping-particle" : "", "parse-names" : false, "suffix" : "" } ], "container-title" : "Strategic Management Journal", "id" : "ITEM-2", "issue" : "1", "issued" : { "date-parts" : [ [ "1989" ] ] }, "page" : "75-87", "title" : "Strategic Management of Small Firms in Hostile and Benign Environments", "type" : "article-journal", "volume" : "10" }, "uris" : [ "http://www.mendeley.com/documents/?uuid=de728628-9c28-49b7-b240-d81390e68ff0" ] }, { "id" : "ITEM-3", "itemData" : { "DOI" : "10.1111/j.1540-6520.2009.00308.x", "author" : [ { "dropping-particle" : "", "family" : "Rauch", "given" : "Andreas", "non-dropping-particle" : "", "parse-names" : false, "suffix" : "" }, { "dropping-particle" : "", "family" : "Wiklund", "given" : "Johan", "non-dropping-particle" : "", "parse-names" : false, "suffix" : "" }, { "dropping-particle" : "", "family" : "Frese", "given" : "Michael", "non-dropping-particle" : "", "parse-names" : false, "suffix" : "" } ], "container-title" : "Entrepreneurship Theory and Practice", "id" : "ITEM-3", "issue" : "May", "issued" : { "date-parts" : [ [ "2009" ] ] }, "page" : "761-787", "title" : "Entrepreneurial Orientation and Business Performance: An Assessment of Past Research and Suggestions for the Future", "type" : "article-journal" }, "uris" : [ "http://www.mendeley.com/documents/?uuid=ef78abd0-44b5-40a4-b2c7-ea5df1356f57" ] } ], "mendeley" : { "formattedCitation" : "(Cao et al., 2015; Covin &amp; Slevin, 1989; Rauch et al., 2009)", "plainTextFormattedCitation" : "(Cao et al., 2015; Covin &amp; Slevin, 1989; Rauch et al., 2009)", "previouslyFormattedCitation" : "(Cao et al., 2015; Covin &amp; Slevin, 1989; Rauch et al., 2009)" }, "properties" : { "noteIndex" : 0 }, "schema" : "https://github.com/citation-style-language/schema/raw/master/csl-citation.json" }</w:instrText>
      </w:r>
      <w:r w:rsidRPr="00975B92">
        <w:rPr>
          <w:rFonts w:ascii="Times New Roman" w:hAnsi="Times New Roman" w:cs="Times New Roman"/>
          <w:color w:val="000000" w:themeColor="text1"/>
        </w:rPr>
        <w:fldChar w:fldCharType="separate"/>
      </w:r>
      <w:r w:rsidRPr="00975B92">
        <w:rPr>
          <w:rFonts w:ascii="Times New Roman" w:hAnsi="Times New Roman" w:cs="Times New Roman"/>
          <w:noProof/>
          <w:color w:val="000000" w:themeColor="text1"/>
        </w:rPr>
        <w:t>(Cao et al., 2015; Covin &amp; Slevin, 1989; Rauch et al., 2009)</w:t>
      </w:r>
      <w:r w:rsidRPr="00975B92">
        <w:rPr>
          <w:rFonts w:ascii="Times New Roman" w:hAnsi="Times New Roman" w:cs="Times New Roman"/>
          <w:color w:val="000000" w:themeColor="text1"/>
        </w:rPr>
        <w:fldChar w:fldCharType="end"/>
      </w:r>
      <w:r w:rsidRPr="00975B92">
        <w:rPr>
          <w:rFonts w:ascii="Times New Roman" w:hAnsi="Times New Roman" w:cs="Times New Roman"/>
          <w:color w:val="000000" w:themeColor="text1"/>
        </w:rPr>
        <w:t xml:space="preserve">. Some scholars have also suggested to treat EO not as an aggregated construct, but as a multidimensional construct to better understand the relationships of the underlying dimensions </w:t>
      </w:r>
      <w:r w:rsidRPr="00975B92">
        <w:rPr>
          <w:rFonts w:ascii="Times New Roman" w:hAnsi="Times New Roman" w:cs="Times New Roman"/>
          <w:color w:val="000000" w:themeColor="text1"/>
        </w:rPr>
        <w:fldChar w:fldCharType="begin" w:fldLock="1"/>
      </w:r>
      <w:r w:rsidRPr="00975B92">
        <w:rPr>
          <w:rFonts w:ascii="Times New Roman" w:hAnsi="Times New Roman" w:cs="Times New Roman"/>
          <w:color w:val="000000" w:themeColor="text1"/>
        </w:rPr>
        <w:instrText>ADDIN CSL_CITATION { "citationItems" : [ { "id" : "ITEM-1", "itemData" : { "DOI" : "10.1111/j.1540-6520.2009.00308.x", "author" : [ { "dropping-particle" : "", "family" : "Rauch", "given" : "Andreas", "non-dropping-particle" : "", "parse-names" : false, "suffix" : "" }, { "dropping-particle" : "", "family" : "Wiklund", "given" : "Johan", "non-dropping-particle" : "", "parse-names" : false, "suffix" : "" }, { "dropping-particle" : "", "family" : "Frese", "given" : "Michael", "non-dropping-particle" : "", "parse-names" : false, "suffix" : "" } ], "container-title" : "Entrepreneurship Theory and Practice", "id" : "ITEM-1", "issue" : "May", "issued" : { "date-parts" : [ [ "2009" ] ] }, "page" : "761-787", "title" : "Entrepreneurial Orientation and Business Performance: An Assessment of Past Research and Suggestions for the Future", "type" : "article-journal" }, "uris" : [ "http://www.mendeley.com/documents/?uuid=ef78abd0-44b5-40a4-b2c7-ea5df1356f57" ] }, { "id" : "ITEM-2", "itemData" : { "DOI" : "10.5465/AMR.1993.3997509", "ISBN" : "03637425", "ISSN" : "0363-7425", "PMID" : "3997509", "abstract" : "This article argues that over time the world views, goals, strategies, cultures, and processes of successful organizations will become more pure or \"simple\": They will come to focus more narrowly on a single theme, activity, or issue at the expense of all others. This is explained by managerial, cultural, structural, and process factors within the organization. It is also attributed to both the complementary way in which these factors configure and the paradox that although simplic- ity may trigger ultimate failure, it can bring about initial success. The article offers some illustrative propositions concerning the nature, causes, moderating factors, and consequences of simplicity, and it makes suggestions for conducting further research.", "author" : [ { "dropping-particle" : "", "family" : "Miller", "given" : "Danny", "non-dropping-particle" : "", "parse-names" : false, "suffix" : "" } ], "container-title" : "Academy of Management Review", "id" : "ITEM-2", "issue" : "1", "issued" : { "date-parts" : [ [ "1993" ] ] }, "page" : "116-138", "title" : "The Architecture of Simplicity", "type" : "article-journal", "volume" : "18" }, "uris" : [ "http://www.mendeley.com/documents/?uuid=5fe88e98-cae5-4fae-b1f1-47976a53a930" ] } ], "mendeley" : { "formattedCitation" : "(Miller, 1993; Rauch et al., 2009)", "plainTextFormattedCitation" : "(Miller, 1993; Rauch et al., 2009)", "previouslyFormattedCitation" : "(Miller, 1993; Rauch et al., 2009)" }, "properties" : { "noteIndex" : 0 }, "schema" : "https://github.com/citation-style-language/schema/raw/master/csl-citation.json" }</w:instrText>
      </w:r>
      <w:r w:rsidRPr="00975B92">
        <w:rPr>
          <w:rFonts w:ascii="Times New Roman" w:hAnsi="Times New Roman" w:cs="Times New Roman"/>
          <w:color w:val="000000" w:themeColor="text1"/>
        </w:rPr>
        <w:fldChar w:fldCharType="separate"/>
      </w:r>
      <w:r w:rsidRPr="00975B92">
        <w:rPr>
          <w:rFonts w:ascii="Times New Roman" w:hAnsi="Times New Roman" w:cs="Times New Roman"/>
          <w:noProof/>
          <w:color w:val="000000" w:themeColor="text1"/>
        </w:rPr>
        <w:t>(Miller, 1993; Rauch et al., 2009)</w:t>
      </w:r>
      <w:r w:rsidRPr="00975B92">
        <w:rPr>
          <w:rFonts w:ascii="Times New Roman" w:hAnsi="Times New Roman" w:cs="Times New Roman"/>
          <w:color w:val="000000" w:themeColor="text1"/>
        </w:rPr>
        <w:fldChar w:fldCharType="end"/>
      </w:r>
      <w:r w:rsidRPr="00975B92">
        <w:rPr>
          <w:rFonts w:ascii="Times New Roman" w:hAnsi="Times New Roman" w:cs="Times New Roman"/>
          <w:color w:val="000000" w:themeColor="text1"/>
        </w:rPr>
        <w:t xml:space="preserve"> Miller (2011). Therefore, EO is applied as a second-order construct in this study. A confirmatory factor analysis is performed to verify the measurement model’s validity.</w:t>
      </w:r>
      <w:r w:rsidR="003C650F">
        <w:rPr>
          <w:rFonts w:ascii="Times New Roman" w:hAnsi="Times New Roman" w:cs="Times New Roman"/>
          <w:color w:val="000000" w:themeColor="text1"/>
        </w:rPr>
        <w:t xml:space="preserve"> </w:t>
      </w:r>
      <w:r w:rsidR="003C650F">
        <w:rPr>
          <w:rFonts w:ascii="Times New Roman" w:hAnsi="Times New Roman" w:cs="Times New Roman"/>
          <w:color w:val="000000" w:themeColor="text1"/>
        </w:rPr>
        <w:fldChar w:fldCharType="begin"/>
      </w:r>
      <w:r w:rsidR="003C650F">
        <w:rPr>
          <w:rFonts w:ascii="Times New Roman" w:hAnsi="Times New Roman" w:cs="Times New Roman"/>
          <w:color w:val="000000" w:themeColor="text1"/>
        </w:rPr>
        <w:instrText xml:space="preserve"> REF _Ref358322552 \h </w:instrText>
      </w:r>
      <w:r w:rsidR="003C650F">
        <w:rPr>
          <w:rFonts w:ascii="Times New Roman" w:hAnsi="Times New Roman" w:cs="Times New Roman"/>
          <w:color w:val="000000" w:themeColor="text1"/>
        </w:rPr>
      </w:r>
      <w:r w:rsidR="003C650F">
        <w:rPr>
          <w:rFonts w:ascii="Times New Roman" w:hAnsi="Times New Roman" w:cs="Times New Roman"/>
          <w:color w:val="000000" w:themeColor="text1"/>
        </w:rPr>
        <w:fldChar w:fldCharType="separate"/>
      </w:r>
      <w:r w:rsidR="00C2793E">
        <w:t xml:space="preserve">Table </w:t>
      </w:r>
      <w:r w:rsidR="00C2793E">
        <w:rPr>
          <w:noProof/>
        </w:rPr>
        <w:t>23</w:t>
      </w:r>
      <w:r w:rsidR="003C650F">
        <w:rPr>
          <w:rFonts w:ascii="Times New Roman" w:hAnsi="Times New Roman" w:cs="Times New Roman"/>
          <w:color w:val="000000" w:themeColor="text1"/>
        </w:rPr>
        <w:fldChar w:fldCharType="end"/>
      </w:r>
      <w:r w:rsidR="003C650F">
        <w:rPr>
          <w:rFonts w:ascii="Times New Roman" w:hAnsi="Times New Roman" w:cs="Times New Roman"/>
          <w:color w:val="000000" w:themeColor="text1"/>
        </w:rPr>
        <w:t xml:space="preserve"> </w:t>
      </w:r>
      <w:r w:rsidRPr="00975B92">
        <w:rPr>
          <w:rFonts w:ascii="Times New Roman" w:hAnsi="Times New Roman" w:cs="Times New Roman"/>
          <w:color w:val="000000" w:themeColor="text1"/>
        </w:rPr>
        <w:t>depicts the measurement items of the EO construct.</w:t>
      </w:r>
    </w:p>
    <w:p w14:paraId="10A041F5" w14:textId="77777777" w:rsidR="00CB019C" w:rsidRPr="00975B92" w:rsidRDefault="00CB019C" w:rsidP="007436E7">
      <w:pPr>
        <w:spacing w:line="480" w:lineRule="auto"/>
        <w:jc w:val="both"/>
        <w:rPr>
          <w:rFonts w:ascii="Times New Roman" w:hAnsi="Times New Roman" w:cs="Times New Roman"/>
        </w:rPr>
      </w:pPr>
    </w:p>
    <w:p w14:paraId="0D2AB453" w14:textId="6815070B" w:rsidR="00496187" w:rsidRDefault="00496187" w:rsidP="00496187">
      <w:pPr>
        <w:pStyle w:val="Caption"/>
        <w:keepNext/>
        <w:jc w:val="both"/>
      </w:pPr>
      <w:bookmarkStart w:id="124" w:name="_Toc358326859"/>
      <w:bookmarkStart w:id="125" w:name="_Ref358322552"/>
      <w:r>
        <w:t xml:space="preserve">Table </w:t>
      </w:r>
      <w:fldSimple w:instr=" SEQ Table \* ARABIC ">
        <w:r w:rsidR="00C2793E">
          <w:rPr>
            <w:noProof/>
          </w:rPr>
          <w:t>23</w:t>
        </w:r>
        <w:bookmarkEnd w:id="124"/>
      </w:fldSimple>
      <w:bookmarkEnd w:id="125"/>
    </w:p>
    <w:p w14:paraId="6F0F12CB" w14:textId="09BC0D3D"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Measurement Items of EO</w:t>
      </w:r>
    </w:p>
    <w:tbl>
      <w:tblPr>
        <w:tblStyle w:val="TableGrid"/>
        <w:tblW w:w="0" w:type="auto"/>
        <w:tblLook w:val="04A0" w:firstRow="1" w:lastRow="0" w:firstColumn="1" w:lastColumn="0" w:noHBand="0" w:noVBand="1"/>
      </w:tblPr>
      <w:tblGrid>
        <w:gridCol w:w="1710"/>
        <w:gridCol w:w="7146"/>
      </w:tblGrid>
      <w:tr w:rsidR="00CB019C" w:rsidRPr="00975B92" w14:paraId="63A159B9" w14:textId="77777777" w:rsidTr="00776510">
        <w:tc>
          <w:tcPr>
            <w:tcW w:w="1098" w:type="dxa"/>
          </w:tcPr>
          <w:p w14:paraId="3050D7D4"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EO</w:t>
            </w:r>
          </w:p>
        </w:tc>
        <w:tc>
          <w:tcPr>
            <w:tcW w:w="7758" w:type="dxa"/>
          </w:tcPr>
          <w:p w14:paraId="2874B10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Adapted from Miller &amp; Corvin (1989), Slevin (1989), Lumpkin &amp; Dess (1996); Hughes &amp; Morgan (2007); Rauch et al. (2009); Covin &amp; Wales (2012)</w:t>
            </w:r>
          </w:p>
          <w:p w14:paraId="1FB7A77E" w14:textId="77777777" w:rsidR="00CB019C" w:rsidRPr="00975B92" w:rsidRDefault="00CB019C" w:rsidP="007436E7">
            <w:pPr>
              <w:tabs>
                <w:tab w:val="center" w:pos="4320"/>
                <w:tab w:val="right" w:pos="8640"/>
              </w:tabs>
              <w:jc w:val="both"/>
              <w:rPr>
                <w:rFonts w:ascii="Times New Roman" w:hAnsi="Times New Roman" w:cs="Times New Roman"/>
              </w:rPr>
            </w:pPr>
          </w:p>
        </w:tc>
      </w:tr>
      <w:tr w:rsidR="00CB019C" w:rsidRPr="00975B92" w14:paraId="4C4EDC79" w14:textId="77777777" w:rsidTr="00776510">
        <w:tc>
          <w:tcPr>
            <w:tcW w:w="1098" w:type="dxa"/>
          </w:tcPr>
          <w:p w14:paraId="3FFBFCF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Autonomy</w:t>
            </w:r>
          </w:p>
        </w:tc>
        <w:tc>
          <w:tcPr>
            <w:tcW w:w="7758" w:type="dxa"/>
          </w:tcPr>
          <w:p w14:paraId="4123E1F3"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In general, top managers of my organization believe that …</w:t>
            </w:r>
          </w:p>
          <w:p w14:paraId="18A001CB"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The best results occur when individuals and/or teams decide for themselves what business opportunities to pursue</w:t>
            </w:r>
          </w:p>
          <w:p w14:paraId="4D718C68" w14:textId="77777777" w:rsidR="00CB019C" w:rsidRPr="00975B92" w:rsidRDefault="00CB019C" w:rsidP="007436E7">
            <w:pPr>
              <w:tabs>
                <w:tab w:val="center" w:pos="4320"/>
                <w:tab w:val="right" w:pos="8640"/>
              </w:tabs>
              <w:jc w:val="both"/>
              <w:rPr>
                <w:rFonts w:ascii="Times New Roman" w:hAnsi="Times New Roman" w:cs="Times New Roman"/>
              </w:rPr>
            </w:pPr>
          </w:p>
          <w:p w14:paraId="18244C72"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My organization …</w:t>
            </w:r>
          </w:p>
          <w:p w14:paraId="43958303"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lastRenderedPageBreak/>
              <w:t xml:space="preserve">… Supports the efforts of individuals and/or teams that work autonomously </w:t>
            </w:r>
          </w:p>
          <w:p w14:paraId="59CFDC82" w14:textId="77777777" w:rsidR="00CB019C" w:rsidRPr="00975B92" w:rsidRDefault="00CB019C" w:rsidP="007436E7">
            <w:pPr>
              <w:tabs>
                <w:tab w:val="center" w:pos="4320"/>
                <w:tab w:val="right" w:pos="8640"/>
              </w:tabs>
              <w:jc w:val="both"/>
              <w:rPr>
                <w:rFonts w:ascii="Times New Roman" w:hAnsi="Times New Roman" w:cs="Times New Roman"/>
              </w:rPr>
            </w:pPr>
          </w:p>
          <w:p w14:paraId="164B5FF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In my organization …</w:t>
            </w:r>
          </w:p>
          <w:p w14:paraId="64AC459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Employee initiatives play a major role in selecting the  innovation opportunities my firm pursues </w:t>
            </w:r>
          </w:p>
          <w:p w14:paraId="3FF59B2D" w14:textId="77777777" w:rsidR="00CB019C" w:rsidRPr="00975B92" w:rsidRDefault="00CB019C" w:rsidP="007436E7">
            <w:pPr>
              <w:tabs>
                <w:tab w:val="center" w:pos="4320"/>
                <w:tab w:val="right" w:pos="8640"/>
              </w:tabs>
              <w:jc w:val="both"/>
              <w:rPr>
                <w:rFonts w:ascii="Times New Roman" w:hAnsi="Times New Roman" w:cs="Times New Roman"/>
              </w:rPr>
            </w:pPr>
          </w:p>
        </w:tc>
      </w:tr>
      <w:tr w:rsidR="00CB019C" w:rsidRPr="00975B92" w14:paraId="50023C36" w14:textId="77777777" w:rsidTr="00776510">
        <w:tc>
          <w:tcPr>
            <w:tcW w:w="1098" w:type="dxa"/>
          </w:tcPr>
          <w:p w14:paraId="086CE09B"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lastRenderedPageBreak/>
              <w:t>Competitive Aggressiveness</w:t>
            </w:r>
          </w:p>
        </w:tc>
        <w:tc>
          <w:tcPr>
            <w:tcW w:w="7758" w:type="dxa"/>
          </w:tcPr>
          <w:p w14:paraId="53F15B32" w14:textId="77777777" w:rsidR="00CB019C" w:rsidRPr="00975B92" w:rsidRDefault="00CB019C" w:rsidP="007436E7">
            <w:pPr>
              <w:keepNext/>
              <w:jc w:val="both"/>
              <w:rPr>
                <w:rFonts w:ascii="Times New Roman" w:hAnsi="Times New Roman" w:cs="Times New Roman"/>
              </w:rPr>
            </w:pPr>
            <w:r w:rsidRPr="00975B92">
              <w:rPr>
                <w:rFonts w:ascii="Times New Roman" w:hAnsi="Times New Roman" w:cs="Times New Roman"/>
              </w:rPr>
              <w:t>In dealing with its competitors, my organization ...</w:t>
            </w:r>
          </w:p>
          <w:p w14:paraId="6D44728A" w14:textId="77777777" w:rsidR="00CB019C" w:rsidRPr="00975B92" w:rsidRDefault="00CB019C" w:rsidP="007436E7">
            <w:pPr>
              <w:keepNext/>
              <w:tabs>
                <w:tab w:val="center" w:pos="4320"/>
                <w:tab w:val="right" w:pos="8640"/>
              </w:tabs>
              <w:jc w:val="both"/>
              <w:rPr>
                <w:rFonts w:ascii="Times New Roman" w:hAnsi="Times New Roman" w:cs="Times New Roman"/>
              </w:rPr>
            </w:pPr>
          </w:p>
          <w:p w14:paraId="75EB0F1E"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Adopts a very competitive "undo-the-competitors" posture </w:t>
            </w:r>
          </w:p>
          <w:p w14:paraId="55AFDCD2"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Acts very aggressive and intensely competitive </w:t>
            </w:r>
          </w:p>
          <w:p w14:paraId="56B745EB" w14:textId="77777777" w:rsidR="00CB019C" w:rsidRPr="00975B92" w:rsidRDefault="00CB019C" w:rsidP="007436E7">
            <w:pPr>
              <w:tabs>
                <w:tab w:val="center" w:pos="4320"/>
                <w:tab w:val="right" w:pos="8640"/>
              </w:tabs>
              <w:jc w:val="both"/>
              <w:rPr>
                <w:rFonts w:ascii="Times New Roman" w:hAnsi="Times New Roman" w:cs="Times New Roman"/>
              </w:rPr>
            </w:pPr>
          </w:p>
        </w:tc>
      </w:tr>
      <w:tr w:rsidR="00CB019C" w:rsidRPr="00975B92" w14:paraId="77120BAF" w14:textId="77777777" w:rsidTr="00776510">
        <w:tc>
          <w:tcPr>
            <w:tcW w:w="1098" w:type="dxa"/>
          </w:tcPr>
          <w:p w14:paraId="00CCB66B"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Proactive-Innovativeness</w:t>
            </w:r>
          </w:p>
        </w:tc>
        <w:tc>
          <w:tcPr>
            <w:tcW w:w="7758" w:type="dxa"/>
          </w:tcPr>
          <w:p w14:paraId="487ECF55" w14:textId="77777777" w:rsidR="00CB019C" w:rsidRPr="00975B92" w:rsidRDefault="00CB019C" w:rsidP="007436E7">
            <w:pPr>
              <w:keepNext/>
              <w:jc w:val="both"/>
              <w:rPr>
                <w:rFonts w:ascii="Times New Roman" w:hAnsi="Times New Roman" w:cs="Times New Roman"/>
              </w:rPr>
            </w:pPr>
            <w:r w:rsidRPr="00975B92">
              <w:rPr>
                <w:rFonts w:ascii="Times New Roman" w:hAnsi="Times New Roman" w:cs="Times New Roman"/>
              </w:rPr>
              <w:t>In dealing with its competitors, my organization ...</w:t>
            </w:r>
          </w:p>
          <w:p w14:paraId="43E4CD04" w14:textId="77777777" w:rsidR="00CB019C" w:rsidRPr="00975B92" w:rsidRDefault="00CB019C" w:rsidP="007436E7">
            <w:pPr>
              <w:keepNext/>
              <w:tabs>
                <w:tab w:val="center" w:pos="4320"/>
                <w:tab w:val="right" w:pos="8640"/>
              </w:tabs>
              <w:jc w:val="both"/>
              <w:rPr>
                <w:rFonts w:ascii="Times New Roman" w:hAnsi="Times New Roman" w:cs="Times New Roman"/>
              </w:rPr>
            </w:pPr>
          </w:p>
          <w:p w14:paraId="3B99EF4A" w14:textId="77777777" w:rsidR="00CB019C" w:rsidRPr="00975B92" w:rsidRDefault="00CB019C" w:rsidP="007436E7">
            <w:pPr>
              <w:keepNext/>
              <w:jc w:val="both"/>
              <w:rPr>
                <w:rFonts w:ascii="Times New Roman" w:hAnsi="Times New Roman" w:cs="Times New Roman"/>
              </w:rPr>
            </w:pPr>
            <w:r w:rsidRPr="00975B92">
              <w:rPr>
                <w:rFonts w:ascii="Times New Roman" w:hAnsi="Times New Roman" w:cs="Times New Roman"/>
              </w:rPr>
              <w:t xml:space="preserve">…  Initiates actions which competitors then respond to </w:t>
            </w:r>
          </w:p>
          <w:p w14:paraId="1B7DC5BF" w14:textId="77777777" w:rsidR="00CB019C" w:rsidRPr="00975B92" w:rsidRDefault="00CB019C" w:rsidP="007436E7">
            <w:pPr>
              <w:keepNext/>
              <w:jc w:val="both"/>
              <w:rPr>
                <w:rFonts w:ascii="Times New Roman" w:hAnsi="Times New Roman" w:cs="Times New Roman"/>
              </w:rPr>
            </w:pPr>
            <w:r w:rsidRPr="00975B92">
              <w:rPr>
                <w:rFonts w:ascii="Times New Roman" w:hAnsi="Times New Roman" w:cs="Times New Roman"/>
              </w:rPr>
              <w:t xml:space="preserve">… Is the first business to introduce new products/services, administrative techniques, operating technologies, etc.  </w:t>
            </w:r>
          </w:p>
          <w:p w14:paraId="4317FE63" w14:textId="77777777" w:rsidR="00CB019C" w:rsidRPr="00975B92" w:rsidRDefault="00CB019C" w:rsidP="007436E7">
            <w:pPr>
              <w:keepNext/>
              <w:jc w:val="both"/>
              <w:rPr>
                <w:rFonts w:ascii="Times New Roman" w:hAnsi="Times New Roman" w:cs="Times New Roman"/>
              </w:rPr>
            </w:pPr>
            <w:r w:rsidRPr="00975B92">
              <w:rPr>
                <w:rFonts w:ascii="Times New Roman" w:hAnsi="Times New Roman" w:cs="Times New Roman"/>
              </w:rPr>
              <w:t xml:space="preserve">Changes in product or service line have usually been quite dramatic </w:t>
            </w:r>
          </w:p>
          <w:p w14:paraId="0A86F92E" w14:textId="77777777" w:rsidR="00CB019C" w:rsidRPr="00975B92" w:rsidRDefault="00CB019C" w:rsidP="007436E7">
            <w:pPr>
              <w:tabs>
                <w:tab w:val="center" w:pos="4320"/>
                <w:tab w:val="right" w:pos="8640"/>
              </w:tabs>
              <w:jc w:val="both"/>
              <w:rPr>
                <w:rFonts w:ascii="Times New Roman" w:hAnsi="Times New Roman" w:cs="Times New Roman"/>
              </w:rPr>
            </w:pPr>
          </w:p>
        </w:tc>
      </w:tr>
      <w:tr w:rsidR="00CB019C" w:rsidRPr="00975B92" w14:paraId="001D1BF8" w14:textId="77777777" w:rsidTr="00776510">
        <w:tc>
          <w:tcPr>
            <w:tcW w:w="1098" w:type="dxa"/>
          </w:tcPr>
          <w:p w14:paraId="0A573EB3"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Risk-Taking</w:t>
            </w:r>
          </w:p>
        </w:tc>
        <w:tc>
          <w:tcPr>
            <w:tcW w:w="7758" w:type="dxa"/>
          </w:tcPr>
          <w:p w14:paraId="500D11E6"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In general, top managers of my organization have ...</w:t>
            </w:r>
          </w:p>
          <w:p w14:paraId="2074793A"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A strong inclination for high risk projects (with chances of very high returns) </w:t>
            </w:r>
          </w:p>
          <w:p w14:paraId="2F5B634A" w14:textId="77777777" w:rsidR="00CB019C" w:rsidRPr="00975B92" w:rsidRDefault="00CB019C" w:rsidP="007436E7">
            <w:pPr>
              <w:tabs>
                <w:tab w:val="center" w:pos="4320"/>
                <w:tab w:val="right" w:pos="8640"/>
              </w:tabs>
              <w:jc w:val="both"/>
              <w:rPr>
                <w:rFonts w:ascii="Times New Roman" w:hAnsi="Times New Roman" w:cs="Times New Roman"/>
              </w:rPr>
            </w:pPr>
          </w:p>
          <w:p w14:paraId="5FFCD0B8"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In general, top managers of my organization believe that ...</w:t>
            </w:r>
          </w:p>
          <w:p w14:paraId="00DFFD96"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Bold wide-ranging acts are necessary to achieve the firm's objectives </w:t>
            </w:r>
          </w:p>
          <w:p w14:paraId="2C1015B2" w14:textId="77777777" w:rsidR="00CB019C" w:rsidRPr="00975B92" w:rsidRDefault="00CB019C" w:rsidP="007436E7">
            <w:pPr>
              <w:tabs>
                <w:tab w:val="center" w:pos="4320"/>
                <w:tab w:val="right" w:pos="8640"/>
              </w:tabs>
              <w:jc w:val="both"/>
              <w:rPr>
                <w:rFonts w:ascii="Times New Roman" w:hAnsi="Times New Roman" w:cs="Times New Roman"/>
              </w:rPr>
            </w:pPr>
          </w:p>
        </w:tc>
      </w:tr>
    </w:tbl>
    <w:p w14:paraId="77C6B0F3" w14:textId="77777777" w:rsidR="00CB019C" w:rsidRPr="00975B92" w:rsidRDefault="00CB019C" w:rsidP="007436E7">
      <w:pPr>
        <w:spacing w:line="480" w:lineRule="auto"/>
        <w:jc w:val="both"/>
        <w:rPr>
          <w:rFonts w:ascii="Times New Roman" w:hAnsi="Times New Roman" w:cs="Times New Roman"/>
        </w:rPr>
      </w:pPr>
    </w:p>
    <w:p w14:paraId="1C7F5726" w14:textId="77777777" w:rsidR="00CB019C" w:rsidRPr="00975B92" w:rsidRDefault="00CB019C" w:rsidP="007436E7">
      <w:pPr>
        <w:spacing w:line="480" w:lineRule="auto"/>
        <w:jc w:val="both"/>
        <w:rPr>
          <w:rFonts w:ascii="Times New Roman" w:hAnsi="Times New Roman" w:cs="Times New Roman"/>
        </w:rPr>
      </w:pPr>
    </w:p>
    <w:p w14:paraId="5C3F169C" w14:textId="77777777" w:rsidR="00CB019C" w:rsidRPr="00975B92" w:rsidRDefault="00CB019C" w:rsidP="00BC0CFE">
      <w:pPr>
        <w:pStyle w:val="Heading4new"/>
      </w:pPr>
      <w:r w:rsidRPr="00975B92">
        <w:t>Innovation and Financial Performance</w:t>
      </w:r>
    </w:p>
    <w:p w14:paraId="7B533549" w14:textId="68F594DB"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While some researchers have applied secondary data to assess performance, others have suggested to utilize surveys with self-reports for the measurement of organizational performance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"10.1111/j.1540-6520.2010.00420.x", "author" : [ { "dropping-particle" : "", "family" : "Wiklund", "given" : "Johan", "non-dropping-particle" : "", "parse-names" : false, "suffix" : "" }, { "dropping-particle" : "", "family" : "Davidsson", "given" : "Per", "non-dropping-particle" : "", "parse-names" : false, "suffix" : "" }, { "dropping-particle" : "", "family" : "Audretsch", "given" : "David B.", "non-dropping-particle" : "", "parse-names" : false, "suffix" : "" }, { "dropping-particle" : "", "family" : "Karlsson", "given" : "Charlie", "non-dropping-particle" : "", "parse-names" : false, "suffix" : "" } ], "container-title" : "Entrepreneurship Theory and Practice", "id" : "ITEM-1", "issue" : "January", "issued" : { "date-parts" : [ [ "2011" ] ] }, "page" : "1-9", "title" : "The Future of Entrepreneurship Research", "type" : "article-journal" }, "uris" : [ "http://www.mendeley.com/documents/?uuid=ea88fac0-9366-43e7-aad7-6ca981230d12" ] }, { "id" : "ITEM-2", "itemData" : { "author" : [ { "dropping-particle" : "", "family" : "Wiklund", "given" : "Johan", "non-dropping-particle" : "", "parse-names" : false, "suffix" : "" }, { "dropping-particle" : "", "family" : "Shepherd", "given" : "Dean", "non-dropping-particle" : "", "parse-names" : false, "suffix" : "" } ], "container-title" : "Strategic Management Journal", "id" : "ITEM-2", "issued" : { "date-parts" : [ [ "2003" ] ] }, "page" : "1307-1314", "title" : "Knowledge-Based Resources, Entrepreneurial Orientation, and the Performance of Small and Medium-Sized Businesses", "type" : "article-journal", "volume" : "24" }, "uris" : [ "http://www.mendeley.com/documents/?uuid=c0927bc8-e0b4-483a-8342-a9a4ed75a37b" ] }, { "id" : "ITEM-3", "itemData" : { "author" : [ { "dropping-particle" : "", "family" : "Lonial", "given" : "Subhash C", "non-dropping-particle" : "", "parse-names" : false, "suffix" : "" }, { "dropping-particle" : "", "family" : "Carter", "given" : "Robert E", "non-dropping-particle" : "", "parse-names" : false, "suffix" : "" } ], "container-title" : "Journal of Small Business Management", "id" : "ITEM-3", "issue" : "1", "issued" : { "date-parts" : [ [ "2015" ] ] }, "page" : "94-113", "title" : "The Impact of Organizational Orientations on Medium and Small Firm Performance: A Resource-Based Perspective", "type" : "article-journal", "volume" : "53" }, "uris" : [ "http://www.mendeley.com/documents/?uuid=0b9389f5-6875-47db-9e27-ce54834f33e1" ] } ], "mendeley" : { "formattedCitation" : "(Lonial &amp; Carter, 2015; Wiklund et al., 2011; Wiklund &amp; Shepherd, 2003)", "plainTextFormattedCitation" : "(Lonial &amp; Carter, 2015; Wiklund et al., 2011; Wiklund &amp; Shepherd, 2003)", "previouslyFormattedCitation" : "(Lonial &amp; Carter, 2015; Wiklund et al., 2011; Wiklund &amp; Shepherd, 2003)"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(Lonial &amp; Carter, 2015; Wiklund et al., 2011; Wiklund &amp; Shepherd, 2003)</w:t>
      </w:r>
      <w:r w:rsidRPr="00975B92">
        <w:rPr>
          <w:rFonts w:ascii="Times New Roman" w:hAnsi="Times New Roman" w:cs="Times New Roman"/>
        </w:rPr>
        <w:fldChar w:fldCharType="end"/>
      </w:r>
      <w:r w:rsidRPr="00975B92">
        <w:rPr>
          <w:rFonts w:ascii="Times New Roman" w:hAnsi="Times New Roman" w:cs="Times New Roman"/>
        </w:rPr>
        <w:t xml:space="preserve">. In prior research, it was determined that the correlations between EO and different performance measures were similar for both methods. Thus, both perceptual (subjective) performance measures from surveys and (objective) measures based on secondary or archival performance data lead to the same conclusions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"Lonial", "given" : "Subhash C", "non-dropping-particle" : "", "parse-names" : false, "suffix" : "" }, { "dropping-particle" : "", "family" : "Carter", "given" : "Robert E", "non-dropping-particle" : "", "parse-names" : false, "suffix" : "" } ], "container-title" : "Journal of Small Business Management", "id" : "ITEM-1", "issue" : "1", "issued" : { "date-parts" : [ [ "2015" ] ] }, "page" : "94-113", "title" : "The Impact of Organizational Orientations on Medium and Small Firm Performance: A Resource-Based Perspective", "type" : "article-journal", "volume" : "53" }, "uris" : [ "http://www.mendeley.com/documents/?uuid=0b9389f5-6875-47db-9e27-ce54834f33e1" ] }, { "id" : "ITEM-2", "itemData" : { "DOI" : "10.1111/j.1540-6520.2009.00308.x", "author" : [ { "dropping-particle" : "", "family" : "Rauch", "given" : "Andreas", "non-dropping-particle" : "", "parse-names" : false, "suffix" : "" }, { "dropping-particle" : "", "family" : "Wiklund", "given" : "Johan", "non-dropping-particle" : "", "parse-names" : false, "suffix" : "" }, { "dropping-particle" : "", "family" : "Frese", "given" : "Michael", "non-dropping-particle" : "", "parse-names" : false, "suffix" : "" } ], "container-title" : "Entrepreneurship Theory and Practice", "id" : "ITEM-2", "issue" : "May", "issued" : { "date-parts" : [ [ "2009" ] ] }, "page" : "761-787", "title" : "Entrepreneurial Orientation and Business Performance: An Assessment of Past Research and Suggestions for the Future", "type" : "article-journal" }, "uris" : [ "http://www.mendeley.com/documents/?uuid=ef78abd0-44b5-40a4-b2c7-ea5df1356f57" ] }, { "id" : "ITEM-3", "itemData" : { "DOI" : "10.1177/0149206311425612", "ISBN" : "0149206311425", "author" : [ { "dropping-particle" : "", "family" : "Rosenbusch", "given" : "Nina", "non-dropping-particle" : "", "parse-names" : false, "suffix" : "" }, { "dropping-particle" : "", "family" : "Rauch", "given" : "Andreas", "non-dropping-particle" : "", "parse-names" : false, "suffix" : "" }, { "dropping-particle" : "", "family" : "Bausch", "given" : "Andreas", "non-dropping-particle" : "", "parse-names" : false, "suffix" : "" } ], "container-title" : "Journal of Management", "id" : "ITEM-3", "issue" : "3", "issued" : { "date-parts" : [ [ "2013" ] ] }, "page" : "633-659", "title" : "The Mediating Role of Entrepreneurial Orientation in the Task Environment \u2013 Performance Relationship : A Meta-Analysis", "type" : "article-journal", "volume" : "39" }, "uris" : [ "http://www.mendeley.com/documents/?uuid=f41e7f4c-0397-4f76-b97c-2d1076d68fea" ] } ], "mendeley" : { "formattedCitation" : "(Lonial &amp; Carter, 2015; Rauch et al., 2009; Rosenbusch et al., 2013)", "plainTextFormattedCitation" : "(Lonial &amp; Carter, 2015; Rauch et al., 2009; Rosenbusch et al., 2013)", "previouslyFormattedCitation" : "(Lonial &amp; Carter, 2015; Rauch et al., 2009; Rosenbusch et al., 2013)"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(Lonial &amp; Carter, 2015; Rauch et al., 2009; Rosenbusch et al., 2013)</w:t>
      </w:r>
      <w:r w:rsidRPr="00975B92">
        <w:rPr>
          <w:rFonts w:ascii="Times New Roman" w:hAnsi="Times New Roman" w:cs="Times New Roman"/>
        </w:rPr>
        <w:fldChar w:fldCharType="end"/>
      </w:r>
      <w:r w:rsidRPr="00975B92">
        <w:rPr>
          <w:rFonts w:ascii="Times New Roman" w:hAnsi="Times New Roman" w:cs="Times New Roman"/>
        </w:rPr>
        <w:t xml:space="preserve">. Survey measures even allowed capturing a broader scope and multiple dimensions of performance compared to the use of archival data </w:t>
      </w:r>
      <w:r w:rsidRPr="00975B92">
        <w:rPr>
          <w:rFonts w:ascii="Times New Roman" w:hAnsi="Times New Roman" w:cs="Times New Roman"/>
        </w:rPr>
        <w:lastRenderedPageBreak/>
        <w:fldChar w:fldCharType="begin" w:fldLock="1"/>
      </w:r>
      <w:r w:rsidRPr="00975B92">
        <w:rPr>
          <w:rFonts w:ascii="Times New Roman" w:hAnsi="Times New Roman" w:cs="Times New Roman"/>
        </w:rPr>
        <w:instrText>ADDIN CSL_CITATION { "citationItems" : [ { "id" : "ITEM-1", "itemData" : { "author" : [ { "dropping-particle" : "", "family" : "Lonial", "given" : "Subhash C", "non-dropping-particle" : "", "parse-names" : false, "suffix" : "" }, { "dropping-particle" : "", "family" : "Carter", "given" : "Robert E", "non-dropping-particle" : "", "parse-names" : false, "suffix" : "" } ], "container-title" : "Journal of Small Business Management", "id" : "ITEM-1", "issue" : "1", "issued" : { "date-parts" : [ [ "2015" ] ] }, "page" : "94-113", "title" : "The Impact of Organizational Orientations on Medium and Small Firm Performance: A Resource-Based Perspective", "type" : "article-journal", "volume" : "53" }, "uris" : [ "http://www.mendeley.com/documents/?uuid=0b9389f5-6875-47db-9e27-ce54834f33e1" ] } ], "mendeley" : { "formattedCitation" : "(Lonial &amp; Carter, 2015)", "plainTextFormattedCitation" : "(Lonial &amp; Carter, 2015)", "previouslyFormattedCitation" : "(Lonial &amp; Carter, 2015)"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(Lonial &amp; Carter, 2015)</w:t>
      </w:r>
      <w:r w:rsidRPr="00975B92">
        <w:rPr>
          <w:rFonts w:ascii="Times New Roman" w:hAnsi="Times New Roman" w:cs="Times New Roman"/>
        </w:rPr>
        <w:fldChar w:fldCharType="end"/>
      </w:r>
      <w:r w:rsidRPr="00975B92">
        <w:rPr>
          <w:rFonts w:ascii="Times New Roman" w:hAnsi="Times New Roman" w:cs="Times New Roman"/>
        </w:rPr>
        <w:t xml:space="preserve">. Hence, the survey method appears appropriate to measure innovation and financial performance in this study. Chapter Two included already a detailed elaboration of innovation performance construct definitions and construct operationalization in the literature. The prior conceptual and hypotheses development section included an overview of financial performance definitions as well. Thus, </w:t>
      </w:r>
      <w:r w:rsidR="00DE4BF0">
        <w:rPr>
          <w:rFonts w:ascii="Times New Roman" w:hAnsi="Times New Roman" w:cs="Times New Roman"/>
        </w:rPr>
        <w:fldChar w:fldCharType="begin"/>
      </w:r>
      <w:r w:rsidR="00DE4BF0">
        <w:rPr>
          <w:rFonts w:ascii="Times New Roman" w:hAnsi="Times New Roman" w:cs="Times New Roman"/>
        </w:rPr>
        <w:instrText xml:space="preserve"> REF _Ref358322689 \h </w:instrText>
      </w:r>
      <w:r w:rsidR="00DE4BF0">
        <w:rPr>
          <w:rFonts w:ascii="Times New Roman" w:hAnsi="Times New Roman" w:cs="Times New Roman"/>
        </w:rPr>
      </w:r>
      <w:r w:rsidR="00DE4BF0">
        <w:rPr>
          <w:rFonts w:ascii="Times New Roman" w:hAnsi="Times New Roman" w:cs="Times New Roman"/>
        </w:rPr>
        <w:fldChar w:fldCharType="separate"/>
      </w:r>
      <w:r w:rsidR="00C2793E">
        <w:t xml:space="preserve">Table </w:t>
      </w:r>
      <w:r w:rsidR="00C2793E">
        <w:rPr>
          <w:noProof/>
        </w:rPr>
        <w:t>24</w:t>
      </w:r>
      <w:r w:rsidR="00DE4BF0">
        <w:rPr>
          <w:rFonts w:ascii="Times New Roman" w:hAnsi="Times New Roman" w:cs="Times New Roman"/>
        </w:rPr>
        <w:fldChar w:fldCharType="end"/>
      </w:r>
      <w:r w:rsidR="00DE4BF0">
        <w:rPr>
          <w:rFonts w:ascii="Times New Roman" w:hAnsi="Times New Roman" w:cs="Times New Roman"/>
        </w:rPr>
        <w:t xml:space="preserve"> </w:t>
      </w:r>
      <w:r w:rsidR="00C82B47">
        <w:rPr>
          <w:rFonts w:ascii="Times New Roman" w:hAnsi="Times New Roman" w:cs="Times New Roman"/>
        </w:rPr>
        <w:t>depicts</w:t>
      </w:r>
      <w:r w:rsidRPr="00975B92">
        <w:rPr>
          <w:rFonts w:ascii="Times New Roman" w:hAnsi="Times New Roman" w:cs="Times New Roman"/>
        </w:rPr>
        <w:t xml:space="preserve"> the measurement items utilized for </w:t>
      </w:r>
      <w:r w:rsidR="00C82B47">
        <w:rPr>
          <w:rFonts w:ascii="Times New Roman" w:hAnsi="Times New Roman" w:cs="Times New Roman"/>
        </w:rPr>
        <w:t>the</w:t>
      </w:r>
      <w:r w:rsidRPr="00975B92">
        <w:rPr>
          <w:rFonts w:ascii="Times New Roman" w:hAnsi="Times New Roman" w:cs="Times New Roman"/>
        </w:rPr>
        <w:t xml:space="preserve"> performance constructs. For both performance outcome variables, established measurement scales were applied based on the literature.</w:t>
      </w:r>
    </w:p>
    <w:p w14:paraId="423030D3" w14:textId="77777777" w:rsidR="00CB019C" w:rsidRPr="00975B92" w:rsidRDefault="00CB019C" w:rsidP="007436E7">
      <w:pPr>
        <w:spacing w:line="480" w:lineRule="auto"/>
        <w:jc w:val="both"/>
        <w:rPr>
          <w:rFonts w:ascii="Times New Roman" w:hAnsi="Times New Roman" w:cs="Times New Roman"/>
        </w:rPr>
      </w:pPr>
    </w:p>
    <w:p w14:paraId="18DB174F" w14:textId="52713198" w:rsidR="00DE4BF0" w:rsidRDefault="00DE4BF0" w:rsidP="00DE4BF0">
      <w:pPr>
        <w:pStyle w:val="Caption"/>
        <w:keepNext/>
        <w:jc w:val="both"/>
      </w:pPr>
      <w:bookmarkStart w:id="126" w:name="_Toc358326860"/>
      <w:bookmarkStart w:id="127" w:name="_Ref358322689"/>
      <w:r>
        <w:t xml:space="preserve">Table </w:t>
      </w:r>
      <w:fldSimple w:instr=" SEQ Table \* ARABIC ">
        <w:r w:rsidR="00C2793E">
          <w:rPr>
            <w:noProof/>
          </w:rPr>
          <w:t>24</w:t>
        </w:r>
        <w:bookmarkEnd w:id="126"/>
      </w:fldSimple>
      <w:bookmarkEnd w:id="127"/>
    </w:p>
    <w:p w14:paraId="4DCDD981" w14:textId="5B88732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Measurement Items of Innovation and Financial Performance</w:t>
      </w:r>
    </w:p>
    <w:tbl>
      <w:tblPr>
        <w:tblStyle w:val="TableGrid"/>
        <w:tblW w:w="0" w:type="auto"/>
        <w:tblLook w:val="04A0" w:firstRow="1" w:lastRow="0" w:firstColumn="1" w:lastColumn="0" w:noHBand="0" w:noVBand="1"/>
      </w:tblPr>
      <w:tblGrid>
        <w:gridCol w:w="1549"/>
        <w:gridCol w:w="7307"/>
      </w:tblGrid>
      <w:tr w:rsidR="00CB019C" w:rsidRPr="00975B92" w14:paraId="6F146DA2" w14:textId="77777777" w:rsidTr="00776510">
        <w:tc>
          <w:tcPr>
            <w:tcW w:w="1098" w:type="dxa"/>
          </w:tcPr>
          <w:p w14:paraId="6D1E154F"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Performance</w:t>
            </w:r>
          </w:p>
        </w:tc>
        <w:tc>
          <w:tcPr>
            <w:tcW w:w="7758" w:type="dxa"/>
          </w:tcPr>
          <w:p w14:paraId="362463AC"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Adapted from Atuahene-Gima (1996); Wagner (2010); Chen&amp;Huang (2009)</w:t>
            </w:r>
          </w:p>
          <w:p w14:paraId="2D108D96" w14:textId="77777777" w:rsidR="00CB019C" w:rsidRPr="00975B92" w:rsidRDefault="00CB019C" w:rsidP="007436E7">
            <w:pPr>
              <w:tabs>
                <w:tab w:val="center" w:pos="4320"/>
                <w:tab w:val="right" w:pos="8640"/>
              </w:tabs>
              <w:jc w:val="both"/>
              <w:rPr>
                <w:rFonts w:ascii="Times New Roman" w:hAnsi="Times New Roman" w:cs="Times New Roman"/>
              </w:rPr>
            </w:pPr>
          </w:p>
        </w:tc>
      </w:tr>
      <w:tr w:rsidR="00CB019C" w:rsidRPr="00975B92" w14:paraId="394572D3" w14:textId="77777777" w:rsidTr="00776510">
        <w:tc>
          <w:tcPr>
            <w:tcW w:w="1098" w:type="dxa"/>
          </w:tcPr>
          <w:p w14:paraId="7DBEDE41"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IP</w:t>
            </w:r>
          </w:p>
        </w:tc>
        <w:tc>
          <w:tcPr>
            <w:tcW w:w="7758" w:type="dxa"/>
          </w:tcPr>
          <w:p w14:paraId="1E614DF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Considering the most recent new product, service, or process development, please evaluate your organization's innovation success:      </w:t>
            </w:r>
          </w:p>
          <w:p w14:paraId="15F7C070" w14:textId="77777777" w:rsidR="00CB019C" w:rsidRPr="00975B92" w:rsidRDefault="00CB019C" w:rsidP="007436E7">
            <w:pPr>
              <w:keepNext/>
              <w:jc w:val="both"/>
              <w:rPr>
                <w:rFonts w:ascii="Times New Roman" w:hAnsi="Times New Roman" w:cs="Times New Roman"/>
              </w:rPr>
            </w:pPr>
            <w:r w:rsidRPr="00975B92">
              <w:rPr>
                <w:rFonts w:ascii="Times New Roman" w:hAnsi="Times New Roman" w:cs="Times New Roman"/>
              </w:rPr>
              <w:t>My organization ...</w:t>
            </w:r>
          </w:p>
          <w:p w14:paraId="5C9E50C4" w14:textId="77777777" w:rsidR="00CB019C" w:rsidRPr="00975B92" w:rsidRDefault="00CB019C" w:rsidP="007436E7">
            <w:pPr>
              <w:keepNext/>
              <w:tabs>
                <w:tab w:val="center" w:pos="4320"/>
                <w:tab w:val="right" w:pos="8640"/>
              </w:tabs>
              <w:jc w:val="both"/>
              <w:rPr>
                <w:rFonts w:ascii="Times New Roman" w:hAnsi="Times New Roman" w:cs="Times New Roman"/>
              </w:rPr>
            </w:pPr>
          </w:p>
          <w:p w14:paraId="408D655E"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Accelerated the commercialization pace of the new products or services by innovation  </w:t>
            </w:r>
          </w:p>
          <w:p w14:paraId="0B768BC9"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Made a considerable profit from its new products or services  </w:t>
            </w:r>
          </w:p>
          <w:p w14:paraId="5DDD602E"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Developed new technology to improve its operational processes  </w:t>
            </w:r>
          </w:p>
          <w:p w14:paraId="10BFAD77"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Purchased new equipment to enhance productivity  </w:t>
            </w:r>
          </w:p>
          <w:p w14:paraId="246E5F29" w14:textId="77777777" w:rsidR="00CB019C" w:rsidRPr="00975B92" w:rsidRDefault="00CB019C" w:rsidP="007436E7">
            <w:pPr>
              <w:tabs>
                <w:tab w:val="center" w:pos="4320"/>
                <w:tab w:val="right" w:pos="8640"/>
              </w:tabs>
              <w:jc w:val="both"/>
              <w:rPr>
                <w:rFonts w:ascii="Times New Roman" w:hAnsi="Times New Roman" w:cs="Times New Roman"/>
              </w:rPr>
            </w:pPr>
          </w:p>
        </w:tc>
      </w:tr>
      <w:tr w:rsidR="00CB019C" w:rsidRPr="00975B92" w14:paraId="464E5ADE" w14:textId="77777777" w:rsidTr="00776510">
        <w:tc>
          <w:tcPr>
            <w:tcW w:w="1098" w:type="dxa"/>
          </w:tcPr>
          <w:p w14:paraId="3852D4B5"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FP</w:t>
            </w:r>
          </w:p>
        </w:tc>
        <w:tc>
          <w:tcPr>
            <w:tcW w:w="7758" w:type="dxa"/>
          </w:tcPr>
          <w:p w14:paraId="5CB6E53D"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Please rate the extent to which your organization has achieved the following product/service development objectives:  </w:t>
            </w:r>
          </w:p>
          <w:p w14:paraId="6F854BEB" w14:textId="77777777" w:rsidR="00CB019C" w:rsidRPr="00975B92" w:rsidRDefault="00CB019C" w:rsidP="007436E7">
            <w:pPr>
              <w:tabs>
                <w:tab w:val="center" w:pos="4320"/>
                <w:tab w:val="right" w:pos="8640"/>
              </w:tabs>
              <w:jc w:val="both"/>
              <w:rPr>
                <w:rFonts w:ascii="Times New Roman" w:hAnsi="Times New Roman" w:cs="Times New Roman"/>
              </w:rPr>
            </w:pPr>
          </w:p>
          <w:p w14:paraId="67BE72C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Total sales relative to stated objectives  </w:t>
            </w:r>
          </w:p>
          <w:p w14:paraId="10451DAC"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Return on assets relative to stated objectives  </w:t>
            </w:r>
          </w:p>
          <w:p w14:paraId="469014DE"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Return on investment related to stated objectives  </w:t>
            </w:r>
          </w:p>
          <w:p w14:paraId="207D6A22"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 Profitability relative to stated objectives  </w:t>
            </w:r>
          </w:p>
          <w:p w14:paraId="065D59E5" w14:textId="77777777" w:rsidR="00CB019C" w:rsidRPr="00975B92" w:rsidRDefault="00CB019C" w:rsidP="007436E7">
            <w:pPr>
              <w:tabs>
                <w:tab w:val="center" w:pos="4320"/>
                <w:tab w:val="right" w:pos="8640"/>
              </w:tabs>
              <w:jc w:val="both"/>
              <w:rPr>
                <w:rFonts w:ascii="Times New Roman" w:hAnsi="Times New Roman" w:cs="Times New Roman"/>
              </w:rPr>
            </w:pPr>
          </w:p>
        </w:tc>
      </w:tr>
    </w:tbl>
    <w:p w14:paraId="4700C4B9" w14:textId="77777777" w:rsidR="00CB019C" w:rsidRPr="00975B92" w:rsidRDefault="00CB019C" w:rsidP="007436E7">
      <w:pPr>
        <w:spacing w:line="480" w:lineRule="auto"/>
        <w:jc w:val="both"/>
        <w:rPr>
          <w:rFonts w:ascii="Times New Roman" w:hAnsi="Times New Roman" w:cs="Times New Roman"/>
        </w:rPr>
      </w:pPr>
    </w:p>
    <w:p w14:paraId="0387D164" w14:textId="77777777" w:rsidR="00CB019C" w:rsidRPr="00975B92" w:rsidRDefault="00CB019C" w:rsidP="00BC0CFE">
      <w:pPr>
        <w:pStyle w:val="Heading4new"/>
      </w:pPr>
      <w:r w:rsidRPr="00975B92">
        <w:t>Control Variables</w:t>
      </w:r>
    </w:p>
    <w:p w14:paraId="0C789730"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Several control variables were used to safeguard against potential influence on performance and thus to ensure generalizability of the findings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"10.1016/j.indmarman.2009.12.001", "ISSN" : "0019-8501", "author" : [ { "dropping-particle" : "", "family" : "Wagner", "given" : "Stephan M.", "non-dropping-particle" : "", "parse-names" : false, "suffix" : "" } ], "container-title" : "Industrial Marketing Management", "id" : "ITEM-1", "issue" : "7", "issued" : { "date-parts" : [ [ "2010" ] ] }, "page" : "1139-1149", "title" : "Supplier traits for better customer firm innovation performance", "type" : "article-journal", "volume" : "39" }, "uris" : [ "http://www.mendeley.com/documents/?uuid=256a21ab-bbbd-4ee2-a68d-8a028c9a0a19" ] } ], "mendeley" : { "formattedCitation" : "(Wagner, 2010)", "plainTextFormattedCitation" : "(Wagner, 2010)", "previouslyFormattedCitation" : "(Wagner,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(Wagner, 2010)</w:t>
      </w:r>
      <w:r w:rsidRPr="00975B92">
        <w:rPr>
          <w:rFonts w:ascii="Times New Roman" w:hAnsi="Times New Roman" w:cs="Times New Roman"/>
        </w:rPr>
        <w:fldChar w:fldCharType="end"/>
      </w:r>
      <w:r w:rsidRPr="00975B92">
        <w:rPr>
          <w:rFonts w:ascii="Times New Roman" w:hAnsi="Times New Roman" w:cs="Times New Roman"/>
        </w:rPr>
        <w:t xml:space="preserve">. </w:t>
      </w:r>
      <w:r w:rsidRPr="00975B92">
        <w:rPr>
          <w:rFonts w:ascii="Times New Roman" w:hAnsi="Times New Roman" w:cs="Times New Roman"/>
        </w:rPr>
        <w:lastRenderedPageBreak/>
        <w:t xml:space="preserve">Innovation and financial performance might be influenced by some demographic characteristics such as firm size because large organizations have easier access to essential resources and might have better opportunities to conduct supply chain resource orchestration with qualified, innovative suppliers. In the literature, firm size has been noted as an important predictor of innovation performance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"Hurley", "given" : "Robert F", "non-dropping-particle" : "", "parse-names" : false, "suffix" : "" }, { "dropping-particle" : "", "family" : "Hult", "given" : "G Tomas M", "non-dropping-particle" : "", "parse-names" : false, "suffix" : "" } ], "container-title" : "Journal of Marketing", "id" : "ITEM-1", "issue" : "3", "issued" : { "date-parts" : [ [ "1998" ] ] }, "page" : "42-54", "title" : "Innovation, Market Orientation, and Organizational Learning: An Integration and Empirical Examination", "type" : "article-journal", "volume" : "62" }, "uris" : [ "http://www.mendeley.com/documents/?uuid=84c74f8c-cbed-4deb-933c-37a45068e941" ] } ], "mendeley" : { "formattedCitation" : "(Hurley &amp; Hult, 1998)", "plainTextFormattedCitation" : "(Hurley &amp; Hult, 1998)", "previouslyFormattedCitation" : "(Hurley &amp; Hult, 1998)"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(Hurley &amp; Hult, 1998)</w:t>
      </w:r>
      <w:r w:rsidRPr="00975B92">
        <w:rPr>
          <w:rFonts w:ascii="Times New Roman" w:hAnsi="Times New Roman" w:cs="Times New Roman"/>
        </w:rPr>
        <w:fldChar w:fldCharType="end"/>
      </w:r>
      <w:r w:rsidRPr="00975B92">
        <w:rPr>
          <w:rFonts w:ascii="Times New Roman" w:hAnsi="Times New Roman" w:cs="Times New Roman"/>
        </w:rPr>
        <w:t xml:space="preserve">. Another control variable, legal type (public, private), was applied to safeguard the generalizability of the findings. Possibly, privately held companies might have an advantage in forming SCRO relationships with key suppliers due to less stringent publication requirements compared to publicly held companies. Moreover, privately held companies might have more leeway to act upon and implement innovative ideas, as a number of restrictions of publicly held companies do not exist. Cultural aspects such as the degree of formalization, power-sharing, tolerance for risk-taking, and nurturing a learning environments are all aspects that might all be affected by this attribute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"Hurley", "given" : "Robert F", "non-dropping-particle" : "", "parse-names" : false, "suffix" : "" }, { "dropping-particle" : "", "family" : "Hult", "given" : "G Tomas M", "non-dropping-particle" : "", "parse-names" : false, "suffix" : "" } ], "container-title" : "Journal of Marketing", "id" : "ITEM-1", "issue" : "3", "issued" : { "date-parts" : [ [ "1998" ] ] }, "page" : "42-54", "title" : "Innovation, Market Orientation, and Organizational Learning: An Integration and Empirical Examination", "type" : "article-journal", "volume" : "62" }, "uris" : [ "http://www.mendeley.com/documents/?uuid=84c74f8c-cbed-4deb-933c-37a45068e941" ] } ], "mendeley" : { "formattedCitation" : "(Hurley &amp; Hult, 1998)", "plainTextFormattedCitation" : "(Hurley &amp; Hult, 1998)", "previouslyFormattedCitation" : "(Hurley &amp; Hult, 1998)"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(Hurley &amp; Hult, 1998)</w:t>
      </w:r>
      <w:r w:rsidRPr="00975B92">
        <w:rPr>
          <w:rFonts w:ascii="Times New Roman" w:hAnsi="Times New Roman" w:cs="Times New Roman"/>
        </w:rPr>
        <w:fldChar w:fldCharType="end"/>
      </w:r>
      <w:r w:rsidRPr="00975B92">
        <w:rPr>
          <w:rFonts w:ascii="Times New Roman" w:hAnsi="Times New Roman" w:cs="Times New Roman"/>
        </w:rPr>
        <w:t xml:space="preserve">. Hence, it was used as a second control variable. Finally, the selected innovation type was another control variable. The participants indicated whether internal development, buying, or joint development prevailed at the firm. Therefore, firm size (large, small), firm type (private, public), and innovation type (internal, buy, jointly) were used as control variables to verify potential influence on the findings. </w:t>
      </w:r>
    </w:p>
    <w:p w14:paraId="094CC636" w14:textId="77777777" w:rsidR="00CB019C" w:rsidRPr="00975B92" w:rsidRDefault="00CB019C" w:rsidP="007436E7">
      <w:pPr>
        <w:spacing w:line="480" w:lineRule="auto"/>
        <w:jc w:val="both"/>
        <w:rPr>
          <w:rFonts w:ascii="Times New Roman" w:hAnsi="Times New Roman" w:cs="Times New Roman"/>
        </w:rPr>
      </w:pPr>
    </w:p>
    <w:p w14:paraId="615CBAD1" w14:textId="77777777" w:rsidR="00CB019C" w:rsidRPr="00975B92" w:rsidRDefault="00CB019C" w:rsidP="00BC0CFE">
      <w:pPr>
        <w:pStyle w:val="Heading4new"/>
      </w:pPr>
      <w:r w:rsidRPr="00975B92">
        <w:t>Marker Variables</w:t>
      </w:r>
    </w:p>
    <w:p w14:paraId="3D77BC6B"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Non-correlating marker variable was used to determine potential common method bias impact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"10.1177/1094428110366036", "ISSN" : "1094-4281", "author" : [ { "dropping-particle" : "", "family" : "Williams", "given" : "L. J.", "non-dropping-particle" : "", "parse-names" : false, "suffix" : "" }, { "dropping-particle" : "", "family" : "Hartman", "given" : "N.", "non-dropping-particle" : "", "parse-names" : false, "suffix" : "" }, { "dropping-particle" : "", "family" : "Cavazotte", "given" : "F.", "non-dropping-particle" : "", "parse-names" : false, "suffix" : "" } ], "container-title" : "Organizational Research Methods", "id" : "ITEM-1", "issue" : "3", "issued" : { "date-parts" : [ [ "2010" ] ] }, "page" : "477-514", "title" : "Method Variance and Marker Variables: A Review and Comprehensive CFA Marker Technique", "type" : "article-journal", "volume" : "13" }, "uris" : [ "http://www.mendeley.com/documents/?uuid=6e8ad68f-cc46-4083-9f8a-908cef74b395" ] }, { "id" : "ITEM-2", "itemData" : { "DOI" : "10.1037/0021-9010.88.5.879", "ISBN" : "0021-9010", "ISSN" : "0021-9010", "PMID" : "14516251", "abstract" : "Interest in the problem of method biases has a long history in the behavioral sciences. Despite this, a comprehensive summary of the potential sources of method biases and how to control for them does not exist. Therefore, the purpose of this article is to examine the extent to which method biases influence behavioral research results, identify potential sources of method biases, discuss the cognitive processes through which method biases influence responses to measures, evaluate the many different procedural and statistical techniques that can be used to control method biases, and provide recommendations for how to select appropriate procedural and statistical remedies for different types of research settings.", "author" : [ { "dropping-particle" : "", "family" : "Podsakoff", "given" : "Philip M.", "non-dropping-particle" : "", "parse-names" : false, "suffix" : "" }, { "dropping-particle" : "", "family" : "MacKenzie", "given" : "Scott B.", "non-dropping-particle" : "", "parse-names" : false, "suffix" : "" }, { "dropping-particle" : "", "family" : "Lee", "given" : "Jeong-Yeon.", "non-dropping-particle" : "", "parse-names" : false, "suffix" : "" }, { "dropping-particle" : "", "family" : "Podsakoff", "given" : "Nathan P.", "non-dropping-particle" : "", "parse-names" : false, "suffix" : "" } ], "container-title" : "The Journal of applied psychology", "id" : "ITEM-2", "issue" : "5", "issued" : { "date-parts" : [ [ "2003" ] ] }, "page" : "879-903", "title" : "Common method biases in behavioral research: a critical review of the literature and recommended remedies.", "type" : "article-journal", "volume" : "88" }, "uris" : [ "http://www.mendeley.com/documents/?uuid=53d82547-fda6-4573-b12d-11cc6841f6d8" ] } ], "mendeley" : { "formattedCitation" : "(Podsakoff, MacKenzie, Lee, &amp; Podsakoff, 2003; Williams, Hartman, &amp; Cavazotte, 2010)", "plainTextFormattedCitation" : "(Podsakoff, MacKenzie, Lee, &amp; Podsakoff, 2003; Williams, Hartman, &amp; Cavazotte, 2010)", "previouslyFormattedCitation" : "(Podsakoff, MacKenzie, Lee, &amp; Podsakoff, 2003; Williams, Hartman, &amp; Cavazotte,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(Podsakoff, MacKenzie, Lee, &amp; Podsakoff, 2003; Williams, Hartman, &amp; Cavazotte, 2010)</w:t>
      </w:r>
      <w:r w:rsidRPr="00975B92">
        <w:rPr>
          <w:rFonts w:ascii="Times New Roman" w:hAnsi="Times New Roman" w:cs="Times New Roman"/>
        </w:rPr>
        <w:fldChar w:fldCharType="end"/>
      </w:r>
      <w:r w:rsidRPr="00975B92">
        <w:rPr>
          <w:rFonts w:ascii="Times New Roman" w:hAnsi="Times New Roman" w:cs="Times New Roman"/>
        </w:rPr>
        <w:t xml:space="preserve">. </w:t>
      </w:r>
    </w:p>
    <w:p w14:paraId="35841C34" w14:textId="77777777" w:rsidR="00CB019C" w:rsidRPr="00975B92" w:rsidRDefault="00CB019C" w:rsidP="007436E7">
      <w:pPr>
        <w:spacing w:line="480" w:lineRule="auto"/>
        <w:jc w:val="both"/>
        <w:rPr>
          <w:rFonts w:ascii="Times New Roman" w:hAnsi="Times New Roman" w:cs="Times New Roman"/>
        </w:rPr>
      </w:pPr>
    </w:p>
    <w:p w14:paraId="01B4105D" w14:textId="77777777" w:rsidR="000E17DC" w:rsidRDefault="000E17DC" w:rsidP="00BC0CFE">
      <w:pPr>
        <w:pStyle w:val="Heading3new"/>
      </w:pPr>
    </w:p>
    <w:p w14:paraId="283ACDBC" w14:textId="77777777" w:rsidR="00CB019C" w:rsidRPr="00975B92" w:rsidRDefault="00CB019C" w:rsidP="00BC0CFE">
      <w:pPr>
        <w:pStyle w:val="Heading3new"/>
      </w:pPr>
      <w:r w:rsidRPr="00975B92">
        <w:lastRenderedPageBreak/>
        <w:t>Sampling / Data Collection</w:t>
      </w:r>
    </w:p>
    <w:p w14:paraId="72F36CC7"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In this dissertation study, the unit of analysis is the organization (firm-level). To address the research questions, the preferred target respondents were business-to-business (B2B) managers and SCM professionals with a sufficient level of knowledge about new the product/service development activities in their organization. </w:t>
      </w:r>
    </w:p>
    <w:p w14:paraId="7FA0F311" w14:textId="77777777" w:rsidR="00CB019C" w:rsidRPr="00975B92" w:rsidRDefault="00CB019C" w:rsidP="00BC0CFE">
      <w:pPr>
        <w:spacing w:line="480" w:lineRule="auto"/>
        <w:ind w:firstLine="720"/>
        <w:jc w:val="both"/>
        <w:rPr>
          <w:rFonts w:ascii="Times New Roman" w:hAnsi="Times New Roman" w:cs="Times New Roman"/>
        </w:rPr>
      </w:pPr>
      <w:r w:rsidRPr="00975B92">
        <w:rPr>
          <w:rFonts w:ascii="Times New Roman" w:hAnsi="Times New Roman" w:cs="Times New Roman"/>
        </w:rPr>
        <w:t>To verify this requirement, the survey included screening questions. First, the participants’ level of experience with innovation projects was used as a qualifying screening question at the beginning of the survey, and only participants with a good level (or higher) were accepted for the subsequent survey. Second, all participants were required to answer a SCM topic question, and inacceptable answers led to the removal of the participant from the analysis. Therefore, based on use of screening questions, the respondents can be expected to have good knowledge about the new product/service development practices in their organization. Finally, the business-to-business (B2B) panel from Qualtrics was used with the limitation (quality check) that a maximum of 20% of the respondents might come from companies below 100 employees. In this way, it was ensured to have employees from a broad range of organizations ranging from below 100 people to large corporations with &gt; 50,000 employees.</w:t>
      </w:r>
    </w:p>
    <w:p w14:paraId="5C99DF37"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The survey questions focused on the participants’ perceptions and assessment of their organization’s supply chain orchestration practices and entrepreneurial orientation. Moreover, the participants were requested to evaluate the innovation and financial performance of their organization and answer questions to capture data for control variables. </w:t>
      </w:r>
    </w:p>
    <w:p w14:paraId="16152D8E"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For the data collection, a key informant approach was applied. Researchers have emphasized that single respondent are advantageous if they can provide specialized knowledge and insights about the desired phenomena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"Kumar", "given" : "Nirmalya", "non-dropping-particle" : "", "parse-names" : false, "suffix" : "" }, { "dropping-particle" : "", "family" : "Stern", "given" : "Louis W", "non-dropping-particle" : "", "parse-names" : false, "suffix" : "" }, { "dropping-particle" : "", "family" : "Anderson", "given" : "James C", "non-dropping-particle" : "", "parse-names" : false, "suffix" : "" } ], "container-title" : "Academy of Management Journal", "id" : "ITEM-1", "issue" : "6", "issued" : { "date-parts" : [ [ "1993" ] ] }, "page" : "1633-1651", "title" : "Conducting interorganizational research using key informants", "type" : "article-journal", "volume" : "36" }, "uris" : [ "http://www.mendeley.com/documents/?uuid=5c6dee1f-9cdd-4da8-bb75-2d02663c8f0a" ] }, { "id" : "ITEM-2", "itemData" : { "ISSN" : "0272-6963", "author" : [ { "dropping-particle" : "", "family" : "Kortmann", "given" : "Sebastian", "non-dropping-particle" : "", "parse-names" : false, "suffix" : "" }, { "dropping-particle" : "", "family" : "Gelhard", "given" : "Carsten", "non-dropping-particle" : "", "parse-names" : false, "suffix" : "" }, { "dropping-particle" : "", "family" : "Zimmermann", "given" : "Carsten", "non-dropping-particle" : "", "parse-names" : false, "suffix" : "" }, { "dropping-particle" : "", "family" : "Piller", "given" : "Frank T", "non-dropping-particle" : "", "parse-names" : false, "suffix" : "" } ], "container-title" : "Journal of Operations Management", "id" : "ITEM-2", "issue" : "7-8", "issued" : { "date-parts" : [ [ "2014" ] ] }, "page" : "475-490", "publisher" : "Elsevier B.V.", "title" : "Linking strategic flexibility and operational efficiency: The mediating role of ambidextrous operational capabilities", "type" : "article-journal", "volume" : "32" }, "uris" : [ "http://www.mendeley.com/documents/?uuid=90704e7a-3083-4994-aea3-56a9c1271d8d" ] } ], "mendeley" : { "formattedCitation" : "(Kortmann, Gelhard, Zimmermann, &amp; Piller, 2014; Kumar, Stern, &amp; Anderson, 1993)", "plainTextFormattedCitation" : "(Kortmann, Gelhard, Zimmermann, &amp; Piller, 2014; Kumar, Stern, &amp; Anderson, 1993)", "previouslyFormattedCitation" : "(Kortmann, Gelhard, Zimmermann, &amp; Piller, 2014; Kumar, Stern, &amp; Anderson, 1993)"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 xml:space="preserve">(Kortmann, Gelhard, Zimmermann, </w:t>
      </w:r>
      <w:r w:rsidRPr="00975B92">
        <w:rPr>
          <w:rFonts w:ascii="Times New Roman" w:hAnsi="Times New Roman" w:cs="Times New Roman"/>
          <w:noProof/>
        </w:rPr>
        <w:lastRenderedPageBreak/>
        <w:t>&amp; Piller, 2014; Kumar, Stern, &amp; Anderson, 1993)</w:t>
      </w:r>
      <w:r w:rsidRPr="00975B92">
        <w:rPr>
          <w:rFonts w:ascii="Times New Roman" w:hAnsi="Times New Roman" w:cs="Times New Roman"/>
        </w:rPr>
        <w:fldChar w:fldCharType="end"/>
      </w:r>
      <w:r w:rsidRPr="00975B92">
        <w:rPr>
          <w:rFonts w:ascii="Times New Roman" w:hAnsi="Times New Roman" w:cs="Times New Roman"/>
        </w:rPr>
        <w:t>. In this case, the screening questions ensured that the participants were contributing a high level of experience with new product/service developments in their organization.</w:t>
      </w:r>
    </w:p>
    <w:p w14:paraId="45815BA1" w14:textId="77777777" w:rsidR="00CB019C" w:rsidRPr="00975B92" w:rsidRDefault="00CB019C" w:rsidP="007436E7">
      <w:pPr>
        <w:spacing w:line="480" w:lineRule="auto"/>
        <w:jc w:val="both"/>
        <w:rPr>
          <w:rFonts w:ascii="Times New Roman" w:hAnsi="Times New Roman" w:cs="Times New Roman"/>
        </w:rPr>
      </w:pPr>
    </w:p>
    <w:p w14:paraId="0EA50E6D" w14:textId="77777777" w:rsidR="00CB019C" w:rsidRPr="00975B92" w:rsidRDefault="00CB019C" w:rsidP="00BC0CFE">
      <w:pPr>
        <w:pStyle w:val="Heading3new"/>
      </w:pPr>
      <w:r w:rsidRPr="00975B92">
        <w:t xml:space="preserve">Common Method Bias </w:t>
      </w:r>
    </w:p>
    <w:p w14:paraId="6D272464"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Common method bias (CMB) refers to a common bias in the dataset. An external influence (external to the measurement items) might bias the participants’ responses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"10.1037//0021-9010.86.1.114", "author" : [ { "dropping-particle" : "", "family" : "Lindell", "given" : "Michael K", "non-dropping-particle" : "", "parse-names" : false, "suffix" : "" }, { "dropping-particle" : "", "family" : "Whitney", "given" : "David J", "non-dropping-particle" : "", "parse-names" : false, "suffix" : "" } ], "container-title" : "Journal of Applied Psychology", "id" : "ITEM-1", "issue" : "1", "issued" : { "date-parts" : [ [ "2001" ] ] }, "page" : "114-121", "title" : "Accounting for Common Method Variance in Cross-Sectional Research Design", "type" : "article-journal", "volume" : "86" }, "uris" : [ "http://www.mendeley.com/documents/?uuid=ad2c8992-0f3e-490b-bec0-3f6b30724063" ] } ], "mendeley" : { "formattedCitation" : "(Lindell &amp; Whitney, 2001)", "plainTextFormattedCitation" : "(Lindell &amp; Whitney, 2001)", "previouslyFormattedCitation" : "(Lindell &amp; Whitney, 2001)"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(Lindell &amp; Whitney, 2001)</w:t>
      </w:r>
      <w:r w:rsidRPr="00975B92">
        <w:rPr>
          <w:rFonts w:ascii="Times New Roman" w:hAnsi="Times New Roman" w:cs="Times New Roman"/>
        </w:rPr>
        <w:fldChar w:fldCharType="end"/>
      </w:r>
      <w:r w:rsidRPr="00975B92">
        <w:rPr>
          <w:rFonts w:ascii="Times New Roman" w:hAnsi="Times New Roman" w:cs="Times New Roman"/>
        </w:rPr>
        <w:t xml:space="preserve">. For example, utilizing the common method of an online survey instrument in this dissertation research might have resulted in systematic response bias. As the research is based on a single key informant design, common method bias might have also influenced the findings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"10.1037/0021-9010.88.5.879", "ISBN" : "0021-9010", "ISSN" : "0021-9010", "PMID" : "14516251", "abstract" : "Interest in the problem of method biases has a long history in the behavioral sciences. Despite this, a comprehensive summary of the potential sources of method biases and how to control for them does not exist. Therefore, the purpose of this article is to examine the extent to which method biases influence behavioral research results, identify potential sources of method biases, discuss the cognitive processes through which method biases influence responses to measures, evaluate the many different procedural and statistical techniques that can be used to control method biases, and provide recommendations for how to select appropriate procedural and statistical remedies for different types of research settings.", "author" : [ { "dropping-particle" : "", "family" : "Podsakoff", "given" : "Philip M.", "non-dropping-particle" : "", "parse-names" : false, "suffix" : "" }, { "dropping-particle" : "", "family" : "MacKenzie", "given" : "Scott B.", "non-dropping-particle" : "", "parse-names" : false, "suffix" : "" }, { "dropping-particle" : "", "family" : "Lee", "given" : "Jeong-Yeon.", "non-dropping-particle" : "", "parse-names" : false, "suffix" : "" }, { "dropping-particle" : "", "family" : "Podsakoff", "given" : "Nathan P.", "non-dropping-particle" : "", "parse-names" : false, "suffix" : "" } ], "container-title" : "The Journal of applied psychology", "id" : "ITEM-1", "issue" : "5", "issued" : { "date-parts" : [ [ "2003" ] ] }, "page" : "879-903", "title" : "Common method biases in behavioral research: a critical review of the literature and recommended remedies.", "type" : "article-journal", "volume" : "88" }, "uris" : [ "http://www.mendeley.com/documents/?uuid=53d82547-fda6-4573-b12d-11cc6841f6d8" ] } ], "mendeley" : { "formattedCitation" : "(Podsakoff et al., 2003)", "plainTextFormattedCitation" : "(Podsakoff et al., 2003)", "previouslyFormattedCitation" : "(Podsakoff et al., 2003)"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(Podsakoff et al., 2003)</w:t>
      </w:r>
      <w:r w:rsidRPr="00975B92">
        <w:rPr>
          <w:rFonts w:ascii="Times New Roman" w:hAnsi="Times New Roman" w:cs="Times New Roman"/>
        </w:rPr>
        <w:fldChar w:fldCharType="end"/>
      </w:r>
      <w:r w:rsidRPr="00975B92">
        <w:rPr>
          <w:rFonts w:ascii="Times New Roman" w:hAnsi="Times New Roman" w:cs="Times New Roman"/>
        </w:rPr>
        <w:t xml:space="preserve">. Researchers have noted that the existence of CMB might result in inflated observed correlations due to the cross-sectional research design with participants reporting their perceptions at the same time (in contrast to a longitudinal study)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"10.1037//0021-9010.86.1.114", "author" : [ { "dropping-particle" : "", "family" : "Lindell", "given" : "Michael K", "non-dropping-particle" : "", "parse-names" : false, "suffix" : "" }, { "dropping-particle" : "", "family" : "Whitney", "given" : "David J", "non-dropping-particle" : "", "parse-names" : false, "suffix" : "" } ], "container-title" : "Journal of Applied Psychology", "id" : "ITEM-1", "issue" : "1", "issued" : { "date-parts" : [ [ "2001" ] ] }, "page" : "114-121", "title" : "Accounting for Common Method Variance in Cross-Sectional Research Design", "type" : "article-journal", "volume" : "86" }, "uris" : [ "http://www.mendeley.com/documents/?uuid=ad2c8992-0f3e-490b-bec0-3f6b30724063" ] } ], "mendeley" : { "formattedCitation" : "(Lindell &amp; Whitney, 2001)", "plainTextFormattedCitation" : "(Lindell &amp; Whitney, 2001)", "previouslyFormattedCitation" : "(Lindell &amp; Whitney, 2001)"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(Lindell &amp; Whitney, 2001)</w:t>
      </w:r>
      <w:r w:rsidRPr="00975B92">
        <w:rPr>
          <w:rFonts w:ascii="Times New Roman" w:hAnsi="Times New Roman" w:cs="Times New Roman"/>
        </w:rPr>
        <w:fldChar w:fldCharType="end"/>
      </w:r>
      <w:r w:rsidRPr="00975B92">
        <w:rPr>
          <w:rFonts w:ascii="Times New Roman" w:hAnsi="Times New Roman" w:cs="Times New Roman"/>
        </w:rPr>
        <w:t xml:space="preserve">.  </w:t>
      </w:r>
    </w:p>
    <w:p w14:paraId="11AC0465"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Hence, this research followed the guidance of other researchers to minimize the potential CMB impact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"ISSN" : "0272-6963", "author" : [ { "dropping-particle" : "", "family" : "Kortmann", "given" : "Sebastian", "non-dropping-particle" : "", "parse-names" : false, "suffix" : "" }, { "dropping-particle" : "", "family" : "Gelhard", "given" : "Carsten", "non-dropping-particle" : "", "parse-names" : false, "suffix" : "" }, { "dropping-particle" : "", "family" : "Zimmermann", "given" : "Carsten", "non-dropping-particle" : "", "parse-names" : false, "suffix" : "" }, { "dropping-particle" : "", "family" : "Piller", "given" : "Frank T", "non-dropping-particle" : "", "parse-names" : false, "suffix" : "" } ], "container-title" : "Journal of Operations Management", "id" : "ITEM-1", "issue" : "7-8", "issued" : { "date-parts" : [ [ "2014" ] ] }, "page" : "475-490", "publisher" : "Elsevier B.V.", "title" : "Linking strategic flexibility and operational efficiency: The mediating role of ambidextrous operational capabilities", "type" : "article-journal", "volume" : "32" }, "uris" : [ "http://www.mendeley.com/documents/?uuid=90704e7a-3083-4994-aea3-56a9c1271d8d" ] } ], "mendeley" : { "formattedCitation" : "(Kortmann et al., 2014)", "plainTextFormattedCitation" : "(Kortmann et al., 2014)", "previouslyFormattedCitation" : "(Kortmann et al., 2014)"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(Kortmann et al., 2014)</w:t>
      </w:r>
      <w:r w:rsidRPr="00975B92">
        <w:rPr>
          <w:rFonts w:ascii="Times New Roman" w:hAnsi="Times New Roman" w:cs="Times New Roman"/>
        </w:rPr>
        <w:fldChar w:fldCharType="end"/>
      </w:r>
      <w:r w:rsidRPr="00975B92">
        <w:rPr>
          <w:rFonts w:ascii="Times New Roman" w:hAnsi="Times New Roman" w:cs="Times New Roman"/>
        </w:rPr>
        <w:t xml:space="preserve">. Several different proactive measures were taken in the survey design to avoid common method bias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"ISSN" : "0272-6963", "author" : [ { "dropping-particle" : "", "family" : "Kortmann", "given" : "Sebastian", "non-dropping-particle" : "", "parse-names" : false, "suffix" : "" }, { "dropping-particle" : "", "family" : "Gelhard", "given" : "Carsten", "non-dropping-particle" : "", "parse-names" : false, "suffix" : "" }, { "dropping-particle" : "", "family" : "Zimmermann", "given" : "Carsten", "non-dropping-particle" : "", "parse-names" : false, "suffix" : "" }, { "dropping-particle" : "", "family" : "Piller", "given" : "Frank T", "non-dropping-particle" : "", "parse-names" : false, "suffix" : "" } ], "container-title" : "Journal of Operations Management", "id" : "ITEM-1", "issue" : "7-8", "issued" : { "date-parts" : [ [ "2014" ] ] }, "page" : "475-490", "publisher" : "Elsevier B.V.", "title" : "Linking strategic flexibility and operational efficiency: The mediating role of ambidextrous operational capabilities", "type" : "article-journal", "volume" : "32" }, "uris" : [ "http://www.mendeley.com/documents/?uuid=90704e7a-3083-4994-aea3-56a9c1271d8d" ] } ], "mendeley" : { "formattedCitation" : "(Kortmann et al., 2014)", "plainTextFormattedCitation" : "(Kortmann et al., 2014)", "previouslyFormattedCitation" : "(Kortmann et al., 2014)"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(Kortmann et al., 2014)</w:t>
      </w:r>
      <w:r w:rsidRPr="00975B92">
        <w:rPr>
          <w:rFonts w:ascii="Times New Roman" w:hAnsi="Times New Roman" w:cs="Times New Roman"/>
        </w:rPr>
        <w:fldChar w:fldCharType="end"/>
      </w:r>
      <w:r w:rsidRPr="00975B92">
        <w:rPr>
          <w:rFonts w:ascii="Times New Roman" w:hAnsi="Times New Roman" w:cs="Times New Roman"/>
        </w:rPr>
        <w:t xml:space="preserve">. First, the use of Qualtrics panel data ensured the anonymity of all participants to the principal investigator and thereby minimized the influence of social desirability bias (SDB)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"Dillman", "given" : "Don A", "non-dropping-particle" : "", "parse-names" : false, "suffix" : "" } ], "edition" : "Second Edi", "id" : "ITEM-1", "issued" : { "date-parts" : [ [ "2007" ] ] }, "publisher" : "John Wiley &amp; Sons", "publisher-place" : "Hoboken, NJ", "title" : "Mail and Internet Surveys: The Tailored Design Method", "type" : "book" }, "uris" : [ "http://www.mendeley.com/documents/?uuid=e0d1081e-e7c0-4929-bc35-4fb48d25eb7d" ] } ], "mendeley" : { "formattedCitation" : "(Dillman, 2007)", "plainTextFormattedCitation" : "(Dillman, 2007)", "previouslyFormattedCitation" : "(Dillman, 2007)"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(Dillman, 2007)</w:t>
      </w:r>
      <w:r w:rsidRPr="00975B92">
        <w:rPr>
          <w:rFonts w:ascii="Times New Roman" w:hAnsi="Times New Roman" w:cs="Times New Roman"/>
        </w:rPr>
        <w:fldChar w:fldCharType="end"/>
      </w:r>
      <w:r w:rsidRPr="00975B92">
        <w:rPr>
          <w:rFonts w:ascii="Times New Roman" w:hAnsi="Times New Roman" w:cs="Times New Roman"/>
        </w:rPr>
        <w:t xml:space="preserve">. As SDB appears to correlate with CMB, reducing social desirability bias would likewise reduce CMB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"10.1037/0021-9010.88.5.879", "ISBN" : "0021-9010", "ISSN" : "0021-9010", "PMID" : "14516251", "abstract" : "Interest in the problem of method biases has a long history in the behavioral sciences. Despite this, a comprehensive summary of the potential sources of method biases and how to control for them does not exist. Therefore, the purpose of this article is to examine the extent to which method biases influence behavioral research results, identify potential sources of method biases, discuss the cognitive processes through which method biases influence responses to measures, evaluate the many different procedural and statistical techniques that can be used to control method biases, and provide recommendations for how to select appropriate procedural and statistical remedies for different types of research settings.", "author" : [ { "dropping-particle" : "", "family" : "Podsakoff", "given" : "Philip M.", "non-dropping-particle" : "", "parse-names" : false, "suffix" : "" }, { "dropping-particle" : "", "family" : "MacKenzie", "given" : "Scott B.", "non-dropping-particle" : "", "parse-names" : false, "suffix" : "" }, { "dropping-particle" : "", "family" : "Lee", "given" : "Jeong-Yeon.", "non-dropping-particle" : "", "parse-names" : false, "suffix" : "" }, { "dropping-particle" : "", "family" : "Podsakoff", "given" : "Nathan P.", "non-dropping-particle" : "", "parse-names" : false, "suffix" : "" } ], "container-title" : "The Journal of applied psychology", "id" : "ITEM-1", "issue" : "5", "issued" : { "date-parts" : [ [ "2003" ] ] }, "page" : "879-903", "title" : "Common method biases in behavioral research: a critical review of the literature and recommended remedies.", "type" : "article-journal", "volume" : "88" }, "uris" : [ "http://www.mendeley.com/documents/?uuid=53d82547-fda6-4573-b12d-11cc6841f6d8" ] } ], "mendeley" : { "formattedCitation" : "(Podsakoff et al., 2003)", "plainTextFormattedCitation" : "(Podsakoff et al., 2003)", "previouslyFormattedCitation" : "(Podsakoff et al., 2003)"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(Podsakoff et al., 2003)</w:t>
      </w:r>
      <w:r w:rsidRPr="00975B92">
        <w:rPr>
          <w:rFonts w:ascii="Times New Roman" w:hAnsi="Times New Roman" w:cs="Times New Roman"/>
        </w:rPr>
        <w:fldChar w:fldCharType="end"/>
      </w:r>
      <w:r w:rsidRPr="00975B92">
        <w:rPr>
          <w:rFonts w:ascii="Times New Roman" w:hAnsi="Times New Roman" w:cs="Times New Roman"/>
        </w:rPr>
        <w:t xml:space="preserve">. </w:t>
      </w:r>
    </w:p>
    <w:p w14:paraId="0F31581B"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Second, the independent and dependent variables were positioned in separate sections of the questionnaire to minimize the influence of potential common method bias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"10.1037/0021-9010.88.5.879", "ISBN" : "0021-9010", "ISSN" : "0021-9010", "PMID" : "14516251", "abstract" : "Interest in the problem of method biases has a long history in the behavioral sciences. Despite this, a comprehensive summary of the potential sources of method biases and how to control for them does not exist. Therefore, the purpose of this article is to examine the extent to which method biases influence behavioral research results, identify potential sources of method biases, discuss the cognitive processes through which method biases influence responses to measures, evaluate the many different procedural and statistical techniques that can be used to control method biases, and provide recommendations for how to select appropriate procedural and statistical remedies for different types of research settings.", "author" : [ { "dropping-particle" : "", "family" : "Podsakoff", "given" : "Philip M.", "non-dropping-particle" : "", "parse-names" : false, "suffix" : "" }, { "dropping-particle" : "", "family" : "MacKenzie", "given" : "Scott B.", "non-dropping-particle" : "", "parse-names" : false, "suffix" : "" }, { "dropping-particle" : "", "family" : "Lee", "given" : "Jeong-Yeon.", "non-dropping-particle" : "", "parse-names" : false, "suffix" : "" }, { "dropping-particle" : "", "family" : "Podsakoff", "given" : "Nathan P.", "non-dropping-particle" : "", "parse-names" : false, "suffix" : "" } ], "container-title" : "The Journal of applied psychology", "id" : "ITEM-1", "issue" : "5", "issued" : { "date-parts" : [ [ "2003" ] ] }, "page" : "879-903", "title" : "Common method biases in behavioral research: a critical review of the literature and recommended remedies.", "type" : "article-journal", "volume" : "88" }, "uris" : [ "http://www.mendeley.com/documents/?uuid=53d82547-fda6-4573-b12d-11cc6841f6d8" ] } ], "mendeley" : { "formattedCitation" : "(Podsakoff et al., 2003)", "plainTextFormattedCitation" : "(Podsakoff et al., 2003)", "previouslyFormattedCitation" : "(Podsakoff et al., 2003)"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(Podsakoff et al., 2003)</w:t>
      </w:r>
      <w:r w:rsidRPr="00975B92">
        <w:rPr>
          <w:rFonts w:ascii="Times New Roman" w:hAnsi="Times New Roman" w:cs="Times New Roman"/>
        </w:rPr>
        <w:fldChar w:fldCharType="end"/>
      </w:r>
      <w:r w:rsidRPr="00975B92">
        <w:rPr>
          <w:rFonts w:ascii="Times New Roman" w:hAnsi="Times New Roman" w:cs="Times New Roman"/>
        </w:rPr>
        <w:t xml:space="preserve">. Third, all hypotheses were specified in a positive direction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"10.1016/j.jom.2006.03.001", "ISBN" : "0272-6963", "ISSN" : "02726963", "PMID" : "23449139", "abstract" : "There is a need to better understand the advantages and disadvantages of marketing-manufacturing integration (MMI) in new product development. In this paper we examine the influences of MMI in each of four stages of new product development (NPD) on new product time and success. A path analysis of data collected from 467 completed NPD projects indicates that increased MMI in each stage of product development is respectively associated with greater product competitive advantage, which in turn is associated with higher project return on investment (ROI). Greater MMI is also significantly associated with longer product commercialisation (PC) stages of new product development, but the data indicate little significant relationship between NPD project time and project return on investment. Hence, increased MMI may require added NPD time, but this drawback appears to be outweighed by the added benefits accrued to greater product competitive advantage. ?? 2006 Elsevier B.V. All rights reserved.", "author" : [ { "dropping-particle" : "", "family" : "Swink", "given" : "Morgan", "non-dropping-particle" : "", "parse-names" : false, "suffix" : "" }, { "dropping-particle" : "", "family" : "Song", "given" : "Michael", "non-dropping-particle" : "", "parse-names" : false, "suffix" : "" } ], "container-title" : "Journal of Operations Management", "id" : "ITEM-1", "issue" : "1", "issued" : { "date-parts" : [ [ "2007" ] ] }, "page" : "203-217", "title" : "Effects of marketing-manufacturing integration on new product development time and competitive advantage", "type" : "article-journal", "volume" : "25" }, "uris" : [ "http://www.mendeley.com/documents/?uuid=72bdc58f-9695-4b89-9c8d-37772bd4ad8f" ] } ], "mendeley" : { "formattedCitation" : "(Swink &amp; Song, 2007)", "plainTextFormattedCitation" : "(Swink &amp; Song, 2007)", "previouslyFormattedCitation" : "(Swink &amp; Song, 2007)"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(Swink &amp; Song, 2007)</w:t>
      </w:r>
      <w:r w:rsidRPr="00975B92">
        <w:rPr>
          <w:rFonts w:ascii="Times New Roman" w:hAnsi="Times New Roman" w:cs="Times New Roman"/>
        </w:rPr>
        <w:fldChar w:fldCharType="end"/>
      </w:r>
      <w:r w:rsidRPr="00975B92">
        <w:rPr>
          <w:rFonts w:ascii="Times New Roman" w:hAnsi="Times New Roman" w:cs="Times New Roman"/>
        </w:rPr>
        <w:t xml:space="preserve">. As a quality check, it was ensured that the respondents confirmed </w:t>
      </w:r>
      <w:r w:rsidRPr="00975B92">
        <w:rPr>
          <w:rFonts w:ascii="Times New Roman" w:hAnsi="Times New Roman" w:cs="Times New Roman"/>
        </w:rPr>
        <w:lastRenderedPageBreak/>
        <w:t>a high level of relevant familiarity with new product and service development. Researchers have noted that such a procedure can help to mitigate single source bias (Mitchell 1985).</w:t>
      </w:r>
    </w:p>
    <w:p w14:paraId="730DCD3C" w14:textId="77777777" w:rsidR="00CB019C" w:rsidRPr="00975B92" w:rsidRDefault="00CB019C" w:rsidP="007436E7">
      <w:pPr>
        <w:spacing w:line="480" w:lineRule="auto"/>
        <w:jc w:val="both"/>
        <w:rPr>
          <w:rFonts w:ascii="Times New Roman" w:hAnsi="Times New Roman" w:cs="Times New Roman"/>
        </w:rPr>
      </w:pPr>
    </w:p>
    <w:p w14:paraId="7387774C" w14:textId="77777777" w:rsidR="00CB019C" w:rsidRPr="0070687D" w:rsidRDefault="00CB019C" w:rsidP="0070687D">
      <w:pPr>
        <w:spacing w:line="480" w:lineRule="auto"/>
        <w:rPr>
          <w:rFonts w:ascii="Times New Roman" w:hAnsi="Times New Roman" w:cs="Times New Roman"/>
          <w:i/>
          <w:u w:val="single"/>
        </w:rPr>
      </w:pPr>
      <w:r w:rsidRPr="0070687D">
        <w:rPr>
          <w:rFonts w:ascii="Times New Roman" w:hAnsi="Times New Roman" w:cs="Times New Roman"/>
          <w:i/>
          <w:u w:val="single"/>
        </w:rPr>
        <w:t>Harmon’s single factor test</w:t>
      </w:r>
    </w:p>
    <w:p w14:paraId="2EF88C3B"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Furthermore, following other researchers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"ISSN" : "0272-6963", "author" : [ { "dropping-particle" : "", "family" : "Kortmann", "given" : "Sebastian", "non-dropping-particle" : "", "parse-names" : false, "suffix" : "" }, { "dropping-particle" : "", "family" : "Gelhard", "given" : "Carsten", "non-dropping-particle" : "", "parse-names" : false, "suffix" : "" }, { "dropping-particle" : "", "family" : "Zimmermann", "given" : "Carsten", "non-dropping-particle" : "", "parse-names" : false, "suffix" : "" }, { "dropping-particle" : "", "family" : "Piller", "given" : "Frank T", "non-dropping-particle" : "", "parse-names" : false, "suffix" : "" } ], "container-title" : "Journal of Operations Management", "id" : "ITEM-1", "issue" : "7-8", "issued" : { "date-parts" : [ [ "2014" ] ] }, "page" : "475-490", "publisher" : "Elsevier B.V.", "title" : "Linking strategic flexibility and operational efficiency: The mediating role of ambidextrous operational capabilities", "type" : "article-journal", "volume" : "32" }, "uris" : [ "http://www.mendeley.com/documents/?uuid=90704e7a-3083-4994-aea3-56a9c1271d8d" ] } ], "mendeley" : { "formattedCitation" : "(Kortmann et al., 2014)", "plainTextFormattedCitation" : "(Kortmann et al., 2014)", "previouslyFormattedCitation" : "(Kortmann et al., 2014)"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(Kortmann et al., 2014)</w:t>
      </w:r>
      <w:r w:rsidRPr="00975B92">
        <w:rPr>
          <w:rFonts w:ascii="Times New Roman" w:hAnsi="Times New Roman" w:cs="Times New Roman"/>
        </w:rPr>
        <w:fldChar w:fldCharType="end"/>
      </w:r>
      <w:r w:rsidRPr="00975B92">
        <w:rPr>
          <w:rFonts w:ascii="Times New Roman" w:hAnsi="Times New Roman" w:cs="Times New Roman"/>
        </w:rPr>
        <w:t xml:space="preserve">, the Harman’s single factor test was conducted in SPSS to assess the potential influence of common method bias (CMB). In this test, CMB is indicated when the majority of variance can be explained by a single factor.  By examining the non-rotated solution for a single factor, it was assessed whether one factor accounted for the majority of the variance. If CMB were an issue, then such a single factor would have accounted for more than 50% of the explained variance in the model. The test was run twice. Initially, the test was performed for the original scale with all items. It was repeated at the end of the data analysis for the purified scale. In both instances, different extraction methods (maximum likelihood, principle axis factoring, and principle components) were used, and all results stayed noticeably below the threshold of 50%. </w:t>
      </w:r>
    </w:p>
    <w:p w14:paraId="10288363"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Moreover, the (unmeasured) common latent factor (CLF) technique was applied to assess the potential CMB concern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"10.1108/IJPDLM-10-2015-0246", "ISBN" : "1020150246", "author" : [ { "dropping-particle" : "", "family" : "Riley", "given" : "Jason M", "non-dropping-particle" : "", "parse-names" : false, "suffix" : "" }, { "dropping-particle" : "", "family" : "Klein", "given" : "Richard", "non-dropping-particle" : "", "parse-names" : false, "suffix" : "" }, { "dropping-particle" : "", "family" : "Miller", "given" : "Janis", "non-dropping-particle" : "", "parse-names" : false, "suffix" : "" }, { "dropping-particle" : "", "family" : "Sridharan", "given" : "V.", "non-dropping-particle" : "", "parse-names" : false, "suffix" : "" } ], "container-title" : "International Journal of Physical Distribution &amp; Logistics Management", "id" : "ITEM-1", "issue" : "10", "issued" : { "date-parts" : [ [ "2016" ] ] }, "page" : "953-980", "title" : "How internal integration, information sharing, and training affect supply chain risk management capabilities", "type" : "article-journal", "volume" : "46" }, "uris" : [ "http://www.mendeley.com/documents/?uuid=8693a797-d678-4aef-bbd7-429a4ed6269e" ] } ], "mendeley" : { "formattedCitation" : "(Riley, Klein, Miller, &amp; Sridharan, 2016)", "plainTextFormattedCitation" : "(Riley, Klein, Miller, &amp; Sridharan, 2016)", "previouslyFormattedCitation" : "(Riley, Klein, Miller, &amp; Sridharan, 2016)"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(Riley, Klein, Miller, &amp; Sridharan, 2016)</w:t>
      </w:r>
      <w:r w:rsidRPr="00975B92">
        <w:rPr>
          <w:rFonts w:ascii="Times New Roman" w:hAnsi="Times New Roman" w:cs="Times New Roman"/>
        </w:rPr>
        <w:fldChar w:fldCharType="end"/>
      </w:r>
      <w:r w:rsidRPr="00975B92">
        <w:rPr>
          <w:rFonts w:ascii="Times New Roman" w:hAnsi="Times New Roman" w:cs="Times New Roman"/>
        </w:rPr>
        <w:t xml:space="preserve">. </w:t>
      </w:r>
    </w:p>
    <w:p w14:paraId="7D45192B"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In AMOS, a common latent factor (CLF) was added to the measurement model and connected to all observed items. All those paths from the CLF to the observed items were constrained as being equal. The result showed the common variance for the model.</w:t>
      </w:r>
    </w:p>
    <w:p w14:paraId="5EE38D44" w14:textId="77777777" w:rsidR="00CB019C" w:rsidRPr="00975B92" w:rsidRDefault="00CB019C" w:rsidP="007436E7">
      <w:pPr>
        <w:spacing w:line="480" w:lineRule="auto"/>
        <w:jc w:val="both"/>
        <w:rPr>
          <w:rFonts w:ascii="Times New Roman" w:hAnsi="Times New Roman" w:cs="Times New Roman"/>
          <w:highlight w:val="yellow"/>
        </w:rPr>
      </w:pPr>
      <w:r w:rsidRPr="00975B92">
        <w:rPr>
          <w:rFonts w:ascii="Times New Roman" w:hAnsi="Times New Roman" w:cs="Times New Roman"/>
        </w:rPr>
        <w:t>A chi-square difference test between an unconstrained model and a constrained model was performed. The absolute differences between the standardized regression weights of both models were less than .25 for all factors, which suggests that CMB is not an issue.</w:t>
      </w:r>
    </w:p>
    <w:p w14:paraId="5AAF5347"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lastRenderedPageBreak/>
        <w:t xml:space="preserve">Finally, a non-correlating marker variable question was included in the questionnaire to determine potential common method bias impact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"10.1177/1094428110366036", "ISSN" : "1094-4281", "author" : [ { "dropping-particle" : "", "family" : "Williams", "given" : "L. J.", "non-dropping-particle" : "", "parse-names" : false, "suffix" : "" }, { "dropping-particle" : "", "family" : "Hartman", "given" : "N.", "non-dropping-particle" : "", "parse-names" : false, "suffix" : "" }, { "dropping-particle" : "", "family" : "Cavazotte", "given" : "F.", "non-dropping-particle" : "", "parse-names" : false, "suffix" : "" } ], "container-title" : "Organizational Research Methods", "id" : "ITEM-1", "issue" : "3", "issued" : { "date-parts" : [ [ "2010" ] ] }, "page" : "477-514", "title" : "Method Variance and Marker Variables: A Review and Comprehensive CFA Marker Technique", "type" : "article-journal", "volume" : "13" }, "uris" : [ "http://www.mendeley.com/documents/?uuid=6e8ad68f-cc46-4083-9f8a-908cef74b395" ] } ], "mendeley" : { "formattedCitation" : "(Williams et al., 2010)", "plainTextFormattedCitation" : "(Williams et al., 2010)", "previouslyFormattedCitation" : "(Williams et al.,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(Williams et al., 2010)</w:t>
      </w:r>
      <w:r w:rsidRPr="00975B92">
        <w:rPr>
          <w:rFonts w:ascii="Times New Roman" w:hAnsi="Times New Roman" w:cs="Times New Roman"/>
        </w:rPr>
        <w:fldChar w:fldCharType="end"/>
      </w:r>
      <w:r w:rsidRPr="00975B92">
        <w:rPr>
          <w:rFonts w:ascii="Times New Roman" w:hAnsi="Times New Roman" w:cs="Times New Roman"/>
        </w:rPr>
        <w:t xml:space="preserve">. This marker variable approach was suggested as a useful extension to existing CMB addressing research practices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"10.1037//0021-9010.86.1.114", "author" : [ { "dropping-particle" : "", "family" : "Lindell", "given" : "Michael K", "non-dropping-particle" : "", "parse-names" : false, "suffix" : "" }, { "dropping-particle" : "", "family" : "Whitney", "given" : "David J", "non-dropping-particle" : "", "parse-names" : false, "suffix" : "" } ], "container-title" : "Journal of Applied Psychology", "id" : "ITEM-1", "issue" : "1", "issued" : { "date-parts" : [ [ "2001" ] ] }, "page" : "114-121", "title" : "Accounting for Common Method Variance in Cross-Sectional Research Design", "type" : "article-journal", "volume" : "86" }, "uris" : [ "http://www.mendeley.com/documents/?uuid=ad2c8992-0f3e-490b-bec0-3f6b30724063" ] } ], "mendeley" : { "formattedCitation" : "(Lindell &amp; Whitney, 2001)", "plainTextFormattedCitation" : "(Lindell &amp; Whitney, 2001)", "previouslyFormattedCitation" : "(Lindell &amp; Whitney, 2001)"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(Lindell &amp; Whitney, 2001)</w:t>
      </w:r>
      <w:r w:rsidRPr="00975B92">
        <w:rPr>
          <w:rFonts w:ascii="Times New Roman" w:hAnsi="Times New Roman" w:cs="Times New Roman"/>
        </w:rPr>
        <w:fldChar w:fldCharType="end"/>
      </w:r>
      <w:r w:rsidRPr="00975B92">
        <w:rPr>
          <w:rFonts w:ascii="Times New Roman" w:hAnsi="Times New Roman" w:cs="Times New Roman"/>
        </w:rPr>
        <w:t>.</w:t>
      </w:r>
    </w:p>
    <w:p w14:paraId="131AA203"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A theoretically unrelated construct was added to the model to refine the calculation of shared variance that can be attributed to CMB. Since the theoretical correlation to the other constructs is zero or close to zero, the common method error of the survey method can be determined. Actually, the correlations to the marker variable were close to zero as expected, ranging from about -.06 to .07, which indicates that CMB was not an issue. Consequently, the results of the measures taken in survey design and the indications from the common latent factor, marker variable test, and the Harman’s single factor tests would all suggest that the dataset in this research does not suffer from significant common method bias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"10.1037/0021-9010.88.5.879", "ISBN" : "0021-9010", "ISSN" : "0021-9010", "PMID" : "14516251", "abstract" : "Interest in the problem of method biases has a long history in the behavioral sciences. Despite this, a comprehensive summary of the potential sources of method biases and how to control for them does not exist. Therefore, the purpose of this article is to examine the extent to which method biases influence behavioral research results, identify potential sources of method biases, discuss the cognitive processes through which method biases influence responses to measures, evaluate the many different procedural and statistical techniques that can be used to control method biases, and provide recommendations for how to select appropriate procedural and statistical remedies for different types of research settings.", "author" : [ { "dropping-particle" : "", "family" : "Podsakoff", "given" : "Philip M.", "non-dropping-particle" : "", "parse-names" : false, "suffix" : "" }, { "dropping-particle" : "", "family" : "MacKenzie", "given" : "Scott B.", "non-dropping-particle" : "", "parse-names" : false, "suffix" : "" }, { "dropping-particle" : "", "family" : "Lee", "given" : "Jeong-Yeon.", "non-dropping-particle" : "", "parse-names" : false, "suffix" : "" }, { "dropping-particle" : "", "family" : "Podsakoff", "given" : "Nathan P.", "non-dropping-particle" : "", "parse-names" : false, "suffix" : "" } ], "container-title" : "The Journal of applied psychology", "id" : "ITEM-1", "issue" : "5", "issued" : { "date-parts" : [ [ "2003" ] ] }, "page" : "879-903", "title" : "Common method biases in behavioral research: a critical review of the literature and recommended remedies.", "type" : "article-journal", "volume" : "88" }, "uris" : [ "http://www.mendeley.com/documents/?uuid=53d82547-fda6-4573-b12d-11cc6841f6d8" ] }, { "id" : "ITEM-2", "itemData" : { "DOI" : "10.1016/j.jom.2011.09.001", "ISSN" : "0272-6963", "author" : [ { "dropping-particle" : "", "family" : "Schoenherr", "given" : "Tobias", "non-dropping-particle" : "", "parse-names" : false, "suffix" : "" }, { "dropping-particle" : "", "family" : "Swink", "given" : "Morgan", "non-dropping-particle" : "", "parse-names" : false, "suffix" : "" } ], "container-title" : "Journal of Operations Management", "id" : "ITEM-2", "issue" : "1-2", "issued" : { "date-parts" : [ [ "2012" ] ] }, "page" : "99-115", "title" : "Revisiting the arcs of integration: Cross-validations and extensions", "type" : "article-journal", "volume" : "30" }, "uris" : [ "http://www.mendeley.com/documents/?uuid=e4a9e7e5-c4a2-4ba2-b0db-b3423960a377" ] } ], "mendeley" : { "formattedCitation" : "(Podsakoff et al., 2003; Schoenherr &amp; Swink, 2012)", "plainTextFormattedCitation" : "(Podsakoff et al., 2003; Schoenherr &amp; Swink, 2012)", "previouslyFormattedCitation" : "(Podsakoff et al., 2003; Schoenherr &amp; Swink, 2012)"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(Podsakoff et al., 2003; Schoenherr &amp; Swink, 2012)</w:t>
      </w:r>
      <w:r w:rsidRPr="00975B92">
        <w:rPr>
          <w:rFonts w:ascii="Times New Roman" w:hAnsi="Times New Roman" w:cs="Times New Roman"/>
        </w:rPr>
        <w:fldChar w:fldCharType="end"/>
      </w:r>
      <w:r w:rsidRPr="00975B92">
        <w:rPr>
          <w:rFonts w:ascii="Times New Roman" w:hAnsi="Times New Roman" w:cs="Times New Roman"/>
        </w:rPr>
        <w:t xml:space="preserve"> </w:t>
      </w:r>
    </w:p>
    <w:p w14:paraId="7FC6110C" w14:textId="77777777" w:rsidR="00CB019C" w:rsidRPr="00975B92" w:rsidRDefault="00CB019C" w:rsidP="007436E7">
      <w:pPr>
        <w:spacing w:line="480" w:lineRule="auto"/>
        <w:jc w:val="both"/>
        <w:rPr>
          <w:rFonts w:ascii="Times New Roman" w:hAnsi="Times New Roman" w:cs="Times New Roman"/>
        </w:rPr>
      </w:pPr>
    </w:p>
    <w:p w14:paraId="6C88EFE5" w14:textId="77777777" w:rsidR="00CB019C" w:rsidRPr="00975B92" w:rsidRDefault="00CB019C" w:rsidP="0070687D">
      <w:pPr>
        <w:pStyle w:val="Heading3new"/>
      </w:pPr>
      <w:r w:rsidRPr="00975B92">
        <w:t xml:space="preserve">Pilot Test </w:t>
      </w:r>
    </w:p>
    <w:p w14:paraId="5C680BD1"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Before roll-out of the main survey, a pilot survey with 25 participants (drawn from the Qualtrics B2B panel) was conducted. The intention was to verify whether the questions are understood and to identify any potential problems upfront. The data collected from the pilot was carefully scrutinized. All participants of the pilot passed the attention checks. There was no missing data.</w:t>
      </w:r>
    </w:p>
    <w:p w14:paraId="1E9A32DC"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As a quality check, the author scrutinized the demographics data of the pilot sample, especially the experience of the participants, which was quite high. Overall, the participants showed sufficient length of employment and most had managerial responsibilities/roles. Straight-lining and other issues were investigated. The standard deviation for the IV and DV constructs was analyzed in Microsoft Excel. Several cases of </w:t>
      </w:r>
      <w:r w:rsidRPr="00975B92">
        <w:rPr>
          <w:rFonts w:ascii="Times New Roman" w:hAnsi="Times New Roman" w:cs="Times New Roman"/>
        </w:rPr>
        <w:lastRenderedPageBreak/>
        <w:t>answering pattern were recognized and flagged. Those cases were removed from the sample. Furthermore, the answering time was checked.</w:t>
      </w:r>
    </w:p>
    <w:p w14:paraId="1C9DE4E9"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Screening of cases revealed no further anomalies (apart from the mentioned unengaged responses and the one speeder). No outliers were identified. The recorded time to answer all questions served as another indicator of quality. Speeders were removed from the sample. As the median response time was 655 seconds (10.9 minutes), the cut-off for speeding was set at 218 seconds (3.6 minutes), which is one standard deviation below the median duration.</w:t>
      </w:r>
    </w:p>
    <w:p w14:paraId="706380F4" w14:textId="77777777" w:rsidR="00CB019C" w:rsidRPr="00975B92" w:rsidRDefault="00CB019C" w:rsidP="007436E7">
      <w:pPr>
        <w:spacing w:line="480" w:lineRule="auto"/>
        <w:jc w:val="both"/>
        <w:rPr>
          <w:rFonts w:ascii="Times New Roman" w:hAnsi="Times New Roman" w:cs="Times New Roman"/>
        </w:rPr>
      </w:pPr>
    </w:p>
    <w:p w14:paraId="34570754" w14:textId="0FAEB8C0" w:rsidR="00CB019C" w:rsidRPr="00975B92" w:rsidRDefault="00CB019C" w:rsidP="00E059BA">
      <w:pPr>
        <w:pStyle w:val="Heading2"/>
      </w:pPr>
      <w:bookmarkStart w:id="128" w:name="_Toc358326743"/>
      <w:r w:rsidRPr="00975B92">
        <w:t>Data Analysis Results  (Main sample)</w:t>
      </w:r>
      <w:bookmarkEnd w:id="128"/>
    </w:p>
    <w:p w14:paraId="09C0F092" w14:textId="77777777" w:rsidR="00CB019C" w:rsidRPr="00975B92" w:rsidRDefault="00CB019C" w:rsidP="00E059BA">
      <w:pPr>
        <w:pStyle w:val="Heading3new"/>
      </w:pPr>
      <w:r w:rsidRPr="00975B92">
        <w:t>Data Screening</w:t>
      </w:r>
    </w:p>
    <w:p w14:paraId="49D9B65A"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After the successful pilot test, the main sample was taken. Initially, the following data screening steps were taken with the collected data. The data was screened and assessed in terms of missing data, unengaged responses (e.g., straight lining issue), and correct answers to attention checks. First, all respondents recognized the three attention checks correctly which indicates that participants were generally engaged and attentive while answering the questions.  Those three attention-check questions required to select a different category each time. Second, there was no missing data as all mandatory questions were answered from the survey participants. A few questions were optional (e.g., job title) but more than 90% of the participants answered those optional questions as well. The responses were analyzed to identify potentially unengaged respondents. Speeders were excluded from the sample. As defined during the pilot test, one standard deviation below the median response (of 655 seconds) was used as a cut-off point (thus, </w:t>
      </w:r>
      <w:r w:rsidRPr="00975B92">
        <w:rPr>
          <w:rFonts w:ascii="Times New Roman" w:hAnsi="Times New Roman" w:cs="Times New Roman"/>
        </w:rPr>
        <w:lastRenderedPageBreak/>
        <w:t>speeder check at 218 seconds). One respondent took less than those 3.6 minutes and was removed.</w:t>
      </w:r>
    </w:p>
    <w:p w14:paraId="40358611" w14:textId="77777777" w:rsidR="00CB019C" w:rsidRPr="00975B92" w:rsidRDefault="00CB019C" w:rsidP="007436E7">
      <w:pPr>
        <w:spacing w:line="480" w:lineRule="auto"/>
        <w:jc w:val="both"/>
        <w:rPr>
          <w:rFonts w:ascii="Times New Roman" w:hAnsi="Times New Roman" w:cs="Times New Roman"/>
        </w:rPr>
      </w:pPr>
    </w:p>
    <w:p w14:paraId="60651F2D" w14:textId="77777777" w:rsidR="00CB019C" w:rsidRPr="00975B92" w:rsidRDefault="00CB019C" w:rsidP="00E059BA">
      <w:pPr>
        <w:pStyle w:val="Heading4new"/>
      </w:pPr>
      <w:r w:rsidRPr="00975B92">
        <w:t>Straight lining</w:t>
      </w:r>
    </w:p>
    <w:p w14:paraId="2269FBDC"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The author reviewed the answers and particularly the standard deviation of all latent variables (excluding the control variables) to determine whether some respondents answered in a pattern. During the first round of data screening of the main sample, 14 respondents were identified with a straight lining pattern at least for SCRO and EO constructs. Thus, Qualtrics conducted an additional sampling, and 19 new cases were added while the poor-quality cases (including one speeder) were deleted).</w:t>
      </w:r>
    </w:p>
    <w:p w14:paraId="4A806DE4" w14:textId="77777777" w:rsidR="00CB019C" w:rsidRPr="00975B92" w:rsidRDefault="00CB019C" w:rsidP="00E059BA">
      <w:pPr>
        <w:spacing w:line="480" w:lineRule="auto"/>
        <w:ind w:firstLine="720"/>
        <w:jc w:val="both"/>
        <w:rPr>
          <w:rFonts w:ascii="Times New Roman" w:hAnsi="Times New Roman" w:cs="Times New Roman"/>
        </w:rPr>
      </w:pPr>
      <w:r w:rsidRPr="00975B92">
        <w:rPr>
          <w:rFonts w:ascii="Times New Roman" w:hAnsi="Times New Roman" w:cs="Times New Roman"/>
        </w:rPr>
        <w:t>Finally, after the additional, new cases were added, the response pattern for all dependent and independent variables was screened again by using Microsoft Excel. All participants now showed a nonzero standard deviation so that some deviation in their responses was noticeable. A visual check confirmed that participants did not show clear patterns when answering the latent variable questions.</w:t>
      </w:r>
    </w:p>
    <w:p w14:paraId="3C049BF2"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 </w:t>
      </w:r>
      <w:r w:rsidRPr="00975B92">
        <w:rPr>
          <w:rFonts w:ascii="Times New Roman" w:hAnsi="Times New Roman" w:cs="Times New Roman"/>
        </w:rPr>
        <w:tab/>
        <w:t>The potential for outliers existed only for control variables because for all other variables a (mostly 7-item) Likert-type scale was utilized. The screening of the controls did not reveal any outliers. As a result of the data screening, 247 complete, high-quality responses are available for the subsequent data analysis.</w:t>
      </w:r>
    </w:p>
    <w:p w14:paraId="17DF5DC5" w14:textId="77777777" w:rsidR="00CB019C" w:rsidRPr="00975B92" w:rsidRDefault="00CB019C" w:rsidP="007436E7">
      <w:pPr>
        <w:spacing w:line="480" w:lineRule="auto"/>
        <w:jc w:val="both"/>
        <w:rPr>
          <w:rFonts w:ascii="Times New Roman" w:hAnsi="Times New Roman" w:cs="Times New Roman"/>
        </w:rPr>
      </w:pPr>
    </w:p>
    <w:p w14:paraId="6F1D13A6" w14:textId="77777777" w:rsidR="00CB019C" w:rsidRPr="00975B92" w:rsidRDefault="00CB019C" w:rsidP="00E059BA">
      <w:pPr>
        <w:pStyle w:val="Heading4new"/>
      </w:pPr>
      <w:r w:rsidRPr="00975B92">
        <w:t>Demographics</w:t>
      </w:r>
    </w:p>
    <w:p w14:paraId="4987B347" w14:textId="5261443B"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The participants showed a relatively high level of responsibility in their respective organization. Apart from 11 % of owners (including partners), more than 70% held a managerial position. Specifically, nearly 40% of the participants noted titles such as CEO, COO, CFO, Director, (Senior) Vice President, or similar. Finally, 12.6% are </w:t>
      </w:r>
      <w:r w:rsidRPr="00975B92">
        <w:rPr>
          <w:rFonts w:ascii="Times New Roman" w:hAnsi="Times New Roman" w:cs="Times New Roman"/>
        </w:rPr>
        <w:lastRenderedPageBreak/>
        <w:t>employed in functional, non-managerial specialist roles and 4.9% did not disclose their job title (</w:t>
      </w:r>
      <w:r w:rsidR="00B831C0">
        <w:rPr>
          <w:rFonts w:ascii="Times New Roman" w:hAnsi="Times New Roman" w:cs="Times New Roman"/>
        </w:rPr>
        <w:fldChar w:fldCharType="begin"/>
      </w:r>
      <w:r w:rsidR="00B831C0">
        <w:rPr>
          <w:rFonts w:ascii="Times New Roman" w:hAnsi="Times New Roman" w:cs="Times New Roman"/>
        </w:rPr>
        <w:instrText xml:space="preserve"> REF _Ref358322823 \h </w:instrText>
      </w:r>
      <w:r w:rsidR="00B831C0">
        <w:rPr>
          <w:rFonts w:ascii="Times New Roman" w:hAnsi="Times New Roman" w:cs="Times New Roman"/>
        </w:rPr>
      </w:r>
      <w:r w:rsidR="00B831C0">
        <w:rPr>
          <w:rFonts w:ascii="Times New Roman" w:hAnsi="Times New Roman" w:cs="Times New Roman"/>
        </w:rPr>
        <w:fldChar w:fldCharType="separate"/>
      </w:r>
      <w:r w:rsidR="00C2793E">
        <w:t xml:space="preserve">Table </w:t>
      </w:r>
      <w:r w:rsidR="00C2793E">
        <w:rPr>
          <w:noProof/>
        </w:rPr>
        <w:t>25</w:t>
      </w:r>
      <w:r w:rsidR="00B831C0">
        <w:rPr>
          <w:rFonts w:ascii="Times New Roman" w:hAnsi="Times New Roman" w:cs="Times New Roman"/>
        </w:rPr>
        <w:fldChar w:fldCharType="end"/>
      </w:r>
      <w:r w:rsidRPr="00975B92">
        <w:rPr>
          <w:rFonts w:ascii="Times New Roman" w:hAnsi="Times New Roman" w:cs="Times New Roman"/>
        </w:rPr>
        <w:t>). The experience level (tenure) of the participants was relatively high as well. Nearly eighty percent of the participants noted five or more years of employment at their current organization. Specifically, about 37% of respondents have stayed at the organization for 10 years or more, while less than 20% have stayed for less than five years. As such, the participants’ extensive professional experience and managerial qualification should enable gaining a thorough perspective on the phenomenon of supply chain resource orchestration practices across a broad section of organizations (</w:t>
      </w:r>
      <w:r w:rsidR="00D7244F">
        <w:rPr>
          <w:rFonts w:ascii="Times New Roman" w:hAnsi="Times New Roman" w:cs="Times New Roman"/>
        </w:rPr>
        <w:fldChar w:fldCharType="begin"/>
      </w:r>
      <w:r w:rsidR="00D7244F">
        <w:rPr>
          <w:rFonts w:ascii="Times New Roman" w:hAnsi="Times New Roman" w:cs="Times New Roman"/>
        </w:rPr>
        <w:instrText xml:space="preserve"> REF _Ref358322823 \h </w:instrText>
      </w:r>
      <w:r w:rsidR="00D7244F">
        <w:rPr>
          <w:rFonts w:ascii="Times New Roman" w:hAnsi="Times New Roman" w:cs="Times New Roman"/>
        </w:rPr>
      </w:r>
      <w:r w:rsidR="00D7244F">
        <w:rPr>
          <w:rFonts w:ascii="Times New Roman" w:hAnsi="Times New Roman" w:cs="Times New Roman"/>
        </w:rPr>
        <w:fldChar w:fldCharType="separate"/>
      </w:r>
      <w:r w:rsidR="00C2793E">
        <w:t xml:space="preserve">Table </w:t>
      </w:r>
      <w:r w:rsidR="00C2793E">
        <w:rPr>
          <w:noProof/>
        </w:rPr>
        <w:t>25</w:t>
      </w:r>
      <w:r w:rsidR="00D7244F">
        <w:rPr>
          <w:rFonts w:ascii="Times New Roman" w:hAnsi="Times New Roman" w:cs="Times New Roman"/>
        </w:rPr>
        <w:fldChar w:fldCharType="end"/>
      </w:r>
      <w:r w:rsidRPr="00975B92">
        <w:rPr>
          <w:rFonts w:ascii="Times New Roman" w:hAnsi="Times New Roman" w:cs="Times New Roman"/>
        </w:rPr>
        <w:t xml:space="preserve">). </w:t>
      </w:r>
    </w:p>
    <w:p w14:paraId="75F57AE3" w14:textId="77777777" w:rsidR="00CB019C" w:rsidRPr="00975B92" w:rsidRDefault="00CB019C" w:rsidP="007436E7">
      <w:pPr>
        <w:spacing w:line="480" w:lineRule="auto"/>
        <w:jc w:val="both"/>
        <w:rPr>
          <w:rFonts w:ascii="Times New Roman" w:hAnsi="Times New Roman" w:cs="Times New Roman"/>
        </w:rPr>
      </w:pPr>
    </w:p>
    <w:p w14:paraId="5EF7BFBA" w14:textId="14FB621F" w:rsidR="00D7244F" w:rsidRDefault="00D7244F" w:rsidP="00D7244F">
      <w:pPr>
        <w:pStyle w:val="Caption"/>
        <w:keepNext/>
        <w:jc w:val="both"/>
      </w:pPr>
      <w:bookmarkStart w:id="129" w:name="_Toc358326861"/>
      <w:bookmarkStart w:id="130" w:name="_Ref358322823"/>
      <w:r>
        <w:t xml:space="preserve">Table </w:t>
      </w:r>
      <w:fldSimple w:instr=" SEQ Table \* ARABIC ">
        <w:r w:rsidR="00C2793E">
          <w:rPr>
            <w:noProof/>
          </w:rPr>
          <w:t>25</w:t>
        </w:r>
        <w:bookmarkEnd w:id="129"/>
      </w:fldSimple>
      <w:bookmarkEnd w:id="130"/>
    </w:p>
    <w:p w14:paraId="65785D55" w14:textId="0AEFEC5F"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Participant Experience (tenure) and Level of Responsibility</w:t>
      </w:r>
    </w:p>
    <w:p w14:paraId="55A18448"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noProof/>
        </w:rPr>
        <w:drawing>
          <wp:inline distT="0" distB="0" distL="0" distR="0" wp14:anchorId="615ABCB6" wp14:editId="71067EFC">
            <wp:extent cx="5486400" cy="114936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1149360"/>
                    </a:xfrm>
                    <a:prstGeom prst="rect">
                      <a:avLst/>
                    </a:prstGeom>
                    <a:noFill/>
                    <a:ln>
                      <a:noFill/>
                    </a:ln>
                  </pic:spPr>
                </pic:pic>
              </a:graphicData>
            </a:graphic>
          </wp:inline>
        </w:drawing>
      </w:r>
    </w:p>
    <w:p w14:paraId="305CA868" w14:textId="17028A08"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The data revealed a good mix of companies in terms of size</w:t>
      </w:r>
      <w:r w:rsidR="00C56002">
        <w:rPr>
          <w:rFonts w:ascii="Times New Roman" w:hAnsi="Times New Roman" w:cs="Times New Roman"/>
        </w:rPr>
        <w:t xml:space="preserve"> (</w:t>
      </w:r>
      <w:r w:rsidR="004C2994">
        <w:rPr>
          <w:rFonts w:ascii="Times New Roman" w:hAnsi="Times New Roman" w:cs="Times New Roman"/>
        </w:rPr>
        <w:fldChar w:fldCharType="begin"/>
      </w:r>
      <w:r w:rsidR="004C2994">
        <w:rPr>
          <w:rFonts w:ascii="Times New Roman" w:hAnsi="Times New Roman" w:cs="Times New Roman"/>
        </w:rPr>
        <w:instrText xml:space="preserve"> REF _Ref358322949 \h </w:instrText>
      </w:r>
      <w:r w:rsidR="004C2994">
        <w:rPr>
          <w:rFonts w:ascii="Times New Roman" w:hAnsi="Times New Roman" w:cs="Times New Roman"/>
        </w:rPr>
      </w:r>
      <w:r w:rsidR="004C2994">
        <w:rPr>
          <w:rFonts w:ascii="Times New Roman" w:hAnsi="Times New Roman" w:cs="Times New Roman"/>
        </w:rPr>
        <w:fldChar w:fldCharType="separate"/>
      </w:r>
      <w:r w:rsidR="00C2793E">
        <w:t xml:space="preserve">Table </w:t>
      </w:r>
      <w:r w:rsidR="00C2793E">
        <w:rPr>
          <w:noProof/>
        </w:rPr>
        <w:t>26</w:t>
      </w:r>
      <w:r w:rsidR="004C2994">
        <w:rPr>
          <w:rFonts w:ascii="Times New Roman" w:hAnsi="Times New Roman" w:cs="Times New Roman"/>
        </w:rPr>
        <w:fldChar w:fldCharType="end"/>
      </w:r>
      <w:r w:rsidR="00C56002">
        <w:rPr>
          <w:rFonts w:ascii="Times New Roman" w:hAnsi="Times New Roman" w:cs="Times New Roman"/>
        </w:rPr>
        <w:t>) and industries (</w:t>
      </w:r>
      <w:r w:rsidR="004C2994">
        <w:rPr>
          <w:rFonts w:ascii="Times New Roman" w:hAnsi="Times New Roman" w:cs="Times New Roman"/>
        </w:rPr>
        <w:fldChar w:fldCharType="begin"/>
      </w:r>
      <w:r w:rsidR="004C2994">
        <w:rPr>
          <w:rFonts w:ascii="Times New Roman" w:hAnsi="Times New Roman" w:cs="Times New Roman"/>
        </w:rPr>
        <w:instrText xml:space="preserve"> REF _Ref358322984 \h </w:instrText>
      </w:r>
      <w:r w:rsidR="004C2994">
        <w:rPr>
          <w:rFonts w:ascii="Times New Roman" w:hAnsi="Times New Roman" w:cs="Times New Roman"/>
        </w:rPr>
      </w:r>
      <w:r w:rsidR="004C2994">
        <w:rPr>
          <w:rFonts w:ascii="Times New Roman" w:hAnsi="Times New Roman" w:cs="Times New Roman"/>
        </w:rPr>
        <w:fldChar w:fldCharType="separate"/>
      </w:r>
      <w:r w:rsidR="00C2793E">
        <w:t xml:space="preserve">Table </w:t>
      </w:r>
      <w:r w:rsidR="00C2793E">
        <w:rPr>
          <w:noProof/>
        </w:rPr>
        <w:t>27</w:t>
      </w:r>
      <w:r w:rsidR="004C2994">
        <w:rPr>
          <w:rFonts w:ascii="Times New Roman" w:hAnsi="Times New Roman" w:cs="Times New Roman"/>
        </w:rPr>
        <w:fldChar w:fldCharType="end"/>
      </w:r>
      <w:r w:rsidRPr="00975B92">
        <w:rPr>
          <w:rFonts w:ascii="Times New Roman" w:hAnsi="Times New Roman" w:cs="Times New Roman"/>
        </w:rPr>
        <w:t>) as well as (primary) functional responsibilities (</w:t>
      </w:r>
      <w:r w:rsidR="004C2994">
        <w:rPr>
          <w:rFonts w:ascii="Times New Roman" w:hAnsi="Times New Roman" w:cs="Times New Roman"/>
        </w:rPr>
        <w:fldChar w:fldCharType="begin"/>
      </w:r>
      <w:r w:rsidR="004C2994">
        <w:rPr>
          <w:rFonts w:ascii="Times New Roman" w:hAnsi="Times New Roman" w:cs="Times New Roman"/>
        </w:rPr>
        <w:instrText xml:space="preserve"> REF _Ref358323021 \h </w:instrText>
      </w:r>
      <w:r w:rsidR="004C2994">
        <w:rPr>
          <w:rFonts w:ascii="Times New Roman" w:hAnsi="Times New Roman" w:cs="Times New Roman"/>
        </w:rPr>
      </w:r>
      <w:r w:rsidR="004C2994">
        <w:rPr>
          <w:rFonts w:ascii="Times New Roman" w:hAnsi="Times New Roman" w:cs="Times New Roman"/>
        </w:rPr>
        <w:fldChar w:fldCharType="separate"/>
      </w:r>
      <w:r w:rsidR="00C2793E">
        <w:t xml:space="preserve">Table </w:t>
      </w:r>
      <w:r w:rsidR="00C2793E">
        <w:rPr>
          <w:noProof/>
        </w:rPr>
        <w:t>28</w:t>
      </w:r>
      <w:r w:rsidR="004C2994">
        <w:rPr>
          <w:rFonts w:ascii="Times New Roman" w:hAnsi="Times New Roman" w:cs="Times New Roman"/>
        </w:rPr>
        <w:fldChar w:fldCharType="end"/>
      </w:r>
      <w:r w:rsidRPr="00975B92">
        <w:rPr>
          <w:rFonts w:ascii="Times New Roman" w:hAnsi="Times New Roman" w:cs="Times New Roman"/>
        </w:rPr>
        <w:t xml:space="preserve">). </w:t>
      </w:r>
    </w:p>
    <w:p w14:paraId="6DB566FC" w14:textId="77777777" w:rsidR="00CB019C" w:rsidRPr="00975B92" w:rsidRDefault="00CB019C" w:rsidP="007436E7">
      <w:pPr>
        <w:spacing w:line="480" w:lineRule="auto"/>
        <w:jc w:val="both"/>
        <w:rPr>
          <w:rFonts w:ascii="Times New Roman" w:hAnsi="Times New Roman" w:cs="Times New Roman"/>
        </w:rPr>
      </w:pPr>
    </w:p>
    <w:p w14:paraId="039D1727" w14:textId="54EE1C8E" w:rsidR="004C2994" w:rsidRDefault="004C2994" w:rsidP="004C2994">
      <w:pPr>
        <w:pStyle w:val="Caption"/>
        <w:keepNext/>
        <w:jc w:val="both"/>
      </w:pPr>
      <w:bookmarkStart w:id="131" w:name="_Toc358326862"/>
      <w:bookmarkStart w:id="132" w:name="_Ref358322949"/>
      <w:r>
        <w:t xml:space="preserve">Table </w:t>
      </w:r>
      <w:fldSimple w:instr=" SEQ Table \* ARABIC ">
        <w:r w:rsidR="00C2793E">
          <w:rPr>
            <w:noProof/>
          </w:rPr>
          <w:t>26</w:t>
        </w:r>
        <w:bookmarkEnd w:id="131"/>
      </w:fldSimple>
      <w:bookmarkEnd w:id="132"/>
    </w:p>
    <w:p w14:paraId="633CBD24" w14:textId="4DCA6939"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Firm Demographics Data</w:t>
      </w:r>
    </w:p>
    <w:p w14:paraId="2C3107FD"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noProof/>
        </w:rPr>
        <w:drawing>
          <wp:inline distT="0" distB="0" distL="0" distR="0" wp14:anchorId="214286D4" wp14:editId="103B4178">
            <wp:extent cx="5486400" cy="147349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1473490"/>
                    </a:xfrm>
                    <a:prstGeom prst="rect">
                      <a:avLst/>
                    </a:prstGeom>
                    <a:noFill/>
                    <a:ln>
                      <a:noFill/>
                    </a:ln>
                  </pic:spPr>
                </pic:pic>
              </a:graphicData>
            </a:graphic>
          </wp:inline>
        </w:drawing>
      </w:r>
    </w:p>
    <w:p w14:paraId="700C3CB0" w14:textId="77777777" w:rsidR="00CB019C" w:rsidRDefault="00CB019C" w:rsidP="007436E7">
      <w:pPr>
        <w:spacing w:line="480" w:lineRule="auto"/>
        <w:jc w:val="both"/>
        <w:rPr>
          <w:rFonts w:ascii="Times New Roman" w:hAnsi="Times New Roman" w:cs="Times New Roman"/>
        </w:rPr>
      </w:pPr>
    </w:p>
    <w:p w14:paraId="78836AE4" w14:textId="77777777" w:rsidR="00B831C0" w:rsidRPr="00975B92" w:rsidRDefault="00B831C0" w:rsidP="007436E7">
      <w:pPr>
        <w:spacing w:line="480" w:lineRule="auto"/>
        <w:jc w:val="both"/>
        <w:rPr>
          <w:rFonts w:ascii="Times New Roman" w:hAnsi="Times New Roman" w:cs="Times New Roman"/>
        </w:rPr>
      </w:pPr>
    </w:p>
    <w:p w14:paraId="7678E99F" w14:textId="4E0F9947" w:rsidR="004C2994" w:rsidRDefault="004C2994" w:rsidP="004C2994">
      <w:pPr>
        <w:pStyle w:val="Caption"/>
        <w:keepNext/>
        <w:jc w:val="both"/>
      </w:pPr>
      <w:bookmarkStart w:id="133" w:name="_Toc358326863"/>
      <w:bookmarkStart w:id="134" w:name="_Ref358322984"/>
      <w:r>
        <w:lastRenderedPageBreak/>
        <w:t xml:space="preserve">Table </w:t>
      </w:r>
      <w:fldSimple w:instr=" SEQ Table \* ARABIC ">
        <w:r w:rsidR="00C2793E">
          <w:rPr>
            <w:noProof/>
          </w:rPr>
          <w:t>27</w:t>
        </w:r>
        <w:bookmarkEnd w:id="133"/>
      </w:fldSimple>
      <w:bookmarkEnd w:id="134"/>
    </w:p>
    <w:p w14:paraId="20812C97" w14:textId="47781FBF"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Industry</w:t>
      </w:r>
    </w:p>
    <w:p w14:paraId="1698720D"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noProof/>
        </w:rPr>
        <w:drawing>
          <wp:inline distT="0" distB="0" distL="0" distR="0" wp14:anchorId="4C4B52E3" wp14:editId="00B7B472">
            <wp:extent cx="5422900" cy="2578100"/>
            <wp:effectExtent l="0" t="0" r="12700" b="1270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22900" cy="2578100"/>
                    </a:xfrm>
                    <a:prstGeom prst="rect">
                      <a:avLst/>
                    </a:prstGeom>
                    <a:noFill/>
                    <a:ln>
                      <a:noFill/>
                    </a:ln>
                  </pic:spPr>
                </pic:pic>
              </a:graphicData>
            </a:graphic>
          </wp:inline>
        </w:drawing>
      </w:r>
    </w:p>
    <w:p w14:paraId="715C245A" w14:textId="77777777" w:rsidR="00CB019C" w:rsidRPr="00975B92" w:rsidRDefault="00CB019C" w:rsidP="007436E7">
      <w:pPr>
        <w:spacing w:line="480" w:lineRule="auto"/>
        <w:jc w:val="both"/>
        <w:rPr>
          <w:rFonts w:ascii="Times New Roman" w:hAnsi="Times New Roman" w:cs="Times New Roman"/>
        </w:rPr>
      </w:pPr>
    </w:p>
    <w:p w14:paraId="76EB8368" w14:textId="4BE71EBD"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The functional supply chain expertise was distributed broadly, and the participants represented all important supply chain and related functions ranging from supply management/procurement to manufacturing/operations, research &amp; development, information systems, logistics/transportation, and marketing/demand management (</w:t>
      </w:r>
      <w:r w:rsidR="004C2994">
        <w:rPr>
          <w:rFonts w:ascii="Times New Roman" w:hAnsi="Times New Roman" w:cs="Times New Roman"/>
        </w:rPr>
        <w:fldChar w:fldCharType="begin"/>
      </w:r>
      <w:r w:rsidR="004C2994">
        <w:rPr>
          <w:rFonts w:ascii="Times New Roman" w:hAnsi="Times New Roman" w:cs="Times New Roman"/>
        </w:rPr>
        <w:instrText xml:space="preserve"> REF _Ref358323021 \h </w:instrText>
      </w:r>
      <w:r w:rsidR="004C2994">
        <w:rPr>
          <w:rFonts w:ascii="Times New Roman" w:hAnsi="Times New Roman" w:cs="Times New Roman"/>
        </w:rPr>
      </w:r>
      <w:r w:rsidR="004C2994">
        <w:rPr>
          <w:rFonts w:ascii="Times New Roman" w:hAnsi="Times New Roman" w:cs="Times New Roman"/>
        </w:rPr>
        <w:fldChar w:fldCharType="separate"/>
      </w:r>
      <w:r w:rsidR="00C2793E">
        <w:t xml:space="preserve">Table </w:t>
      </w:r>
      <w:r w:rsidR="00C2793E">
        <w:rPr>
          <w:noProof/>
        </w:rPr>
        <w:t>28</w:t>
      </w:r>
      <w:r w:rsidR="004C2994">
        <w:rPr>
          <w:rFonts w:ascii="Times New Roman" w:hAnsi="Times New Roman" w:cs="Times New Roman"/>
        </w:rPr>
        <w:fldChar w:fldCharType="end"/>
      </w:r>
      <w:r w:rsidRPr="00975B92">
        <w:rPr>
          <w:rFonts w:ascii="Times New Roman" w:hAnsi="Times New Roman" w:cs="Times New Roman"/>
        </w:rPr>
        <w:t xml:space="preserve">). </w:t>
      </w:r>
    </w:p>
    <w:p w14:paraId="441D3095" w14:textId="77777777" w:rsidR="00CB019C" w:rsidRPr="00975B92" w:rsidRDefault="00CB019C" w:rsidP="007436E7">
      <w:pPr>
        <w:spacing w:line="480" w:lineRule="auto"/>
        <w:jc w:val="both"/>
        <w:rPr>
          <w:rFonts w:ascii="Times New Roman" w:hAnsi="Times New Roman" w:cs="Times New Roman"/>
        </w:rPr>
      </w:pPr>
    </w:p>
    <w:p w14:paraId="2591EF49" w14:textId="5AFFC5A8" w:rsidR="004C2994" w:rsidRDefault="004C2994" w:rsidP="004C2994">
      <w:pPr>
        <w:pStyle w:val="Caption"/>
        <w:keepNext/>
        <w:jc w:val="both"/>
      </w:pPr>
      <w:bookmarkStart w:id="135" w:name="_Toc358326864"/>
      <w:bookmarkStart w:id="136" w:name="_Ref358323021"/>
      <w:r>
        <w:t xml:space="preserve">Table </w:t>
      </w:r>
      <w:fldSimple w:instr=" SEQ Table \* ARABIC ">
        <w:r w:rsidR="00C2793E">
          <w:rPr>
            <w:noProof/>
          </w:rPr>
          <w:t>28</w:t>
        </w:r>
        <w:bookmarkEnd w:id="135"/>
      </w:fldSimple>
      <w:bookmarkEnd w:id="136"/>
    </w:p>
    <w:p w14:paraId="2EDD8B16" w14:textId="214E9EC4"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Primary Functions of Participants</w:t>
      </w:r>
    </w:p>
    <w:p w14:paraId="042DA55C"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noProof/>
        </w:rPr>
        <w:drawing>
          <wp:inline distT="0" distB="0" distL="0" distR="0" wp14:anchorId="2292350F" wp14:editId="5E0A4A67">
            <wp:extent cx="5486400" cy="1732547"/>
            <wp:effectExtent l="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1732547"/>
                    </a:xfrm>
                    <a:prstGeom prst="rect">
                      <a:avLst/>
                    </a:prstGeom>
                    <a:noFill/>
                    <a:ln>
                      <a:noFill/>
                    </a:ln>
                  </pic:spPr>
                </pic:pic>
              </a:graphicData>
            </a:graphic>
          </wp:inline>
        </w:drawing>
      </w:r>
    </w:p>
    <w:p w14:paraId="662D7025" w14:textId="77777777" w:rsidR="00CB019C" w:rsidRPr="00975B92" w:rsidRDefault="00CB019C" w:rsidP="007436E7">
      <w:pPr>
        <w:spacing w:line="480" w:lineRule="auto"/>
        <w:jc w:val="both"/>
        <w:rPr>
          <w:rFonts w:ascii="Times New Roman" w:hAnsi="Times New Roman" w:cs="Times New Roman"/>
        </w:rPr>
      </w:pPr>
    </w:p>
    <w:p w14:paraId="78341E58" w14:textId="7890AF55"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lastRenderedPageBreak/>
        <w:t>The Levene’s Test of homogeneity of variances was conducted in SPSS to verify whether there are significant differences between the responses from large and small companies. The sample was split into two groups of either small (140 responses, revenue below $100 million) or large (107 responses, $100 million or more in annual revenues) and a means comparison test was conducted in SPSS. The ANOVA results suggest that there are no significant differences between both groups (</w:t>
      </w:r>
      <w:r w:rsidR="00265D3E">
        <w:rPr>
          <w:rFonts w:ascii="Times New Roman" w:hAnsi="Times New Roman" w:cs="Times New Roman"/>
        </w:rPr>
        <w:t xml:space="preserve">t= </w:t>
      </w:r>
      <w:r w:rsidRPr="00975B92">
        <w:rPr>
          <w:rFonts w:ascii="Times New Roman" w:hAnsi="Times New Roman" w:cs="Times New Roman"/>
        </w:rPr>
        <w:t>1.088, p= .280). The Levene’s Test and an ANOVA were also conducted for public versus private companies and no differences were found as well (</w:t>
      </w:r>
      <w:r w:rsidR="00265D3E">
        <w:rPr>
          <w:rFonts w:ascii="Times New Roman" w:hAnsi="Times New Roman" w:cs="Times New Roman"/>
        </w:rPr>
        <w:t xml:space="preserve">t= </w:t>
      </w:r>
      <w:r w:rsidRPr="00975B92">
        <w:rPr>
          <w:rFonts w:ascii="Times New Roman" w:hAnsi="Times New Roman" w:cs="Times New Roman"/>
        </w:rPr>
        <w:t>1.860, p= .158). Finally, no significant differences existed between the groups of firms developing internally, developing with suppliers, and buying new innovative products from suppliers (</w:t>
      </w:r>
      <w:r w:rsidR="00265D3E">
        <w:rPr>
          <w:rFonts w:ascii="Times New Roman" w:hAnsi="Times New Roman" w:cs="Times New Roman"/>
        </w:rPr>
        <w:t xml:space="preserve">t= </w:t>
      </w:r>
      <w:r w:rsidRPr="00975B92">
        <w:rPr>
          <w:rFonts w:ascii="Times New Roman" w:hAnsi="Times New Roman" w:cs="Times New Roman"/>
        </w:rPr>
        <w:t>1.237, p= .516).</w:t>
      </w:r>
    </w:p>
    <w:p w14:paraId="027D0D2F" w14:textId="77777777" w:rsidR="00CB019C" w:rsidRPr="00975B92" w:rsidRDefault="00CB019C" w:rsidP="007436E7">
      <w:pPr>
        <w:spacing w:line="480" w:lineRule="auto"/>
        <w:jc w:val="both"/>
        <w:rPr>
          <w:rFonts w:ascii="Times New Roman" w:hAnsi="Times New Roman" w:cs="Times New Roman"/>
        </w:rPr>
      </w:pPr>
    </w:p>
    <w:p w14:paraId="126F7741" w14:textId="77777777" w:rsidR="00CB019C" w:rsidRPr="00975B92" w:rsidRDefault="00CB019C" w:rsidP="000A6E2C">
      <w:pPr>
        <w:pStyle w:val="Heading3new"/>
      </w:pPr>
      <w:r w:rsidRPr="00975B92">
        <w:t>Invariance Tests</w:t>
      </w:r>
    </w:p>
    <w:p w14:paraId="593EAE6A"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As prerequisite of the between-group mean comparisons, invariance tests (configural, metric, and scalar invariance) were conducted. Thereby, it was assessed whether the underlying measurement model is approximately the same for both groups (e.g., large and small firms)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"Rolph E", "non-dropping-particle" : "", "parse-names" : false, "suffix" : "" } ], "edition" : "7th", "id" : "ITEM-1", "issued" : { "date-parts" : [ [ "2010" ] ] }, "publisher" : "Pearson Education", "publisher-place" : "Upper Saddle River, NJ", "title" : "Multivariate Data Analysis", "type" : "book" }, "uris" : [ "http://www.mendeley.com/documents/?uuid=85133774-881c-45ab-a721-cedeebec9514" ] } ], "mendeley" : { "formattedCitation" : "(Hair et al., 2010)", "plainTextFormattedCitation" : "(Hair et al., 2010)", "previouslyFormattedCitation" : "(Hair et al.,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(Hair et al., 2010)</w:t>
      </w:r>
      <w:r w:rsidRPr="00975B92">
        <w:rPr>
          <w:rFonts w:ascii="Times New Roman" w:hAnsi="Times New Roman" w:cs="Times New Roman"/>
        </w:rPr>
        <w:fldChar w:fldCharType="end"/>
      </w:r>
      <w:r w:rsidRPr="00975B92">
        <w:rPr>
          <w:rFonts w:ascii="Times New Roman" w:hAnsi="Times New Roman" w:cs="Times New Roman"/>
        </w:rPr>
        <w:t xml:space="preserve">. With multi-group analysis in AMOS, the full scalar invariance was confirmed for the firm size and firm type groups. The unconstrained model for size was insignificant (p = .203). Thus, both groups (small and large firms) have a similar intercept (starting point) in the measurement model. Similar insignificant results for the unconstrained model were achieved for the groups of public and private firm. In conclusion, full measurement invariance was determined as the chi-square difference tests were nonsignificant.  </w:t>
      </w:r>
    </w:p>
    <w:p w14:paraId="54B5F305" w14:textId="77777777" w:rsidR="00CB019C" w:rsidRDefault="00CB019C" w:rsidP="007436E7">
      <w:pPr>
        <w:spacing w:line="480" w:lineRule="auto"/>
        <w:jc w:val="both"/>
        <w:rPr>
          <w:rFonts w:ascii="Times New Roman" w:hAnsi="Times New Roman" w:cs="Times New Roman"/>
        </w:rPr>
      </w:pPr>
    </w:p>
    <w:p w14:paraId="2E03EF09" w14:textId="77777777" w:rsidR="007E4235" w:rsidRDefault="007E4235" w:rsidP="007436E7">
      <w:pPr>
        <w:spacing w:line="480" w:lineRule="auto"/>
        <w:jc w:val="both"/>
        <w:rPr>
          <w:rFonts w:ascii="Times New Roman" w:hAnsi="Times New Roman" w:cs="Times New Roman"/>
        </w:rPr>
      </w:pPr>
    </w:p>
    <w:p w14:paraId="67F60249" w14:textId="77777777" w:rsidR="007E4235" w:rsidRPr="00975B92" w:rsidRDefault="007E4235" w:rsidP="007436E7">
      <w:pPr>
        <w:spacing w:line="480" w:lineRule="auto"/>
        <w:jc w:val="both"/>
        <w:rPr>
          <w:rFonts w:ascii="Times New Roman" w:hAnsi="Times New Roman" w:cs="Times New Roman"/>
        </w:rPr>
      </w:pPr>
    </w:p>
    <w:p w14:paraId="6338F0D7" w14:textId="77777777" w:rsidR="00CB019C" w:rsidRPr="00975B92" w:rsidRDefault="00CB019C" w:rsidP="000A6E2C">
      <w:pPr>
        <w:pStyle w:val="Heading3new"/>
      </w:pPr>
      <w:r w:rsidRPr="00975B92">
        <w:lastRenderedPageBreak/>
        <w:t>Assessment of Normality</w:t>
      </w:r>
    </w:p>
    <w:p w14:paraId="1A7C42C5" w14:textId="41F10040"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Furthermore, the standard normality checks were conducted (e.g., skewness and kurtosis checks). The dataset verification involved first an assessment of the descriptive statistics and second a visual check of the data plots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"Vogt", "given" : "W Paul", "non-dropping-particle" : "", "parse-names" : false, "suffix" : "" }, { "dropping-particle" : "", "family" : "Vogt, Elaine", "given" : "R", "non-dropping-particle" : "", "parse-names" : false, "suffix" : "" }, { "dropping-particle" : "", "family" : "Gardner", "given" : "Dianne C", "non-dropping-particle" : "", "parse-names" : false, "suffix" : "" }, { "dropping-particle" : "", "family" : "Haeffele", "given" : "Lynne M", "non-dropping-particle" : "", "parse-names" : false, "suffix" : "" } ], "id" : "ITEM-1", "issued" : { "date-parts" : [ [ "2014" ] ] }, "publisher" : "The Guilford Press", "publisher-place" : "New York, NY", "title" : "Selecting the Right Analyses for Your Data: Quantitative, Qualitative, and Mixed Methods", "type" : "book" }, "uris" : [ "http://www.mendeley.com/documents/?uuid=fde3d7f4-0b42-47f7-9b10-5fa8f502d894" ] } ], "mendeley" : { "formattedCitation" : "(Vogt, Vogt, Elaine, Gardner, &amp; Haeffele, 2014)", "plainTextFormattedCitation" : "(Vogt, Vogt, Elaine, Gardner, &amp; Haeffele, 2014)", "previouslyFormattedCitation" : "(Vogt, Vogt, Elaine, Gardner, &amp; Haeffele, 2014)"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(Vogt, Vogt, Elaine, Gardner, &amp; Haeffele, 2014)</w:t>
      </w:r>
      <w:r w:rsidRPr="00975B92">
        <w:rPr>
          <w:rFonts w:ascii="Times New Roman" w:hAnsi="Times New Roman" w:cs="Times New Roman"/>
        </w:rPr>
        <w:fldChar w:fldCharType="end"/>
      </w:r>
      <w:r w:rsidRPr="00975B92">
        <w:rPr>
          <w:rFonts w:ascii="Times New Roman" w:hAnsi="Times New Roman" w:cs="Times New Roman"/>
        </w:rPr>
        <w:t xml:space="preserve">. Furthermore, conformance with the underlying statistical assumptions was verified in regards to normality, equal variance, or independence of sample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"Rolph E", "non-dropping-particle" : "", "parse-names" : false, "suffix" : "" } ], "edition" : "7th", "id" : "ITEM-1", "issued" : { "date-parts" : [ [ "2010" ] ] }, "publisher" : "Pearson Education", "publisher-place" : "Upper Saddle River, NJ", "title" : "Multivariate Data Analysis", "type" : "book" }, "uris" : [ "http://www.mendeley.com/documents/?uuid=85133774-881c-45ab-a721-cedeebec9514" ] } ], "mendeley" : { "formattedCitation" : "(Hair et al., 2010)", "plainTextFormattedCitation" : "(Hair et al., 2010)", "previouslyFormattedCitation" : "(Hair et al.,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(Hair et al., 2010)</w:t>
      </w:r>
      <w:r w:rsidRPr="00975B92">
        <w:rPr>
          <w:rFonts w:ascii="Times New Roman" w:hAnsi="Times New Roman" w:cs="Times New Roman"/>
        </w:rPr>
        <w:fldChar w:fldCharType="end"/>
      </w:r>
      <w:r w:rsidRPr="00975B92">
        <w:rPr>
          <w:rFonts w:ascii="Times New Roman" w:hAnsi="Times New Roman" w:cs="Times New Roman"/>
        </w:rPr>
        <w:t xml:space="preserve">. In terms of normality, the absolute values of all measurement items were below the threshold values of 2.0 for skewness and 7.0 for kurtosis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"Curran", "given" : "Patrick J", "non-dropping-particle" : "", "parse-names" : false, "suffix" : "" }, { "dropping-particle" : "", "family" : "West", "given" : "Stephen G", "non-dropping-particle" : "", "parse-names" : false, "suffix" : "" }, { "dropping-particle" : "", "family" : "Finch", "given" : "John F", "non-dropping-particle" : "", "parse-names" : false, "suffix" : "" } ], "container-title" : "Psychological Methods", "id" : "ITEM-1", "issue" : "1", "issued" : { "date-parts" : [ [ "1996" ] ] }, "page" : "16-29", "title" : "The Robustness of Test Statistics to Nonnormality and Specification Error in Confirmatory Factor Analysis", "type" : "article-journal", "volume" : "1" }, "uris" : [ "http://www.mendeley.com/documents/?uuid=44701c12-b1c1-4019-9f54-59662e319312" ] } ], "mendeley" : { "formattedCitation" : "(Curran, West, &amp; Finch, 1996)", "plainTextFormattedCitation" : "(Curran, West, &amp; Finch, 1996)", "previouslyFormattedCitation" : "(Curran, West, &amp; Finch, 1996)"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(Curran, West, &amp; Finch, 1996)</w:t>
      </w:r>
      <w:r w:rsidRPr="00975B92">
        <w:rPr>
          <w:rFonts w:ascii="Times New Roman" w:hAnsi="Times New Roman" w:cs="Times New Roman"/>
        </w:rPr>
        <w:fldChar w:fldCharType="end"/>
      </w:r>
      <w:r w:rsidRPr="00975B92">
        <w:rPr>
          <w:rFonts w:ascii="Times New Roman" w:hAnsi="Times New Roman" w:cs="Times New Roman"/>
        </w:rPr>
        <w:t xml:space="preserve">. Overall, the checks did not reveal any significant issues with the fundamental assumptions. </w:t>
      </w:r>
      <w:r w:rsidR="000F1C93">
        <w:rPr>
          <w:rFonts w:ascii="Times New Roman" w:hAnsi="Times New Roman" w:cs="Times New Roman"/>
        </w:rPr>
        <w:fldChar w:fldCharType="begin"/>
      </w:r>
      <w:r w:rsidR="000F1C93">
        <w:rPr>
          <w:rFonts w:ascii="Times New Roman" w:hAnsi="Times New Roman" w:cs="Times New Roman"/>
        </w:rPr>
        <w:instrText xml:space="preserve"> REF _Ref358323319 \h </w:instrText>
      </w:r>
      <w:r w:rsidR="000F1C93">
        <w:rPr>
          <w:rFonts w:ascii="Times New Roman" w:hAnsi="Times New Roman" w:cs="Times New Roman"/>
        </w:rPr>
      </w:r>
      <w:r w:rsidR="000F1C93">
        <w:rPr>
          <w:rFonts w:ascii="Times New Roman" w:hAnsi="Times New Roman" w:cs="Times New Roman"/>
        </w:rPr>
        <w:fldChar w:fldCharType="separate"/>
      </w:r>
      <w:r w:rsidR="00C2793E">
        <w:t xml:space="preserve">Table </w:t>
      </w:r>
      <w:r w:rsidR="00C2793E">
        <w:rPr>
          <w:noProof/>
        </w:rPr>
        <w:t>29</w:t>
      </w:r>
      <w:r w:rsidR="000F1C93">
        <w:rPr>
          <w:rFonts w:ascii="Times New Roman" w:hAnsi="Times New Roman" w:cs="Times New Roman"/>
        </w:rPr>
        <w:fldChar w:fldCharType="end"/>
      </w:r>
      <w:r w:rsidR="00484D54">
        <w:rPr>
          <w:rFonts w:ascii="Times New Roman" w:hAnsi="Times New Roman" w:cs="Times New Roman"/>
        </w:rPr>
        <w:t xml:space="preserve"> and </w:t>
      </w:r>
      <w:r w:rsidR="000F1C93">
        <w:rPr>
          <w:rFonts w:ascii="Times New Roman" w:hAnsi="Times New Roman" w:cs="Times New Roman"/>
        </w:rPr>
        <w:fldChar w:fldCharType="begin"/>
      </w:r>
      <w:r w:rsidR="000F1C93">
        <w:rPr>
          <w:rFonts w:ascii="Times New Roman" w:hAnsi="Times New Roman" w:cs="Times New Roman"/>
        </w:rPr>
        <w:instrText xml:space="preserve"> REF _Ref358323340 \h </w:instrText>
      </w:r>
      <w:r w:rsidR="000F1C93">
        <w:rPr>
          <w:rFonts w:ascii="Times New Roman" w:hAnsi="Times New Roman" w:cs="Times New Roman"/>
        </w:rPr>
      </w:r>
      <w:r w:rsidR="000F1C93">
        <w:rPr>
          <w:rFonts w:ascii="Times New Roman" w:hAnsi="Times New Roman" w:cs="Times New Roman"/>
        </w:rPr>
        <w:fldChar w:fldCharType="separate"/>
      </w:r>
      <w:r w:rsidR="00C2793E">
        <w:t xml:space="preserve">Table </w:t>
      </w:r>
      <w:r w:rsidR="00C2793E">
        <w:rPr>
          <w:noProof/>
        </w:rPr>
        <w:t>30</w:t>
      </w:r>
      <w:r w:rsidR="000F1C93">
        <w:rPr>
          <w:rFonts w:ascii="Times New Roman" w:hAnsi="Times New Roman" w:cs="Times New Roman"/>
        </w:rPr>
        <w:fldChar w:fldCharType="end"/>
      </w:r>
      <w:r w:rsidRPr="00975B92">
        <w:rPr>
          <w:rFonts w:ascii="Times New Roman" w:hAnsi="Times New Roman" w:cs="Times New Roman"/>
        </w:rPr>
        <w:t xml:space="preserve"> provide the descriptive statistics for supply chain resource orchestration and entrepreneurial orientation items while </w:t>
      </w:r>
      <w:r w:rsidR="000F1C93">
        <w:rPr>
          <w:rFonts w:ascii="Times New Roman" w:hAnsi="Times New Roman" w:cs="Times New Roman"/>
        </w:rPr>
        <w:fldChar w:fldCharType="begin"/>
      </w:r>
      <w:r w:rsidR="000F1C93">
        <w:rPr>
          <w:rFonts w:ascii="Times New Roman" w:hAnsi="Times New Roman" w:cs="Times New Roman"/>
        </w:rPr>
        <w:instrText xml:space="preserve"> REF _Ref358323281 \h </w:instrText>
      </w:r>
      <w:r w:rsidR="000F1C93">
        <w:rPr>
          <w:rFonts w:ascii="Times New Roman" w:hAnsi="Times New Roman" w:cs="Times New Roman"/>
        </w:rPr>
      </w:r>
      <w:r w:rsidR="000F1C93">
        <w:rPr>
          <w:rFonts w:ascii="Times New Roman" w:hAnsi="Times New Roman" w:cs="Times New Roman"/>
        </w:rPr>
        <w:fldChar w:fldCharType="separate"/>
      </w:r>
      <w:r w:rsidR="00C2793E">
        <w:t xml:space="preserve">Table </w:t>
      </w:r>
      <w:r w:rsidR="00C2793E">
        <w:rPr>
          <w:noProof/>
        </w:rPr>
        <w:t>31</w:t>
      </w:r>
      <w:r w:rsidR="000F1C93">
        <w:rPr>
          <w:rFonts w:ascii="Times New Roman" w:hAnsi="Times New Roman" w:cs="Times New Roman"/>
        </w:rPr>
        <w:fldChar w:fldCharType="end"/>
      </w:r>
      <w:r w:rsidR="000F1C93">
        <w:rPr>
          <w:rFonts w:ascii="Times New Roman" w:hAnsi="Times New Roman" w:cs="Times New Roman"/>
        </w:rPr>
        <w:t xml:space="preserve"> </w:t>
      </w:r>
      <w:r w:rsidRPr="00975B92">
        <w:rPr>
          <w:rFonts w:ascii="Times New Roman" w:hAnsi="Times New Roman" w:cs="Times New Roman"/>
        </w:rPr>
        <w:t>depicts the values for innovation and financial performance measures.</w:t>
      </w:r>
    </w:p>
    <w:p w14:paraId="2C1A512A" w14:textId="77777777" w:rsidR="00CB019C" w:rsidRPr="00975B92" w:rsidRDefault="00CB019C" w:rsidP="007436E7">
      <w:pPr>
        <w:spacing w:line="480" w:lineRule="auto"/>
        <w:jc w:val="both"/>
        <w:rPr>
          <w:rFonts w:ascii="Times New Roman" w:hAnsi="Times New Roman" w:cs="Times New Roman"/>
        </w:rPr>
      </w:pPr>
    </w:p>
    <w:p w14:paraId="3DC283BF" w14:textId="5A0A709D" w:rsidR="00224D1C" w:rsidRDefault="00224D1C" w:rsidP="00224D1C">
      <w:pPr>
        <w:pStyle w:val="Caption"/>
        <w:keepNext/>
        <w:jc w:val="both"/>
      </w:pPr>
      <w:bookmarkStart w:id="137" w:name="_Toc358326865"/>
      <w:bookmarkStart w:id="138" w:name="_Ref358323319"/>
      <w:r>
        <w:t xml:space="preserve">Table </w:t>
      </w:r>
      <w:fldSimple w:instr=" SEQ Table \* ARABIC ">
        <w:r w:rsidR="00C2793E">
          <w:rPr>
            <w:noProof/>
          </w:rPr>
          <w:t>29</w:t>
        </w:r>
        <w:bookmarkEnd w:id="137"/>
      </w:fldSimple>
      <w:bookmarkEnd w:id="138"/>
    </w:p>
    <w:p w14:paraId="08A88AAF" w14:textId="5D8F21E2"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SCRO Descriptive Statistics</w:t>
      </w:r>
    </w:p>
    <w:p w14:paraId="44DD078F"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noProof/>
        </w:rPr>
        <w:lastRenderedPageBreak/>
        <w:drawing>
          <wp:inline distT="0" distB="0" distL="0" distR="0" wp14:anchorId="4BD54179" wp14:editId="4F3D9E44">
            <wp:extent cx="5486400" cy="4305300"/>
            <wp:effectExtent l="0" t="0" r="0" b="127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4305300"/>
                    </a:xfrm>
                    <a:prstGeom prst="rect">
                      <a:avLst/>
                    </a:prstGeom>
                    <a:noFill/>
                    <a:ln>
                      <a:noFill/>
                    </a:ln>
                  </pic:spPr>
                </pic:pic>
              </a:graphicData>
            </a:graphic>
          </wp:inline>
        </w:drawing>
      </w:r>
    </w:p>
    <w:p w14:paraId="4472AE01" w14:textId="5FD1322C" w:rsidR="00224D1C" w:rsidRDefault="00224D1C" w:rsidP="00224D1C">
      <w:pPr>
        <w:pStyle w:val="Caption"/>
        <w:keepNext/>
        <w:jc w:val="both"/>
      </w:pPr>
      <w:bookmarkStart w:id="139" w:name="_Toc358326866"/>
      <w:bookmarkStart w:id="140" w:name="_Ref358323340"/>
      <w:r>
        <w:t xml:space="preserve">Table </w:t>
      </w:r>
      <w:fldSimple w:instr=" SEQ Table \* ARABIC ">
        <w:r w:rsidR="00C2793E">
          <w:rPr>
            <w:noProof/>
          </w:rPr>
          <w:t>30</w:t>
        </w:r>
        <w:bookmarkEnd w:id="139"/>
      </w:fldSimple>
      <w:bookmarkEnd w:id="140"/>
    </w:p>
    <w:p w14:paraId="6E77C453" w14:textId="777E9A79"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EO Descriptive Statistics</w:t>
      </w:r>
    </w:p>
    <w:p w14:paraId="03B39A05"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noProof/>
        </w:rPr>
        <w:drawing>
          <wp:inline distT="0" distB="0" distL="0" distR="0" wp14:anchorId="09ED7258" wp14:editId="75485310">
            <wp:extent cx="5486400" cy="34042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3404235"/>
                    </a:xfrm>
                    <a:prstGeom prst="rect">
                      <a:avLst/>
                    </a:prstGeom>
                    <a:noFill/>
                    <a:ln>
                      <a:noFill/>
                    </a:ln>
                  </pic:spPr>
                </pic:pic>
              </a:graphicData>
            </a:graphic>
          </wp:inline>
        </w:drawing>
      </w:r>
    </w:p>
    <w:p w14:paraId="1C285AA8" w14:textId="77777777" w:rsidR="00CB019C" w:rsidRPr="00975B92" w:rsidRDefault="00CB019C" w:rsidP="007436E7">
      <w:pPr>
        <w:spacing w:line="480" w:lineRule="auto"/>
        <w:jc w:val="both"/>
        <w:rPr>
          <w:rFonts w:ascii="Times New Roman" w:hAnsi="Times New Roman" w:cs="Times New Roman"/>
        </w:rPr>
      </w:pPr>
    </w:p>
    <w:p w14:paraId="6B625760" w14:textId="426A78C2" w:rsidR="00224D1C" w:rsidRDefault="00224D1C" w:rsidP="00224D1C">
      <w:pPr>
        <w:pStyle w:val="Caption"/>
        <w:keepNext/>
        <w:jc w:val="both"/>
      </w:pPr>
      <w:bookmarkStart w:id="141" w:name="_Toc358326867"/>
      <w:bookmarkStart w:id="142" w:name="_Ref358323281"/>
      <w:r>
        <w:lastRenderedPageBreak/>
        <w:t xml:space="preserve">Table </w:t>
      </w:r>
      <w:fldSimple w:instr=" SEQ Table \* ARABIC ">
        <w:r w:rsidR="00C2793E">
          <w:rPr>
            <w:noProof/>
          </w:rPr>
          <w:t>31</w:t>
        </w:r>
        <w:bookmarkEnd w:id="141"/>
      </w:fldSimple>
      <w:bookmarkEnd w:id="142"/>
    </w:p>
    <w:p w14:paraId="532A9248" w14:textId="09A7812C"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Innovation and Financial Performance Descriptive Statistics</w:t>
      </w:r>
    </w:p>
    <w:p w14:paraId="233AB74A" w14:textId="77777777" w:rsidR="00CB019C" w:rsidRPr="00975B92" w:rsidRDefault="00CB019C" w:rsidP="007436E7">
      <w:pPr>
        <w:spacing w:line="480" w:lineRule="auto"/>
        <w:jc w:val="both"/>
        <w:rPr>
          <w:rFonts w:ascii="Times New Roman" w:hAnsi="Times New Roman" w:cs="Times New Roman"/>
          <w:b/>
          <w:highlight w:val="green"/>
        </w:rPr>
      </w:pPr>
      <w:r w:rsidRPr="00975B92">
        <w:rPr>
          <w:rFonts w:ascii="Times New Roman" w:hAnsi="Times New Roman" w:cs="Times New Roman"/>
          <w:b/>
          <w:noProof/>
        </w:rPr>
        <w:drawing>
          <wp:inline distT="0" distB="0" distL="0" distR="0" wp14:anchorId="72A77662" wp14:editId="1D758B42">
            <wp:extent cx="5486400" cy="2512069"/>
            <wp:effectExtent l="0" t="0" r="0" b="254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2512069"/>
                    </a:xfrm>
                    <a:prstGeom prst="rect">
                      <a:avLst/>
                    </a:prstGeom>
                    <a:noFill/>
                    <a:ln>
                      <a:noFill/>
                    </a:ln>
                  </pic:spPr>
                </pic:pic>
              </a:graphicData>
            </a:graphic>
          </wp:inline>
        </w:drawing>
      </w:r>
    </w:p>
    <w:p w14:paraId="1E965146" w14:textId="77777777" w:rsidR="00CB019C" w:rsidRPr="00975B92" w:rsidRDefault="00CB019C" w:rsidP="007436E7">
      <w:pPr>
        <w:spacing w:line="480" w:lineRule="auto"/>
        <w:jc w:val="both"/>
        <w:rPr>
          <w:rFonts w:ascii="Times New Roman" w:hAnsi="Times New Roman" w:cs="Times New Roman"/>
          <w:b/>
          <w:highlight w:val="green"/>
        </w:rPr>
      </w:pPr>
    </w:p>
    <w:p w14:paraId="07B8B789" w14:textId="77777777" w:rsidR="00CB019C" w:rsidRPr="00975B92" w:rsidRDefault="00CB019C" w:rsidP="000A6E2C">
      <w:pPr>
        <w:pStyle w:val="Heading2"/>
      </w:pPr>
      <w:bookmarkStart w:id="143" w:name="_Toc358326744"/>
      <w:r w:rsidRPr="00975B92">
        <w:t>Scale Purification (CFA)</w:t>
      </w:r>
      <w:bookmarkEnd w:id="143"/>
    </w:p>
    <w:p w14:paraId="5465B2B9"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Confirmatory factor analysis (CFA) was performed in AMOS Version 24 to achieve scale purification. The CFA was using the maximum likelihood estimation (MLE) method to iteratively enhance the parameter estimations and goodness-of-fit between the specified measurement model and the sample data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"Byrne", "given" : "Barbara M", "non-dropping-particle" : "", "parse-names" : false, "suffix" : "" } ], "edition" : "2nd", "id" : "ITEM-1", "issued" : { "date-parts" : [ [ "2010" ] ] }, "publisher" : "Routledge", "publisher-place" : "New York, NY", "title" : "Structural Equation Modeling with AMOS: Basic Concepts, Applications, and Programming", "type" : "book" }, "uris" : [ "http://www.mendeley.com/documents/?uuid=6780123f-01cb-4e48-93da-edbfbc9aa034" ] } ], "mendeley" : { "formattedCitation" : "(Byrne, 2010)", "plainTextFormattedCitation" : "(Byrne, 2010)", "previouslyFormattedCitation" : "(Byrne,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(Byrne, 2010)</w:t>
      </w:r>
      <w:r w:rsidRPr="00975B92">
        <w:rPr>
          <w:rFonts w:ascii="Times New Roman" w:hAnsi="Times New Roman" w:cs="Times New Roman"/>
        </w:rPr>
        <w:fldChar w:fldCharType="end"/>
      </w:r>
      <w:r w:rsidRPr="00975B92">
        <w:rPr>
          <w:rFonts w:ascii="Times New Roman" w:hAnsi="Times New Roman" w:cs="Times New Roman"/>
        </w:rPr>
        <w:t xml:space="preserve">. Primarily the modification indices and factor coefficients were considered during those iterative purification steps. Following the other researchers, only one item was changed at a time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"10.1016/j.jom.2005.01.002", "author" : [ { "dropping-particle" : "", "family" : "Li", "given" : "Suhong", "non-dropping-particle" : "", "parse-names" : false, "suffix" : "" }, { "dropping-particle" : "", "family" : "Rao", "given" : "S Subba", "non-dropping-particle" : "", "parse-names" : false, "suffix" : "" }, { "dropping-particle" : "", "family" : "Ragu-Nathan", "given" : "T S", "non-dropping-particle" : "", "parse-names" : false, "suffix" : "" }, { "dropping-particle" : "", "family" : "Ragu-Nathan", "given" : "Bhanu", "non-dropping-particle" : "", "parse-names" : false, "suffix" : "" } ], "container-title" : "Journal of Operations Management", "id" : "ITEM-1", "issued" : { "date-parts" : [ [ "2005" ] ] }, "page" : "618-641", "title" : "Development and validation of a measurement instrument for studying supply chain management practices", "type" : "article-journal", "volume" : "23" }, "uris" : [ "http://www.mendeley.com/documents/?uuid=4674cbd7-3b54-4a13-a106-48b9df0ae2dc" ] } ], "mendeley" : { "formattedCitation" : "(Li et al., 2005)", "plainTextFormattedCitation" : "(Li et al., 2005)", "previouslyFormattedCitation" : "(Li et al., 2005)"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(Li et al., 2005)</w:t>
      </w:r>
      <w:r w:rsidRPr="00975B92">
        <w:rPr>
          <w:rFonts w:ascii="Times New Roman" w:hAnsi="Times New Roman" w:cs="Times New Roman"/>
        </w:rPr>
        <w:fldChar w:fldCharType="end"/>
      </w:r>
      <w:r w:rsidRPr="00975B92">
        <w:rPr>
          <w:rFonts w:ascii="Times New Roman" w:hAnsi="Times New Roman" w:cs="Times New Roman"/>
        </w:rPr>
        <w:t xml:space="preserve">. Theoretical justification was determined before any measurement item was altered. The focus was to minimize the discrepancy between the sample covariance matrix and the covariance matrix implied by the hypothesized model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"Byrne", "given" : "Barbara M", "non-dropping-particle" : "", "parse-names" : false, "suffix" : "" } ], "edition" : "2nd", "id" : "ITEM-1", "issued" : { "date-parts" : [ [ "2010" ] ] }, "publisher" : "Routledge", "publisher-place" : "New York, NY", "title" : "Structural Equation Modeling with AMOS: Basic Concepts, Applications, and Programming", "type" : "book" }, "uris" : [ "http://www.mendeley.com/documents/?uuid=6780123f-01cb-4e48-93da-edbfbc9aa034" ] } ], "mendeley" : { "formattedCitation" : "(Byrne, 2010)", "plainTextFormattedCitation" : "(Byrne, 2010)", "previouslyFormattedCitation" : "(Byrne,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(Byrne, 2010)</w:t>
      </w:r>
      <w:r w:rsidRPr="00975B92">
        <w:rPr>
          <w:rFonts w:ascii="Times New Roman" w:hAnsi="Times New Roman" w:cs="Times New Roman"/>
        </w:rPr>
        <w:fldChar w:fldCharType="end"/>
      </w:r>
      <w:r w:rsidRPr="00975B92">
        <w:rPr>
          <w:rFonts w:ascii="Times New Roman" w:hAnsi="Times New Roman" w:cs="Times New Roman"/>
        </w:rPr>
        <w:t>. The CFA was conducted to assess SCRO, EO, IP, and FP individually first and subsequently to assess the entire measurement model.</w:t>
      </w:r>
    </w:p>
    <w:p w14:paraId="2650B67B" w14:textId="15DBC01B" w:rsidR="00CB019C" w:rsidRPr="00975B92" w:rsidRDefault="00CB019C" w:rsidP="007E4235">
      <w:pPr>
        <w:spacing w:line="480" w:lineRule="auto"/>
        <w:ind w:firstLine="720"/>
        <w:jc w:val="both"/>
        <w:rPr>
          <w:rFonts w:ascii="Times New Roman" w:hAnsi="Times New Roman" w:cs="Times New Roman"/>
        </w:rPr>
      </w:pPr>
      <w:r w:rsidRPr="00975B92">
        <w:rPr>
          <w:rFonts w:ascii="Times New Roman" w:hAnsi="Times New Roman" w:cs="Times New Roman"/>
        </w:rPr>
        <w:t xml:space="preserve">The AMOS software package was used to assess the measurement model. The most commonly applied fit indexes were calculated to evaluate the fit between theorized model and actual data. For example, the </w:t>
      </w:r>
      <w:r w:rsidRPr="00975B92">
        <w:rPr>
          <w:rFonts w:ascii="Times New Roman" w:hAnsi="Times New Roman" w:cs="Times New Roman"/>
          <w:b/>
        </w:rPr>
        <w:t>chi- square statistic</w:t>
      </w:r>
      <w:r w:rsidRPr="00975B92">
        <w:rPr>
          <w:rFonts w:ascii="Times New Roman" w:hAnsi="Times New Roman" w:cs="Times New Roman"/>
        </w:rPr>
        <w:t xml:space="preserve"> </w:t>
      </w:r>
      <w:r w:rsidR="00F06028">
        <w:rPr>
          <w:rFonts w:ascii="Times New Roman" w:hAnsi="Times New Roman" w:cs="Times New Roman"/>
        </w:rPr>
        <w:t>(χ</w:t>
      </w:r>
      <w:r w:rsidR="00F06028" w:rsidRPr="00A26978">
        <w:rPr>
          <w:rFonts w:ascii="Times New Roman" w:hAnsi="Times New Roman" w:cs="Times New Roman"/>
          <w:vertAlign w:val="superscript"/>
        </w:rPr>
        <w:t>2</w:t>
      </w:r>
      <w:r w:rsidR="00F06028">
        <w:rPr>
          <w:rFonts w:ascii="Times New Roman" w:hAnsi="Times New Roman" w:cs="Times New Roman"/>
        </w:rPr>
        <w:t xml:space="preserve">) </w:t>
      </w:r>
      <w:r w:rsidRPr="00975B92">
        <w:rPr>
          <w:rFonts w:ascii="Times New Roman" w:hAnsi="Times New Roman" w:cs="Times New Roman"/>
        </w:rPr>
        <w:t xml:space="preserve">measures the difference </w:t>
      </w:r>
      <w:r w:rsidRPr="00975B92">
        <w:rPr>
          <w:rFonts w:ascii="Times New Roman" w:hAnsi="Times New Roman" w:cs="Times New Roman"/>
        </w:rPr>
        <w:lastRenderedPageBreak/>
        <w:t xml:space="preserve">between the sample covariance and the fitted covariance. However, the “chi-square index is sensitive to sample size and departures from multivariate normality.”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"10.1016/j.jom.2005.01.002", "author" : [ { "dropping-particle" : "", "family" : "Li", "given" : "Suhong", "non-dropping-particle" : "", "parse-names" : false, "suffix" : "" }, { "dropping-particle" : "", "family" : "Rao", "given" : "S Subba", "non-dropping-particle" : "", "parse-names" : false, "suffix" : "" }, { "dropping-particle" : "", "family" : "Ragu-Nathan", "given" : "T S", "non-dropping-particle" : "", "parse-names" : false, "suffix" : "" }, { "dropping-particle" : "", "family" : "Ragu-Nathan", "given" : "Bhanu", "non-dropping-particle" : "", "parse-names" : false, "suffix" : "" } ], "container-title" : "Journal of Operations Management", "id" : "ITEM-1", "issued" : { "date-parts" : [ [ "2005" ] ] }, "page" : "618-641", "title" : "Development and validation of a measurement instrument for studying supply chain management practices", "type" : "article-journal", "volume" : "23" }, "locator" : "627", "uris" : [ "http://www.mendeley.com/documents/?uuid=4674cbd7-3b54-4a13-a106-48b9df0ae2dc" ] } ], "mendeley" : { "formattedCitation" : "(Li et al., 2005, p. 627)", "plainTextFormattedCitation" : "(Li et al., 2005, p. 627)", "previouslyFormattedCitation" : "(Li et al., 2005, p. 627)"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(Li et al., 2005, p. 627)</w:t>
      </w:r>
      <w:r w:rsidRPr="00975B92">
        <w:rPr>
          <w:rFonts w:ascii="Times New Roman" w:hAnsi="Times New Roman" w:cs="Times New Roman"/>
        </w:rPr>
        <w:fldChar w:fldCharType="end"/>
      </w:r>
      <w:r w:rsidRPr="00975B92">
        <w:rPr>
          <w:rFonts w:ascii="Times New Roman" w:hAnsi="Times New Roman" w:cs="Times New Roman"/>
        </w:rPr>
        <w:t xml:space="preserve">. Hence, in this study, multiple fit criteria are evaluated and reported to minimize the potential impact of measuring biases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"Rolph E", "non-dropping-particle" : "", "parse-names" : false, "suffix" : "" } ], "edition" : "7th", "id" : "ITEM-1", "issued" : { "date-parts" : [ [ "2010" ] ] }, "publisher" : "Pearson Education", "publisher-place" : "Upper Saddle River, NJ", "title" : "Multivariate Data Analysis", "type" : "book" }, "uris" : [ "http://www.mendeley.com/documents/?uuid=85133774-881c-45ab-a721-cedeebec9514" ] }, { "id" : "ITEM-2", "itemData" : { "author" : [ { "dropping-particle" : "", "family" : "Byrne", "given" : "Barbara M", "non-dropping-particle" : "", "parse-names" : false, "suffix" : "" } ], "edition" : "2nd", "id" : "ITEM-2", "issued" : { "date-parts" : [ [ "2010" ] ] }, "publisher" : "Routledge", "publisher-place" : "New York, NY", "title" : "Structural Equation Modeling with AMOS: Basic Concepts, Applications, and Programming", "type" : "book" }, "uris" : [ "http://www.mendeley.com/documents/?uuid=6780123f-01cb-4e48-93da-edbfbc9aa034" ] } ], "mendeley" : { "formattedCitation" : "(Byrne, 2010; Hair et al., 2010)", "plainTextFormattedCitation" : "(Byrne, 2010; Hair et al., 2010)", "previouslyFormattedCitation" : "(Byrne, 2010; Hair et al.,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(Byrne, 2010; Hair et al., 2010)</w:t>
      </w:r>
      <w:r w:rsidRPr="00975B92">
        <w:rPr>
          <w:rFonts w:ascii="Times New Roman" w:hAnsi="Times New Roman" w:cs="Times New Roman"/>
        </w:rPr>
        <w:fldChar w:fldCharType="end"/>
      </w:r>
      <w:r w:rsidRPr="00975B92">
        <w:rPr>
          <w:rFonts w:ascii="Times New Roman" w:hAnsi="Times New Roman" w:cs="Times New Roman"/>
        </w:rPr>
        <w:t xml:space="preserve">. </w:t>
      </w:r>
    </w:p>
    <w:p w14:paraId="0175494E" w14:textId="77777777" w:rsidR="00CB019C" w:rsidRPr="00975B92" w:rsidRDefault="00CB019C" w:rsidP="007436E7">
      <w:pPr>
        <w:spacing w:line="480" w:lineRule="auto"/>
        <w:jc w:val="both"/>
        <w:rPr>
          <w:rFonts w:ascii="Times New Roman" w:hAnsi="Times New Roman" w:cs="Times New Roman"/>
        </w:rPr>
      </w:pPr>
    </w:p>
    <w:p w14:paraId="0B89E6CB" w14:textId="77777777" w:rsidR="00CB019C" w:rsidRPr="00975B92" w:rsidRDefault="00CB019C" w:rsidP="000A6E2C">
      <w:pPr>
        <w:pStyle w:val="Heading3new"/>
      </w:pPr>
      <w:r w:rsidRPr="00975B92">
        <w:t>Assessment of Construct Validity</w:t>
      </w:r>
    </w:p>
    <w:p w14:paraId="4467A8BA"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To assess construct validity of the measurement items, four different aspects of validity and reliability were considered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"Bagozzi", "given" : "Richard P", "non-dropping-particle" : "", "parse-names" : false, "suffix" : "" }, { "dropping-particle" : "", "family" : "Yi", "given" : "Youjae", "non-dropping-particle" : "", "parse-names" : false, "suffix" : "" }, { "dropping-particle" : "", "family" : "Phillips", "given" : "Lynn W", "non-dropping-particle" : "", "parse-names" : false, "suffix" : "" } ], "container-title" : "Administrative Science Quarterly", "id" : "ITEM-1", "issued" : { "date-parts" : [ [ "1991" ] ] }, "page" : "421-458", "title" : "Assessing Construct Validity in Organizational Research", "type" : "article-journal", "volume" : "36" }, "uris" : [ "http://www.mendeley.com/documents/?uuid=a03a7438-1b87-464d-bee2-23ab4cb5b057" ] } ], "mendeley" : { "formattedCitation" : "(Bagozzi, Yi, &amp; Phillips, 1991)", "plainTextFormattedCitation" : "(Bagozzi, Yi, &amp; Phillips, 1991)", "previouslyFormattedCitation" : "(Bagozzi, Yi, &amp; Phillips, 1991)"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(Bagozzi, Yi, &amp; Phillips, 1991)</w:t>
      </w:r>
      <w:r w:rsidRPr="00975B92">
        <w:rPr>
          <w:rFonts w:ascii="Times New Roman" w:hAnsi="Times New Roman" w:cs="Times New Roman"/>
        </w:rPr>
        <w:fldChar w:fldCharType="end"/>
      </w:r>
      <w:r w:rsidRPr="00975B92">
        <w:rPr>
          <w:rFonts w:ascii="Times New Roman" w:hAnsi="Times New Roman" w:cs="Times New Roman"/>
        </w:rPr>
        <w:t xml:space="preserve">.  </w:t>
      </w:r>
    </w:p>
    <w:p w14:paraId="57C0C8A4" w14:textId="77777777" w:rsidR="00CB019C" w:rsidRPr="00975B92" w:rsidRDefault="00CB019C" w:rsidP="007436E7">
      <w:pPr>
        <w:ind w:left="720"/>
        <w:jc w:val="both"/>
        <w:rPr>
          <w:rFonts w:ascii="Times New Roman" w:hAnsi="Times New Roman" w:cs="Times New Roman"/>
        </w:rPr>
      </w:pPr>
      <w:r w:rsidRPr="00975B92">
        <w:rPr>
          <w:rFonts w:ascii="Times New Roman" w:hAnsi="Times New Roman" w:cs="Times New Roman"/>
        </w:rPr>
        <w:t>(1) Content validity</w:t>
      </w:r>
    </w:p>
    <w:p w14:paraId="19DE0E4D" w14:textId="77777777" w:rsidR="00CB019C" w:rsidRPr="00975B92" w:rsidRDefault="00CB019C" w:rsidP="007436E7">
      <w:pPr>
        <w:ind w:left="720"/>
        <w:jc w:val="both"/>
        <w:rPr>
          <w:rFonts w:ascii="Times New Roman" w:hAnsi="Times New Roman" w:cs="Times New Roman"/>
        </w:rPr>
      </w:pPr>
      <w:r w:rsidRPr="00975B92">
        <w:rPr>
          <w:rFonts w:ascii="Times New Roman" w:hAnsi="Times New Roman" w:cs="Times New Roman"/>
        </w:rPr>
        <w:t>(2) Internal consistency of operationalization (unidimensionality and reliability)</w:t>
      </w:r>
    </w:p>
    <w:p w14:paraId="76D767D3" w14:textId="77777777" w:rsidR="00CB019C" w:rsidRPr="00975B92" w:rsidRDefault="00CB019C" w:rsidP="007436E7">
      <w:pPr>
        <w:ind w:left="720"/>
        <w:jc w:val="both"/>
        <w:rPr>
          <w:rFonts w:ascii="Times New Roman" w:hAnsi="Times New Roman" w:cs="Times New Roman"/>
        </w:rPr>
      </w:pPr>
      <w:r w:rsidRPr="00975B92">
        <w:rPr>
          <w:rFonts w:ascii="Times New Roman" w:hAnsi="Times New Roman" w:cs="Times New Roman"/>
        </w:rPr>
        <w:t>(3) Convergent validity</w:t>
      </w:r>
    </w:p>
    <w:p w14:paraId="40B71146" w14:textId="77777777" w:rsidR="00CB019C" w:rsidRPr="00975B92" w:rsidRDefault="00CB019C" w:rsidP="007436E7">
      <w:pPr>
        <w:ind w:left="720"/>
        <w:jc w:val="both"/>
        <w:rPr>
          <w:rFonts w:ascii="Times New Roman" w:hAnsi="Times New Roman" w:cs="Times New Roman"/>
        </w:rPr>
      </w:pPr>
      <w:r w:rsidRPr="00975B92">
        <w:rPr>
          <w:rFonts w:ascii="Times New Roman" w:hAnsi="Times New Roman" w:cs="Times New Roman"/>
        </w:rPr>
        <w:t>(4) Discriminant validity</w:t>
      </w:r>
    </w:p>
    <w:p w14:paraId="4A1E7B94" w14:textId="77777777" w:rsidR="00CB019C" w:rsidRPr="00975B92" w:rsidRDefault="00CB019C" w:rsidP="007436E7">
      <w:pPr>
        <w:spacing w:line="480" w:lineRule="auto"/>
        <w:jc w:val="both"/>
        <w:rPr>
          <w:rFonts w:ascii="Times New Roman" w:hAnsi="Times New Roman" w:cs="Times New Roman"/>
        </w:rPr>
      </w:pPr>
    </w:p>
    <w:p w14:paraId="0E77ABBE" w14:textId="77777777" w:rsidR="00CB019C" w:rsidRPr="00975B92" w:rsidRDefault="00CB019C" w:rsidP="000A6E2C">
      <w:pPr>
        <w:pStyle w:val="Heading4new"/>
      </w:pPr>
      <w:r w:rsidRPr="00975B92">
        <w:t>Content Validity</w:t>
      </w:r>
    </w:p>
    <w:p w14:paraId="20045CBC" w14:textId="04D5DCD1"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Content validity reflects whether the measurement items are fully covering the variable domain and thereby all the essential aspects of the latent variable being measured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"Nunnally", "given" : "J.C.", "non-dropping-particle" : "", "parse-names" : false, "suffix" : "" } ], "edition" : "2nd", "id" : "ITEM-1", "issued" : { "date-parts" : [ [ "1978" ] ] }, "publisher" : "McGraw-Hill", "publisher-place" : "New York, NY", "title" : "Psychometric Theory", "type" : "book" }, "uris" : [ "http://www.mendeley.com/documents/?uuid=e7d7c0d7-975f-4eb9-ad97-1106b470ae37" ] } ], "mendeley" : { "formattedCitation" : "(Nunnally, 1978)", "plainTextFormattedCitation" : "(Nunnally, 1978)", "previouslyFormattedCitation" : "(Nunnally, 1978)"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(Nunnally, 1978)</w:t>
      </w:r>
      <w:r w:rsidRPr="00975B92">
        <w:rPr>
          <w:rFonts w:ascii="Times New Roman" w:hAnsi="Times New Roman" w:cs="Times New Roman"/>
        </w:rPr>
        <w:fldChar w:fldCharType="end"/>
      </w:r>
      <w:r w:rsidRPr="00975B92">
        <w:rPr>
          <w:rFonts w:ascii="Times New Roman" w:hAnsi="Times New Roman" w:cs="Times New Roman"/>
        </w:rPr>
        <w:t xml:space="preserve">. For example, researchers have ensured content validity of a survey instrument by conducting thorough literature reviews and by requesting a complementary review of the items from knowledgeable scholars and practitioners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"10.1016/j.jom.2005.01.002", "author" : [ { "dropping-particle" : "", "family" : "Li", "given" : "Suhong", "non-dropping-particle" : "", "parse-names" : false, "suffix" : "" }, { "dropping-particle" : "", "family" : "Rao", "given" : "S Subba", "non-dropping-particle" : "", "parse-names" : false, "suffix" : "" }, { "dropping-particle" : "", "family" : "Ragu-Nathan", "given" : "T S", "non-dropping-particle" : "", "parse-names" : false, "suffix" : "" }, { "dropping-particle" : "", "family" : "Ragu-Nathan", "given" : "Bhanu", "non-dropping-particle" : "", "parse-names" : false, "suffix" : "" } ], "container-title" : "Journal of Operations Management", "id" : "ITEM-1", "issued" : { "date-parts" : [ [ "2005" ] ] }, "page" : "618-641", "title" : "Development and validation of a measurement instrument for studying supply chain management practices", "type" : "article-journal", "volume" : "23" }, "uris" : [ "http://www.mendeley.com/documents/?uuid=4674cbd7-3b54-4a13-a106-48b9df0ae2dc" ] } ], "mendeley" : { "formattedCitation" : "(Li et al., 2005)", "plainTextFormattedCitation" : "(Li et al., 2005)", "previouslyFormattedCitation" : "(Li et al., 2005)"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(Li et al., 2005)</w:t>
      </w:r>
      <w:r w:rsidRPr="00975B92">
        <w:rPr>
          <w:rFonts w:ascii="Times New Roman" w:hAnsi="Times New Roman" w:cs="Times New Roman"/>
        </w:rPr>
        <w:fldChar w:fldCharType="end"/>
      </w:r>
      <w:r w:rsidRPr="00975B92">
        <w:rPr>
          <w:rFonts w:ascii="Times New Roman" w:hAnsi="Times New Roman" w:cs="Times New Roman"/>
        </w:rPr>
        <w:t xml:space="preserve">. The determination of content validity is non-numerical and based on a “rational judgmental process not open to numerical evaluation”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"10.1016/j.jom.2005.01.002", "author" : [ { "dropping-particle" : "", "family" : "Li", "given" : "Suhong", "non-dropping-particle" : "", "parse-names" : false, "suffix" : "" }, { "dropping-particle" : "", "family" : "Rao", "given" : "S Subba", "non-dropping-particle" : "", "parse-names" : false, "suffix" : "" }, { "dropping-particle" : "", "family" : "Ragu-Nathan", "given" : "T S", "non-dropping-particle" : "", "parse-names" : false, "suffix" : "" }, { "dropping-particle" : "", "family" : "Ragu-Nathan", "given" : "Bhanu", "non-dropping-particle" : "", "parse-names" : false, "suffix" : "" } ], "container-title" : "Journal of Operations Management", "id" : "ITEM-1", "issued" : { "date-parts" : [ [ "2005" ] ] }, "page" : "618-641", "title" : "Development and validation of a measurement instrument for studying supply chain management practices", "type" : "article-journal", "volume" : "23" }, "locator" : "627", "uris" : [ "http://www.mendeley.com/documents/?uuid=4674cbd7-3b54-4a13-a106-48b9df0ae2dc" ] } ], "mendeley" : { "formattedCitation" : "(Li et al., 2005, p. 627)", "plainTextFormattedCitation" : "(Li et al., 2005, p. 627)", "previouslyFormattedCitation" : "(Li et al., 2005, p. 627)"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(Li et al., 2005, p. 627)</w:t>
      </w:r>
      <w:r w:rsidRPr="00975B92">
        <w:rPr>
          <w:rFonts w:ascii="Times New Roman" w:hAnsi="Times New Roman" w:cs="Times New Roman"/>
        </w:rPr>
        <w:fldChar w:fldCharType="end"/>
      </w:r>
      <w:r w:rsidRPr="00975B92">
        <w:rPr>
          <w:rFonts w:ascii="Times New Roman" w:hAnsi="Times New Roman" w:cs="Times New Roman"/>
        </w:rPr>
        <w:t xml:space="preserve">. Researchers have highlighted that the wording of survey questions is highly critical to avoid any ambiguity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"Schwarz", "given" : "Norbert", "non-dropping-particle" : "", "parse-names" : false, "suffix" : "" } ], "container-title" : "American Psychologist", "id" : "ITEM-1", "issue" : "2", "issued" : { "date-parts" : [ [ "1999" ] ] }, "page" : "93-105", "title" : "Self-Reports: How the Questions Shape the Answers", "type" : "article-journal", "volume" : "54" }, "uris" : [ "http://www.mendeley.com/documents/?uuid=698eef24-43eb-47aa-ad71-739bbd2c35fd" ] } ], "mendeley" : { "formattedCitation" : "(Schwarz, 1999)", "plainTextFormattedCitation" : "(Schwarz, 1999)", "previouslyFormattedCitation" : "(Schwarz, 1999)"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(Schwarz, 1999)</w:t>
      </w:r>
      <w:r w:rsidRPr="00975B92">
        <w:rPr>
          <w:rFonts w:ascii="Times New Roman" w:hAnsi="Times New Roman" w:cs="Times New Roman"/>
        </w:rPr>
        <w:fldChar w:fldCharType="end"/>
      </w:r>
      <w:r w:rsidRPr="00975B92">
        <w:rPr>
          <w:rFonts w:ascii="Times New Roman" w:hAnsi="Times New Roman" w:cs="Times New Roman"/>
        </w:rPr>
        <w:t xml:space="preserve">. Hence, in several steps, practitioners and scholars were asked to review the survey items and to verify whether the items truly reflect the variables. The reviewers assessed the survey in terms of measurement item clarity, the appropriateness of questions, survey completeness, for example.  Eventually, a final agreement was found.  Based on the extensive literature review (including Chapter Three), the pilot testing, and </w:t>
      </w:r>
      <w:r w:rsidRPr="00975B92">
        <w:rPr>
          <w:rFonts w:ascii="Times New Roman" w:hAnsi="Times New Roman" w:cs="Times New Roman"/>
        </w:rPr>
        <w:lastRenderedPageBreak/>
        <w:t>the key contributions from scholars as well as practitioners, content validity of the measurement items is assumed as sufficient.</w:t>
      </w:r>
    </w:p>
    <w:p w14:paraId="6266616D"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Construct validity indicates whether different traits (behaviors) actually are relating to the same constructs (convergent validity) and whether theoretically distinct constructs are actually related or not (discriminant validity)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"Peter", "given" : "J Paul", "non-dropping-particle" : "", "parse-names" : false, "suffix" : "" } ], "container-title" : "Journal of Marketing Research", "id" : "ITEM-1", "issued" : { "date-parts" : [ [ "1981" ] ] }, "page" : "133-145", "title" : "Construct Validity: A Review of Basic Issues and Marketing Practices", "type" : "article-journal", "volume" : "XVIII" }, "uris" : [ "http://www.mendeley.com/documents/?uuid=b201717c-264c-4ad7-9120-606529a8d25a" ] } ], "mendeley" : { "formattedCitation" : "(Peter, 1981)", "plainTextFormattedCitation" : "(Peter, 1981)", "previouslyFormattedCitation" : "(Peter, 1981)"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(Peter, 1981)</w:t>
      </w:r>
      <w:r w:rsidRPr="00975B92">
        <w:rPr>
          <w:rFonts w:ascii="Times New Roman" w:hAnsi="Times New Roman" w:cs="Times New Roman"/>
        </w:rPr>
        <w:fldChar w:fldCharType="end"/>
      </w:r>
      <w:r w:rsidRPr="00975B92">
        <w:rPr>
          <w:rFonts w:ascii="Times New Roman" w:hAnsi="Times New Roman" w:cs="Times New Roman"/>
        </w:rPr>
        <w:t xml:space="preserve">. Furthermore, it reflects whether a nomological network is established due to interrelated laws supporting a construct and due to the identification and assessment of traits related to each additional construct </w:t>
      </w:r>
    </w:p>
    <w:p w14:paraId="0CB4773B" w14:textId="77777777" w:rsidR="00CB019C" w:rsidRPr="00975B92" w:rsidRDefault="00CB019C" w:rsidP="007436E7">
      <w:pPr>
        <w:spacing w:line="480" w:lineRule="auto"/>
        <w:jc w:val="both"/>
        <w:rPr>
          <w:rFonts w:ascii="Times New Roman" w:hAnsi="Times New Roman" w:cs="Times New Roman"/>
          <w:b/>
        </w:rPr>
      </w:pPr>
    </w:p>
    <w:p w14:paraId="024EC3BE" w14:textId="77777777" w:rsidR="00CB019C" w:rsidRPr="00975B92" w:rsidRDefault="00CB019C" w:rsidP="000A6E2C">
      <w:pPr>
        <w:pStyle w:val="Heading4new"/>
      </w:pPr>
      <w:r w:rsidRPr="00975B92">
        <w:t>Reliability</w:t>
      </w:r>
    </w:p>
    <w:p w14:paraId="22B7F112" w14:textId="69CCDBDC"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Typically, the </w:t>
      </w:r>
      <w:r w:rsidRPr="00975B92">
        <w:rPr>
          <w:rFonts w:ascii="Times New Roman" w:hAnsi="Times New Roman" w:cs="Times New Roman"/>
          <w:b/>
        </w:rPr>
        <w:t>Cronbach a coefficient</w:t>
      </w:r>
      <w:r w:rsidRPr="00975B92">
        <w:rPr>
          <w:rFonts w:ascii="Times New Roman" w:hAnsi="Times New Roman" w:cs="Times New Roman"/>
        </w:rPr>
        <w:t xml:space="preserve"> has been used to evaluate reliability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"Nunnally", "given" : "J.C.", "non-dropping-particle" : "", "parse-names" : false, "suffix" : "" } ], "edition" : "2nd", "id" : "ITEM-1", "issued" : { "date-parts" : [ [ "1978" ] ] }, "publisher" : "McGraw-Hill", "publisher-place" : "New York, NY", "title" : "Psychometric Theory", "type" : "book" }, "uris" : [ "http://www.mendeley.com/documents/?uuid=e7d7c0d7-975f-4eb9-ad97-1106b470ae37" ] }, { "id" : "ITEM-2", "itemData" : { "author" : [ { "dropping-particle" : "", "family" : "Cronbach", "given" : "L J", "non-dropping-particle" : "", "parse-names" : false, "suffix" : "" } ], "container-title" : "Psychometrika", "id" : "ITEM-2", "issue" : "3", "issued" : { "date-parts" : [ [ "1951" ] ] }, "page" : "297-334", "title" : "Coefficient Alpha and the Internal Structure of Tests", "type" : "article-journal", "volume" : "16" }, "uris" : [ "http://www.mendeley.com/documents/?uuid=44b8c8a9-32c0-4962-a258-66241a1e4e09" ] } ], "mendeley" : { "formattedCitation" : "(Cronbach, 1951; Nunnally, 1978)", "plainTextFormattedCitation" : "(Cronbach, 1951; Nunnally, 1978)", "previouslyFormattedCitation" : "(Cronbach, 1951; Nunnally, 1978)"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(Cronbach, 1951; Nunnally, 1978)</w:t>
      </w:r>
      <w:r w:rsidRPr="00975B92">
        <w:rPr>
          <w:rFonts w:ascii="Times New Roman" w:hAnsi="Times New Roman" w:cs="Times New Roman"/>
        </w:rPr>
        <w:fldChar w:fldCharType="end"/>
      </w:r>
      <w:r w:rsidRPr="00975B92">
        <w:rPr>
          <w:rFonts w:ascii="Times New Roman" w:hAnsi="Times New Roman" w:cs="Times New Roman"/>
        </w:rPr>
        <w:t xml:space="preserve">. A measurement scale is determined to be reliable and consistent if the alpha coefficient is 0.70 or higher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"Nunnally", "given" : "J.C.", "non-dropping-particle" : "", "parse-names" : false, "suffix" : "" } ], "edition" : "2nd", "id" : "ITEM-1", "issued" : { "date-parts" : [ [ "1978" ] ] }, "publisher" : "McGraw-Hill", "publisher-place" : "New York, NY", "title" : "Psychometric Theory", "type" : "book" }, "uris" : [ "http://www.mendeley.com/documents/?uuid=e7d7c0d7-975f-4eb9-ad97-1106b470ae37" ] } ], "mendeley" : { "formattedCitation" : "(Nunnally, 1978)", "plainTextFormattedCitation" : "(Nunnally, 1978)", "previouslyFormattedCitation" : "(Nunnally, 1978)"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(Nunnally, 1978)</w:t>
      </w:r>
      <w:r w:rsidRPr="00975B92">
        <w:rPr>
          <w:rFonts w:ascii="Times New Roman" w:hAnsi="Times New Roman" w:cs="Times New Roman"/>
        </w:rPr>
        <w:fldChar w:fldCharType="end"/>
      </w:r>
      <w:r w:rsidRPr="00975B92">
        <w:rPr>
          <w:rFonts w:ascii="Times New Roman" w:hAnsi="Times New Roman" w:cs="Times New Roman"/>
        </w:rPr>
        <w:t>. In this study, the Cronbach’s alpha was calculated for each measurement item, and all coefficients passed the .70 threshold, indicating good construct reliability (descriptive statistics</w:t>
      </w:r>
      <w:r w:rsidR="00DD42D5">
        <w:rPr>
          <w:rFonts w:ascii="Times New Roman" w:hAnsi="Times New Roman" w:cs="Times New Roman"/>
        </w:rPr>
        <w:t xml:space="preserve"> </w:t>
      </w:r>
      <w:r w:rsidR="00DD42D5">
        <w:rPr>
          <w:rFonts w:ascii="Times New Roman" w:hAnsi="Times New Roman" w:cs="Times New Roman"/>
        </w:rPr>
        <w:fldChar w:fldCharType="begin"/>
      </w:r>
      <w:r w:rsidR="00DD42D5">
        <w:rPr>
          <w:rFonts w:ascii="Times New Roman" w:hAnsi="Times New Roman" w:cs="Times New Roman"/>
        </w:rPr>
        <w:instrText xml:space="preserve"> REF _Ref358323319 \h </w:instrText>
      </w:r>
      <w:r w:rsidR="00DD42D5">
        <w:rPr>
          <w:rFonts w:ascii="Times New Roman" w:hAnsi="Times New Roman" w:cs="Times New Roman"/>
        </w:rPr>
      </w:r>
      <w:r w:rsidR="00DD42D5">
        <w:rPr>
          <w:rFonts w:ascii="Times New Roman" w:hAnsi="Times New Roman" w:cs="Times New Roman"/>
        </w:rPr>
        <w:fldChar w:fldCharType="separate"/>
      </w:r>
      <w:r w:rsidR="00C2793E">
        <w:t xml:space="preserve">Table </w:t>
      </w:r>
      <w:r w:rsidR="00C2793E">
        <w:rPr>
          <w:noProof/>
        </w:rPr>
        <w:t>29</w:t>
      </w:r>
      <w:r w:rsidR="00DD42D5">
        <w:rPr>
          <w:rFonts w:ascii="Times New Roman" w:hAnsi="Times New Roman" w:cs="Times New Roman"/>
        </w:rPr>
        <w:fldChar w:fldCharType="end"/>
      </w:r>
      <w:r w:rsidRPr="00975B92">
        <w:rPr>
          <w:rFonts w:ascii="Times New Roman" w:hAnsi="Times New Roman" w:cs="Times New Roman"/>
        </w:rPr>
        <w:t xml:space="preserve"> </w:t>
      </w:r>
      <w:r w:rsidR="00DD42D5">
        <w:rPr>
          <w:rFonts w:ascii="Times New Roman" w:hAnsi="Times New Roman" w:cs="Times New Roman"/>
        </w:rPr>
        <w:t xml:space="preserve">to </w:t>
      </w:r>
      <w:r w:rsidR="00DD42D5">
        <w:rPr>
          <w:rFonts w:ascii="Times New Roman" w:hAnsi="Times New Roman" w:cs="Times New Roman"/>
        </w:rPr>
        <w:fldChar w:fldCharType="begin"/>
      </w:r>
      <w:r w:rsidR="00DD42D5">
        <w:rPr>
          <w:rFonts w:ascii="Times New Roman" w:hAnsi="Times New Roman" w:cs="Times New Roman"/>
        </w:rPr>
        <w:instrText xml:space="preserve"> REF _Ref358323281 \h </w:instrText>
      </w:r>
      <w:r w:rsidR="00DD42D5">
        <w:rPr>
          <w:rFonts w:ascii="Times New Roman" w:hAnsi="Times New Roman" w:cs="Times New Roman"/>
        </w:rPr>
      </w:r>
      <w:r w:rsidR="00DD42D5">
        <w:rPr>
          <w:rFonts w:ascii="Times New Roman" w:hAnsi="Times New Roman" w:cs="Times New Roman"/>
        </w:rPr>
        <w:fldChar w:fldCharType="separate"/>
      </w:r>
      <w:r w:rsidR="00C2793E">
        <w:t xml:space="preserve">Table </w:t>
      </w:r>
      <w:r w:rsidR="00C2793E">
        <w:rPr>
          <w:noProof/>
        </w:rPr>
        <w:t>31</w:t>
      </w:r>
      <w:r w:rsidR="00DD42D5">
        <w:rPr>
          <w:rFonts w:ascii="Times New Roman" w:hAnsi="Times New Roman" w:cs="Times New Roman"/>
        </w:rPr>
        <w:fldChar w:fldCharType="end"/>
      </w:r>
      <w:r w:rsidRPr="00975B92">
        <w:rPr>
          <w:rFonts w:ascii="Times New Roman" w:hAnsi="Times New Roman" w:cs="Times New Roman"/>
        </w:rPr>
        <w:t>). Furthermore, the composite reliability (CR) was calculated, which is displayed in</w:t>
      </w:r>
      <w:r w:rsidR="0073736B">
        <w:rPr>
          <w:rFonts w:ascii="Times New Roman" w:hAnsi="Times New Roman" w:cs="Times New Roman"/>
        </w:rPr>
        <w:t xml:space="preserve"> </w:t>
      </w:r>
      <w:r w:rsidR="0073736B">
        <w:rPr>
          <w:rFonts w:ascii="Times New Roman" w:hAnsi="Times New Roman" w:cs="Times New Roman"/>
        </w:rPr>
        <w:fldChar w:fldCharType="begin"/>
      </w:r>
      <w:r w:rsidR="0073736B">
        <w:rPr>
          <w:rFonts w:ascii="Times New Roman" w:hAnsi="Times New Roman" w:cs="Times New Roman"/>
        </w:rPr>
        <w:instrText xml:space="preserve"> REF _Ref358323548 \h </w:instrText>
      </w:r>
      <w:r w:rsidR="0073736B">
        <w:rPr>
          <w:rFonts w:ascii="Times New Roman" w:hAnsi="Times New Roman" w:cs="Times New Roman"/>
        </w:rPr>
      </w:r>
      <w:r w:rsidR="0073736B">
        <w:rPr>
          <w:rFonts w:ascii="Times New Roman" w:hAnsi="Times New Roman" w:cs="Times New Roman"/>
        </w:rPr>
        <w:fldChar w:fldCharType="separate"/>
      </w:r>
      <w:r w:rsidR="00C2793E">
        <w:t xml:space="preserve">Table </w:t>
      </w:r>
      <w:r w:rsidR="00C2793E">
        <w:rPr>
          <w:noProof/>
        </w:rPr>
        <w:t>32</w:t>
      </w:r>
      <w:r w:rsidR="0073736B">
        <w:rPr>
          <w:rFonts w:ascii="Times New Roman" w:hAnsi="Times New Roman" w:cs="Times New Roman"/>
        </w:rPr>
        <w:fldChar w:fldCharType="end"/>
      </w:r>
      <w:r w:rsidRPr="00975B92">
        <w:rPr>
          <w:rFonts w:ascii="Times New Roman" w:hAnsi="Times New Roman" w:cs="Times New Roman"/>
        </w:rPr>
        <w:t>.  The scale items were all greater than .70 suggesting good internal consistency (reliability).</w:t>
      </w:r>
    </w:p>
    <w:p w14:paraId="05A7F6FE" w14:textId="77777777" w:rsidR="00CB019C" w:rsidRPr="00975B92" w:rsidRDefault="00CB019C" w:rsidP="007436E7">
      <w:pPr>
        <w:spacing w:line="480" w:lineRule="auto"/>
        <w:jc w:val="both"/>
        <w:rPr>
          <w:rFonts w:ascii="Times New Roman" w:hAnsi="Times New Roman" w:cs="Times New Roman"/>
        </w:rPr>
      </w:pPr>
    </w:p>
    <w:p w14:paraId="17BB2247" w14:textId="77777777" w:rsidR="00CB019C" w:rsidRPr="00975B92" w:rsidRDefault="00CB019C" w:rsidP="000A6E2C">
      <w:pPr>
        <w:pStyle w:val="Heading4new"/>
      </w:pPr>
      <w:r w:rsidRPr="00975B92">
        <w:t>Convergent Validity</w:t>
      </w:r>
    </w:p>
    <w:p w14:paraId="011EB385"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The measurement items are considered as reflective of their latent construct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"Diamantopoulos", "given" : "Adamantios", "non-dropping-particle" : "", "parse-names" : false, "suffix" : "" }, { "dropping-particle" : "", "family" : "Winklhofer", "given" : "Heidi M", "non-dropping-particle" : "", "parse-names" : false, "suffix" : "" } ], "container-title" : "Journal of Marketing Research", "id" : "ITEM-1", "issue" : "May", "issued" : { "date-parts" : [ [ "2001" ] ] }, "page" : "269-277", "title" : "Index Construction With Formative Indicators: An Alternative to Scale Development", "type" : "article-journal", "volume" : "XXXVIII" }, "uris" : [ "http://www.mendeley.com/documents/?uuid=c9bac79e-772e-4855-8361-fec3c3172fb3" ] } ], "mendeley" : { "formattedCitation" : "(Diamantopoulos &amp; Winklhofer, 2001)", "plainTextFormattedCitation" : "(Diamantopoulos &amp; Winklhofer, 2001)", "previouslyFormattedCitation" : "(Diamantopoulos &amp; Winklhofer, 2001)"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(Diamantopoulos &amp; Winklhofer, 2001)</w:t>
      </w:r>
      <w:r w:rsidRPr="00975B92">
        <w:rPr>
          <w:rFonts w:ascii="Times New Roman" w:hAnsi="Times New Roman" w:cs="Times New Roman"/>
        </w:rPr>
        <w:fldChar w:fldCharType="end"/>
      </w:r>
      <w:r w:rsidRPr="00975B92">
        <w:rPr>
          <w:rFonts w:ascii="Times New Roman" w:hAnsi="Times New Roman" w:cs="Times New Roman"/>
        </w:rPr>
        <w:t xml:space="preserve">. Therefore, each individual item in the scale is reflecting the underlying latent construct, and serves as a different approach to measuring it. Convergent validity assesses the extent to which one measurement item is similar to (converges on) another measurement item to which it theoretically should be similar </w:t>
      </w:r>
      <w:r w:rsidRPr="00975B92">
        <w:rPr>
          <w:rFonts w:ascii="Times New Roman" w:hAnsi="Times New Roman" w:cs="Times New Roman"/>
        </w:rPr>
        <w:lastRenderedPageBreak/>
        <w:fldChar w:fldCharType="begin" w:fldLock="1"/>
      </w:r>
      <w:r w:rsidRPr="00975B92">
        <w:rPr>
          <w:rFonts w:ascii="Times New Roman" w:hAnsi="Times New Roman" w:cs="Times New Roman"/>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"Rolph E", "non-dropping-particle" : "", "parse-names" : false, "suffix" : "" } ], "edition" : "7th", "id" : "ITEM-1", "issued" : { "date-parts" : [ [ "2010" ] ] }, "publisher" : "Pearson Education", "publisher-place" : "Upper Saddle River, NJ", "title" : "Multivariate Data Analysis", "type" : "book" }, "uris" : [ "http://www.mendeley.com/documents/?uuid=85133774-881c-45ab-a721-cedeebec9514" ] } ], "mendeley" : { "formattedCitation" : "(Hair et al., 2010)", "plainTextFormattedCitation" : "(Hair et al., 2010)", "previouslyFormattedCitation" : "(Hair et al.,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(Hair et al., 2010)</w:t>
      </w:r>
      <w:r w:rsidRPr="00975B92">
        <w:rPr>
          <w:rFonts w:ascii="Times New Roman" w:hAnsi="Times New Roman" w:cs="Times New Roman"/>
        </w:rPr>
        <w:fldChar w:fldCharType="end"/>
      </w:r>
      <w:r w:rsidRPr="00975B92">
        <w:rPr>
          <w:rFonts w:ascii="Times New Roman" w:hAnsi="Times New Roman" w:cs="Times New Roman"/>
        </w:rPr>
        <w:t xml:space="preserve">. “Two or more measures of the same thing should covary highly” as valid measures of the same concept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"Bagozzi", "given" : "Richard P", "non-dropping-particle" : "", "parse-names" : false, "suffix" : "" }, { "dropping-particle" : "", "family" : "Yi", "given" : "Youjae", "non-dropping-particle" : "", "parse-names" : false, "suffix" : "" }, { "dropping-particle" : "", "family" : "Phillips", "given" : "Lynn W", "non-dropping-particle" : "", "parse-names" : false, "suffix" : "" } ], "container-title" : "Administrative Science Quarterly", "id" : "ITEM-1", "issued" : { "date-parts" : [ [ "1991" ] ] }, "page" : "421-458", "title" : "Assessing Construct Validity in Organizational Research", "type" : "article-journal", "volume" : "36" }, "locator" : "425", "uris" : [ "http://www.mendeley.com/documents/?uuid=a03a7438-1b87-464d-bee2-23ab4cb5b057" ] } ], "mendeley" : { "formattedCitation" : "(Bagozzi et al., 1991, p. 425)", "plainTextFormattedCitation" : "(Bagozzi et al., 1991, p. 425)", "previouslyFormattedCitation" : "(Bagozzi et al., 1991, p. 425)"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(Bagozzi et al., 1991, p. 425)</w:t>
      </w:r>
      <w:r w:rsidRPr="00975B92">
        <w:rPr>
          <w:rFonts w:ascii="Times New Roman" w:hAnsi="Times New Roman" w:cs="Times New Roman"/>
        </w:rPr>
        <w:fldChar w:fldCharType="end"/>
      </w:r>
      <w:r w:rsidRPr="00975B92">
        <w:rPr>
          <w:rFonts w:ascii="Times New Roman" w:hAnsi="Times New Roman" w:cs="Times New Roman"/>
        </w:rPr>
        <w:t xml:space="preserve">. </w:t>
      </w:r>
    </w:p>
    <w:p w14:paraId="11D9B1DD" w14:textId="1EA1D804"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To assess convergent validity, it is determined if all items are convergent on their respective latent construct, meaning the items share a high proportion of variance in common. An item loading of above .70 has been used as an indication of sufficient convergent validity because the factor is explaining more than half of the variation in the item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"Rolph E", "non-dropping-particle" : "", "parse-names" : false, "suffix" : "" } ], "edition" : "7th", "id" : "ITEM-1", "issued" : { "date-parts" : [ [ "2010" ] ] }, "publisher" : "Pearson Education", "publisher-place" : "Upper Saddle River, NJ", "title" : "Multivariate Data Analysis", "type" : "book" }, "uris" : [ "http://www.mendeley.com/documents/?uuid=85133774-881c-45ab-a721-cedeebec9514" ] } ], "mendeley" : { "formattedCitation" : "(Hair et al., 2010)", "plainTextFormattedCitation" : "(Hair et al., 2010)", "previouslyFormattedCitation" : "(Hair et al., 2010)"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(Hair et al., 2010)</w:t>
      </w:r>
      <w:r w:rsidRPr="00975B92">
        <w:rPr>
          <w:rFonts w:ascii="Times New Roman" w:hAnsi="Times New Roman" w:cs="Times New Roman"/>
        </w:rPr>
        <w:fldChar w:fldCharType="end"/>
      </w:r>
      <w:r w:rsidRPr="00975B92">
        <w:rPr>
          <w:rFonts w:ascii="Times New Roman" w:hAnsi="Times New Roman" w:cs="Times New Roman"/>
        </w:rPr>
        <w:t xml:space="preserve">.  The individual item loadings are all near or above the threshold of 0.70 as displayed in the </w:t>
      </w:r>
      <w:r w:rsidR="00544420" w:rsidRPr="00975B92">
        <w:rPr>
          <w:rFonts w:ascii="Times New Roman" w:hAnsi="Times New Roman" w:cs="Times New Roman"/>
        </w:rPr>
        <w:t>descriptive statistics</w:t>
      </w:r>
      <w:r w:rsidR="00544420">
        <w:rPr>
          <w:rFonts w:ascii="Times New Roman" w:hAnsi="Times New Roman" w:cs="Times New Roman"/>
        </w:rPr>
        <w:t xml:space="preserve"> (</w:t>
      </w:r>
      <w:r w:rsidR="00544420">
        <w:rPr>
          <w:rFonts w:ascii="Times New Roman" w:hAnsi="Times New Roman" w:cs="Times New Roman"/>
        </w:rPr>
        <w:fldChar w:fldCharType="begin"/>
      </w:r>
      <w:r w:rsidR="00544420">
        <w:rPr>
          <w:rFonts w:ascii="Times New Roman" w:hAnsi="Times New Roman" w:cs="Times New Roman"/>
        </w:rPr>
        <w:instrText xml:space="preserve"> REF _Ref358323319 \h </w:instrText>
      </w:r>
      <w:r w:rsidR="00544420">
        <w:rPr>
          <w:rFonts w:ascii="Times New Roman" w:hAnsi="Times New Roman" w:cs="Times New Roman"/>
        </w:rPr>
      </w:r>
      <w:r w:rsidR="00544420">
        <w:rPr>
          <w:rFonts w:ascii="Times New Roman" w:hAnsi="Times New Roman" w:cs="Times New Roman"/>
        </w:rPr>
        <w:fldChar w:fldCharType="separate"/>
      </w:r>
      <w:r w:rsidR="00C2793E">
        <w:t xml:space="preserve">Table </w:t>
      </w:r>
      <w:r w:rsidR="00C2793E">
        <w:rPr>
          <w:noProof/>
        </w:rPr>
        <w:t>29</w:t>
      </w:r>
      <w:r w:rsidR="00544420">
        <w:rPr>
          <w:rFonts w:ascii="Times New Roman" w:hAnsi="Times New Roman" w:cs="Times New Roman"/>
        </w:rPr>
        <w:fldChar w:fldCharType="end"/>
      </w:r>
      <w:r w:rsidR="00544420" w:rsidRPr="00975B92">
        <w:rPr>
          <w:rFonts w:ascii="Times New Roman" w:hAnsi="Times New Roman" w:cs="Times New Roman"/>
        </w:rPr>
        <w:t xml:space="preserve"> </w:t>
      </w:r>
      <w:r w:rsidR="00544420">
        <w:rPr>
          <w:rFonts w:ascii="Times New Roman" w:hAnsi="Times New Roman" w:cs="Times New Roman"/>
        </w:rPr>
        <w:t xml:space="preserve">to </w:t>
      </w:r>
      <w:r w:rsidR="00544420">
        <w:rPr>
          <w:rFonts w:ascii="Times New Roman" w:hAnsi="Times New Roman" w:cs="Times New Roman"/>
        </w:rPr>
        <w:fldChar w:fldCharType="begin"/>
      </w:r>
      <w:r w:rsidR="00544420">
        <w:rPr>
          <w:rFonts w:ascii="Times New Roman" w:hAnsi="Times New Roman" w:cs="Times New Roman"/>
        </w:rPr>
        <w:instrText xml:space="preserve"> REF _Ref358323281 \h </w:instrText>
      </w:r>
      <w:r w:rsidR="00544420">
        <w:rPr>
          <w:rFonts w:ascii="Times New Roman" w:hAnsi="Times New Roman" w:cs="Times New Roman"/>
        </w:rPr>
      </w:r>
      <w:r w:rsidR="00544420">
        <w:rPr>
          <w:rFonts w:ascii="Times New Roman" w:hAnsi="Times New Roman" w:cs="Times New Roman"/>
        </w:rPr>
        <w:fldChar w:fldCharType="separate"/>
      </w:r>
      <w:r w:rsidR="00C2793E">
        <w:t xml:space="preserve">Table </w:t>
      </w:r>
      <w:r w:rsidR="00C2793E">
        <w:rPr>
          <w:noProof/>
        </w:rPr>
        <w:t>31</w:t>
      </w:r>
      <w:r w:rsidR="00544420">
        <w:rPr>
          <w:rFonts w:ascii="Times New Roman" w:hAnsi="Times New Roman" w:cs="Times New Roman"/>
        </w:rPr>
        <w:fldChar w:fldCharType="end"/>
      </w:r>
      <w:r w:rsidR="00544420" w:rsidRPr="00975B92">
        <w:rPr>
          <w:rFonts w:ascii="Times New Roman" w:hAnsi="Times New Roman" w:cs="Times New Roman"/>
        </w:rPr>
        <w:t>).</w:t>
      </w:r>
    </w:p>
    <w:p w14:paraId="678915C5" w14:textId="71516C64"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The average variance extracted (AVE) is calculated for each construct to estimate the level of true variance captured by each latent construct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"10.1108/IJPDLM-10-2015-0246", "ISBN" : "1020150246", "author" : [ { "dropping-particle" : "", "family" : "Riley", "given" : "Jason M", "non-dropping-particle" : "", "parse-names" : false, "suffix" : "" }, { "dropping-particle" : "", "family" : "Klein", "given" : "Richard", "non-dropping-particle" : "", "parse-names" : false, "suffix" : "" }, { "dropping-particle" : "", "family" : "Miller", "given" : "Janis", "non-dropping-particle" : "", "parse-names" : false, "suffix" : "" }, { "dropping-particle" : "", "family" : "Sridharan", "given" : "V.", "non-dropping-particle" : "", "parse-names" : false, "suffix" : "" } ], "container-title" : "International Journal of Physical Distribution &amp; Logistics Management", "id" : "ITEM-1", "issue" : "10", "issued" : { "date-parts" : [ [ "2016" ] ] }, "page" : "953-980", "title" : "How internal integration, information sharing, and training affect supply chain risk management capabilities", "type" : "article-journal", "volume" : "46" }, "uris" : [ "http://www.mendeley.com/documents/?uuid=8693a797-d678-4aef-bbd7-429a4ed6269e" ] } ], "mendeley" : { "formattedCitation" : "(Riley et al., 2016)", "plainTextFormattedCitation" : "(Riley et al., 2016)", "previouslyFormattedCitation" : "(Riley et al., 2016)"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(Riley et al., 2016)</w:t>
      </w:r>
      <w:r w:rsidRPr="00975B92">
        <w:rPr>
          <w:rFonts w:ascii="Times New Roman" w:hAnsi="Times New Roman" w:cs="Times New Roman"/>
        </w:rPr>
        <w:fldChar w:fldCharType="end"/>
      </w:r>
      <w:r w:rsidRPr="00975B92">
        <w:rPr>
          <w:rFonts w:ascii="Times New Roman" w:hAnsi="Times New Roman" w:cs="Times New Roman"/>
        </w:rPr>
        <w:t xml:space="preserve">. An AVE of greater 0.5 is considered as indicative of sufficient convergent validity because the majority of variance is related to its construct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"Fornell", "given" : "Claes", "non-dropping-particle" : "", "parse-names" : false, "suffix" : "" }, { "dropping-particle" : "", "family" : "Larcker", "given" : "David F", "non-dropping-particle" : "", "parse-names" : false, "suffix" : "" } ], "container-title" : "Journal of Marketing Research", "id" : "ITEM-1", "issued" : { "date-parts" : [ [ "1981" ] ] }, "page" : "39-50", "title" : "Evaluating Structural Equation Models with Unobservale Variables and Measurement Error", "type" : "article-journal", "volume" : "XVIII" }, "uris" : [ "http://www.mendeley.com/documents/?uuid=ac3c8dc4-2038-48c0-9f91-ac634e56c4ad" ] } ], "mendeley" : { "formattedCitation" : "(Fornell &amp; Larcker, 1981)", "plainTextFormattedCitation" : "(Fornell &amp; Larcker, 1981)", "previouslyFormattedCitation" : "(Fornell &amp; Larcker, 1981)"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(Fornell &amp; Larcker, 1981)</w:t>
      </w:r>
      <w:r w:rsidRPr="00975B92">
        <w:rPr>
          <w:rFonts w:ascii="Times New Roman" w:hAnsi="Times New Roman" w:cs="Times New Roman"/>
        </w:rPr>
        <w:fldChar w:fldCharType="end"/>
      </w:r>
      <w:r w:rsidRPr="00975B92">
        <w:rPr>
          <w:rFonts w:ascii="Times New Roman" w:hAnsi="Times New Roman" w:cs="Times New Roman"/>
        </w:rPr>
        <w:t xml:space="preserve">. Finally, the good overall model fit of the measurement model indicates convergent validity as well. </w:t>
      </w:r>
      <w:r w:rsidR="0073736B">
        <w:rPr>
          <w:rFonts w:ascii="Times New Roman" w:hAnsi="Times New Roman" w:cs="Times New Roman"/>
        </w:rPr>
        <w:fldChar w:fldCharType="begin"/>
      </w:r>
      <w:r w:rsidR="0073736B">
        <w:rPr>
          <w:rFonts w:ascii="Times New Roman" w:hAnsi="Times New Roman" w:cs="Times New Roman"/>
        </w:rPr>
        <w:instrText xml:space="preserve"> REF _Ref358323548 \h </w:instrText>
      </w:r>
      <w:r w:rsidR="0073736B">
        <w:rPr>
          <w:rFonts w:ascii="Times New Roman" w:hAnsi="Times New Roman" w:cs="Times New Roman"/>
        </w:rPr>
      </w:r>
      <w:r w:rsidR="0073736B">
        <w:rPr>
          <w:rFonts w:ascii="Times New Roman" w:hAnsi="Times New Roman" w:cs="Times New Roman"/>
        </w:rPr>
        <w:fldChar w:fldCharType="separate"/>
      </w:r>
      <w:r w:rsidR="00C2793E">
        <w:t xml:space="preserve">Table </w:t>
      </w:r>
      <w:r w:rsidR="00C2793E">
        <w:rPr>
          <w:noProof/>
        </w:rPr>
        <w:t>32</w:t>
      </w:r>
      <w:r w:rsidR="0073736B">
        <w:rPr>
          <w:rFonts w:ascii="Times New Roman" w:hAnsi="Times New Roman" w:cs="Times New Roman"/>
        </w:rPr>
        <w:fldChar w:fldCharType="end"/>
      </w:r>
      <w:r w:rsidR="0073736B">
        <w:rPr>
          <w:rFonts w:ascii="Times New Roman" w:hAnsi="Times New Roman" w:cs="Times New Roman"/>
        </w:rPr>
        <w:t xml:space="preserve"> </w:t>
      </w:r>
      <w:r w:rsidRPr="00975B92">
        <w:rPr>
          <w:rFonts w:ascii="Times New Roman" w:hAnsi="Times New Roman" w:cs="Times New Roman"/>
        </w:rPr>
        <w:t>summarizes the AVE values for all four latent constructs.</w:t>
      </w:r>
    </w:p>
    <w:p w14:paraId="11150B89" w14:textId="77777777" w:rsidR="00CB019C" w:rsidRPr="00975B92" w:rsidRDefault="00CB019C" w:rsidP="007436E7">
      <w:pPr>
        <w:spacing w:line="480" w:lineRule="auto"/>
        <w:jc w:val="both"/>
        <w:rPr>
          <w:rFonts w:ascii="Times New Roman" w:hAnsi="Times New Roman" w:cs="Times New Roman"/>
        </w:rPr>
      </w:pPr>
    </w:p>
    <w:p w14:paraId="57BEF6A8" w14:textId="67E15894" w:rsidR="00DD42D5" w:rsidRDefault="00DD42D5" w:rsidP="00DD42D5">
      <w:pPr>
        <w:pStyle w:val="Caption"/>
        <w:keepNext/>
        <w:jc w:val="both"/>
      </w:pPr>
      <w:bookmarkStart w:id="144" w:name="_Toc358326868"/>
      <w:bookmarkStart w:id="145" w:name="_Ref358323548"/>
      <w:r>
        <w:t xml:space="preserve">Table </w:t>
      </w:r>
      <w:fldSimple w:instr=" SEQ Table \* ARABIC ">
        <w:r w:rsidR="00C2793E">
          <w:rPr>
            <w:noProof/>
          </w:rPr>
          <w:t>32</w:t>
        </w:r>
        <w:bookmarkEnd w:id="144"/>
      </w:fldSimple>
      <w:bookmarkEnd w:id="145"/>
    </w:p>
    <w:p w14:paraId="6F684435" w14:textId="65C99661"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 xml:space="preserve">CFA (convergent and discriminant validity </w:t>
      </w:r>
      <w:r w:rsidR="00DD42D5">
        <w:rPr>
          <w:rFonts w:ascii="Times New Roman" w:hAnsi="Times New Roman" w:cs="Times New Roman"/>
          <w:b/>
        </w:rPr>
        <w:t>results)</w:t>
      </w:r>
      <w:r w:rsidRPr="00975B92">
        <w:rPr>
          <w:rFonts w:ascii="Times New Roman" w:hAnsi="Times New Roman" w:cs="Times New Roman"/>
          <w:b/>
        </w:rPr>
        <w:t xml:space="preserve">   </w:t>
      </w:r>
    </w:p>
    <w:tbl>
      <w:tblPr>
        <w:tblW w:w="10868" w:type="dxa"/>
        <w:tblLook w:val="04A0" w:firstRow="1" w:lastRow="0" w:firstColumn="1" w:lastColumn="0" w:noHBand="0" w:noVBand="1"/>
      </w:tblPr>
      <w:tblGrid>
        <w:gridCol w:w="988"/>
        <w:gridCol w:w="988"/>
        <w:gridCol w:w="988"/>
        <w:gridCol w:w="988"/>
        <w:gridCol w:w="988"/>
        <w:gridCol w:w="988"/>
        <w:gridCol w:w="988"/>
        <w:gridCol w:w="988"/>
        <w:gridCol w:w="988"/>
        <w:gridCol w:w="988"/>
        <w:gridCol w:w="988"/>
      </w:tblGrid>
      <w:tr w:rsidR="00CB019C" w:rsidRPr="00975B92" w14:paraId="58B59062" w14:textId="77777777" w:rsidTr="00776510">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DA35D"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3C40CEDF"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CR</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1D4D21AC"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AVE</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3311831A"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IP</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41DF3817"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SCRO</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2B779450"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EO</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25817F41"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FP</w:t>
            </w:r>
          </w:p>
        </w:tc>
        <w:tc>
          <w:tcPr>
            <w:tcW w:w="988" w:type="dxa"/>
            <w:tcBorders>
              <w:top w:val="nil"/>
              <w:left w:val="nil"/>
              <w:bottom w:val="nil"/>
              <w:right w:val="nil"/>
            </w:tcBorders>
            <w:shd w:val="clear" w:color="auto" w:fill="auto"/>
            <w:noWrap/>
            <w:vAlign w:val="bottom"/>
            <w:hideMark/>
          </w:tcPr>
          <w:p w14:paraId="73FBB14F" w14:textId="77777777" w:rsidR="00CB019C" w:rsidRPr="00975B92" w:rsidRDefault="00CB019C" w:rsidP="007436E7">
            <w:pPr>
              <w:spacing w:line="480" w:lineRule="auto"/>
              <w:jc w:val="both"/>
              <w:rPr>
                <w:rFonts w:ascii="Times New Roman" w:eastAsia="Times New Roman" w:hAnsi="Times New Roman" w:cs="Times New Roman"/>
                <w:b/>
                <w:bCs/>
                <w:color w:val="000000"/>
              </w:rPr>
            </w:pPr>
          </w:p>
        </w:tc>
        <w:tc>
          <w:tcPr>
            <w:tcW w:w="988" w:type="dxa"/>
            <w:tcBorders>
              <w:top w:val="nil"/>
              <w:left w:val="nil"/>
              <w:bottom w:val="nil"/>
              <w:right w:val="nil"/>
            </w:tcBorders>
            <w:shd w:val="clear" w:color="auto" w:fill="auto"/>
            <w:noWrap/>
            <w:vAlign w:val="bottom"/>
            <w:hideMark/>
          </w:tcPr>
          <w:p w14:paraId="19CE1598"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121F1F4B"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4F004721"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r>
      <w:tr w:rsidR="00CB019C" w:rsidRPr="00975B92" w14:paraId="5679D3A6" w14:textId="77777777" w:rsidTr="00776510">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4870DFCF"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IP</w:t>
            </w:r>
          </w:p>
        </w:tc>
        <w:tc>
          <w:tcPr>
            <w:tcW w:w="988" w:type="dxa"/>
            <w:tcBorders>
              <w:top w:val="nil"/>
              <w:left w:val="nil"/>
              <w:bottom w:val="single" w:sz="4" w:space="0" w:color="auto"/>
              <w:right w:val="single" w:sz="4" w:space="0" w:color="auto"/>
            </w:tcBorders>
            <w:shd w:val="clear" w:color="auto" w:fill="auto"/>
            <w:noWrap/>
            <w:vAlign w:val="bottom"/>
            <w:hideMark/>
          </w:tcPr>
          <w:p w14:paraId="2D46EABB" w14:textId="77777777" w:rsidR="00CB019C" w:rsidRPr="00975B92" w:rsidRDefault="00CB019C" w:rsidP="007436E7">
            <w:pPr>
              <w:spacing w:line="480" w:lineRule="auto"/>
              <w:jc w:val="both"/>
              <w:rPr>
                <w:rFonts w:ascii="Times New Roman" w:eastAsia="Times New Roman" w:hAnsi="Times New Roman" w:cs="Times New Roman"/>
                <w:color w:val="000000"/>
                <w:sz w:val="20"/>
                <w:szCs w:val="22"/>
              </w:rPr>
            </w:pPr>
            <w:r w:rsidRPr="00975B92">
              <w:rPr>
                <w:rFonts w:ascii="Times New Roman" w:eastAsia="Times New Roman" w:hAnsi="Times New Roman" w:cs="Times New Roman"/>
                <w:color w:val="000000"/>
                <w:sz w:val="20"/>
                <w:szCs w:val="22"/>
              </w:rPr>
              <w:t>0.856</w:t>
            </w:r>
          </w:p>
        </w:tc>
        <w:tc>
          <w:tcPr>
            <w:tcW w:w="988" w:type="dxa"/>
            <w:tcBorders>
              <w:top w:val="nil"/>
              <w:left w:val="nil"/>
              <w:bottom w:val="single" w:sz="4" w:space="0" w:color="auto"/>
              <w:right w:val="single" w:sz="4" w:space="0" w:color="auto"/>
            </w:tcBorders>
            <w:shd w:val="clear" w:color="auto" w:fill="auto"/>
            <w:noWrap/>
            <w:vAlign w:val="bottom"/>
            <w:hideMark/>
          </w:tcPr>
          <w:p w14:paraId="14A7DC4E" w14:textId="77777777" w:rsidR="00CB019C" w:rsidRPr="00975B92" w:rsidRDefault="00CB019C" w:rsidP="007436E7">
            <w:pPr>
              <w:spacing w:line="480" w:lineRule="auto"/>
              <w:jc w:val="both"/>
              <w:rPr>
                <w:rFonts w:ascii="Times New Roman" w:eastAsia="Times New Roman" w:hAnsi="Times New Roman" w:cs="Times New Roman"/>
                <w:color w:val="000000"/>
                <w:sz w:val="20"/>
                <w:szCs w:val="22"/>
              </w:rPr>
            </w:pPr>
            <w:r w:rsidRPr="00975B92">
              <w:rPr>
                <w:rFonts w:ascii="Times New Roman" w:eastAsia="Times New Roman" w:hAnsi="Times New Roman" w:cs="Times New Roman"/>
                <w:color w:val="000000"/>
                <w:sz w:val="20"/>
                <w:szCs w:val="22"/>
              </w:rPr>
              <w:t>0.602</w:t>
            </w:r>
          </w:p>
        </w:tc>
        <w:tc>
          <w:tcPr>
            <w:tcW w:w="988" w:type="dxa"/>
            <w:tcBorders>
              <w:top w:val="nil"/>
              <w:left w:val="nil"/>
              <w:bottom w:val="single" w:sz="4" w:space="0" w:color="auto"/>
              <w:right w:val="single" w:sz="4" w:space="0" w:color="auto"/>
            </w:tcBorders>
            <w:shd w:val="clear" w:color="auto" w:fill="auto"/>
            <w:noWrap/>
            <w:vAlign w:val="bottom"/>
            <w:hideMark/>
          </w:tcPr>
          <w:p w14:paraId="06BB640C" w14:textId="77777777" w:rsidR="00CB019C" w:rsidRPr="00975B92" w:rsidRDefault="00CB019C" w:rsidP="007436E7">
            <w:pPr>
              <w:spacing w:line="480" w:lineRule="auto"/>
              <w:jc w:val="both"/>
              <w:rPr>
                <w:rFonts w:ascii="Times New Roman" w:eastAsia="Times New Roman" w:hAnsi="Times New Roman" w:cs="Times New Roman"/>
                <w:b/>
                <w:bCs/>
                <w:color w:val="000000" w:themeColor="text1"/>
                <w:sz w:val="20"/>
                <w:szCs w:val="22"/>
              </w:rPr>
            </w:pPr>
            <w:r w:rsidRPr="00975B92">
              <w:rPr>
                <w:rFonts w:ascii="Times New Roman" w:eastAsia="Times New Roman" w:hAnsi="Times New Roman" w:cs="Times New Roman"/>
                <w:b/>
                <w:bCs/>
                <w:color w:val="000000" w:themeColor="text1"/>
                <w:sz w:val="20"/>
                <w:szCs w:val="22"/>
              </w:rPr>
              <w:t>0.776</w:t>
            </w:r>
          </w:p>
        </w:tc>
        <w:tc>
          <w:tcPr>
            <w:tcW w:w="988" w:type="dxa"/>
            <w:tcBorders>
              <w:top w:val="nil"/>
              <w:left w:val="nil"/>
              <w:bottom w:val="single" w:sz="4" w:space="0" w:color="auto"/>
              <w:right w:val="single" w:sz="4" w:space="0" w:color="auto"/>
            </w:tcBorders>
            <w:shd w:val="clear" w:color="auto" w:fill="auto"/>
            <w:noWrap/>
            <w:vAlign w:val="bottom"/>
            <w:hideMark/>
          </w:tcPr>
          <w:p w14:paraId="5DF9CD51"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p>
        </w:tc>
        <w:tc>
          <w:tcPr>
            <w:tcW w:w="988" w:type="dxa"/>
            <w:tcBorders>
              <w:top w:val="nil"/>
              <w:left w:val="nil"/>
              <w:bottom w:val="single" w:sz="4" w:space="0" w:color="auto"/>
              <w:right w:val="single" w:sz="4" w:space="0" w:color="auto"/>
            </w:tcBorders>
            <w:shd w:val="clear" w:color="auto" w:fill="auto"/>
            <w:noWrap/>
            <w:vAlign w:val="bottom"/>
            <w:hideMark/>
          </w:tcPr>
          <w:p w14:paraId="534675AA"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p>
        </w:tc>
        <w:tc>
          <w:tcPr>
            <w:tcW w:w="988" w:type="dxa"/>
            <w:tcBorders>
              <w:top w:val="nil"/>
              <w:left w:val="nil"/>
              <w:bottom w:val="single" w:sz="4" w:space="0" w:color="auto"/>
              <w:right w:val="single" w:sz="4" w:space="0" w:color="auto"/>
            </w:tcBorders>
            <w:shd w:val="clear" w:color="auto" w:fill="auto"/>
            <w:noWrap/>
            <w:vAlign w:val="bottom"/>
            <w:hideMark/>
          </w:tcPr>
          <w:p w14:paraId="511CE169"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p>
        </w:tc>
        <w:tc>
          <w:tcPr>
            <w:tcW w:w="988" w:type="dxa"/>
            <w:tcBorders>
              <w:top w:val="nil"/>
              <w:left w:val="nil"/>
              <w:bottom w:val="nil"/>
              <w:right w:val="nil"/>
            </w:tcBorders>
            <w:shd w:val="clear" w:color="auto" w:fill="auto"/>
            <w:noWrap/>
            <w:vAlign w:val="bottom"/>
            <w:hideMark/>
          </w:tcPr>
          <w:p w14:paraId="5C004D23" w14:textId="77777777" w:rsidR="00CB019C" w:rsidRPr="00975B92" w:rsidRDefault="00CB019C" w:rsidP="007436E7">
            <w:pPr>
              <w:spacing w:line="480" w:lineRule="auto"/>
              <w:jc w:val="both"/>
              <w:rPr>
                <w:rFonts w:ascii="Times New Roman" w:eastAsia="Times New Roman" w:hAnsi="Times New Roman" w:cs="Times New Roman"/>
                <w:color w:val="000000"/>
              </w:rPr>
            </w:pPr>
          </w:p>
        </w:tc>
        <w:tc>
          <w:tcPr>
            <w:tcW w:w="988" w:type="dxa"/>
            <w:tcBorders>
              <w:top w:val="nil"/>
              <w:left w:val="nil"/>
              <w:bottom w:val="nil"/>
              <w:right w:val="nil"/>
            </w:tcBorders>
            <w:shd w:val="clear" w:color="auto" w:fill="auto"/>
            <w:noWrap/>
            <w:vAlign w:val="bottom"/>
            <w:hideMark/>
          </w:tcPr>
          <w:p w14:paraId="129C294F"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0BE97D44"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17774AB6"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r>
      <w:tr w:rsidR="00CB019C" w:rsidRPr="00975B92" w14:paraId="6A98EDEB" w14:textId="77777777" w:rsidTr="00776510">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AB9759A"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SCRO</w:t>
            </w:r>
          </w:p>
        </w:tc>
        <w:tc>
          <w:tcPr>
            <w:tcW w:w="988" w:type="dxa"/>
            <w:tcBorders>
              <w:top w:val="nil"/>
              <w:left w:val="nil"/>
              <w:bottom w:val="single" w:sz="4" w:space="0" w:color="auto"/>
              <w:right w:val="single" w:sz="4" w:space="0" w:color="auto"/>
            </w:tcBorders>
            <w:shd w:val="clear" w:color="auto" w:fill="auto"/>
            <w:noWrap/>
            <w:vAlign w:val="bottom"/>
            <w:hideMark/>
          </w:tcPr>
          <w:p w14:paraId="57E156CE" w14:textId="77777777" w:rsidR="00CB019C" w:rsidRPr="00975B92" w:rsidRDefault="00CB019C" w:rsidP="007436E7">
            <w:pPr>
              <w:spacing w:line="480" w:lineRule="auto"/>
              <w:jc w:val="both"/>
              <w:rPr>
                <w:rFonts w:ascii="Times New Roman" w:eastAsia="Times New Roman" w:hAnsi="Times New Roman" w:cs="Times New Roman"/>
                <w:color w:val="000000"/>
                <w:sz w:val="20"/>
                <w:szCs w:val="22"/>
              </w:rPr>
            </w:pPr>
            <w:r w:rsidRPr="00975B92">
              <w:rPr>
                <w:rFonts w:ascii="Times New Roman" w:eastAsia="Times New Roman" w:hAnsi="Times New Roman" w:cs="Times New Roman"/>
                <w:color w:val="000000"/>
                <w:sz w:val="20"/>
                <w:szCs w:val="22"/>
              </w:rPr>
              <w:t>0.943</w:t>
            </w:r>
          </w:p>
        </w:tc>
        <w:tc>
          <w:tcPr>
            <w:tcW w:w="988" w:type="dxa"/>
            <w:tcBorders>
              <w:top w:val="nil"/>
              <w:left w:val="nil"/>
              <w:bottom w:val="single" w:sz="4" w:space="0" w:color="auto"/>
              <w:right w:val="single" w:sz="4" w:space="0" w:color="auto"/>
            </w:tcBorders>
            <w:shd w:val="clear" w:color="auto" w:fill="auto"/>
            <w:noWrap/>
            <w:vAlign w:val="bottom"/>
            <w:hideMark/>
          </w:tcPr>
          <w:p w14:paraId="7ACC1013" w14:textId="77777777" w:rsidR="00CB019C" w:rsidRPr="00975B92" w:rsidRDefault="00CB019C" w:rsidP="007436E7">
            <w:pPr>
              <w:spacing w:line="480" w:lineRule="auto"/>
              <w:jc w:val="both"/>
              <w:rPr>
                <w:rFonts w:ascii="Times New Roman" w:eastAsia="Times New Roman" w:hAnsi="Times New Roman" w:cs="Times New Roman"/>
                <w:color w:val="000000"/>
                <w:sz w:val="20"/>
                <w:szCs w:val="22"/>
              </w:rPr>
            </w:pPr>
            <w:r w:rsidRPr="00975B92">
              <w:rPr>
                <w:rFonts w:ascii="Times New Roman" w:eastAsia="Times New Roman" w:hAnsi="Times New Roman" w:cs="Times New Roman"/>
                <w:color w:val="000000"/>
                <w:sz w:val="20"/>
                <w:szCs w:val="22"/>
              </w:rPr>
              <w:t>0.848</w:t>
            </w:r>
          </w:p>
        </w:tc>
        <w:tc>
          <w:tcPr>
            <w:tcW w:w="988" w:type="dxa"/>
            <w:tcBorders>
              <w:top w:val="nil"/>
              <w:left w:val="nil"/>
              <w:bottom w:val="single" w:sz="4" w:space="0" w:color="auto"/>
              <w:right w:val="single" w:sz="4" w:space="0" w:color="auto"/>
            </w:tcBorders>
            <w:shd w:val="clear" w:color="auto" w:fill="auto"/>
            <w:noWrap/>
            <w:vAlign w:val="bottom"/>
            <w:hideMark/>
          </w:tcPr>
          <w:p w14:paraId="019190AF"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r w:rsidRPr="00975B92">
              <w:rPr>
                <w:rFonts w:ascii="Times New Roman" w:eastAsia="Times New Roman" w:hAnsi="Times New Roman" w:cs="Times New Roman"/>
                <w:color w:val="000000" w:themeColor="text1"/>
                <w:sz w:val="20"/>
                <w:szCs w:val="22"/>
              </w:rPr>
              <w:t>0.852</w:t>
            </w:r>
          </w:p>
        </w:tc>
        <w:tc>
          <w:tcPr>
            <w:tcW w:w="988" w:type="dxa"/>
            <w:tcBorders>
              <w:top w:val="nil"/>
              <w:left w:val="nil"/>
              <w:bottom w:val="single" w:sz="4" w:space="0" w:color="auto"/>
              <w:right w:val="single" w:sz="4" w:space="0" w:color="auto"/>
            </w:tcBorders>
            <w:shd w:val="clear" w:color="auto" w:fill="auto"/>
            <w:noWrap/>
            <w:vAlign w:val="bottom"/>
            <w:hideMark/>
          </w:tcPr>
          <w:p w14:paraId="48682CB7" w14:textId="77777777" w:rsidR="00CB019C" w:rsidRPr="00975B92" w:rsidRDefault="00CB019C" w:rsidP="007436E7">
            <w:pPr>
              <w:spacing w:line="480" w:lineRule="auto"/>
              <w:jc w:val="both"/>
              <w:rPr>
                <w:rFonts w:ascii="Times New Roman" w:eastAsia="Times New Roman" w:hAnsi="Times New Roman" w:cs="Times New Roman"/>
                <w:b/>
                <w:bCs/>
                <w:color w:val="000000" w:themeColor="text1"/>
                <w:sz w:val="20"/>
                <w:szCs w:val="22"/>
              </w:rPr>
            </w:pPr>
            <w:r w:rsidRPr="00975B92">
              <w:rPr>
                <w:rFonts w:ascii="Times New Roman" w:eastAsia="Times New Roman" w:hAnsi="Times New Roman" w:cs="Times New Roman"/>
                <w:b/>
                <w:bCs/>
                <w:color w:val="000000" w:themeColor="text1"/>
                <w:sz w:val="20"/>
                <w:szCs w:val="22"/>
              </w:rPr>
              <w:t>0.921</w:t>
            </w:r>
          </w:p>
        </w:tc>
        <w:tc>
          <w:tcPr>
            <w:tcW w:w="988" w:type="dxa"/>
            <w:tcBorders>
              <w:top w:val="nil"/>
              <w:left w:val="nil"/>
              <w:bottom w:val="single" w:sz="4" w:space="0" w:color="auto"/>
              <w:right w:val="single" w:sz="4" w:space="0" w:color="auto"/>
            </w:tcBorders>
            <w:shd w:val="clear" w:color="auto" w:fill="auto"/>
            <w:noWrap/>
            <w:vAlign w:val="bottom"/>
            <w:hideMark/>
          </w:tcPr>
          <w:p w14:paraId="5F884996"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p>
        </w:tc>
        <w:tc>
          <w:tcPr>
            <w:tcW w:w="988" w:type="dxa"/>
            <w:tcBorders>
              <w:top w:val="nil"/>
              <w:left w:val="nil"/>
              <w:bottom w:val="single" w:sz="4" w:space="0" w:color="auto"/>
              <w:right w:val="single" w:sz="4" w:space="0" w:color="auto"/>
            </w:tcBorders>
            <w:shd w:val="clear" w:color="auto" w:fill="auto"/>
            <w:noWrap/>
            <w:vAlign w:val="bottom"/>
            <w:hideMark/>
          </w:tcPr>
          <w:p w14:paraId="0A7BF462"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p>
        </w:tc>
        <w:tc>
          <w:tcPr>
            <w:tcW w:w="988" w:type="dxa"/>
            <w:tcBorders>
              <w:top w:val="nil"/>
              <w:left w:val="nil"/>
              <w:bottom w:val="nil"/>
              <w:right w:val="nil"/>
            </w:tcBorders>
            <w:shd w:val="clear" w:color="auto" w:fill="auto"/>
            <w:noWrap/>
            <w:vAlign w:val="bottom"/>
            <w:hideMark/>
          </w:tcPr>
          <w:p w14:paraId="505B14DD" w14:textId="77777777" w:rsidR="00CB019C" w:rsidRPr="00975B92" w:rsidRDefault="00CB019C" w:rsidP="007436E7">
            <w:pPr>
              <w:spacing w:line="480" w:lineRule="auto"/>
              <w:jc w:val="both"/>
              <w:rPr>
                <w:rFonts w:ascii="Times New Roman" w:eastAsia="Times New Roman" w:hAnsi="Times New Roman" w:cs="Times New Roman"/>
                <w:color w:val="000000"/>
              </w:rPr>
            </w:pPr>
          </w:p>
        </w:tc>
        <w:tc>
          <w:tcPr>
            <w:tcW w:w="988" w:type="dxa"/>
            <w:tcBorders>
              <w:top w:val="nil"/>
              <w:left w:val="nil"/>
              <w:bottom w:val="nil"/>
              <w:right w:val="nil"/>
            </w:tcBorders>
            <w:shd w:val="clear" w:color="auto" w:fill="auto"/>
            <w:noWrap/>
            <w:vAlign w:val="bottom"/>
            <w:hideMark/>
          </w:tcPr>
          <w:p w14:paraId="513C4424"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100EFB76"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29D1A44D"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r>
      <w:tr w:rsidR="00CB019C" w:rsidRPr="00975B92" w14:paraId="51D621D2" w14:textId="77777777" w:rsidTr="00776510">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07EC494F"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EO</w:t>
            </w:r>
          </w:p>
        </w:tc>
        <w:tc>
          <w:tcPr>
            <w:tcW w:w="988" w:type="dxa"/>
            <w:tcBorders>
              <w:top w:val="nil"/>
              <w:left w:val="nil"/>
              <w:bottom w:val="single" w:sz="4" w:space="0" w:color="auto"/>
              <w:right w:val="single" w:sz="4" w:space="0" w:color="auto"/>
            </w:tcBorders>
            <w:shd w:val="clear" w:color="auto" w:fill="auto"/>
            <w:noWrap/>
            <w:vAlign w:val="bottom"/>
            <w:hideMark/>
          </w:tcPr>
          <w:p w14:paraId="0EC5159F" w14:textId="77777777" w:rsidR="00CB019C" w:rsidRPr="00975B92" w:rsidRDefault="00CB019C" w:rsidP="007436E7">
            <w:pPr>
              <w:spacing w:line="480" w:lineRule="auto"/>
              <w:jc w:val="both"/>
              <w:rPr>
                <w:rFonts w:ascii="Times New Roman" w:eastAsia="Times New Roman" w:hAnsi="Times New Roman" w:cs="Times New Roman"/>
                <w:color w:val="000000"/>
                <w:sz w:val="20"/>
                <w:szCs w:val="22"/>
              </w:rPr>
            </w:pPr>
            <w:r w:rsidRPr="00975B92">
              <w:rPr>
                <w:rFonts w:ascii="Times New Roman" w:eastAsia="Times New Roman" w:hAnsi="Times New Roman" w:cs="Times New Roman"/>
                <w:color w:val="000000"/>
                <w:sz w:val="20"/>
                <w:szCs w:val="22"/>
              </w:rPr>
              <w:t>0.919</w:t>
            </w:r>
          </w:p>
        </w:tc>
        <w:tc>
          <w:tcPr>
            <w:tcW w:w="988" w:type="dxa"/>
            <w:tcBorders>
              <w:top w:val="nil"/>
              <w:left w:val="nil"/>
              <w:bottom w:val="single" w:sz="4" w:space="0" w:color="auto"/>
              <w:right w:val="single" w:sz="4" w:space="0" w:color="auto"/>
            </w:tcBorders>
            <w:shd w:val="clear" w:color="auto" w:fill="auto"/>
            <w:noWrap/>
            <w:vAlign w:val="bottom"/>
            <w:hideMark/>
          </w:tcPr>
          <w:p w14:paraId="39DB37E6" w14:textId="77777777" w:rsidR="00CB019C" w:rsidRPr="00975B92" w:rsidRDefault="00CB019C" w:rsidP="007436E7">
            <w:pPr>
              <w:spacing w:line="480" w:lineRule="auto"/>
              <w:jc w:val="both"/>
              <w:rPr>
                <w:rFonts w:ascii="Times New Roman" w:eastAsia="Times New Roman" w:hAnsi="Times New Roman" w:cs="Times New Roman"/>
                <w:color w:val="000000"/>
                <w:sz w:val="20"/>
                <w:szCs w:val="22"/>
              </w:rPr>
            </w:pPr>
            <w:r w:rsidRPr="00975B92">
              <w:rPr>
                <w:rFonts w:ascii="Times New Roman" w:eastAsia="Times New Roman" w:hAnsi="Times New Roman" w:cs="Times New Roman"/>
                <w:color w:val="000000"/>
                <w:sz w:val="20"/>
                <w:szCs w:val="22"/>
              </w:rPr>
              <w:t>0.741</w:t>
            </w:r>
          </w:p>
        </w:tc>
        <w:tc>
          <w:tcPr>
            <w:tcW w:w="988" w:type="dxa"/>
            <w:tcBorders>
              <w:top w:val="nil"/>
              <w:left w:val="nil"/>
              <w:bottom w:val="single" w:sz="4" w:space="0" w:color="auto"/>
              <w:right w:val="single" w:sz="4" w:space="0" w:color="auto"/>
            </w:tcBorders>
            <w:shd w:val="clear" w:color="auto" w:fill="auto"/>
            <w:noWrap/>
            <w:vAlign w:val="bottom"/>
            <w:hideMark/>
          </w:tcPr>
          <w:p w14:paraId="29FC42CE"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r w:rsidRPr="00975B92">
              <w:rPr>
                <w:rFonts w:ascii="Times New Roman" w:eastAsia="Times New Roman" w:hAnsi="Times New Roman" w:cs="Times New Roman"/>
                <w:color w:val="000000" w:themeColor="text1"/>
                <w:sz w:val="20"/>
                <w:szCs w:val="22"/>
              </w:rPr>
              <w:t>0.894</w:t>
            </w:r>
          </w:p>
        </w:tc>
        <w:tc>
          <w:tcPr>
            <w:tcW w:w="988" w:type="dxa"/>
            <w:tcBorders>
              <w:top w:val="nil"/>
              <w:left w:val="nil"/>
              <w:bottom w:val="single" w:sz="4" w:space="0" w:color="auto"/>
              <w:right w:val="single" w:sz="4" w:space="0" w:color="auto"/>
            </w:tcBorders>
            <w:shd w:val="clear" w:color="auto" w:fill="auto"/>
            <w:noWrap/>
            <w:vAlign w:val="bottom"/>
            <w:hideMark/>
          </w:tcPr>
          <w:p w14:paraId="4D9BA0EB"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r w:rsidRPr="00975B92">
              <w:rPr>
                <w:rFonts w:ascii="Times New Roman" w:eastAsia="Times New Roman" w:hAnsi="Times New Roman" w:cs="Times New Roman"/>
                <w:color w:val="000000" w:themeColor="text1"/>
                <w:sz w:val="20"/>
                <w:szCs w:val="22"/>
              </w:rPr>
              <w:t>0.832</w:t>
            </w:r>
          </w:p>
        </w:tc>
        <w:tc>
          <w:tcPr>
            <w:tcW w:w="988" w:type="dxa"/>
            <w:tcBorders>
              <w:top w:val="nil"/>
              <w:left w:val="nil"/>
              <w:bottom w:val="single" w:sz="4" w:space="0" w:color="auto"/>
              <w:right w:val="single" w:sz="4" w:space="0" w:color="auto"/>
            </w:tcBorders>
            <w:shd w:val="clear" w:color="auto" w:fill="auto"/>
            <w:noWrap/>
            <w:vAlign w:val="bottom"/>
            <w:hideMark/>
          </w:tcPr>
          <w:p w14:paraId="6679272B" w14:textId="77777777" w:rsidR="00CB019C" w:rsidRPr="00975B92" w:rsidRDefault="00CB019C" w:rsidP="007436E7">
            <w:pPr>
              <w:spacing w:line="480" w:lineRule="auto"/>
              <w:jc w:val="both"/>
              <w:rPr>
                <w:rFonts w:ascii="Times New Roman" w:eastAsia="Times New Roman" w:hAnsi="Times New Roman" w:cs="Times New Roman"/>
                <w:b/>
                <w:bCs/>
                <w:color w:val="000000" w:themeColor="text1"/>
                <w:sz w:val="20"/>
                <w:szCs w:val="22"/>
              </w:rPr>
            </w:pPr>
            <w:r w:rsidRPr="00975B92">
              <w:rPr>
                <w:rFonts w:ascii="Times New Roman" w:eastAsia="Times New Roman" w:hAnsi="Times New Roman" w:cs="Times New Roman"/>
                <w:b/>
                <w:bCs/>
                <w:color w:val="000000" w:themeColor="text1"/>
                <w:sz w:val="20"/>
                <w:szCs w:val="22"/>
              </w:rPr>
              <w:t>0.861</w:t>
            </w:r>
          </w:p>
        </w:tc>
        <w:tc>
          <w:tcPr>
            <w:tcW w:w="988" w:type="dxa"/>
            <w:tcBorders>
              <w:top w:val="nil"/>
              <w:left w:val="nil"/>
              <w:bottom w:val="single" w:sz="4" w:space="0" w:color="auto"/>
              <w:right w:val="single" w:sz="4" w:space="0" w:color="auto"/>
            </w:tcBorders>
            <w:shd w:val="clear" w:color="auto" w:fill="auto"/>
            <w:noWrap/>
            <w:vAlign w:val="bottom"/>
            <w:hideMark/>
          </w:tcPr>
          <w:p w14:paraId="50E0879E"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p>
        </w:tc>
        <w:tc>
          <w:tcPr>
            <w:tcW w:w="988" w:type="dxa"/>
            <w:tcBorders>
              <w:top w:val="nil"/>
              <w:left w:val="nil"/>
              <w:bottom w:val="nil"/>
              <w:right w:val="nil"/>
            </w:tcBorders>
            <w:shd w:val="clear" w:color="auto" w:fill="auto"/>
            <w:noWrap/>
            <w:vAlign w:val="bottom"/>
            <w:hideMark/>
          </w:tcPr>
          <w:p w14:paraId="50BFA0EC" w14:textId="77777777" w:rsidR="00CB019C" w:rsidRPr="00975B92" w:rsidRDefault="00CB019C" w:rsidP="007436E7">
            <w:pPr>
              <w:spacing w:line="480" w:lineRule="auto"/>
              <w:jc w:val="both"/>
              <w:rPr>
                <w:rFonts w:ascii="Times New Roman" w:eastAsia="Times New Roman" w:hAnsi="Times New Roman" w:cs="Times New Roman"/>
                <w:color w:val="000000"/>
              </w:rPr>
            </w:pPr>
          </w:p>
        </w:tc>
        <w:tc>
          <w:tcPr>
            <w:tcW w:w="988" w:type="dxa"/>
            <w:tcBorders>
              <w:top w:val="nil"/>
              <w:left w:val="nil"/>
              <w:bottom w:val="nil"/>
              <w:right w:val="nil"/>
            </w:tcBorders>
            <w:shd w:val="clear" w:color="auto" w:fill="auto"/>
            <w:noWrap/>
            <w:vAlign w:val="bottom"/>
            <w:hideMark/>
          </w:tcPr>
          <w:p w14:paraId="628D667B"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65A17A56"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7EDF2688"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r>
      <w:tr w:rsidR="00CB019C" w:rsidRPr="00975B92" w14:paraId="67E85DD7" w14:textId="77777777" w:rsidTr="00776510">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EDC5D38" w14:textId="77777777" w:rsidR="00CB019C" w:rsidRPr="00975B92" w:rsidRDefault="00CB019C" w:rsidP="007436E7">
            <w:pPr>
              <w:spacing w:line="480" w:lineRule="auto"/>
              <w:jc w:val="both"/>
              <w:rPr>
                <w:rFonts w:ascii="Times New Roman" w:eastAsia="Times New Roman" w:hAnsi="Times New Roman" w:cs="Times New Roman"/>
                <w:b/>
                <w:bCs/>
                <w:color w:val="000000"/>
                <w:sz w:val="20"/>
                <w:szCs w:val="22"/>
              </w:rPr>
            </w:pPr>
            <w:r w:rsidRPr="00975B92">
              <w:rPr>
                <w:rFonts w:ascii="Times New Roman" w:eastAsia="Times New Roman" w:hAnsi="Times New Roman" w:cs="Times New Roman"/>
                <w:b/>
                <w:bCs/>
                <w:color w:val="000000"/>
                <w:sz w:val="20"/>
                <w:szCs w:val="22"/>
              </w:rPr>
              <w:t>FP</w:t>
            </w:r>
          </w:p>
        </w:tc>
        <w:tc>
          <w:tcPr>
            <w:tcW w:w="988" w:type="dxa"/>
            <w:tcBorders>
              <w:top w:val="nil"/>
              <w:left w:val="nil"/>
              <w:bottom w:val="single" w:sz="4" w:space="0" w:color="auto"/>
              <w:right w:val="single" w:sz="4" w:space="0" w:color="auto"/>
            </w:tcBorders>
            <w:shd w:val="clear" w:color="auto" w:fill="auto"/>
            <w:noWrap/>
            <w:vAlign w:val="bottom"/>
            <w:hideMark/>
          </w:tcPr>
          <w:p w14:paraId="06F0DE5A" w14:textId="77777777" w:rsidR="00CB019C" w:rsidRPr="00975B92" w:rsidRDefault="00CB019C" w:rsidP="007436E7">
            <w:pPr>
              <w:spacing w:line="480" w:lineRule="auto"/>
              <w:jc w:val="both"/>
              <w:rPr>
                <w:rFonts w:ascii="Times New Roman" w:eastAsia="Times New Roman" w:hAnsi="Times New Roman" w:cs="Times New Roman"/>
                <w:color w:val="000000"/>
                <w:sz w:val="20"/>
                <w:szCs w:val="22"/>
              </w:rPr>
            </w:pPr>
            <w:r w:rsidRPr="00975B92">
              <w:rPr>
                <w:rFonts w:ascii="Times New Roman" w:eastAsia="Times New Roman" w:hAnsi="Times New Roman" w:cs="Times New Roman"/>
                <w:color w:val="000000"/>
                <w:sz w:val="20"/>
                <w:szCs w:val="22"/>
              </w:rPr>
              <w:t>0.869</w:t>
            </w:r>
          </w:p>
        </w:tc>
        <w:tc>
          <w:tcPr>
            <w:tcW w:w="988" w:type="dxa"/>
            <w:tcBorders>
              <w:top w:val="nil"/>
              <w:left w:val="nil"/>
              <w:bottom w:val="single" w:sz="4" w:space="0" w:color="auto"/>
              <w:right w:val="single" w:sz="4" w:space="0" w:color="auto"/>
            </w:tcBorders>
            <w:shd w:val="clear" w:color="auto" w:fill="auto"/>
            <w:noWrap/>
            <w:vAlign w:val="bottom"/>
            <w:hideMark/>
          </w:tcPr>
          <w:p w14:paraId="618ECE3A" w14:textId="77777777" w:rsidR="00CB019C" w:rsidRPr="00975B92" w:rsidRDefault="00CB019C" w:rsidP="007436E7">
            <w:pPr>
              <w:spacing w:line="480" w:lineRule="auto"/>
              <w:jc w:val="both"/>
              <w:rPr>
                <w:rFonts w:ascii="Times New Roman" w:eastAsia="Times New Roman" w:hAnsi="Times New Roman" w:cs="Times New Roman"/>
                <w:color w:val="000000"/>
                <w:sz w:val="20"/>
                <w:szCs w:val="22"/>
              </w:rPr>
            </w:pPr>
            <w:r w:rsidRPr="00975B92">
              <w:rPr>
                <w:rFonts w:ascii="Times New Roman" w:eastAsia="Times New Roman" w:hAnsi="Times New Roman" w:cs="Times New Roman"/>
                <w:color w:val="000000"/>
                <w:sz w:val="20"/>
                <w:szCs w:val="22"/>
              </w:rPr>
              <w:t>0.624</w:t>
            </w:r>
          </w:p>
        </w:tc>
        <w:tc>
          <w:tcPr>
            <w:tcW w:w="988" w:type="dxa"/>
            <w:tcBorders>
              <w:top w:val="nil"/>
              <w:left w:val="nil"/>
              <w:bottom w:val="single" w:sz="4" w:space="0" w:color="auto"/>
              <w:right w:val="single" w:sz="4" w:space="0" w:color="auto"/>
            </w:tcBorders>
            <w:shd w:val="clear" w:color="auto" w:fill="auto"/>
            <w:noWrap/>
            <w:vAlign w:val="bottom"/>
            <w:hideMark/>
          </w:tcPr>
          <w:p w14:paraId="3E8A755D"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r w:rsidRPr="00975B92">
              <w:rPr>
                <w:rFonts w:ascii="Times New Roman" w:eastAsia="Times New Roman" w:hAnsi="Times New Roman" w:cs="Times New Roman"/>
                <w:color w:val="000000" w:themeColor="text1"/>
                <w:sz w:val="20"/>
                <w:szCs w:val="22"/>
              </w:rPr>
              <w:t>0.864</w:t>
            </w:r>
          </w:p>
        </w:tc>
        <w:tc>
          <w:tcPr>
            <w:tcW w:w="988" w:type="dxa"/>
            <w:tcBorders>
              <w:top w:val="nil"/>
              <w:left w:val="nil"/>
              <w:bottom w:val="single" w:sz="4" w:space="0" w:color="auto"/>
              <w:right w:val="single" w:sz="4" w:space="0" w:color="auto"/>
            </w:tcBorders>
            <w:shd w:val="clear" w:color="auto" w:fill="auto"/>
            <w:noWrap/>
            <w:vAlign w:val="bottom"/>
            <w:hideMark/>
          </w:tcPr>
          <w:p w14:paraId="60C55902"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r w:rsidRPr="00975B92">
              <w:rPr>
                <w:rFonts w:ascii="Times New Roman" w:eastAsia="Times New Roman" w:hAnsi="Times New Roman" w:cs="Times New Roman"/>
                <w:color w:val="000000" w:themeColor="text1"/>
                <w:sz w:val="20"/>
                <w:szCs w:val="22"/>
              </w:rPr>
              <w:t>0.778</w:t>
            </w:r>
          </w:p>
        </w:tc>
        <w:tc>
          <w:tcPr>
            <w:tcW w:w="988" w:type="dxa"/>
            <w:tcBorders>
              <w:top w:val="nil"/>
              <w:left w:val="nil"/>
              <w:bottom w:val="single" w:sz="4" w:space="0" w:color="auto"/>
              <w:right w:val="single" w:sz="4" w:space="0" w:color="auto"/>
            </w:tcBorders>
            <w:shd w:val="clear" w:color="auto" w:fill="auto"/>
            <w:noWrap/>
            <w:vAlign w:val="bottom"/>
            <w:hideMark/>
          </w:tcPr>
          <w:p w14:paraId="0DF494F8" w14:textId="77777777" w:rsidR="00CB019C" w:rsidRPr="00975B92" w:rsidRDefault="00CB019C" w:rsidP="007436E7">
            <w:pPr>
              <w:spacing w:line="480" w:lineRule="auto"/>
              <w:jc w:val="both"/>
              <w:rPr>
                <w:rFonts w:ascii="Times New Roman" w:eastAsia="Times New Roman" w:hAnsi="Times New Roman" w:cs="Times New Roman"/>
                <w:color w:val="000000" w:themeColor="text1"/>
                <w:sz w:val="20"/>
                <w:szCs w:val="22"/>
              </w:rPr>
            </w:pPr>
            <w:r w:rsidRPr="00975B92">
              <w:rPr>
                <w:rFonts w:ascii="Times New Roman" w:eastAsia="Times New Roman" w:hAnsi="Times New Roman" w:cs="Times New Roman"/>
                <w:color w:val="000000" w:themeColor="text1"/>
                <w:sz w:val="20"/>
                <w:szCs w:val="22"/>
              </w:rPr>
              <w:t>0.814</w:t>
            </w:r>
          </w:p>
        </w:tc>
        <w:tc>
          <w:tcPr>
            <w:tcW w:w="988" w:type="dxa"/>
            <w:tcBorders>
              <w:top w:val="nil"/>
              <w:left w:val="nil"/>
              <w:bottom w:val="single" w:sz="4" w:space="0" w:color="auto"/>
              <w:right w:val="single" w:sz="4" w:space="0" w:color="auto"/>
            </w:tcBorders>
            <w:shd w:val="clear" w:color="auto" w:fill="auto"/>
            <w:noWrap/>
            <w:vAlign w:val="bottom"/>
            <w:hideMark/>
          </w:tcPr>
          <w:p w14:paraId="7B03AF81" w14:textId="77777777" w:rsidR="00CB019C" w:rsidRPr="00975B92" w:rsidRDefault="00CB019C" w:rsidP="007436E7">
            <w:pPr>
              <w:spacing w:line="480" w:lineRule="auto"/>
              <w:jc w:val="both"/>
              <w:rPr>
                <w:rFonts w:ascii="Times New Roman" w:eastAsia="Times New Roman" w:hAnsi="Times New Roman" w:cs="Times New Roman"/>
                <w:b/>
                <w:bCs/>
                <w:color w:val="000000" w:themeColor="text1"/>
                <w:sz w:val="20"/>
                <w:szCs w:val="22"/>
              </w:rPr>
            </w:pPr>
            <w:r w:rsidRPr="00975B92">
              <w:rPr>
                <w:rFonts w:ascii="Times New Roman" w:eastAsia="Times New Roman" w:hAnsi="Times New Roman" w:cs="Times New Roman"/>
                <w:b/>
                <w:bCs/>
                <w:color w:val="000000" w:themeColor="text1"/>
                <w:sz w:val="20"/>
                <w:szCs w:val="22"/>
              </w:rPr>
              <w:t>0.790</w:t>
            </w:r>
          </w:p>
        </w:tc>
        <w:tc>
          <w:tcPr>
            <w:tcW w:w="988" w:type="dxa"/>
            <w:tcBorders>
              <w:top w:val="nil"/>
              <w:left w:val="nil"/>
              <w:bottom w:val="nil"/>
              <w:right w:val="nil"/>
            </w:tcBorders>
            <w:shd w:val="clear" w:color="auto" w:fill="auto"/>
            <w:noWrap/>
            <w:vAlign w:val="bottom"/>
            <w:hideMark/>
          </w:tcPr>
          <w:p w14:paraId="5770D7A8" w14:textId="77777777" w:rsidR="00CB019C" w:rsidRPr="00975B92" w:rsidRDefault="00CB019C" w:rsidP="007436E7">
            <w:pPr>
              <w:spacing w:line="480" w:lineRule="auto"/>
              <w:jc w:val="both"/>
              <w:rPr>
                <w:rFonts w:ascii="Times New Roman" w:eastAsia="Times New Roman" w:hAnsi="Times New Roman" w:cs="Times New Roman"/>
                <w:b/>
                <w:bCs/>
                <w:color w:val="FF0000"/>
              </w:rPr>
            </w:pPr>
          </w:p>
        </w:tc>
        <w:tc>
          <w:tcPr>
            <w:tcW w:w="988" w:type="dxa"/>
            <w:tcBorders>
              <w:top w:val="nil"/>
              <w:left w:val="nil"/>
              <w:bottom w:val="nil"/>
              <w:right w:val="nil"/>
            </w:tcBorders>
            <w:shd w:val="clear" w:color="auto" w:fill="auto"/>
            <w:noWrap/>
            <w:vAlign w:val="bottom"/>
            <w:hideMark/>
          </w:tcPr>
          <w:p w14:paraId="1F0E222C"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7C41B92A"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c>
          <w:tcPr>
            <w:tcW w:w="988" w:type="dxa"/>
            <w:tcBorders>
              <w:top w:val="nil"/>
              <w:left w:val="nil"/>
              <w:bottom w:val="nil"/>
              <w:right w:val="nil"/>
            </w:tcBorders>
            <w:shd w:val="clear" w:color="auto" w:fill="auto"/>
            <w:noWrap/>
            <w:vAlign w:val="bottom"/>
            <w:hideMark/>
          </w:tcPr>
          <w:p w14:paraId="00696F88" w14:textId="77777777" w:rsidR="00CB019C" w:rsidRPr="00975B92" w:rsidRDefault="00CB019C" w:rsidP="007436E7">
            <w:pPr>
              <w:spacing w:line="480" w:lineRule="auto"/>
              <w:jc w:val="both"/>
              <w:rPr>
                <w:rFonts w:ascii="Times New Roman" w:eastAsia="Times New Roman" w:hAnsi="Times New Roman" w:cs="Times New Roman"/>
                <w:sz w:val="20"/>
                <w:szCs w:val="20"/>
              </w:rPr>
            </w:pPr>
          </w:p>
        </w:tc>
      </w:tr>
    </w:tbl>
    <w:p w14:paraId="5864EC1A" w14:textId="77777777" w:rsidR="00CB019C" w:rsidRPr="00975B92" w:rsidRDefault="00CB019C" w:rsidP="007436E7">
      <w:pPr>
        <w:spacing w:line="480" w:lineRule="auto"/>
        <w:jc w:val="both"/>
        <w:rPr>
          <w:rFonts w:ascii="Times New Roman" w:hAnsi="Times New Roman" w:cs="Times New Roman"/>
          <w:sz w:val="18"/>
          <w:szCs w:val="18"/>
        </w:rPr>
      </w:pPr>
      <w:r w:rsidRPr="00975B92">
        <w:rPr>
          <w:rFonts w:ascii="Times New Roman" w:hAnsi="Times New Roman" w:cs="Times New Roman"/>
          <w:sz w:val="18"/>
          <w:szCs w:val="18"/>
        </w:rPr>
        <w:t>(standardized correlations in lower bottom triangle; diagonal: square root of AVE)</w:t>
      </w:r>
    </w:p>
    <w:p w14:paraId="32C2985C" w14:textId="77777777" w:rsidR="00CB019C" w:rsidRPr="00975B92" w:rsidRDefault="00CB019C" w:rsidP="007436E7">
      <w:pPr>
        <w:spacing w:line="480" w:lineRule="auto"/>
        <w:jc w:val="both"/>
        <w:rPr>
          <w:rFonts w:ascii="Times New Roman" w:hAnsi="Times New Roman" w:cs="Times New Roman"/>
        </w:rPr>
      </w:pPr>
    </w:p>
    <w:p w14:paraId="6E5BBF03" w14:textId="77777777" w:rsidR="00CB019C" w:rsidRPr="00975B92" w:rsidRDefault="00CB019C" w:rsidP="007436E7">
      <w:pPr>
        <w:spacing w:line="480" w:lineRule="auto"/>
        <w:jc w:val="both"/>
        <w:rPr>
          <w:rFonts w:ascii="Times New Roman" w:hAnsi="Times New Roman" w:cs="Times New Roman"/>
        </w:rPr>
      </w:pPr>
    </w:p>
    <w:p w14:paraId="50BBBBC4" w14:textId="08F05453"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The values in </w:t>
      </w:r>
      <w:r w:rsidR="007F292D">
        <w:rPr>
          <w:rFonts w:ascii="Times New Roman" w:hAnsi="Times New Roman" w:cs="Times New Roman"/>
        </w:rPr>
        <w:fldChar w:fldCharType="begin"/>
      </w:r>
      <w:r w:rsidR="007F292D">
        <w:rPr>
          <w:rFonts w:ascii="Times New Roman" w:hAnsi="Times New Roman" w:cs="Times New Roman"/>
        </w:rPr>
        <w:instrText xml:space="preserve"> REF _Ref358323548 \h </w:instrText>
      </w:r>
      <w:r w:rsidR="007F292D">
        <w:rPr>
          <w:rFonts w:ascii="Times New Roman" w:hAnsi="Times New Roman" w:cs="Times New Roman"/>
        </w:rPr>
      </w:r>
      <w:r w:rsidR="007F292D">
        <w:rPr>
          <w:rFonts w:ascii="Times New Roman" w:hAnsi="Times New Roman" w:cs="Times New Roman"/>
        </w:rPr>
        <w:fldChar w:fldCharType="separate"/>
      </w:r>
      <w:r w:rsidR="00C2793E">
        <w:t xml:space="preserve">Table </w:t>
      </w:r>
      <w:r w:rsidR="00C2793E">
        <w:rPr>
          <w:noProof/>
        </w:rPr>
        <w:t>32</w:t>
      </w:r>
      <w:r w:rsidR="007F292D">
        <w:rPr>
          <w:rFonts w:ascii="Times New Roman" w:hAnsi="Times New Roman" w:cs="Times New Roman"/>
        </w:rPr>
        <w:fldChar w:fldCharType="end"/>
      </w:r>
      <w:r w:rsidR="007F292D">
        <w:rPr>
          <w:rFonts w:ascii="Times New Roman" w:hAnsi="Times New Roman" w:cs="Times New Roman"/>
        </w:rPr>
        <w:t xml:space="preserve"> </w:t>
      </w:r>
      <w:r w:rsidRPr="00975B92">
        <w:rPr>
          <w:rFonts w:ascii="Times New Roman" w:hAnsi="Times New Roman" w:cs="Times New Roman"/>
        </w:rPr>
        <w:t xml:space="preserve">indicate that all AVE values are above .50 suggesting sufficient convergent validity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"Fornell", "given" : "Claes", "non-dropping-particle" : "", "parse-names" : false, "suffix" : "" }, { "dropping-particle" : "", "family" : "Larcker", "given" : "David F", "non-dropping-particle" : "", "parse-names" : false, "suffix" : "" } ], "container-title" : "Journal of Marketing Research", "id" : "ITEM-1", "issued" : { "date-parts" : [ [ "1981" ] ] }, "page" : "39-50", "title" : "Evaluating Structural Equation Models with Unobservale Variables and Measurement Error", "type" : "article-journal", "volume" : "XVIII" }, "uris" : [ "http://www.mendeley.com/documents/?uuid=ac3c8dc4-2038-48c0-9f91-ac634e56c4ad" ] } ], "mendeley" : { "formattedCitation" : "(Fornell &amp; Larcker, 1981)", "plainTextFormattedCitation" : "(Fornell &amp; Larcker, 1981)", "previouslyFormattedCitation" : "(Fornell &amp; Larcker, 1981)"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(Fornell &amp; Larcker, 1981)</w:t>
      </w:r>
      <w:r w:rsidRPr="00975B92">
        <w:rPr>
          <w:rFonts w:ascii="Times New Roman" w:hAnsi="Times New Roman" w:cs="Times New Roman"/>
        </w:rPr>
        <w:fldChar w:fldCharType="end"/>
      </w:r>
      <w:r w:rsidRPr="00975B92">
        <w:rPr>
          <w:rFonts w:ascii="Times New Roman" w:hAnsi="Times New Roman" w:cs="Times New Roman"/>
        </w:rPr>
        <w:t>.</w:t>
      </w:r>
    </w:p>
    <w:p w14:paraId="4D1F3AC6" w14:textId="77777777" w:rsidR="00CB019C" w:rsidRPr="00975B92" w:rsidRDefault="00CB019C" w:rsidP="007436E7">
      <w:pPr>
        <w:spacing w:line="480" w:lineRule="auto"/>
        <w:jc w:val="both"/>
        <w:rPr>
          <w:rFonts w:ascii="Times New Roman" w:hAnsi="Times New Roman" w:cs="Times New Roman"/>
          <w:b/>
        </w:rPr>
      </w:pPr>
    </w:p>
    <w:p w14:paraId="421E9F56" w14:textId="77777777" w:rsidR="00CB019C" w:rsidRPr="00975B92" w:rsidRDefault="00CB019C" w:rsidP="000A6E2C">
      <w:pPr>
        <w:pStyle w:val="Heading4new"/>
      </w:pPr>
      <w:r w:rsidRPr="00975B92">
        <w:t>Discriminant Validity</w:t>
      </w:r>
    </w:p>
    <w:p w14:paraId="2BD3852E"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Discriminant validity reflects the independence of the measures from each other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"DOI" : "10.1016/j.jom.2005.01.002", "author" : [ { "dropping-particle" : "", "family" : "Li", "given" : "Suhong", "non-dropping-particle" : "", "parse-names" : false, "suffix" : "" }, { "dropping-particle" : "", "family" : "Rao", "given" : "S Subba", "non-dropping-particle" : "", "parse-names" : false, "suffix" : "" }, { "dropping-particle" : "", "family" : "Ragu-Nathan", "given" : "T S", "non-dropping-particle" : "", "parse-names" : false, "suffix" : "" }, { "dropping-particle" : "", "family" : "Ragu-Nathan", "given" : "Bhanu", "non-dropping-particle" : "", "parse-names" : false, "suffix" : "" } ], "container-title" : "Journal of Operations Management", "id" : "ITEM-1", "issued" : { "date-parts" : [ [ "2005" ] ] }, "page" : "618-641", "title" : "Development and validation of a measurement instrument for studying supply chain management practices", "type" : "article-journal", "volume" : "23" }, "uris" : [ "http://www.mendeley.com/documents/?uuid=4674cbd7-3b54-4a13-a106-48b9df0ae2dc" ] } ], "mendeley" : { "formattedCitation" : "(Li et al., 2005)", "plainTextFormattedCitation" : "(Li et al., 2005)", "previouslyFormattedCitation" : "(Li et al., 2005)"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(Li et al., 2005)</w:t>
      </w:r>
      <w:r w:rsidRPr="00975B92">
        <w:rPr>
          <w:rFonts w:ascii="Times New Roman" w:hAnsi="Times New Roman" w:cs="Times New Roman"/>
        </w:rPr>
        <w:fldChar w:fldCharType="end"/>
      </w:r>
      <w:r w:rsidRPr="00975B92">
        <w:rPr>
          <w:rFonts w:ascii="Times New Roman" w:hAnsi="Times New Roman" w:cs="Times New Roman"/>
        </w:rPr>
        <w:t xml:space="preserve">. It is an assessment of the extent to which one measurement item is dissimilar to or diverges from another measurement item to which it theoretically should be distinct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"Peter", "given" : "J Paul", "non-dropping-particle" : "", "parse-names" : false, "suffix" : "" } ], "container-title" : "Journal of Marketing Research", "id" : "ITEM-1", "issued" : { "date-parts" : [ [ "1981" ] ] }, "page" : "133-145", "title" : "Construct Validity: A Review of Basic Issues and Marketing Practices", "type" : "article-journal", "volume" : "XVIII" }, "uris" : [ "http://www.mendeley.com/documents/?uuid=b201717c-264c-4ad7-9120-606529a8d25a" ] } ], "mendeley" : { "formattedCitation" : "(Peter, 1981)", "plainTextFormattedCitation" : "(Peter, 1981)", "previouslyFormattedCitation" : "(Peter, 1981)"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(Peter, 1981)</w:t>
      </w:r>
      <w:r w:rsidRPr="00975B92">
        <w:rPr>
          <w:rFonts w:ascii="Times New Roman" w:hAnsi="Times New Roman" w:cs="Times New Roman"/>
        </w:rPr>
        <w:fldChar w:fldCharType="end"/>
      </w:r>
      <w:r w:rsidRPr="00975B92">
        <w:rPr>
          <w:rFonts w:ascii="Times New Roman" w:hAnsi="Times New Roman" w:cs="Times New Roman"/>
        </w:rPr>
        <w:t xml:space="preserve">. Thereby, discriminant validity is concerned with the uniqueness of the measures in comparison to the other measurement items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"Bagozzi", "given" : "Richard P", "non-dropping-particle" : "", "parse-names" : false, "suffix" : "" }, { "dropping-particle" : "", "family" : "Yi", "given" : "Youjae", "non-dropping-particle" : "", "parse-names" : false, "suffix" : "" }, { "dropping-particle" : "", "family" : "Phillips", "given" : "Lynn W", "non-dropping-particle" : "", "parse-names" : false, "suffix" : "" } ], "container-title" : "Administrative Science Quarterly", "id" : "ITEM-1", "issued" : { "date-parts" : [ [ "1991" ] ] }, "page" : "421-458", "title" : "Assessing Construct Validity in Organizational Research", "type" : "article-journal", "volume" : "36" }, "uris" : [ "http://www.mendeley.com/documents/?uuid=a03a7438-1b87-464d-bee2-23ab4cb5b057" ] } ], "mendeley" : { "formattedCitation" : "(Bagozzi et al., 1991)", "plainTextFormattedCitation" : "(Bagozzi et al., 1991)", "previouslyFormattedCitation" : "(Bagozzi et al., 1991)"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(Bagozzi et al., 1991)</w:t>
      </w:r>
      <w:r w:rsidRPr="00975B92">
        <w:rPr>
          <w:rFonts w:ascii="Times New Roman" w:hAnsi="Times New Roman" w:cs="Times New Roman"/>
        </w:rPr>
        <w:fldChar w:fldCharType="end"/>
      </w:r>
      <w:r w:rsidRPr="00975B92">
        <w:rPr>
          <w:rFonts w:ascii="Times New Roman" w:hAnsi="Times New Roman" w:cs="Times New Roman"/>
        </w:rPr>
        <w:t xml:space="preserve"> and assesses the extent to which the measures for different latent constructs are distinctly different from each other. </w:t>
      </w:r>
    </w:p>
    <w:p w14:paraId="6CA8EE81"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Discriminant validity was first assessed using the average variance extracted method </w:t>
      </w:r>
      <w:r w:rsidRPr="00975B92">
        <w:rPr>
          <w:rFonts w:ascii="Times New Roman" w:hAnsi="Times New Roman" w:cs="Times New Roman"/>
        </w:rPr>
        <w:fldChar w:fldCharType="begin" w:fldLock="1"/>
      </w:r>
      <w:r w:rsidRPr="00975B92">
        <w:rPr>
          <w:rFonts w:ascii="Times New Roman" w:hAnsi="Times New Roman" w:cs="Times New Roman"/>
        </w:rPr>
        <w:instrText>ADDIN CSL_CITATION { "citationItems" : [ { "id" : "ITEM-1", "itemData" : { "author" : [ { "dropping-particle" : "", "family" : "Fornell", "given" : "Claes", "non-dropping-particle" : "", "parse-names" : false, "suffix" : "" }, { "dropping-particle" : "", "family" : "Larcker", "given" : "David F", "non-dropping-particle" : "", "parse-names" : false, "suffix" : "" } ], "container-title" : "Journal of Marketing Research", "id" : "ITEM-1", "issued" : { "date-parts" : [ [ "1981" ] ] }, "page" : "39-50", "title" : "Evaluating Structural Equation Models with Unobservale Variables and Measurement Error", "type" : "article-journal", "volume" : "XVIII" }, "uris" : [ "http://www.mendeley.com/documents/?uuid=ac3c8dc4-2038-48c0-9f91-ac634e56c4ad" ] } ], "mendeley" : { "formattedCitation" : "(Fornell &amp; Larcker, 1981)", "plainTextFormattedCitation" : "(Fornell &amp; Larcker, 1981)", "previouslyFormattedCitation" : "(Fornell &amp; Larcker, 1981)" }, "properties" : { "noteIndex" : 0 }, "schema" : "https://github.com/citation-style-language/schema/raw/master/csl-citation.json" }</w:instrText>
      </w:r>
      <w:r w:rsidRPr="00975B92">
        <w:rPr>
          <w:rFonts w:ascii="Times New Roman" w:hAnsi="Times New Roman" w:cs="Times New Roman"/>
        </w:rPr>
        <w:fldChar w:fldCharType="separate"/>
      </w:r>
      <w:r w:rsidRPr="00975B92">
        <w:rPr>
          <w:rFonts w:ascii="Times New Roman" w:hAnsi="Times New Roman" w:cs="Times New Roman"/>
          <w:noProof/>
        </w:rPr>
        <w:t>(Fornell &amp; Larcker, 1981)</w:t>
      </w:r>
      <w:r w:rsidRPr="00975B92">
        <w:rPr>
          <w:rFonts w:ascii="Times New Roman" w:hAnsi="Times New Roman" w:cs="Times New Roman"/>
        </w:rPr>
        <w:fldChar w:fldCharType="end"/>
      </w:r>
      <w:r w:rsidRPr="00975B92">
        <w:rPr>
          <w:rFonts w:ascii="Times New Roman" w:hAnsi="Times New Roman" w:cs="Times New Roman"/>
        </w:rPr>
        <w:t xml:space="preserve">. It was determined whether the average variance extracted for each pair of constructs was greater than their squared correlation. It was also examined whether any single item loaded more highly on another construct than on the one it was intended to measure. </w:t>
      </w:r>
    </w:p>
    <w:p w14:paraId="27D2BEEE"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The analysis revealed clear indication for discriminant validity of SCRO because the composite reliability (CR) was greater than the AVE and the maximum shared variance (MSV) was less than the AVE. Furthermore, the square root of the AVE was greater than the correlation to the other constructs. Hence, discriminant validity was concluded for SCRO.</w:t>
      </w:r>
    </w:p>
    <w:p w14:paraId="5AF371DF"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However, the indications for EO and the performance constructs was mixed. The CR value was greater than the AVE for all three constructs, but the MSV was not less than the AVE. For EO, the correlation to FP and SCRO was less than the square root of the AVE, as required. However, this was not true for the correlation between EO and IP. A theoretical consideration might explain this result. There is a high correlation between EO and both performance constructs, as it would be conceptually expected. Theoretically, </w:t>
      </w:r>
      <w:r w:rsidRPr="00975B92">
        <w:rPr>
          <w:rFonts w:ascii="Times New Roman" w:hAnsi="Times New Roman" w:cs="Times New Roman"/>
        </w:rPr>
        <w:lastRenderedPageBreak/>
        <w:t>this can be comprehended as innovativeness or proactiveness are dimensions of EO, which are expected to correlate highly with organizational performance. Therefore, the traditional AVE comparison test might not be applicable in this case so that additional discriminant validity tests are performed.</w:t>
      </w:r>
    </w:p>
    <w:p w14:paraId="486467CE"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Following Hair et al. (2010), the discriminant validity of entrepreneurial orientation was assessed by comparing model fit of two alternatives. First, a new model is constructed with all measurement items assigned to only one new combined construct (EO and IP, then EO and FP). Second, the model fit was compared to a 2-construct model. In both model comparisons (IP and FP), the model fit deteriorated for the combined model so that the baseline model with distinct constructs of EO, IP, and FP showed superior model fit. The model fit was significantly different (p &lt; .0001).</w:t>
      </w:r>
    </w:p>
    <w:p w14:paraId="4EEF23F9" w14:textId="2C913E09"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An additional test of discriminant validity was conducted. Innovation and Financial Performance were modeled as first-order constructs of organizational performance. The criteria for discriminant validity were met for the second-order performance construct, with the composite reliability score substantially greater .7 threshold, CR greater than AVE, and the maximum shared variance less than the AVE (</w:t>
      </w:r>
      <w:r w:rsidR="002142A0">
        <w:rPr>
          <w:rFonts w:ascii="Times New Roman" w:hAnsi="Times New Roman" w:cs="Times New Roman"/>
        </w:rPr>
        <w:fldChar w:fldCharType="begin"/>
      </w:r>
      <w:r w:rsidR="002142A0">
        <w:rPr>
          <w:rFonts w:ascii="Times New Roman" w:hAnsi="Times New Roman" w:cs="Times New Roman"/>
        </w:rPr>
        <w:instrText xml:space="preserve"> REF _Ref358323761 \h </w:instrText>
      </w:r>
      <w:r w:rsidR="002142A0">
        <w:rPr>
          <w:rFonts w:ascii="Times New Roman" w:hAnsi="Times New Roman" w:cs="Times New Roman"/>
        </w:rPr>
      </w:r>
      <w:r w:rsidR="002142A0">
        <w:rPr>
          <w:rFonts w:ascii="Times New Roman" w:hAnsi="Times New Roman" w:cs="Times New Roman"/>
        </w:rPr>
        <w:fldChar w:fldCharType="separate"/>
      </w:r>
      <w:r w:rsidR="00C2793E">
        <w:t xml:space="preserve">Table </w:t>
      </w:r>
      <w:r w:rsidR="00C2793E">
        <w:rPr>
          <w:noProof/>
        </w:rPr>
        <w:t>33</w:t>
      </w:r>
      <w:r w:rsidR="002142A0">
        <w:rPr>
          <w:rFonts w:ascii="Times New Roman" w:hAnsi="Times New Roman" w:cs="Times New Roman"/>
        </w:rPr>
        <w:fldChar w:fldCharType="end"/>
      </w:r>
      <w:r w:rsidRPr="00975B92">
        <w:rPr>
          <w:rFonts w:ascii="Times New Roman" w:hAnsi="Times New Roman" w:cs="Times New Roman"/>
        </w:rPr>
        <w:t>).</w:t>
      </w:r>
    </w:p>
    <w:p w14:paraId="4743F501" w14:textId="77777777" w:rsidR="00CB019C" w:rsidRPr="00975B92" w:rsidRDefault="00CB019C" w:rsidP="007436E7">
      <w:pPr>
        <w:spacing w:line="480" w:lineRule="auto"/>
        <w:jc w:val="both"/>
        <w:rPr>
          <w:rFonts w:ascii="Times New Roman" w:hAnsi="Times New Roman" w:cs="Times New Roman"/>
          <w:b/>
        </w:rPr>
      </w:pPr>
    </w:p>
    <w:p w14:paraId="132F1937" w14:textId="754249A5" w:rsidR="002142A0" w:rsidRDefault="002142A0" w:rsidP="002142A0">
      <w:pPr>
        <w:pStyle w:val="Caption"/>
        <w:keepNext/>
        <w:jc w:val="both"/>
      </w:pPr>
      <w:bookmarkStart w:id="146" w:name="_Toc358326869"/>
      <w:bookmarkStart w:id="147" w:name="_Ref358323761"/>
      <w:r>
        <w:t xml:space="preserve">Table </w:t>
      </w:r>
      <w:fldSimple w:instr=" SEQ Table \* ARABIC ">
        <w:r w:rsidR="00C2793E">
          <w:rPr>
            <w:noProof/>
          </w:rPr>
          <w:t>33</w:t>
        </w:r>
        <w:bookmarkEnd w:id="146"/>
      </w:fldSimple>
      <w:bookmarkEnd w:id="147"/>
    </w:p>
    <w:p w14:paraId="151AF045" w14:textId="0B10465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 xml:space="preserve">Discriminant Validity for Second-order Factor of Performance </w:t>
      </w:r>
    </w:p>
    <w:p w14:paraId="458056CA"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noProof/>
        </w:rPr>
        <w:drawing>
          <wp:inline distT="0" distB="0" distL="0" distR="0" wp14:anchorId="416C2DFB" wp14:editId="6E2CC934">
            <wp:extent cx="5484451" cy="914400"/>
            <wp:effectExtent l="0" t="0" r="254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b="16230"/>
                    <a:stretch/>
                  </pic:blipFill>
                  <pic:spPr bwMode="auto">
                    <a:xfrm>
                      <a:off x="0" y="0"/>
                      <a:ext cx="5486400" cy="914725"/>
                    </a:xfrm>
                    <a:prstGeom prst="rect">
                      <a:avLst/>
                    </a:prstGeom>
                    <a:noFill/>
                    <a:ln>
                      <a:noFill/>
                    </a:ln>
                    <a:extLst>
                      <a:ext uri="{53640926-AAD7-44d8-BBD7-CCE9431645EC}">
                        <a14:shadowObscured xmlns:a14="http://schemas.microsoft.com/office/drawing/2010/main"/>
                      </a:ext>
                    </a:extLst>
                  </pic:spPr>
                </pic:pic>
              </a:graphicData>
            </a:graphic>
          </wp:inline>
        </w:drawing>
      </w:r>
    </w:p>
    <w:p w14:paraId="678E6769" w14:textId="77777777" w:rsidR="00CB019C" w:rsidRPr="00975B92" w:rsidRDefault="00CB019C" w:rsidP="007436E7">
      <w:pPr>
        <w:spacing w:line="480" w:lineRule="auto"/>
        <w:jc w:val="both"/>
        <w:rPr>
          <w:rFonts w:ascii="Times New Roman" w:hAnsi="Times New Roman" w:cs="Times New Roman"/>
          <w:sz w:val="18"/>
          <w:szCs w:val="18"/>
        </w:rPr>
      </w:pPr>
      <w:r w:rsidRPr="00975B92">
        <w:rPr>
          <w:rFonts w:ascii="Times New Roman" w:hAnsi="Times New Roman" w:cs="Times New Roman"/>
          <w:sz w:val="18"/>
          <w:szCs w:val="18"/>
        </w:rPr>
        <w:t>(standardized correlations in lower bottom triangle; diagonal: square root of AVE)</w:t>
      </w:r>
    </w:p>
    <w:p w14:paraId="5D2213CA" w14:textId="77777777" w:rsidR="00CB019C" w:rsidRPr="00975B92" w:rsidRDefault="00CB019C" w:rsidP="007436E7">
      <w:pPr>
        <w:spacing w:line="480" w:lineRule="auto"/>
        <w:jc w:val="both"/>
        <w:rPr>
          <w:rFonts w:ascii="Times New Roman" w:hAnsi="Times New Roman" w:cs="Times New Roman"/>
          <w:sz w:val="18"/>
          <w:szCs w:val="18"/>
        </w:rPr>
      </w:pPr>
    </w:p>
    <w:p w14:paraId="7F5E14C1"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lastRenderedPageBreak/>
        <w:t xml:space="preserve">For Perform (second-order construct of first-order IP and FP constructs), the composite reliability (CR) value is greater .7, the CR value is greater than the AVE, and the MSV is less than the AVE. Furthermore the square root of the AVE equals .932, which is greater than the standardized factor correlations with SCRO (.875) and EO (.917). In conclusion, the test of discriminant validity appears to indicate that EO is a unique construct and captures traits that are distinct from the innovation performance and financial performance constructs, so that discriminant validity is suggested for this measurement model. </w:t>
      </w:r>
    </w:p>
    <w:p w14:paraId="574F314A" w14:textId="233A5505"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As a final step of the CFA, the model fit of the entire measurement model was calculated, which showed excellent model fit  (</w:t>
      </w:r>
      <w:r w:rsidR="001679DD">
        <w:rPr>
          <w:rFonts w:ascii="Times New Roman" w:hAnsi="Times New Roman" w:cs="Times New Roman"/>
        </w:rPr>
        <w:t>χ</w:t>
      </w:r>
      <w:r w:rsidR="001679DD" w:rsidRPr="00A26978">
        <w:rPr>
          <w:rFonts w:ascii="Times New Roman" w:hAnsi="Times New Roman" w:cs="Times New Roman"/>
          <w:vertAlign w:val="superscript"/>
        </w:rPr>
        <w:t>2</w:t>
      </w:r>
      <w:r w:rsidRPr="00975B92">
        <w:rPr>
          <w:rFonts w:ascii="Times New Roman" w:hAnsi="Times New Roman" w:cs="Times New Roman"/>
        </w:rPr>
        <w:t xml:space="preserve">= 724.321, df= 477, p&lt; .0001; CFI = .954). It can be concluded that the CFA results show excellent fit between the measurement model and the sample data. Hence, the overall model fit indicates good construct validity as well. </w:t>
      </w:r>
      <w:r w:rsidR="00CC6CD0">
        <w:rPr>
          <w:rFonts w:ascii="Times New Roman" w:hAnsi="Times New Roman" w:cs="Times New Roman"/>
        </w:rPr>
        <w:fldChar w:fldCharType="begin"/>
      </w:r>
      <w:r w:rsidR="00CC6CD0">
        <w:rPr>
          <w:rFonts w:ascii="Times New Roman" w:hAnsi="Times New Roman" w:cs="Times New Roman"/>
        </w:rPr>
        <w:instrText xml:space="preserve"> REF _Ref358323812 \h </w:instrText>
      </w:r>
      <w:r w:rsidR="00CC6CD0">
        <w:rPr>
          <w:rFonts w:ascii="Times New Roman" w:hAnsi="Times New Roman" w:cs="Times New Roman"/>
        </w:rPr>
      </w:r>
      <w:r w:rsidR="00CC6CD0">
        <w:rPr>
          <w:rFonts w:ascii="Times New Roman" w:hAnsi="Times New Roman" w:cs="Times New Roman"/>
        </w:rPr>
        <w:fldChar w:fldCharType="separate"/>
      </w:r>
      <w:r w:rsidR="00C2793E">
        <w:t xml:space="preserve">Table </w:t>
      </w:r>
      <w:r w:rsidR="00C2793E">
        <w:rPr>
          <w:noProof/>
        </w:rPr>
        <w:t>34</w:t>
      </w:r>
      <w:r w:rsidR="00CC6CD0">
        <w:rPr>
          <w:rFonts w:ascii="Times New Roman" w:hAnsi="Times New Roman" w:cs="Times New Roman"/>
        </w:rPr>
        <w:fldChar w:fldCharType="end"/>
      </w:r>
      <w:r w:rsidRPr="00975B92">
        <w:rPr>
          <w:rFonts w:ascii="Times New Roman" w:hAnsi="Times New Roman" w:cs="Times New Roman"/>
        </w:rPr>
        <w:t xml:space="preserve"> su</w:t>
      </w:r>
      <w:r w:rsidR="00CC6CD0">
        <w:rPr>
          <w:rFonts w:ascii="Times New Roman" w:hAnsi="Times New Roman" w:cs="Times New Roman"/>
        </w:rPr>
        <w:t xml:space="preserve">mmarizes </w:t>
      </w:r>
      <w:r w:rsidRPr="00975B92">
        <w:rPr>
          <w:rFonts w:ascii="Times New Roman" w:hAnsi="Times New Roman" w:cs="Times New Roman"/>
        </w:rPr>
        <w:t>the model fit assessment</w:t>
      </w:r>
      <w:r w:rsidR="00CC6CD0">
        <w:rPr>
          <w:rFonts w:ascii="Times New Roman" w:hAnsi="Times New Roman" w:cs="Times New Roman"/>
        </w:rPr>
        <w:t xml:space="preserve"> results</w:t>
      </w:r>
      <w:r w:rsidRPr="00975B92">
        <w:rPr>
          <w:rFonts w:ascii="Times New Roman" w:hAnsi="Times New Roman" w:cs="Times New Roman"/>
        </w:rPr>
        <w:t>.</w:t>
      </w:r>
    </w:p>
    <w:p w14:paraId="756514C1" w14:textId="1C464446" w:rsidR="00CC6CD0" w:rsidRDefault="00CC6CD0" w:rsidP="00CC6CD0">
      <w:pPr>
        <w:pStyle w:val="Caption"/>
        <w:keepNext/>
        <w:jc w:val="both"/>
      </w:pPr>
      <w:bookmarkStart w:id="148" w:name="_Toc358326870"/>
      <w:bookmarkStart w:id="149" w:name="_Ref358323812"/>
      <w:r>
        <w:t xml:space="preserve">Table </w:t>
      </w:r>
      <w:fldSimple w:instr=" SEQ Table \* ARABIC ">
        <w:r w:rsidR="00C2793E">
          <w:rPr>
            <w:noProof/>
          </w:rPr>
          <w:t>34</w:t>
        </w:r>
        <w:bookmarkEnd w:id="148"/>
      </w:fldSimple>
      <w:bookmarkEnd w:id="149"/>
    </w:p>
    <w:p w14:paraId="1422C36B" w14:textId="4EB5E6A1"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Measurement Model Results (CFA)</w:t>
      </w:r>
    </w:p>
    <w:tbl>
      <w:tblPr>
        <w:tblStyle w:val="TableGrid"/>
        <w:tblW w:w="0" w:type="auto"/>
        <w:tblLook w:val="04A0" w:firstRow="1" w:lastRow="0" w:firstColumn="1" w:lastColumn="0" w:noHBand="0" w:noVBand="1"/>
      </w:tblPr>
      <w:tblGrid>
        <w:gridCol w:w="1908"/>
        <w:gridCol w:w="2658"/>
        <w:gridCol w:w="1933"/>
        <w:gridCol w:w="2357"/>
      </w:tblGrid>
      <w:tr w:rsidR="00CB019C" w:rsidRPr="00975B92" w14:paraId="5C6D1A0F" w14:textId="77777777" w:rsidTr="00776510">
        <w:tc>
          <w:tcPr>
            <w:tcW w:w="1908" w:type="dxa"/>
          </w:tcPr>
          <w:p w14:paraId="14AFAA0E" w14:textId="77777777" w:rsidR="00CB019C" w:rsidRPr="00975B92" w:rsidRDefault="00CB019C" w:rsidP="007436E7">
            <w:pPr>
              <w:keepNext/>
              <w:keepLines/>
              <w:spacing w:before="200"/>
              <w:jc w:val="both"/>
              <w:outlineLvl w:val="2"/>
              <w:rPr>
                <w:rFonts w:ascii="Times New Roman" w:hAnsi="Times New Roman" w:cs="Times New Roman"/>
                <w:b/>
              </w:rPr>
            </w:pPr>
            <w:r w:rsidRPr="00975B92">
              <w:rPr>
                <w:rFonts w:ascii="Times New Roman" w:hAnsi="Times New Roman" w:cs="Times New Roman"/>
                <w:b/>
              </w:rPr>
              <w:t>Parameter</w:t>
            </w:r>
          </w:p>
        </w:tc>
        <w:tc>
          <w:tcPr>
            <w:tcW w:w="2658" w:type="dxa"/>
          </w:tcPr>
          <w:p w14:paraId="321B87D2" w14:textId="77777777" w:rsidR="00CB019C" w:rsidRPr="00975B92" w:rsidRDefault="00CB019C" w:rsidP="007436E7">
            <w:pPr>
              <w:jc w:val="both"/>
              <w:rPr>
                <w:rFonts w:ascii="Times New Roman" w:hAnsi="Times New Roman" w:cs="Times New Roman"/>
                <w:b/>
              </w:rPr>
            </w:pPr>
          </w:p>
          <w:p w14:paraId="6536479F"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Result</w:t>
            </w:r>
          </w:p>
        </w:tc>
        <w:tc>
          <w:tcPr>
            <w:tcW w:w="1933" w:type="dxa"/>
          </w:tcPr>
          <w:p w14:paraId="6E6691C6" w14:textId="77777777" w:rsidR="00CB019C" w:rsidRPr="00975B92" w:rsidRDefault="00CB019C" w:rsidP="007436E7">
            <w:pPr>
              <w:jc w:val="both"/>
              <w:rPr>
                <w:rFonts w:ascii="Times New Roman" w:hAnsi="Times New Roman" w:cs="Times New Roman"/>
                <w:b/>
              </w:rPr>
            </w:pPr>
          </w:p>
          <w:p w14:paraId="6FF35229"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Threshold</w:t>
            </w:r>
          </w:p>
        </w:tc>
        <w:tc>
          <w:tcPr>
            <w:tcW w:w="2357" w:type="dxa"/>
          </w:tcPr>
          <w:p w14:paraId="64A3EB33" w14:textId="77777777" w:rsidR="00CB019C" w:rsidRPr="00975B92" w:rsidRDefault="00CB019C" w:rsidP="007436E7">
            <w:pPr>
              <w:jc w:val="both"/>
              <w:rPr>
                <w:rFonts w:ascii="Times New Roman" w:hAnsi="Times New Roman" w:cs="Times New Roman"/>
                <w:b/>
              </w:rPr>
            </w:pPr>
          </w:p>
          <w:p w14:paraId="7F82EA8D"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Conclusion</w:t>
            </w:r>
          </w:p>
        </w:tc>
      </w:tr>
      <w:tr w:rsidR="00CB019C" w:rsidRPr="00975B92" w14:paraId="593A2917" w14:textId="77777777" w:rsidTr="00776510">
        <w:tc>
          <w:tcPr>
            <w:tcW w:w="1908" w:type="dxa"/>
          </w:tcPr>
          <w:p w14:paraId="608D8E95" w14:textId="77D2684F" w:rsidR="00CB019C" w:rsidRPr="00975B92" w:rsidRDefault="001679DD" w:rsidP="007436E7">
            <w:pPr>
              <w:keepNext/>
              <w:keepLines/>
              <w:spacing w:before="200"/>
              <w:jc w:val="both"/>
              <w:outlineLvl w:val="2"/>
              <w:rPr>
                <w:rFonts w:ascii="Times New Roman" w:hAnsi="Times New Roman" w:cs="Times New Roman"/>
              </w:rPr>
            </w:pPr>
            <w:r>
              <w:rPr>
                <w:rFonts w:ascii="Times New Roman" w:hAnsi="Times New Roman" w:cs="Times New Roman"/>
              </w:rPr>
              <w:t>χ</w:t>
            </w:r>
            <w:r w:rsidRPr="00A26978">
              <w:rPr>
                <w:rFonts w:ascii="Times New Roman" w:hAnsi="Times New Roman" w:cs="Times New Roman"/>
                <w:vertAlign w:val="superscript"/>
              </w:rPr>
              <w:t>2</w:t>
            </w:r>
            <w:r w:rsidR="00CB019C" w:rsidRPr="00975B92">
              <w:rPr>
                <w:rFonts w:ascii="Times New Roman" w:hAnsi="Times New Roman" w:cs="Times New Roman"/>
              </w:rPr>
              <w:t>/df</w:t>
            </w:r>
          </w:p>
        </w:tc>
        <w:tc>
          <w:tcPr>
            <w:tcW w:w="2658" w:type="dxa"/>
          </w:tcPr>
          <w:p w14:paraId="31A3E1DE" w14:textId="77777777" w:rsidR="00CB019C" w:rsidRPr="00975B92" w:rsidRDefault="00CB019C" w:rsidP="007436E7">
            <w:pPr>
              <w:jc w:val="both"/>
              <w:rPr>
                <w:rFonts w:ascii="Times New Roman" w:hAnsi="Times New Roman" w:cs="Times New Roman"/>
              </w:rPr>
            </w:pPr>
          </w:p>
          <w:p w14:paraId="771CBF29"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1.518</w:t>
            </w:r>
          </w:p>
        </w:tc>
        <w:tc>
          <w:tcPr>
            <w:tcW w:w="1933" w:type="dxa"/>
          </w:tcPr>
          <w:p w14:paraId="24DE8CF8" w14:textId="77777777" w:rsidR="00CB019C" w:rsidRPr="00975B92" w:rsidRDefault="00CB019C" w:rsidP="007436E7">
            <w:pPr>
              <w:jc w:val="both"/>
              <w:rPr>
                <w:rFonts w:ascii="Times New Roman" w:hAnsi="Times New Roman" w:cs="Times New Roman"/>
              </w:rPr>
            </w:pPr>
          </w:p>
          <w:p w14:paraId="08D2D05A"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&lt;3</w:t>
            </w:r>
          </w:p>
        </w:tc>
        <w:tc>
          <w:tcPr>
            <w:tcW w:w="2357" w:type="dxa"/>
          </w:tcPr>
          <w:p w14:paraId="1A8FC066" w14:textId="77777777" w:rsidR="00CB019C" w:rsidRPr="00975B92" w:rsidRDefault="00CB019C" w:rsidP="007436E7">
            <w:pPr>
              <w:jc w:val="both"/>
              <w:rPr>
                <w:rFonts w:ascii="Times New Roman" w:hAnsi="Times New Roman" w:cs="Times New Roman"/>
              </w:rPr>
            </w:pPr>
          </w:p>
          <w:p w14:paraId="17D4C945"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Valid model</w:t>
            </w:r>
          </w:p>
        </w:tc>
      </w:tr>
      <w:tr w:rsidR="00CB019C" w:rsidRPr="00975B92" w14:paraId="3F5DC345" w14:textId="77777777" w:rsidTr="00776510">
        <w:tc>
          <w:tcPr>
            <w:tcW w:w="1908" w:type="dxa"/>
          </w:tcPr>
          <w:p w14:paraId="27474D12" w14:textId="77777777" w:rsidR="00CB019C" w:rsidRPr="00975B92" w:rsidRDefault="00CB019C" w:rsidP="007436E7">
            <w:pPr>
              <w:keepNext/>
              <w:keepLines/>
              <w:spacing w:before="200"/>
              <w:jc w:val="both"/>
              <w:outlineLvl w:val="2"/>
              <w:rPr>
                <w:rFonts w:ascii="Times New Roman" w:hAnsi="Times New Roman" w:cs="Times New Roman"/>
              </w:rPr>
            </w:pPr>
            <w:r w:rsidRPr="00975B92">
              <w:rPr>
                <w:rFonts w:ascii="Times New Roman" w:hAnsi="Times New Roman" w:cs="Times New Roman"/>
              </w:rPr>
              <w:t>CFI</w:t>
            </w:r>
          </w:p>
        </w:tc>
        <w:tc>
          <w:tcPr>
            <w:tcW w:w="2658" w:type="dxa"/>
          </w:tcPr>
          <w:p w14:paraId="75646CB9" w14:textId="77777777" w:rsidR="00CB019C" w:rsidRPr="00975B92" w:rsidRDefault="00CB019C" w:rsidP="007436E7">
            <w:pPr>
              <w:jc w:val="both"/>
              <w:rPr>
                <w:rFonts w:ascii="Times New Roman" w:hAnsi="Times New Roman" w:cs="Times New Roman"/>
              </w:rPr>
            </w:pPr>
          </w:p>
          <w:p w14:paraId="28ABF676"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.954</w:t>
            </w:r>
          </w:p>
        </w:tc>
        <w:tc>
          <w:tcPr>
            <w:tcW w:w="1933" w:type="dxa"/>
          </w:tcPr>
          <w:p w14:paraId="681ACD14" w14:textId="77777777" w:rsidR="00CB019C" w:rsidRPr="00975B92" w:rsidRDefault="00CB019C" w:rsidP="007436E7">
            <w:pPr>
              <w:jc w:val="both"/>
              <w:rPr>
                <w:rFonts w:ascii="Times New Roman" w:hAnsi="Times New Roman" w:cs="Times New Roman"/>
              </w:rPr>
            </w:pPr>
          </w:p>
          <w:p w14:paraId="673A6BA7"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&gt; .90/.95</w:t>
            </w:r>
          </w:p>
        </w:tc>
        <w:tc>
          <w:tcPr>
            <w:tcW w:w="2357" w:type="dxa"/>
          </w:tcPr>
          <w:p w14:paraId="4740DB61" w14:textId="77777777" w:rsidR="00CB019C" w:rsidRPr="00975B92" w:rsidRDefault="00CB019C" w:rsidP="007436E7">
            <w:pPr>
              <w:jc w:val="both"/>
              <w:rPr>
                <w:rFonts w:ascii="Times New Roman" w:hAnsi="Times New Roman" w:cs="Times New Roman"/>
              </w:rPr>
            </w:pPr>
          </w:p>
          <w:p w14:paraId="1E2CFFCB"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Valid model</w:t>
            </w:r>
          </w:p>
        </w:tc>
      </w:tr>
      <w:tr w:rsidR="00CB019C" w:rsidRPr="00975B92" w14:paraId="00A4DB02" w14:textId="77777777" w:rsidTr="00776510">
        <w:tc>
          <w:tcPr>
            <w:tcW w:w="1908" w:type="dxa"/>
          </w:tcPr>
          <w:p w14:paraId="0B191492" w14:textId="77777777" w:rsidR="00CB019C" w:rsidRPr="00975B92" w:rsidRDefault="00CB019C" w:rsidP="007436E7">
            <w:pPr>
              <w:jc w:val="both"/>
              <w:rPr>
                <w:rFonts w:ascii="Times New Roman" w:hAnsi="Times New Roman" w:cs="Times New Roman"/>
              </w:rPr>
            </w:pPr>
          </w:p>
          <w:p w14:paraId="5C36EB18"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RMSEA</w:t>
            </w:r>
          </w:p>
          <w:p w14:paraId="13D6C00A" w14:textId="77777777" w:rsidR="008929B2" w:rsidRDefault="008929B2" w:rsidP="008929B2">
            <w:pPr>
              <w:keepNext/>
              <w:keepLines/>
              <w:jc w:val="both"/>
              <w:outlineLvl w:val="2"/>
              <w:rPr>
                <w:rFonts w:ascii="Times New Roman" w:hAnsi="Times New Roman" w:cs="Times New Roman"/>
                <w:sz w:val="18"/>
              </w:rPr>
            </w:pPr>
          </w:p>
          <w:p w14:paraId="3DABF58E" w14:textId="77777777" w:rsidR="008929B2" w:rsidRDefault="00CB019C" w:rsidP="008929B2">
            <w:pPr>
              <w:keepNext/>
              <w:keepLines/>
              <w:jc w:val="both"/>
              <w:outlineLvl w:val="2"/>
              <w:rPr>
                <w:rFonts w:ascii="Times New Roman" w:hAnsi="Times New Roman" w:cs="Times New Roman"/>
                <w:sz w:val="18"/>
              </w:rPr>
            </w:pPr>
            <w:r w:rsidRPr="00975B92">
              <w:rPr>
                <w:rFonts w:ascii="Times New Roman" w:hAnsi="Times New Roman" w:cs="Times New Roman"/>
                <w:sz w:val="18"/>
              </w:rPr>
              <w:t xml:space="preserve">90% </w:t>
            </w:r>
          </w:p>
          <w:p w14:paraId="41E5F18D" w14:textId="08F82341" w:rsidR="00CB019C" w:rsidRPr="00975B92" w:rsidRDefault="00CB019C" w:rsidP="008929B2">
            <w:pPr>
              <w:keepNext/>
              <w:keepLines/>
              <w:jc w:val="both"/>
              <w:outlineLvl w:val="2"/>
              <w:rPr>
                <w:rFonts w:ascii="Times New Roman" w:hAnsi="Times New Roman" w:cs="Times New Roman"/>
              </w:rPr>
            </w:pPr>
            <w:r w:rsidRPr="00975B92">
              <w:rPr>
                <w:rFonts w:ascii="Times New Roman" w:hAnsi="Times New Roman" w:cs="Times New Roman"/>
                <w:sz w:val="18"/>
              </w:rPr>
              <w:t>confidence interval:</w:t>
            </w:r>
          </w:p>
        </w:tc>
        <w:tc>
          <w:tcPr>
            <w:tcW w:w="2658" w:type="dxa"/>
          </w:tcPr>
          <w:p w14:paraId="2D709566" w14:textId="77777777" w:rsidR="00CB019C" w:rsidRPr="00975B92" w:rsidRDefault="00CB019C" w:rsidP="007436E7">
            <w:pPr>
              <w:jc w:val="both"/>
              <w:rPr>
                <w:rFonts w:ascii="Times New Roman" w:hAnsi="Times New Roman" w:cs="Times New Roman"/>
              </w:rPr>
            </w:pPr>
          </w:p>
          <w:p w14:paraId="53204877"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.046</w:t>
            </w:r>
          </w:p>
          <w:p w14:paraId="1888D1FA" w14:textId="77777777" w:rsidR="00CB019C" w:rsidRPr="00975B92" w:rsidRDefault="00CB019C" w:rsidP="007436E7">
            <w:pPr>
              <w:jc w:val="both"/>
              <w:rPr>
                <w:rFonts w:ascii="Times New Roman" w:hAnsi="Times New Roman" w:cs="Times New Roman"/>
                <w:sz w:val="22"/>
              </w:rPr>
            </w:pPr>
          </w:p>
          <w:p w14:paraId="53EC2801" w14:textId="77777777" w:rsidR="00CB019C" w:rsidRPr="00975B92" w:rsidRDefault="00CB019C" w:rsidP="007436E7">
            <w:pPr>
              <w:jc w:val="both"/>
              <w:rPr>
                <w:rFonts w:ascii="Times New Roman" w:hAnsi="Times New Roman" w:cs="Times New Roman"/>
                <w:sz w:val="18"/>
              </w:rPr>
            </w:pPr>
            <w:r w:rsidRPr="00975B92">
              <w:rPr>
                <w:rFonts w:ascii="Times New Roman" w:hAnsi="Times New Roman" w:cs="Times New Roman"/>
                <w:sz w:val="18"/>
              </w:rPr>
              <w:t>Low90 = .039</w:t>
            </w:r>
          </w:p>
          <w:p w14:paraId="25C79372"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sz w:val="18"/>
              </w:rPr>
              <w:t>High90 = .053</w:t>
            </w:r>
          </w:p>
        </w:tc>
        <w:tc>
          <w:tcPr>
            <w:tcW w:w="1933" w:type="dxa"/>
          </w:tcPr>
          <w:p w14:paraId="74703129" w14:textId="77777777" w:rsidR="00CB019C" w:rsidRPr="00975B92" w:rsidRDefault="00CB019C" w:rsidP="007436E7">
            <w:pPr>
              <w:jc w:val="both"/>
              <w:rPr>
                <w:rFonts w:ascii="Times New Roman" w:hAnsi="Times New Roman" w:cs="Times New Roman"/>
              </w:rPr>
            </w:pPr>
          </w:p>
          <w:p w14:paraId="0F1AED4E"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&lt; .08</w:t>
            </w:r>
          </w:p>
        </w:tc>
        <w:tc>
          <w:tcPr>
            <w:tcW w:w="2357" w:type="dxa"/>
          </w:tcPr>
          <w:p w14:paraId="170E831C" w14:textId="77777777" w:rsidR="00CB019C" w:rsidRPr="00975B92" w:rsidRDefault="00CB019C" w:rsidP="007436E7">
            <w:pPr>
              <w:jc w:val="both"/>
              <w:rPr>
                <w:rFonts w:ascii="Times New Roman" w:hAnsi="Times New Roman" w:cs="Times New Roman"/>
              </w:rPr>
            </w:pPr>
          </w:p>
          <w:p w14:paraId="22C87E6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Valid model</w:t>
            </w:r>
          </w:p>
        </w:tc>
      </w:tr>
      <w:tr w:rsidR="00CB019C" w:rsidRPr="00975B92" w14:paraId="0628D498" w14:textId="77777777" w:rsidTr="00776510">
        <w:tc>
          <w:tcPr>
            <w:tcW w:w="1908" w:type="dxa"/>
          </w:tcPr>
          <w:p w14:paraId="4F727CB2" w14:textId="77777777" w:rsidR="00CB019C" w:rsidRPr="00975B92" w:rsidRDefault="00CB019C" w:rsidP="007436E7">
            <w:pPr>
              <w:keepNext/>
              <w:keepLines/>
              <w:spacing w:before="200"/>
              <w:jc w:val="both"/>
              <w:outlineLvl w:val="2"/>
              <w:rPr>
                <w:rFonts w:ascii="Times New Roman" w:hAnsi="Times New Roman" w:cs="Times New Roman"/>
              </w:rPr>
            </w:pPr>
            <w:r w:rsidRPr="00975B92">
              <w:rPr>
                <w:rFonts w:ascii="Times New Roman" w:hAnsi="Times New Roman" w:cs="Times New Roman"/>
              </w:rPr>
              <w:t>PCLOSE</w:t>
            </w:r>
          </w:p>
        </w:tc>
        <w:tc>
          <w:tcPr>
            <w:tcW w:w="2658" w:type="dxa"/>
          </w:tcPr>
          <w:p w14:paraId="76268F81" w14:textId="77777777" w:rsidR="00CB019C" w:rsidRPr="00975B92" w:rsidRDefault="00CB019C" w:rsidP="007436E7">
            <w:pPr>
              <w:jc w:val="both"/>
              <w:rPr>
                <w:rFonts w:ascii="Times New Roman" w:hAnsi="Times New Roman" w:cs="Times New Roman"/>
              </w:rPr>
            </w:pPr>
          </w:p>
          <w:p w14:paraId="405C412C"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.841</w:t>
            </w:r>
          </w:p>
        </w:tc>
        <w:tc>
          <w:tcPr>
            <w:tcW w:w="1933" w:type="dxa"/>
          </w:tcPr>
          <w:p w14:paraId="2E3D11D2" w14:textId="77777777" w:rsidR="00CB019C" w:rsidRPr="00975B92" w:rsidRDefault="00CB019C" w:rsidP="007436E7">
            <w:pPr>
              <w:jc w:val="both"/>
              <w:rPr>
                <w:rFonts w:ascii="Times New Roman" w:hAnsi="Times New Roman" w:cs="Times New Roman"/>
              </w:rPr>
            </w:pPr>
          </w:p>
          <w:p w14:paraId="77E18126"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&gt; .05</w:t>
            </w:r>
          </w:p>
        </w:tc>
        <w:tc>
          <w:tcPr>
            <w:tcW w:w="2357" w:type="dxa"/>
          </w:tcPr>
          <w:p w14:paraId="2124832C" w14:textId="77777777" w:rsidR="00CB019C" w:rsidRPr="00975B92" w:rsidRDefault="00CB019C" w:rsidP="007436E7">
            <w:pPr>
              <w:jc w:val="both"/>
              <w:rPr>
                <w:rFonts w:ascii="Times New Roman" w:hAnsi="Times New Roman" w:cs="Times New Roman"/>
              </w:rPr>
            </w:pPr>
          </w:p>
          <w:p w14:paraId="10C8E5E9"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Valid model</w:t>
            </w:r>
          </w:p>
        </w:tc>
      </w:tr>
    </w:tbl>
    <w:p w14:paraId="6770807E" w14:textId="77777777" w:rsidR="00CB019C" w:rsidRPr="00975B92" w:rsidRDefault="00CB019C" w:rsidP="007436E7">
      <w:pPr>
        <w:spacing w:line="480" w:lineRule="auto"/>
        <w:jc w:val="both"/>
        <w:rPr>
          <w:rFonts w:ascii="Times New Roman" w:hAnsi="Times New Roman" w:cs="Times New Roman"/>
          <w:b/>
        </w:rPr>
      </w:pPr>
      <w:r w:rsidRPr="00975B92">
        <w:rPr>
          <w:rFonts w:ascii="Times New Roman" w:hAnsi="Times New Roman" w:cs="Times New Roman"/>
          <w:b/>
        </w:rPr>
        <w:t xml:space="preserve"> </w:t>
      </w:r>
    </w:p>
    <w:p w14:paraId="61FE413B" w14:textId="77777777" w:rsidR="00CB019C" w:rsidRPr="00975B92" w:rsidRDefault="00CB019C" w:rsidP="000A6E2C">
      <w:pPr>
        <w:pStyle w:val="Heading3new"/>
      </w:pPr>
      <w:r w:rsidRPr="00975B92">
        <w:t xml:space="preserve">Cook’s Distance </w:t>
      </w:r>
    </w:p>
    <w:p w14:paraId="72195E01" w14:textId="0E6F574C"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Finally, a test of cook’s distance was performed to determine the existence of any extreme cases, which significantly influence the model’s findings. Any cases with a </w:t>
      </w:r>
      <w:r w:rsidRPr="00975B92">
        <w:rPr>
          <w:rFonts w:ascii="Times New Roman" w:hAnsi="Times New Roman" w:cs="Times New Roman"/>
        </w:rPr>
        <w:lastRenderedPageBreak/>
        <w:t xml:space="preserve">distance above </w:t>
      </w:r>
      <w:r w:rsidR="001679DD">
        <w:rPr>
          <w:rFonts w:ascii="Times New Roman" w:hAnsi="Times New Roman" w:cs="Times New Roman"/>
        </w:rPr>
        <w:t xml:space="preserve">d= </w:t>
      </w:r>
      <w:r w:rsidRPr="00975B92">
        <w:rPr>
          <w:rFonts w:ascii="Times New Roman" w:hAnsi="Times New Roman" w:cs="Times New Roman"/>
        </w:rPr>
        <w:t xml:space="preserve">1.0 would be considered as influential outliers. The test was conducted for SCRO and EO. However, no anomaly was found in the dataset. The maximum distance was around </w:t>
      </w:r>
      <w:r w:rsidR="001679DD">
        <w:rPr>
          <w:rFonts w:ascii="Times New Roman" w:hAnsi="Times New Roman" w:cs="Times New Roman"/>
        </w:rPr>
        <w:t xml:space="preserve">d= </w:t>
      </w:r>
      <w:r w:rsidRPr="00975B92">
        <w:rPr>
          <w:rFonts w:ascii="Times New Roman" w:hAnsi="Times New Roman" w:cs="Times New Roman"/>
        </w:rPr>
        <w:t xml:space="preserve">0.35 for SCRO and below </w:t>
      </w:r>
      <w:r w:rsidR="001679DD">
        <w:rPr>
          <w:rFonts w:ascii="Times New Roman" w:hAnsi="Times New Roman" w:cs="Times New Roman"/>
        </w:rPr>
        <w:t xml:space="preserve">d= </w:t>
      </w:r>
      <w:r w:rsidRPr="00975B92">
        <w:rPr>
          <w:rFonts w:ascii="Times New Roman" w:hAnsi="Times New Roman" w:cs="Times New Roman"/>
        </w:rPr>
        <w:t xml:space="preserve">.12 for EO so that all cases were kept in the sample. The multivariate normality was verified with the final measurement model. To conclude: In no cases did a respondent exhibit a high influence on the analysis results (no respondent was an influential outlier) because Cook’s Distance values were below </w:t>
      </w:r>
      <w:r w:rsidR="001679DD">
        <w:rPr>
          <w:rFonts w:ascii="Times New Roman" w:hAnsi="Times New Roman" w:cs="Times New Roman"/>
        </w:rPr>
        <w:t xml:space="preserve">d= </w:t>
      </w:r>
      <w:r w:rsidRPr="00975B92">
        <w:rPr>
          <w:rFonts w:ascii="Times New Roman" w:hAnsi="Times New Roman" w:cs="Times New Roman"/>
        </w:rPr>
        <w:t xml:space="preserve">.35. </w:t>
      </w:r>
      <w:r w:rsidR="004971EE">
        <w:rPr>
          <w:rFonts w:ascii="Times New Roman" w:hAnsi="Times New Roman" w:cs="Times New Roman"/>
        </w:rPr>
        <w:fldChar w:fldCharType="begin"/>
      </w:r>
      <w:r w:rsidR="004971EE">
        <w:rPr>
          <w:rFonts w:ascii="Times New Roman" w:hAnsi="Times New Roman" w:cs="Times New Roman"/>
        </w:rPr>
        <w:instrText xml:space="preserve"> REF _Ref358323951 \h </w:instrText>
      </w:r>
      <w:r w:rsidR="004971EE">
        <w:rPr>
          <w:rFonts w:ascii="Times New Roman" w:hAnsi="Times New Roman" w:cs="Times New Roman"/>
        </w:rPr>
      </w:r>
      <w:r w:rsidR="004971EE">
        <w:rPr>
          <w:rFonts w:ascii="Times New Roman" w:hAnsi="Times New Roman" w:cs="Times New Roman"/>
        </w:rPr>
        <w:fldChar w:fldCharType="separate"/>
      </w:r>
      <w:r w:rsidR="00C2793E">
        <w:t xml:space="preserve">Figure </w:t>
      </w:r>
      <w:r w:rsidR="00C2793E">
        <w:rPr>
          <w:noProof/>
        </w:rPr>
        <w:t>9</w:t>
      </w:r>
      <w:r w:rsidR="004971EE">
        <w:rPr>
          <w:rFonts w:ascii="Times New Roman" w:hAnsi="Times New Roman" w:cs="Times New Roman"/>
        </w:rPr>
        <w:fldChar w:fldCharType="end"/>
      </w:r>
      <w:r w:rsidR="004971EE">
        <w:rPr>
          <w:rFonts w:ascii="Times New Roman" w:hAnsi="Times New Roman" w:cs="Times New Roman"/>
        </w:rPr>
        <w:t xml:space="preserve"> </w:t>
      </w:r>
      <w:r w:rsidRPr="00975B92">
        <w:rPr>
          <w:rFonts w:ascii="Times New Roman" w:hAnsi="Times New Roman" w:cs="Times New Roman"/>
        </w:rPr>
        <w:t>displays the Cook’s Distance calculation for EO.</w:t>
      </w:r>
    </w:p>
    <w:p w14:paraId="523849F1" w14:textId="77777777" w:rsidR="00CB019C" w:rsidRPr="00975B92" w:rsidRDefault="00CB019C" w:rsidP="007436E7">
      <w:pPr>
        <w:spacing w:line="480" w:lineRule="auto"/>
        <w:jc w:val="both"/>
        <w:rPr>
          <w:rFonts w:ascii="Times New Roman" w:hAnsi="Times New Roman" w:cs="Times New Roman"/>
        </w:rPr>
      </w:pPr>
    </w:p>
    <w:p w14:paraId="54798CE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noProof/>
        </w:rPr>
        <w:drawing>
          <wp:inline distT="0" distB="0" distL="0" distR="0" wp14:anchorId="472FB39F" wp14:editId="0C0AAB9D">
            <wp:extent cx="4763386" cy="381681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767509" cy="3820119"/>
                    </a:xfrm>
                    <a:prstGeom prst="rect">
                      <a:avLst/>
                    </a:prstGeom>
                  </pic:spPr>
                </pic:pic>
              </a:graphicData>
            </a:graphic>
          </wp:inline>
        </w:drawing>
      </w:r>
    </w:p>
    <w:p w14:paraId="49A2CC9F" w14:textId="7B95534B" w:rsidR="009F0CDA" w:rsidRDefault="009F0CDA" w:rsidP="009F0CDA">
      <w:pPr>
        <w:pStyle w:val="Caption"/>
        <w:keepNext/>
        <w:jc w:val="both"/>
      </w:pPr>
      <w:bookmarkStart w:id="150" w:name="_Ref358323951"/>
      <w:bookmarkStart w:id="151" w:name="_Toc358326883"/>
      <w:r>
        <w:t xml:space="preserve">Figure </w:t>
      </w:r>
      <w:fldSimple w:instr=" SEQ Figure \* ARABIC ">
        <w:r w:rsidR="00C2793E">
          <w:rPr>
            <w:noProof/>
          </w:rPr>
          <w:t>9</w:t>
        </w:r>
      </w:fldSimple>
      <w:bookmarkEnd w:id="150"/>
      <w:r>
        <w:t xml:space="preserve">: </w:t>
      </w:r>
      <w:r w:rsidRPr="00975B92">
        <w:rPr>
          <w:rFonts w:cs="Times New Roman"/>
        </w:rPr>
        <w:t>Cook’s Distance Calculation for EO</w:t>
      </w:r>
      <w:bookmarkEnd w:id="151"/>
    </w:p>
    <w:p w14:paraId="612C0B55" w14:textId="77777777" w:rsidR="00CB019C" w:rsidRPr="00975B92" w:rsidRDefault="00CB019C" w:rsidP="007436E7">
      <w:pPr>
        <w:spacing w:line="480" w:lineRule="auto"/>
        <w:jc w:val="both"/>
        <w:rPr>
          <w:rFonts w:ascii="Times New Roman" w:hAnsi="Times New Roman" w:cs="Times New Roman"/>
        </w:rPr>
      </w:pPr>
    </w:p>
    <w:p w14:paraId="49482D84" w14:textId="77777777" w:rsidR="00CB019C" w:rsidRPr="00975B92" w:rsidRDefault="00CB019C" w:rsidP="007436E7">
      <w:pPr>
        <w:spacing w:line="480" w:lineRule="auto"/>
        <w:jc w:val="both"/>
        <w:rPr>
          <w:rFonts w:ascii="Times New Roman" w:hAnsi="Times New Roman" w:cs="Times New Roman"/>
        </w:rPr>
      </w:pPr>
    </w:p>
    <w:p w14:paraId="71070D12" w14:textId="77777777" w:rsidR="00CB019C" w:rsidRPr="00975B92" w:rsidRDefault="00CB019C" w:rsidP="000A6E2C">
      <w:pPr>
        <w:pStyle w:val="Heading2"/>
      </w:pPr>
      <w:bookmarkStart w:id="152" w:name="_Toc358326745"/>
      <w:r w:rsidRPr="00975B92">
        <w:t>Structural Model Analysis and Hypothesis Testing</w:t>
      </w:r>
      <w:bookmarkEnd w:id="152"/>
    </w:p>
    <w:p w14:paraId="368D6FDD" w14:textId="24768BB6" w:rsidR="00CB019C" w:rsidRPr="00975B92" w:rsidRDefault="000A6E2C" w:rsidP="000A6E2C">
      <w:pPr>
        <w:pStyle w:val="Heading3new"/>
      </w:pPr>
      <w:r>
        <w:t>Multi-C</w:t>
      </w:r>
      <w:r w:rsidR="00CB019C" w:rsidRPr="00975B92">
        <w:t>ollinearity Analysis</w:t>
      </w:r>
    </w:p>
    <w:p w14:paraId="6B0942BB" w14:textId="44F62BD1"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lastRenderedPageBreak/>
        <w:t xml:space="preserve">Initially, a multi-collinearity analysis was performed involving only the second-order predictors (SCRO, EO) and the dependent variables Innovation Performance (IP) and Financial Performance (FP). The multi collinearity test was run in SPSS with EO and SCRO (second-order constructs) and with three control variables for both IP and FP. The imputed factor scores (derived through AMOS program) were used (weighted average of all cases for each latent variable). Conclusion: All variance inflation factors (VIF) were below the </w:t>
      </w:r>
      <w:r w:rsidRPr="00975B92">
        <w:rPr>
          <w:rFonts w:ascii="Times New Roman" w:hAnsi="Times New Roman" w:cs="Times New Roman"/>
          <w:b/>
        </w:rPr>
        <w:t xml:space="preserve">VIF= 5 threshold </w:t>
      </w:r>
      <w:r w:rsidRPr="00975B92">
        <w:rPr>
          <w:rFonts w:ascii="Times New Roman" w:hAnsi="Times New Roman" w:cs="Times New Roman"/>
          <w:b/>
        </w:rPr>
        <w:fldChar w:fldCharType="begin" w:fldLock="1"/>
      </w:r>
      <w:r w:rsidRPr="00975B92">
        <w:rPr>
          <w:rFonts w:ascii="Times New Roman" w:hAnsi="Times New Roman" w:cs="Times New Roman"/>
          <w:b/>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"Rolph E", "non-dropping-particle" : "", "parse-names" : false, "suffix" : "" } ], "edition" : "7th", "id" : "ITEM-1", "issued" : { "date-parts" : [ [ "2010" ] ] }, "publisher" : "Pearson Education", "publisher-place" : "Upper Saddle River, NJ", "title" : "Multivariate Data Analysis", "type" : "book" }, "uris" : [ "http://www.mendeley.com/documents/?uuid=85133774-881c-45ab-a721-cedeebec9514" ] } ], "mendeley" : { "formattedCitation" : "(Hair et al., 2010)", "plainTextFormattedCitation" : "(Hair et al., 2010)", "previouslyFormattedCitation" : "(Hair et al., 2010)" }, "properties" : { "noteIndex" : 0 }, "schema" : "https://github.com/citation-style-language/schema/raw/master/csl-citation.json" }</w:instrText>
      </w:r>
      <w:r w:rsidRPr="00975B92">
        <w:rPr>
          <w:rFonts w:ascii="Times New Roman" w:hAnsi="Times New Roman" w:cs="Times New Roman"/>
          <w:b/>
        </w:rPr>
        <w:fldChar w:fldCharType="separate"/>
      </w:r>
      <w:r w:rsidRPr="00975B92">
        <w:rPr>
          <w:rFonts w:ascii="Times New Roman" w:hAnsi="Times New Roman" w:cs="Times New Roman"/>
          <w:noProof/>
        </w:rPr>
        <w:t>(Hair et al., 2010)</w:t>
      </w:r>
      <w:r w:rsidRPr="00975B92">
        <w:rPr>
          <w:rFonts w:ascii="Times New Roman" w:hAnsi="Times New Roman" w:cs="Times New Roman"/>
          <w:b/>
        </w:rPr>
        <w:fldChar w:fldCharType="end"/>
      </w:r>
      <w:r w:rsidRPr="00975B92">
        <w:rPr>
          <w:rFonts w:ascii="Times New Roman" w:hAnsi="Times New Roman" w:cs="Times New Roman"/>
          <w:b/>
        </w:rPr>
        <w:t>.</w:t>
      </w:r>
      <w:r w:rsidRPr="00975B92">
        <w:rPr>
          <w:rFonts w:ascii="Times New Roman" w:hAnsi="Times New Roman" w:cs="Times New Roman"/>
        </w:rPr>
        <w:t xml:space="preserve"> The VIF values were identical for IP and FP (</w:t>
      </w:r>
      <w:r w:rsidR="002C6331">
        <w:rPr>
          <w:rFonts w:ascii="Times New Roman" w:hAnsi="Times New Roman" w:cs="Times New Roman"/>
        </w:rPr>
        <w:fldChar w:fldCharType="begin"/>
      </w:r>
      <w:r w:rsidR="002C6331">
        <w:rPr>
          <w:rFonts w:ascii="Times New Roman" w:hAnsi="Times New Roman" w:cs="Times New Roman"/>
        </w:rPr>
        <w:instrText xml:space="preserve"> REF _Ref358324039 \h </w:instrText>
      </w:r>
      <w:r w:rsidR="002C6331">
        <w:rPr>
          <w:rFonts w:ascii="Times New Roman" w:hAnsi="Times New Roman" w:cs="Times New Roman"/>
        </w:rPr>
      </w:r>
      <w:r w:rsidR="002C6331">
        <w:rPr>
          <w:rFonts w:ascii="Times New Roman" w:hAnsi="Times New Roman" w:cs="Times New Roman"/>
        </w:rPr>
        <w:fldChar w:fldCharType="separate"/>
      </w:r>
      <w:r w:rsidR="00C2793E">
        <w:t xml:space="preserve">Table </w:t>
      </w:r>
      <w:r w:rsidR="00C2793E">
        <w:rPr>
          <w:noProof/>
        </w:rPr>
        <w:t>35</w:t>
      </w:r>
      <w:r w:rsidR="002C6331">
        <w:rPr>
          <w:rFonts w:ascii="Times New Roman" w:hAnsi="Times New Roman" w:cs="Times New Roman"/>
        </w:rPr>
        <w:fldChar w:fldCharType="end"/>
      </w:r>
      <w:r w:rsidRPr="00975B92">
        <w:rPr>
          <w:rFonts w:ascii="Times New Roman" w:hAnsi="Times New Roman" w:cs="Times New Roman"/>
        </w:rPr>
        <w:t>).</w:t>
      </w:r>
    </w:p>
    <w:p w14:paraId="5D51EAC8" w14:textId="77777777" w:rsidR="00CB019C" w:rsidRPr="00975B92" w:rsidRDefault="00CB019C" w:rsidP="007436E7">
      <w:pPr>
        <w:spacing w:line="480" w:lineRule="auto"/>
        <w:jc w:val="both"/>
        <w:rPr>
          <w:rFonts w:ascii="Times New Roman" w:hAnsi="Times New Roman" w:cs="Times New Roman"/>
          <w:i/>
        </w:rPr>
      </w:pPr>
    </w:p>
    <w:p w14:paraId="2040ED81" w14:textId="5DD16C4D" w:rsidR="002C6331" w:rsidRDefault="002C6331" w:rsidP="002C6331">
      <w:pPr>
        <w:pStyle w:val="Caption"/>
        <w:keepNext/>
        <w:jc w:val="both"/>
      </w:pPr>
      <w:bookmarkStart w:id="153" w:name="_Toc358326871"/>
      <w:bookmarkStart w:id="154" w:name="_Ref358324039"/>
      <w:r>
        <w:t xml:space="preserve">Table </w:t>
      </w:r>
      <w:fldSimple w:instr=" SEQ Table \* ARABIC ">
        <w:r w:rsidR="00C2793E">
          <w:rPr>
            <w:noProof/>
          </w:rPr>
          <w:t>35</w:t>
        </w:r>
        <w:bookmarkEnd w:id="153"/>
      </w:fldSimple>
      <w:bookmarkEnd w:id="154"/>
    </w:p>
    <w:p w14:paraId="2AA8D565" w14:textId="469F8DE0" w:rsidR="00CB019C" w:rsidRPr="00975B92" w:rsidRDefault="002C6331" w:rsidP="007436E7">
      <w:pPr>
        <w:jc w:val="both"/>
        <w:rPr>
          <w:rFonts w:ascii="Times New Roman" w:hAnsi="Times New Roman" w:cs="Times New Roman"/>
          <w:b/>
        </w:rPr>
      </w:pPr>
      <w:r>
        <w:rPr>
          <w:rFonts w:ascii="Times New Roman" w:hAnsi="Times New Roman" w:cs="Times New Roman"/>
          <w:b/>
        </w:rPr>
        <w:t>Multi-Colline</w:t>
      </w:r>
      <w:r w:rsidR="00CB019C" w:rsidRPr="00975B92">
        <w:rPr>
          <w:rFonts w:ascii="Times New Roman" w:hAnsi="Times New Roman" w:cs="Times New Roman"/>
          <w:b/>
        </w:rPr>
        <w:t>arity Verification</w:t>
      </w:r>
    </w:p>
    <w:tbl>
      <w:tblPr>
        <w:tblStyle w:val="TableGrid"/>
        <w:tblW w:w="0" w:type="auto"/>
        <w:tblLook w:val="04A0" w:firstRow="1" w:lastRow="0" w:firstColumn="1" w:lastColumn="0" w:noHBand="0" w:noVBand="1"/>
      </w:tblPr>
      <w:tblGrid>
        <w:gridCol w:w="2304"/>
        <w:gridCol w:w="2761"/>
        <w:gridCol w:w="1771"/>
      </w:tblGrid>
      <w:tr w:rsidR="00CB019C" w:rsidRPr="00975B92" w14:paraId="6892FBCF" w14:textId="77777777" w:rsidTr="00776510">
        <w:tc>
          <w:tcPr>
            <w:tcW w:w="2304" w:type="dxa"/>
          </w:tcPr>
          <w:p w14:paraId="2A0F5C42" w14:textId="77777777" w:rsidR="00CB019C" w:rsidRPr="00975B92" w:rsidRDefault="00CB019C" w:rsidP="007436E7">
            <w:pPr>
              <w:tabs>
                <w:tab w:val="center" w:pos="4320"/>
                <w:tab w:val="right" w:pos="8640"/>
              </w:tabs>
              <w:jc w:val="both"/>
              <w:rPr>
                <w:rFonts w:ascii="Times New Roman" w:hAnsi="Times New Roman" w:cs="Times New Roman"/>
              </w:rPr>
            </w:pPr>
          </w:p>
        </w:tc>
        <w:tc>
          <w:tcPr>
            <w:tcW w:w="4532" w:type="dxa"/>
            <w:gridSpan w:val="2"/>
          </w:tcPr>
          <w:p w14:paraId="2A531E47" w14:textId="72129D2B"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Collinearity Statistic</w:t>
            </w:r>
            <w:r w:rsidR="002C6331">
              <w:rPr>
                <w:rFonts w:ascii="Times New Roman" w:hAnsi="Times New Roman" w:cs="Times New Roman"/>
                <w:b/>
              </w:rPr>
              <w:t>s</w:t>
            </w:r>
          </w:p>
          <w:p w14:paraId="51BD5C83"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for IP and FP</w:t>
            </w:r>
          </w:p>
        </w:tc>
      </w:tr>
      <w:tr w:rsidR="00CB019C" w:rsidRPr="00975B92" w14:paraId="1B0555DF" w14:textId="77777777" w:rsidTr="00776510">
        <w:tc>
          <w:tcPr>
            <w:tcW w:w="2304" w:type="dxa"/>
          </w:tcPr>
          <w:p w14:paraId="69D31574" w14:textId="77777777" w:rsidR="00CB019C" w:rsidRPr="00975B92" w:rsidRDefault="00CB019C" w:rsidP="007436E7">
            <w:pPr>
              <w:tabs>
                <w:tab w:val="center" w:pos="4320"/>
                <w:tab w:val="right" w:pos="8640"/>
              </w:tabs>
              <w:jc w:val="both"/>
              <w:rPr>
                <w:rFonts w:ascii="Times New Roman" w:hAnsi="Times New Roman" w:cs="Times New Roman"/>
              </w:rPr>
            </w:pPr>
          </w:p>
        </w:tc>
        <w:tc>
          <w:tcPr>
            <w:tcW w:w="2761" w:type="dxa"/>
          </w:tcPr>
          <w:p w14:paraId="61EAFA80"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Tolerance</w:t>
            </w:r>
          </w:p>
        </w:tc>
        <w:tc>
          <w:tcPr>
            <w:tcW w:w="1771" w:type="dxa"/>
          </w:tcPr>
          <w:p w14:paraId="0E98E7E8"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VIF</w:t>
            </w:r>
          </w:p>
        </w:tc>
      </w:tr>
      <w:tr w:rsidR="00CB019C" w:rsidRPr="00975B92" w14:paraId="1305E6B4" w14:textId="77777777" w:rsidTr="00776510">
        <w:tc>
          <w:tcPr>
            <w:tcW w:w="2304" w:type="dxa"/>
          </w:tcPr>
          <w:p w14:paraId="36BC1465"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Control </w:t>
            </w:r>
          </w:p>
          <w:p w14:paraId="68672BFF"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(Innovation Type)</w:t>
            </w:r>
          </w:p>
        </w:tc>
        <w:tc>
          <w:tcPr>
            <w:tcW w:w="2761" w:type="dxa"/>
          </w:tcPr>
          <w:p w14:paraId="590FD683"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.988</w:t>
            </w:r>
          </w:p>
        </w:tc>
        <w:tc>
          <w:tcPr>
            <w:tcW w:w="1771" w:type="dxa"/>
          </w:tcPr>
          <w:p w14:paraId="4FA5499D"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1.012</w:t>
            </w:r>
          </w:p>
        </w:tc>
      </w:tr>
      <w:tr w:rsidR="00CB019C" w:rsidRPr="00975B92" w14:paraId="09472581" w14:textId="77777777" w:rsidTr="00776510">
        <w:tc>
          <w:tcPr>
            <w:tcW w:w="2304" w:type="dxa"/>
          </w:tcPr>
          <w:p w14:paraId="6470329F"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Control </w:t>
            </w:r>
          </w:p>
          <w:p w14:paraId="3F52F68C"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(Firm Size)</w:t>
            </w:r>
          </w:p>
        </w:tc>
        <w:tc>
          <w:tcPr>
            <w:tcW w:w="2761" w:type="dxa"/>
          </w:tcPr>
          <w:p w14:paraId="6CC92B3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.974</w:t>
            </w:r>
          </w:p>
        </w:tc>
        <w:tc>
          <w:tcPr>
            <w:tcW w:w="1771" w:type="dxa"/>
          </w:tcPr>
          <w:p w14:paraId="7C8B5BA1"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1.027</w:t>
            </w:r>
          </w:p>
        </w:tc>
      </w:tr>
      <w:tr w:rsidR="00CB019C" w:rsidRPr="00975B92" w14:paraId="26E463F6" w14:textId="77777777" w:rsidTr="00776510">
        <w:tc>
          <w:tcPr>
            <w:tcW w:w="2304" w:type="dxa"/>
          </w:tcPr>
          <w:p w14:paraId="09767CA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 xml:space="preserve">Control </w:t>
            </w:r>
          </w:p>
          <w:p w14:paraId="21984A97"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(Firm Type)</w:t>
            </w:r>
          </w:p>
        </w:tc>
        <w:tc>
          <w:tcPr>
            <w:tcW w:w="2761" w:type="dxa"/>
          </w:tcPr>
          <w:p w14:paraId="6A72405F"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.969</w:t>
            </w:r>
          </w:p>
        </w:tc>
        <w:tc>
          <w:tcPr>
            <w:tcW w:w="1771" w:type="dxa"/>
          </w:tcPr>
          <w:p w14:paraId="3C1C5B39"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1.032</w:t>
            </w:r>
          </w:p>
        </w:tc>
      </w:tr>
      <w:tr w:rsidR="00CB019C" w:rsidRPr="00975B92" w14:paraId="4024FB3E" w14:textId="77777777" w:rsidTr="00776510">
        <w:tc>
          <w:tcPr>
            <w:tcW w:w="2304" w:type="dxa"/>
          </w:tcPr>
          <w:p w14:paraId="22DBAE6F"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EO</w:t>
            </w:r>
          </w:p>
        </w:tc>
        <w:tc>
          <w:tcPr>
            <w:tcW w:w="2761" w:type="dxa"/>
          </w:tcPr>
          <w:p w14:paraId="60BF9889"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.208</w:t>
            </w:r>
          </w:p>
        </w:tc>
        <w:tc>
          <w:tcPr>
            <w:tcW w:w="1771" w:type="dxa"/>
          </w:tcPr>
          <w:p w14:paraId="314BB329"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4.797</w:t>
            </w:r>
          </w:p>
        </w:tc>
      </w:tr>
      <w:tr w:rsidR="00CB019C" w:rsidRPr="00975B92" w14:paraId="7966D985" w14:textId="77777777" w:rsidTr="00776510">
        <w:tc>
          <w:tcPr>
            <w:tcW w:w="2304" w:type="dxa"/>
          </w:tcPr>
          <w:p w14:paraId="65C76113"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SCRO</w:t>
            </w:r>
          </w:p>
        </w:tc>
        <w:tc>
          <w:tcPr>
            <w:tcW w:w="2761" w:type="dxa"/>
          </w:tcPr>
          <w:p w14:paraId="2CE3F0CB"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.211</w:t>
            </w:r>
          </w:p>
        </w:tc>
        <w:tc>
          <w:tcPr>
            <w:tcW w:w="1771" w:type="dxa"/>
          </w:tcPr>
          <w:p w14:paraId="3F995BE3"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4.742</w:t>
            </w:r>
          </w:p>
        </w:tc>
      </w:tr>
    </w:tbl>
    <w:p w14:paraId="79B3BD26" w14:textId="77777777" w:rsidR="00CB019C" w:rsidRPr="00975B92" w:rsidRDefault="00CB019C" w:rsidP="007436E7">
      <w:pPr>
        <w:spacing w:line="480" w:lineRule="auto"/>
        <w:jc w:val="both"/>
        <w:rPr>
          <w:rFonts w:ascii="Times New Roman" w:hAnsi="Times New Roman" w:cs="Times New Roman"/>
        </w:rPr>
      </w:pPr>
    </w:p>
    <w:p w14:paraId="7F6C4221" w14:textId="77777777" w:rsidR="00CB019C" w:rsidRPr="00975B92" w:rsidRDefault="00CB019C" w:rsidP="000A6E2C">
      <w:pPr>
        <w:pStyle w:val="Heading3new"/>
      </w:pPr>
      <w:r w:rsidRPr="00975B92">
        <w:t>Structural Path Model and Direct Effects</w:t>
      </w:r>
    </w:p>
    <w:p w14:paraId="7731D868" w14:textId="23AD7F88"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In AMOS 24, a structural (path) model was created with EO and SCRO as exogenous variables, IP and FP as endogenous variables, and three exogenous control variables (firm size, firm type, innovation type). The structural model showed excellent model fit to the dataset in the test. (</w:t>
      </w:r>
      <w:r w:rsidR="00A26978">
        <w:rPr>
          <w:rFonts w:ascii="Times New Roman" w:hAnsi="Times New Roman" w:cs="Times New Roman"/>
        </w:rPr>
        <w:t>χ</w:t>
      </w:r>
      <w:r w:rsidR="00A26978" w:rsidRPr="00A26978">
        <w:rPr>
          <w:rFonts w:ascii="Times New Roman" w:hAnsi="Times New Roman" w:cs="Times New Roman"/>
          <w:vertAlign w:val="superscript"/>
        </w:rPr>
        <w:t>2</w:t>
      </w:r>
      <w:r w:rsidRPr="00975B92">
        <w:rPr>
          <w:rFonts w:ascii="Times New Roman" w:hAnsi="Times New Roman" w:cs="Times New Roman"/>
        </w:rPr>
        <w:t>= 836.925, df=568, p&lt;</w:t>
      </w:r>
      <w:r w:rsidR="00BF559D">
        <w:rPr>
          <w:rFonts w:ascii="Times New Roman" w:hAnsi="Times New Roman" w:cs="Times New Roman"/>
        </w:rPr>
        <w:t xml:space="preserve"> </w:t>
      </w:r>
      <w:r w:rsidRPr="00975B92">
        <w:rPr>
          <w:rFonts w:ascii="Times New Roman" w:hAnsi="Times New Roman" w:cs="Times New Roman"/>
        </w:rPr>
        <w:t xml:space="preserve">.0001, </w:t>
      </w:r>
      <w:r w:rsidR="00A26978">
        <w:rPr>
          <w:rFonts w:ascii="Times New Roman" w:hAnsi="Times New Roman" w:cs="Times New Roman"/>
        </w:rPr>
        <w:t>χ</w:t>
      </w:r>
      <w:r w:rsidR="00A26978" w:rsidRPr="00A26978">
        <w:rPr>
          <w:rFonts w:ascii="Times New Roman" w:hAnsi="Times New Roman" w:cs="Times New Roman"/>
          <w:vertAlign w:val="superscript"/>
        </w:rPr>
        <w:t>2</w:t>
      </w:r>
      <w:r w:rsidRPr="00975B92">
        <w:rPr>
          <w:rFonts w:ascii="Times New Roman" w:hAnsi="Times New Roman" w:cs="Times New Roman"/>
        </w:rPr>
        <w:t xml:space="preserve">/df = 1.473, CFI = .950, RMSEA = .044 (RMSEA 90% confidence interval: Low90 = .037, High90 = .050), PCLOSE = .948). The coefficients for the direct paths between SCRO/EO and the performance constructs were all significant at either the </w:t>
      </w:r>
      <w:r w:rsidR="00F33F66">
        <w:rPr>
          <w:rFonts w:ascii="Times New Roman" w:hAnsi="Times New Roman" w:cs="Times New Roman"/>
        </w:rPr>
        <w:t xml:space="preserve">p= </w:t>
      </w:r>
      <w:r w:rsidRPr="00975B92">
        <w:rPr>
          <w:rFonts w:ascii="Times New Roman" w:hAnsi="Times New Roman" w:cs="Times New Roman"/>
        </w:rPr>
        <w:t xml:space="preserve">.10 or </w:t>
      </w:r>
      <w:r w:rsidR="00F33F66">
        <w:rPr>
          <w:rFonts w:ascii="Times New Roman" w:hAnsi="Times New Roman" w:cs="Times New Roman"/>
        </w:rPr>
        <w:t xml:space="preserve">p= </w:t>
      </w:r>
      <w:r w:rsidRPr="00975B92">
        <w:rPr>
          <w:rFonts w:ascii="Times New Roman" w:hAnsi="Times New Roman" w:cs="Times New Roman"/>
        </w:rPr>
        <w:t>.01 level.</w:t>
      </w:r>
    </w:p>
    <w:p w14:paraId="4E4807B0" w14:textId="3C4BB213"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lastRenderedPageBreak/>
        <w:t>Hypotheses H</w:t>
      </w:r>
      <w:r w:rsidRPr="00975B92">
        <w:rPr>
          <w:rFonts w:ascii="Times New Roman" w:hAnsi="Times New Roman" w:cs="Times New Roman"/>
          <w:vertAlign w:val="subscript"/>
        </w:rPr>
        <w:t xml:space="preserve">1A/B </w:t>
      </w:r>
      <w:r w:rsidRPr="00975B92">
        <w:rPr>
          <w:rFonts w:ascii="Times New Roman" w:hAnsi="Times New Roman" w:cs="Times New Roman"/>
        </w:rPr>
        <w:t xml:space="preserve">between SCRO and IP/FP were confirmed, with both paths found significant (IP: </w:t>
      </w:r>
      <w:r w:rsidR="009A65F2">
        <w:rPr>
          <w:rFonts w:ascii="Times New Roman" w:hAnsi="Times New Roman" w:cs="Times New Roman"/>
        </w:rPr>
        <w:t>β</w:t>
      </w:r>
      <w:r w:rsidR="00BF559D">
        <w:rPr>
          <w:rFonts w:ascii="Times New Roman" w:hAnsi="Times New Roman" w:cs="Times New Roman"/>
        </w:rPr>
        <w:t xml:space="preserve"> = .294, p</w:t>
      </w:r>
      <w:r w:rsidRPr="00975B92">
        <w:rPr>
          <w:rFonts w:ascii="Times New Roman" w:hAnsi="Times New Roman" w:cs="Times New Roman"/>
        </w:rPr>
        <w:t xml:space="preserve">= .002; FP: </w:t>
      </w:r>
      <w:r w:rsidR="009A65F2">
        <w:rPr>
          <w:rFonts w:ascii="Times New Roman" w:hAnsi="Times New Roman" w:cs="Times New Roman"/>
        </w:rPr>
        <w:t>β</w:t>
      </w:r>
      <w:r w:rsidRPr="00975B92">
        <w:rPr>
          <w:rFonts w:ascii="Times New Roman" w:hAnsi="Times New Roman" w:cs="Times New Roman"/>
        </w:rPr>
        <w:t xml:space="preserve"> = .232, p= .029) at the </w:t>
      </w:r>
      <w:r w:rsidR="000B11F3">
        <w:rPr>
          <w:rFonts w:ascii="Times New Roman" w:hAnsi="Times New Roman" w:cs="Times New Roman"/>
        </w:rPr>
        <w:t xml:space="preserve">p= </w:t>
      </w:r>
      <w:r w:rsidRPr="00975B92">
        <w:rPr>
          <w:rFonts w:ascii="Times New Roman" w:hAnsi="Times New Roman" w:cs="Times New Roman"/>
        </w:rPr>
        <w:t xml:space="preserve">.05 level. </w:t>
      </w:r>
    </w:p>
    <w:p w14:paraId="3C5BD928" w14:textId="0F5C1DC9"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Hypotheses H</w:t>
      </w:r>
      <w:r w:rsidRPr="00975B92">
        <w:rPr>
          <w:rFonts w:ascii="Times New Roman" w:hAnsi="Times New Roman" w:cs="Times New Roman"/>
          <w:vertAlign w:val="subscript"/>
        </w:rPr>
        <w:t>2A/B</w:t>
      </w:r>
      <w:r w:rsidRPr="00975B92">
        <w:rPr>
          <w:rFonts w:ascii="Times New Roman" w:hAnsi="Times New Roman" w:cs="Times New Roman"/>
        </w:rPr>
        <w:t xml:space="preserve"> between EO and IP/FP were confirmed, with both paths found significant (IP: </w:t>
      </w:r>
      <w:r w:rsidR="009A65F2">
        <w:rPr>
          <w:rFonts w:ascii="Times New Roman" w:hAnsi="Times New Roman" w:cs="Times New Roman"/>
        </w:rPr>
        <w:t>β</w:t>
      </w:r>
      <w:r w:rsidRPr="00975B92">
        <w:rPr>
          <w:rFonts w:ascii="Times New Roman" w:hAnsi="Times New Roman" w:cs="Times New Roman"/>
        </w:rPr>
        <w:t xml:space="preserve"> = .665, p&lt; .001; FP: </w:t>
      </w:r>
      <w:r w:rsidR="009A65F2">
        <w:rPr>
          <w:rFonts w:ascii="Times New Roman" w:hAnsi="Times New Roman" w:cs="Times New Roman"/>
        </w:rPr>
        <w:t>β</w:t>
      </w:r>
      <w:r w:rsidRPr="00975B92">
        <w:rPr>
          <w:rFonts w:ascii="Times New Roman" w:hAnsi="Times New Roman" w:cs="Times New Roman"/>
        </w:rPr>
        <w:t xml:space="preserve"> = .661, p&lt; .001) at the </w:t>
      </w:r>
      <w:r w:rsidR="000B11F3">
        <w:rPr>
          <w:rFonts w:ascii="Times New Roman" w:hAnsi="Times New Roman" w:cs="Times New Roman"/>
        </w:rPr>
        <w:t xml:space="preserve">p= </w:t>
      </w:r>
      <w:r w:rsidRPr="00975B92">
        <w:rPr>
          <w:rFonts w:ascii="Times New Roman" w:hAnsi="Times New Roman" w:cs="Times New Roman"/>
        </w:rPr>
        <w:t>.01 level. Thereby, Hypotheses  H</w:t>
      </w:r>
      <w:r w:rsidRPr="00975B92">
        <w:rPr>
          <w:rFonts w:ascii="Times New Roman" w:hAnsi="Times New Roman" w:cs="Times New Roman"/>
          <w:vertAlign w:val="subscript"/>
        </w:rPr>
        <w:t xml:space="preserve">1A/B </w:t>
      </w:r>
      <w:r w:rsidRPr="00975B92">
        <w:rPr>
          <w:rFonts w:ascii="Times New Roman" w:hAnsi="Times New Roman" w:cs="Times New Roman"/>
        </w:rPr>
        <w:t>and H</w:t>
      </w:r>
      <w:r w:rsidRPr="00975B92">
        <w:rPr>
          <w:rFonts w:ascii="Times New Roman" w:hAnsi="Times New Roman" w:cs="Times New Roman"/>
          <w:vertAlign w:val="subscript"/>
        </w:rPr>
        <w:t xml:space="preserve">2A/B </w:t>
      </w:r>
      <w:r w:rsidRPr="00975B92">
        <w:rPr>
          <w:rFonts w:ascii="Times New Roman" w:hAnsi="Times New Roman" w:cs="Times New Roman"/>
        </w:rPr>
        <w:t>were confirmed. In this baseline path model, the endogenous variables IP (r</w:t>
      </w:r>
      <w:r w:rsidRPr="00975B92">
        <w:rPr>
          <w:rFonts w:ascii="Times New Roman" w:hAnsi="Times New Roman" w:cs="Times New Roman"/>
          <w:vertAlign w:val="superscript"/>
        </w:rPr>
        <w:t>2</w:t>
      </w:r>
      <w:r w:rsidRPr="00975B92">
        <w:rPr>
          <w:rFonts w:ascii="Times New Roman" w:hAnsi="Times New Roman" w:cs="Times New Roman"/>
        </w:rPr>
        <w:t xml:space="preserve"> =.874) and FP (r</w:t>
      </w:r>
      <w:r w:rsidRPr="00975B92">
        <w:rPr>
          <w:rFonts w:ascii="Times New Roman" w:hAnsi="Times New Roman" w:cs="Times New Roman"/>
          <w:vertAlign w:val="superscript"/>
        </w:rPr>
        <w:t>2</w:t>
      </w:r>
      <w:r w:rsidRPr="00975B92">
        <w:rPr>
          <w:rFonts w:ascii="Times New Roman" w:hAnsi="Times New Roman" w:cs="Times New Roman"/>
        </w:rPr>
        <w:t xml:space="preserve"> = .741) explained a high portion of the variance. Finally, bootstrapping with 2000 iterations was performed to test the robustness of the model. The excellent model fit was confirmed</w:t>
      </w:r>
      <w:r w:rsidR="005D1434">
        <w:rPr>
          <w:rFonts w:ascii="Times New Roman" w:hAnsi="Times New Roman" w:cs="Times New Roman"/>
        </w:rPr>
        <w:t xml:space="preserve"> (</w:t>
      </w:r>
      <w:r w:rsidR="005D1434">
        <w:rPr>
          <w:rFonts w:ascii="Times New Roman" w:hAnsi="Times New Roman" w:cs="Times New Roman"/>
        </w:rPr>
        <w:fldChar w:fldCharType="begin"/>
      </w:r>
      <w:r w:rsidR="005D1434">
        <w:rPr>
          <w:rFonts w:ascii="Times New Roman" w:hAnsi="Times New Roman" w:cs="Times New Roman"/>
        </w:rPr>
        <w:instrText xml:space="preserve"> REF _Ref358324925 \h </w:instrText>
      </w:r>
      <w:r w:rsidR="005D1434">
        <w:rPr>
          <w:rFonts w:ascii="Times New Roman" w:hAnsi="Times New Roman" w:cs="Times New Roman"/>
        </w:rPr>
      </w:r>
      <w:r w:rsidR="005D1434">
        <w:rPr>
          <w:rFonts w:ascii="Times New Roman" w:hAnsi="Times New Roman" w:cs="Times New Roman"/>
        </w:rPr>
        <w:fldChar w:fldCharType="separate"/>
      </w:r>
      <w:r w:rsidR="00C2793E">
        <w:t xml:space="preserve">Table </w:t>
      </w:r>
      <w:r w:rsidR="00C2793E">
        <w:rPr>
          <w:noProof/>
        </w:rPr>
        <w:t>36</w:t>
      </w:r>
      <w:r w:rsidR="005D1434">
        <w:rPr>
          <w:rFonts w:ascii="Times New Roman" w:hAnsi="Times New Roman" w:cs="Times New Roman"/>
        </w:rPr>
        <w:fldChar w:fldCharType="end"/>
      </w:r>
      <w:r w:rsidR="005D1434">
        <w:rPr>
          <w:rFonts w:ascii="Times New Roman" w:hAnsi="Times New Roman" w:cs="Times New Roman"/>
        </w:rPr>
        <w:t>)</w:t>
      </w:r>
      <w:r w:rsidRPr="00975B92">
        <w:rPr>
          <w:rFonts w:ascii="Times New Roman" w:hAnsi="Times New Roman" w:cs="Times New Roman"/>
        </w:rPr>
        <w:t>.</w:t>
      </w:r>
      <w:r w:rsidR="005D1434">
        <w:rPr>
          <w:rFonts w:ascii="Times New Roman" w:hAnsi="Times New Roman" w:cs="Times New Roman"/>
        </w:rPr>
        <w:t xml:space="preserve"> </w:t>
      </w:r>
      <w:r w:rsidRPr="00975B92">
        <w:rPr>
          <w:rFonts w:ascii="Times New Roman" w:hAnsi="Times New Roman" w:cs="Times New Roman"/>
        </w:rPr>
        <w:t xml:space="preserve"> </w:t>
      </w:r>
      <w:r w:rsidR="00AA2826">
        <w:rPr>
          <w:rFonts w:ascii="Times New Roman" w:hAnsi="Times New Roman" w:cs="Times New Roman"/>
        </w:rPr>
        <w:t xml:space="preserve"> </w:t>
      </w:r>
    </w:p>
    <w:p w14:paraId="2AA6B4CA" w14:textId="77777777" w:rsidR="00CB019C" w:rsidRPr="00975B92" w:rsidRDefault="00CB019C" w:rsidP="007436E7">
      <w:pPr>
        <w:spacing w:line="480" w:lineRule="auto"/>
        <w:jc w:val="both"/>
        <w:rPr>
          <w:rFonts w:ascii="Times New Roman" w:hAnsi="Times New Roman" w:cs="Times New Roman"/>
        </w:rPr>
      </w:pPr>
    </w:p>
    <w:p w14:paraId="2C859727" w14:textId="50D1A20A" w:rsidR="005D1434" w:rsidRDefault="005D1434" w:rsidP="005D1434">
      <w:pPr>
        <w:pStyle w:val="Caption"/>
        <w:keepNext/>
        <w:jc w:val="both"/>
      </w:pPr>
      <w:bookmarkStart w:id="155" w:name="_Toc358326872"/>
      <w:bookmarkStart w:id="156" w:name="_Ref358324925"/>
      <w:r>
        <w:t xml:space="preserve">Table </w:t>
      </w:r>
      <w:fldSimple w:instr=" SEQ Table \* ARABIC ">
        <w:r w:rsidR="00C2793E">
          <w:rPr>
            <w:noProof/>
          </w:rPr>
          <w:t>36</w:t>
        </w:r>
        <w:bookmarkEnd w:id="155"/>
      </w:fldSimple>
      <w:bookmarkEnd w:id="156"/>
    </w:p>
    <w:p w14:paraId="58727A61" w14:textId="15422CA8"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Structural Path Model Results</w:t>
      </w:r>
    </w:p>
    <w:tbl>
      <w:tblPr>
        <w:tblStyle w:val="TableGrid"/>
        <w:tblW w:w="0" w:type="auto"/>
        <w:tblLook w:val="04A0" w:firstRow="1" w:lastRow="0" w:firstColumn="1" w:lastColumn="0" w:noHBand="0" w:noVBand="1"/>
      </w:tblPr>
      <w:tblGrid>
        <w:gridCol w:w="1908"/>
        <w:gridCol w:w="2658"/>
        <w:gridCol w:w="1933"/>
        <w:gridCol w:w="2357"/>
      </w:tblGrid>
      <w:tr w:rsidR="00CB019C" w:rsidRPr="00975B92" w14:paraId="22588CD2" w14:textId="77777777" w:rsidTr="00776510">
        <w:tc>
          <w:tcPr>
            <w:tcW w:w="1908" w:type="dxa"/>
          </w:tcPr>
          <w:p w14:paraId="3ACDC2A4"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Parameter</w:t>
            </w:r>
          </w:p>
        </w:tc>
        <w:tc>
          <w:tcPr>
            <w:tcW w:w="2658" w:type="dxa"/>
          </w:tcPr>
          <w:p w14:paraId="02B0DA89"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Result</w:t>
            </w:r>
          </w:p>
        </w:tc>
        <w:tc>
          <w:tcPr>
            <w:tcW w:w="1933" w:type="dxa"/>
          </w:tcPr>
          <w:p w14:paraId="55BC5BC9"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Threshold</w:t>
            </w:r>
          </w:p>
        </w:tc>
        <w:tc>
          <w:tcPr>
            <w:tcW w:w="2357" w:type="dxa"/>
          </w:tcPr>
          <w:p w14:paraId="361A19B2" w14:textId="7777777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Conclusion</w:t>
            </w:r>
          </w:p>
        </w:tc>
      </w:tr>
      <w:tr w:rsidR="00CB019C" w:rsidRPr="00975B92" w14:paraId="3FF96DD8" w14:textId="77777777" w:rsidTr="00776510">
        <w:tc>
          <w:tcPr>
            <w:tcW w:w="1908" w:type="dxa"/>
          </w:tcPr>
          <w:p w14:paraId="3A1F0EE2" w14:textId="29F606F3" w:rsidR="00CB019C" w:rsidRPr="00975B92" w:rsidRDefault="00A26978" w:rsidP="007436E7">
            <w:pPr>
              <w:jc w:val="both"/>
              <w:rPr>
                <w:rFonts w:ascii="Times New Roman" w:hAnsi="Times New Roman" w:cs="Times New Roman"/>
              </w:rPr>
            </w:pPr>
            <w:r>
              <w:rPr>
                <w:rFonts w:ascii="Times New Roman" w:hAnsi="Times New Roman" w:cs="Times New Roman"/>
              </w:rPr>
              <w:t>χ</w:t>
            </w:r>
            <w:r w:rsidRPr="00A26978">
              <w:rPr>
                <w:rFonts w:ascii="Times New Roman" w:hAnsi="Times New Roman" w:cs="Times New Roman"/>
                <w:vertAlign w:val="superscript"/>
              </w:rPr>
              <w:t>2</w:t>
            </w:r>
            <w:r w:rsidR="00CB019C" w:rsidRPr="00975B92">
              <w:rPr>
                <w:rFonts w:ascii="Times New Roman" w:hAnsi="Times New Roman" w:cs="Times New Roman"/>
              </w:rPr>
              <w:t>/df</w:t>
            </w:r>
          </w:p>
        </w:tc>
        <w:tc>
          <w:tcPr>
            <w:tcW w:w="2658" w:type="dxa"/>
          </w:tcPr>
          <w:p w14:paraId="548ACF97"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1.473</w:t>
            </w:r>
          </w:p>
        </w:tc>
        <w:tc>
          <w:tcPr>
            <w:tcW w:w="1933" w:type="dxa"/>
          </w:tcPr>
          <w:p w14:paraId="6C4AA56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&lt;3</w:t>
            </w:r>
          </w:p>
        </w:tc>
        <w:tc>
          <w:tcPr>
            <w:tcW w:w="2357" w:type="dxa"/>
          </w:tcPr>
          <w:p w14:paraId="06B745B2"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Valid model</w:t>
            </w:r>
          </w:p>
        </w:tc>
      </w:tr>
      <w:tr w:rsidR="00CB019C" w:rsidRPr="00975B92" w14:paraId="5F44A373" w14:textId="77777777" w:rsidTr="00776510">
        <w:tc>
          <w:tcPr>
            <w:tcW w:w="1908" w:type="dxa"/>
          </w:tcPr>
          <w:p w14:paraId="5EF7C97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CFI</w:t>
            </w:r>
          </w:p>
        </w:tc>
        <w:tc>
          <w:tcPr>
            <w:tcW w:w="2658" w:type="dxa"/>
          </w:tcPr>
          <w:p w14:paraId="62F7C2F3"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.950</w:t>
            </w:r>
          </w:p>
        </w:tc>
        <w:tc>
          <w:tcPr>
            <w:tcW w:w="1933" w:type="dxa"/>
          </w:tcPr>
          <w:p w14:paraId="55FEC861"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&gt; .90/.95</w:t>
            </w:r>
          </w:p>
        </w:tc>
        <w:tc>
          <w:tcPr>
            <w:tcW w:w="2357" w:type="dxa"/>
          </w:tcPr>
          <w:p w14:paraId="2A5A24DB"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Valid model</w:t>
            </w:r>
          </w:p>
        </w:tc>
      </w:tr>
      <w:tr w:rsidR="00CB019C" w:rsidRPr="00975B92" w14:paraId="33D7B26F" w14:textId="77777777" w:rsidTr="00776510">
        <w:tc>
          <w:tcPr>
            <w:tcW w:w="1908" w:type="dxa"/>
          </w:tcPr>
          <w:p w14:paraId="673F4DF7"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RMSEA</w:t>
            </w:r>
          </w:p>
          <w:p w14:paraId="029ED8BF" w14:textId="77777777" w:rsidR="00CB019C" w:rsidRPr="00975B92" w:rsidRDefault="00CB019C" w:rsidP="007436E7">
            <w:pPr>
              <w:jc w:val="both"/>
              <w:rPr>
                <w:rFonts w:ascii="Times New Roman" w:hAnsi="Times New Roman" w:cs="Times New Roman"/>
              </w:rPr>
            </w:pPr>
          </w:p>
          <w:p w14:paraId="70577AD1" w14:textId="77777777" w:rsidR="00E04C5A" w:rsidRDefault="00CB019C" w:rsidP="007436E7">
            <w:pPr>
              <w:jc w:val="both"/>
              <w:rPr>
                <w:rFonts w:ascii="Times New Roman" w:hAnsi="Times New Roman" w:cs="Times New Roman"/>
                <w:sz w:val="18"/>
              </w:rPr>
            </w:pPr>
            <w:r w:rsidRPr="00975B92">
              <w:rPr>
                <w:rFonts w:ascii="Times New Roman" w:hAnsi="Times New Roman" w:cs="Times New Roman"/>
                <w:sz w:val="18"/>
              </w:rPr>
              <w:t xml:space="preserve">90% </w:t>
            </w:r>
          </w:p>
          <w:p w14:paraId="22EDCCF6" w14:textId="670F8541" w:rsidR="00CB019C" w:rsidRPr="00975B92" w:rsidRDefault="00CB019C" w:rsidP="007436E7">
            <w:pPr>
              <w:jc w:val="both"/>
              <w:rPr>
                <w:rFonts w:ascii="Times New Roman" w:hAnsi="Times New Roman" w:cs="Times New Roman"/>
              </w:rPr>
            </w:pPr>
            <w:r w:rsidRPr="00975B92">
              <w:rPr>
                <w:rFonts w:ascii="Times New Roman" w:hAnsi="Times New Roman" w:cs="Times New Roman"/>
                <w:sz w:val="18"/>
              </w:rPr>
              <w:t>confidence interval:</w:t>
            </w:r>
          </w:p>
        </w:tc>
        <w:tc>
          <w:tcPr>
            <w:tcW w:w="2658" w:type="dxa"/>
          </w:tcPr>
          <w:p w14:paraId="17DCCE57"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.044</w:t>
            </w:r>
          </w:p>
          <w:p w14:paraId="0CE4A957" w14:textId="77777777" w:rsidR="00CB019C" w:rsidRPr="00975B92" w:rsidRDefault="00CB019C" w:rsidP="007436E7">
            <w:pPr>
              <w:keepNext/>
              <w:keepLines/>
              <w:spacing w:before="200"/>
              <w:jc w:val="both"/>
              <w:outlineLvl w:val="2"/>
              <w:rPr>
                <w:rFonts w:ascii="Times New Roman" w:hAnsi="Times New Roman" w:cs="Times New Roman"/>
                <w:sz w:val="18"/>
              </w:rPr>
            </w:pPr>
            <w:r w:rsidRPr="00975B92">
              <w:rPr>
                <w:rFonts w:ascii="Times New Roman" w:hAnsi="Times New Roman" w:cs="Times New Roman"/>
                <w:sz w:val="18"/>
              </w:rPr>
              <w:t>Low90 = .037</w:t>
            </w:r>
          </w:p>
          <w:p w14:paraId="3B4117E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sz w:val="18"/>
              </w:rPr>
              <w:t>High90 = .050</w:t>
            </w:r>
          </w:p>
        </w:tc>
        <w:tc>
          <w:tcPr>
            <w:tcW w:w="1933" w:type="dxa"/>
          </w:tcPr>
          <w:p w14:paraId="4B3E62E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&lt; .08</w:t>
            </w:r>
          </w:p>
        </w:tc>
        <w:tc>
          <w:tcPr>
            <w:tcW w:w="2357" w:type="dxa"/>
          </w:tcPr>
          <w:p w14:paraId="33648F3C"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Valid model</w:t>
            </w:r>
          </w:p>
        </w:tc>
      </w:tr>
      <w:tr w:rsidR="00CB019C" w:rsidRPr="00975B92" w14:paraId="7642AB0E" w14:textId="77777777" w:rsidTr="00776510">
        <w:tc>
          <w:tcPr>
            <w:tcW w:w="1908" w:type="dxa"/>
          </w:tcPr>
          <w:p w14:paraId="74E52AA8"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PCLOSE</w:t>
            </w:r>
          </w:p>
        </w:tc>
        <w:tc>
          <w:tcPr>
            <w:tcW w:w="2658" w:type="dxa"/>
          </w:tcPr>
          <w:p w14:paraId="16A2632C"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.948</w:t>
            </w:r>
          </w:p>
        </w:tc>
        <w:tc>
          <w:tcPr>
            <w:tcW w:w="1933" w:type="dxa"/>
          </w:tcPr>
          <w:p w14:paraId="6EC35770"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&gt; .05</w:t>
            </w:r>
          </w:p>
        </w:tc>
        <w:tc>
          <w:tcPr>
            <w:tcW w:w="2357" w:type="dxa"/>
          </w:tcPr>
          <w:p w14:paraId="56FE5654" w14:textId="77777777" w:rsidR="00CB019C" w:rsidRPr="00975B92" w:rsidRDefault="00CB019C" w:rsidP="007436E7">
            <w:pPr>
              <w:jc w:val="both"/>
              <w:rPr>
                <w:rFonts w:ascii="Times New Roman" w:hAnsi="Times New Roman" w:cs="Times New Roman"/>
              </w:rPr>
            </w:pPr>
            <w:r w:rsidRPr="00975B92">
              <w:rPr>
                <w:rFonts w:ascii="Times New Roman" w:hAnsi="Times New Roman" w:cs="Times New Roman"/>
              </w:rPr>
              <w:t>Valid model</w:t>
            </w:r>
          </w:p>
        </w:tc>
      </w:tr>
    </w:tbl>
    <w:p w14:paraId="76A9306B" w14:textId="77777777" w:rsidR="00CB019C" w:rsidRPr="00975B92" w:rsidRDefault="00CB019C" w:rsidP="007436E7">
      <w:pPr>
        <w:spacing w:line="480" w:lineRule="auto"/>
        <w:jc w:val="both"/>
        <w:rPr>
          <w:rFonts w:ascii="Times New Roman" w:hAnsi="Times New Roman" w:cs="Times New Roman"/>
        </w:rPr>
      </w:pPr>
    </w:p>
    <w:p w14:paraId="53B36E48" w14:textId="77777777" w:rsidR="00CB019C" w:rsidRPr="00975B92" w:rsidRDefault="00CB019C" w:rsidP="000A6E2C">
      <w:pPr>
        <w:pStyle w:val="Heading3new"/>
      </w:pPr>
      <w:r w:rsidRPr="00975B92">
        <w:t>Moderation / Interaction effects</w:t>
      </w:r>
    </w:p>
    <w:p w14:paraId="259AB246" w14:textId="29C9048A"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The interaction between SCRO and EO was tested in a structural model involving three control variables (firm size, firm type, innovation type). The model showed excellent fit (</w:t>
      </w:r>
      <w:r w:rsidR="00F57275">
        <w:rPr>
          <w:rFonts w:ascii="Times New Roman" w:hAnsi="Times New Roman" w:cs="Times New Roman"/>
        </w:rPr>
        <w:t>χ</w:t>
      </w:r>
      <w:r w:rsidR="00F57275" w:rsidRPr="00A26978">
        <w:rPr>
          <w:rFonts w:ascii="Times New Roman" w:hAnsi="Times New Roman" w:cs="Times New Roman"/>
          <w:vertAlign w:val="superscript"/>
        </w:rPr>
        <w:t>2</w:t>
      </w:r>
      <w:r w:rsidRPr="00975B92">
        <w:rPr>
          <w:rFonts w:ascii="Times New Roman" w:hAnsi="Times New Roman" w:cs="Times New Roman"/>
        </w:rPr>
        <w:t xml:space="preserve">= 891.914, df=598, p&lt; .0001, </w:t>
      </w:r>
      <w:r w:rsidR="00F57275">
        <w:rPr>
          <w:rFonts w:ascii="Times New Roman" w:hAnsi="Times New Roman" w:cs="Times New Roman"/>
        </w:rPr>
        <w:t>χ</w:t>
      </w:r>
      <w:r w:rsidR="00F57275" w:rsidRPr="00A26978">
        <w:rPr>
          <w:rFonts w:ascii="Times New Roman" w:hAnsi="Times New Roman" w:cs="Times New Roman"/>
          <w:vertAlign w:val="superscript"/>
        </w:rPr>
        <w:t>2</w:t>
      </w:r>
      <w:r w:rsidRPr="00975B92">
        <w:rPr>
          <w:rFonts w:ascii="Times New Roman" w:hAnsi="Times New Roman" w:cs="Times New Roman"/>
        </w:rPr>
        <w:t>/df = 1.491, CFI = .946, RMSEA = .045 (RMSEA 90% confidence interval: Low90 = .038, High90 = .051), PCLOSE = .926). In this model, the endogenous variables IP (r</w:t>
      </w:r>
      <w:r w:rsidRPr="00975B92">
        <w:rPr>
          <w:rFonts w:ascii="Times New Roman" w:hAnsi="Times New Roman" w:cs="Times New Roman"/>
          <w:vertAlign w:val="superscript"/>
        </w:rPr>
        <w:t>2</w:t>
      </w:r>
      <w:r w:rsidRPr="00975B92">
        <w:rPr>
          <w:rFonts w:ascii="Times New Roman" w:hAnsi="Times New Roman" w:cs="Times New Roman"/>
        </w:rPr>
        <w:t xml:space="preserve"> =.888) and FP (r</w:t>
      </w:r>
      <w:r w:rsidRPr="00975B92">
        <w:rPr>
          <w:rFonts w:ascii="Times New Roman" w:hAnsi="Times New Roman" w:cs="Times New Roman"/>
          <w:vertAlign w:val="superscript"/>
        </w:rPr>
        <w:t>2</w:t>
      </w:r>
      <w:r w:rsidRPr="00975B92">
        <w:rPr>
          <w:rFonts w:ascii="Times New Roman" w:hAnsi="Times New Roman" w:cs="Times New Roman"/>
        </w:rPr>
        <w:t xml:space="preserve"> = .768) explained a high portion of the variance. The interaction effect on financial performance was significant (</w:t>
      </w:r>
      <w:r w:rsidR="00F57275">
        <w:rPr>
          <w:rFonts w:ascii="Times New Roman" w:hAnsi="Times New Roman" w:cs="Times New Roman"/>
        </w:rPr>
        <w:t xml:space="preserve">t= </w:t>
      </w:r>
      <w:r w:rsidRPr="00975B92">
        <w:rPr>
          <w:rFonts w:ascii="Times New Roman" w:hAnsi="Times New Roman" w:cs="Times New Roman"/>
        </w:rPr>
        <w:t xml:space="preserve">.172, p= .002) at the </w:t>
      </w:r>
      <w:r w:rsidR="000B11F3">
        <w:rPr>
          <w:rFonts w:ascii="Times New Roman" w:hAnsi="Times New Roman" w:cs="Times New Roman"/>
        </w:rPr>
        <w:t xml:space="preserve">p= </w:t>
      </w:r>
      <w:r w:rsidRPr="00975B92">
        <w:rPr>
          <w:rFonts w:ascii="Times New Roman" w:hAnsi="Times New Roman" w:cs="Times New Roman"/>
        </w:rPr>
        <w:t>.01 level, confirming Hypothesis H</w:t>
      </w:r>
      <w:r w:rsidRPr="00975B92">
        <w:rPr>
          <w:rFonts w:ascii="Times New Roman" w:hAnsi="Times New Roman" w:cs="Times New Roman"/>
          <w:vertAlign w:val="subscript"/>
        </w:rPr>
        <w:t>3A</w:t>
      </w:r>
      <w:r w:rsidRPr="00975B92">
        <w:rPr>
          <w:rFonts w:ascii="Times New Roman" w:hAnsi="Times New Roman" w:cs="Times New Roman"/>
        </w:rPr>
        <w:t>.</w:t>
      </w:r>
    </w:p>
    <w:p w14:paraId="3AB5F368" w14:textId="0E17CBFB" w:rsidR="00CB019C" w:rsidRPr="00975B92" w:rsidRDefault="00184253" w:rsidP="00F57275">
      <w:pPr>
        <w:spacing w:line="480" w:lineRule="auto"/>
        <w:ind w:firstLine="720"/>
        <w:jc w:val="both"/>
        <w:rPr>
          <w:rFonts w:ascii="Times New Roman" w:hAnsi="Times New Roman" w:cs="Times New Roman"/>
        </w:rPr>
      </w:pPr>
      <w:r>
        <w:rPr>
          <w:rFonts w:ascii="Times New Roman" w:hAnsi="Times New Roman" w:cs="Times New Roman"/>
        </w:rPr>
        <w:t xml:space="preserve">As displayed in </w:t>
      </w:r>
      <w:r>
        <w:rPr>
          <w:rFonts w:ascii="Times New Roman" w:hAnsi="Times New Roman" w:cs="Times New Roman"/>
        </w:rPr>
        <w:fldChar w:fldCharType="begin"/>
      </w:r>
      <w:r>
        <w:rPr>
          <w:rFonts w:ascii="Times New Roman" w:hAnsi="Times New Roman" w:cs="Times New Roman"/>
        </w:rPr>
        <w:instrText xml:space="preserve"> REF _Ref358325011 \h </w:instrText>
      </w:r>
      <w:r>
        <w:rPr>
          <w:rFonts w:ascii="Times New Roman" w:hAnsi="Times New Roman" w:cs="Times New Roman"/>
        </w:rPr>
      </w:r>
      <w:r>
        <w:rPr>
          <w:rFonts w:ascii="Times New Roman" w:hAnsi="Times New Roman" w:cs="Times New Roman"/>
        </w:rPr>
        <w:fldChar w:fldCharType="separate"/>
      </w:r>
      <w:r w:rsidR="00C2793E">
        <w:t xml:space="preserve">Figure </w:t>
      </w:r>
      <w:r w:rsidR="00C2793E">
        <w:rPr>
          <w:noProof/>
        </w:rPr>
        <w:t>10</w:t>
      </w:r>
      <w:r>
        <w:rPr>
          <w:rFonts w:ascii="Times New Roman" w:hAnsi="Times New Roman" w:cs="Times New Roman"/>
        </w:rPr>
        <w:fldChar w:fldCharType="end"/>
      </w:r>
      <w:r w:rsidR="00CB019C" w:rsidRPr="00975B92">
        <w:rPr>
          <w:rFonts w:ascii="Times New Roman" w:hAnsi="Times New Roman" w:cs="Times New Roman"/>
        </w:rPr>
        <w:t xml:space="preserve">, </w:t>
      </w:r>
      <w:r w:rsidR="00CB019C" w:rsidRPr="00975B92">
        <w:rPr>
          <w:rFonts w:ascii="Times New Roman" w:hAnsi="Times New Roman" w:cs="Times New Roman"/>
          <w:b/>
        </w:rPr>
        <w:t>EO strengthens the positive relationship between SCRO and FP</w:t>
      </w:r>
      <w:r w:rsidR="00CB019C" w:rsidRPr="00975B92">
        <w:rPr>
          <w:rFonts w:ascii="Times New Roman" w:hAnsi="Times New Roman" w:cs="Times New Roman"/>
        </w:rPr>
        <w:t xml:space="preserve"> as the regression shows a higher level (higher y-intercept) and slope for </w:t>
      </w:r>
      <w:r w:rsidR="00CB019C" w:rsidRPr="00975B92">
        <w:rPr>
          <w:rFonts w:ascii="Times New Roman" w:hAnsi="Times New Roman" w:cs="Times New Roman"/>
        </w:rPr>
        <w:lastRenderedPageBreak/>
        <w:t>high EO levels than for low EO levels. However, for IP, the interaction effect was not significant (</w:t>
      </w:r>
      <w:r w:rsidR="0008075A">
        <w:rPr>
          <w:rFonts w:ascii="Times New Roman" w:hAnsi="Times New Roman" w:cs="Times New Roman"/>
        </w:rPr>
        <w:t xml:space="preserve">t= </w:t>
      </w:r>
      <w:r w:rsidR="00CB019C" w:rsidRPr="00975B92">
        <w:rPr>
          <w:rFonts w:ascii="Times New Roman" w:hAnsi="Times New Roman" w:cs="Times New Roman"/>
        </w:rPr>
        <w:t>.028, p= .562) so that Hypothesis H</w:t>
      </w:r>
      <w:r w:rsidR="00CB019C" w:rsidRPr="00975B92">
        <w:rPr>
          <w:rFonts w:ascii="Times New Roman" w:hAnsi="Times New Roman" w:cs="Times New Roman"/>
          <w:vertAlign w:val="subscript"/>
        </w:rPr>
        <w:t>3B</w:t>
      </w:r>
      <w:r w:rsidR="00CB019C" w:rsidRPr="00975B92">
        <w:rPr>
          <w:rFonts w:ascii="Times New Roman" w:hAnsi="Times New Roman" w:cs="Times New Roman"/>
        </w:rPr>
        <w:t xml:space="preserve"> was not confirmed.</w:t>
      </w:r>
    </w:p>
    <w:p w14:paraId="7147BDA9" w14:textId="77777777" w:rsidR="00CB019C" w:rsidRPr="00975B92" w:rsidRDefault="00CB019C" w:rsidP="007436E7">
      <w:pPr>
        <w:spacing w:line="480" w:lineRule="auto"/>
        <w:jc w:val="both"/>
        <w:rPr>
          <w:rFonts w:ascii="Times New Roman" w:hAnsi="Times New Roman" w:cs="Times New Roman"/>
        </w:rPr>
      </w:pPr>
    </w:p>
    <w:p w14:paraId="6843F746"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noProof/>
        </w:rPr>
        <w:drawing>
          <wp:inline distT="0" distB="0" distL="0" distR="0" wp14:anchorId="10665924" wp14:editId="417668E9">
            <wp:extent cx="5439507" cy="3593856"/>
            <wp:effectExtent l="0" t="0" r="8890" b="6985"/>
            <wp:docPr id="35" name="Chart 3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E2D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908EA7C" w14:textId="2FF498D1" w:rsidR="00184253" w:rsidRDefault="00184253" w:rsidP="00184253">
      <w:pPr>
        <w:pStyle w:val="Caption"/>
        <w:keepNext/>
        <w:jc w:val="both"/>
      </w:pPr>
      <w:bookmarkStart w:id="157" w:name="_Ref358325011"/>
      <w:bookmarkStart w:id="158" w:name="_Toc358326884"/>
      <w:r>
        <w:t xml:space="preserve">Figure </w:t>
      </w:r>
      <w:fldSimple w:instr=" SEQ Figure \* ARABIC ">
        <w:r w:rsidR="00C2793E">
          <w:rPr>
            <w:noProof/>
          </w:rPr>
          <w:t>10</w:t>
        </w:r>
      </w:fldSimple>
      <w:bookmarkEnd w:id="157"/>
      <w:r>
        <w:t xml:space="preserve">: </w:t>
      </w:r>
      <w:r w:rsidRPr="00975B92">
        <w:rPr>
          <w:rFonts w:cs="Times New Roman"/>
        </w:rPr>
        <w:t>Interaction Effect on Financial Performance</w:t>
      </w:r>
      <w:bookmarkEnd w:id="158"/>
    </w:p>
    <w:p w14:paraId="425277C4" w14:textId="77777777" w:rsidR="00CB019C" w:rsidRPr="00975B92" w:rsidRDefault="00CB019C" w:rsidP="007436E7">
      <w:pPr>
        <w:spacing w:line="480" w:lineRule="auto"/>
        <w:jc w:val="both"/>
        <w:rPr>
          <w:rFonts w:ascii="Times New Roman" w:hAnsi="Times New Roman" w:cs="Times New Roman"/>
        </w:rPr>
      </w:pPr>
    </w:p>
    <w:p w14:paraId="70C97430" w14:textId="77777777" w:rsidR="00CB019C" w:rsidRPr="00975B92" w:rsidRDefault="00CB019C" w:rsidP="007436E7">
      <w:pPr>
        <w:spacing w:line="480" w:lineRule="auto"/>
        <w:jc w:val="both"/>
        <w:rPr>
          <w:rFonts w:ascii="Times New Roman" w:hAnsi="Times New Roman" w:cs="Times New Roman"/>
        </w:rPr>
      </w:pPr>
    </w:p>
    <w:p w14:paraId="7B7B5B68" w14:textId="77777777" w:rsidR="00CB019C" w:rsidRPr="00975B92" w:rsidRDefault="00CB019C" w:rsidP="000A6E2C">
      <w:pPr>
        <w:pStyle w:val="Heading3new"/>
      </w:pPr>
      <w:r w:rsidRPr="00975B92">
        <w:t>Structural Model (with moderation effects)</w:t>
      </w:r>
    </w:p>
    <w:p w14:paraId="466E9C4B" w14:textId="7051E134"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Overall, the structural model showed excellent model fit indicating that the empirical data fits very well to the structural model (</w:t>
      </w:r>
      <w:r w:rsidR="00CE6FB8">
        <w:rPr>
          <w:rFonts w:ascii="Times New Roman" w:hAnsi="Times New Roman" w:cs="Times New Roman"/>
        </w:rPr>
        <w:fldChar w:fldCharType="begin"/>
      </w:r>
      <w:r w:rsidR="00CE6FB8">
        <w:rPr>
          <w:rFonts w:ascii="Times New Roman" w:hAnsi="Times New Roman" w:cs="Times New Roman"/>
        </w:rPr>
        <w:instrText xml:space="preserve"> REF _Ref358325066 \h </w:instrText>
      </w:r>
      <w:r w:rsidR="00CE6FB8">
        <w:rPr>
          <w:rFonts w:ascii="Times New Roman" w:hAnsi="Times New Roman" w:cs="Times New Roman"/>
        </w:rPr>
      </w:r>
      <w:r w:rsidR="00CE6FB8">
        <w:rPr>
          <w:rFonts w:ascii="Times New Roman" w:hAnsi="Times New Roman" w:cs="Times New Roman"/>
        </w:rPr>
        <w:fldChar w:fldCharType="separate"/>
      </w:r>
      <w:r w:rsidR="00C2793E">
        <w:t xml:space="preserve">Table </w:t>
      </w:r>
      <w:r w:rsidR="00C2793E">
        <w:rPr>
          <w:noProof/>
        </w:rPr>
        <w:t>37</w:t>
      </w:r>
      <w:r w:rsidR="00CE6FB8">
        <w:rPr>
          <w:rFonts w:ascii="Times New Roman" w:hAnsi="Times New Roman" w:cs="Times New Roman"/>
        </w:rPr>
        <w:fldChar w:fldCharType="end"/>
      </w:r>
      <w:r w:rsidRPr="00975B92">
        <w:rPr>
          <w:rFonts w:ascii="Times New Roman" w:hAnsi="Times New Roman" w:cs="Times New Roman"/>
        </w:rPr>
        <w:t>).</w:t>
      </w:r>
    </w:p>
    <w:p w14:paraId="1C6EB84C" w14:textId="77777777" w:rsidR="00CB019C" w:rsidRPr="00975B92" w:rsidRDefault="00CB019C" w:rsidP="007436E7">
      <w:pPr>
        <w:spacing w:line="480" w:lineRule="auto"/>
        <w:jc w:val="both"/>
        <w:rPr>
          <w:rFonts w:ascii="Times New Roman" w:hAnsi="Times New Roman" w:cs="Times New Roman"/>
          <w:b/>
        </w:rPr>
      </w:pPr>
    </w:p>
    <w:p w14:paraId="1D3E2DC1" w14:textId="14536D9D" w:rsidR="00CE6FB8" w:rsidRDefault="00CE6FB8" w:rsidP="00CE6FB8">
      <w:pPr>
        <w:pStyle w:val="Caption"/>
        <w:keepNext/>
        <w:jc w:val="both"/>
      </w:pPr>
      <w:bookmarkStart w:id="159" w:name="_Toc358326873"/>
      <w:bookmarkStart w:id="160" w:name="_Ref358325066"/>
      <w:r>
        <w:t xml:space="preserve">Table </w:t>
      </w:r>
      <w:fldSimple w:instr=" SEQ Table \* ARABIC ">
        <w:r w:rsidR="00C2793E">
          <w:rPr>
            <w:noProof/>
          </w:rPr>
          <w:t>37</w:t>
        </w:r>
        <w:bookmarkEnd w:id="159"/>
      </w:fldSimple>
      <w:bookmarkEnd w:id="160"/>
    </w:p>
    <w:p w14:paraId="5EA10749" w14:textId="5FA0CF17"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Structural Model Fit Comparison</w:t>
      </w:r>
    </w:p>
    <w:tbl>
      <w:tblPr>
        <w:tblStyle w:val="TableGrid"/>
        <w:tblW w:w="0" w:type="auto"/>
        <w:tblLook w:val="04A0" w:firstRow="1" w:lastRow="0" w:firstColumn="1" w:lastColumn="0" w:noHBand="0" w:noVBand="1"/>
      </w:tblPr>
      <w:tblGrid>
        <w:gridCol w:w="1283"/>
        <w:gridCol w:w="866"/>
        <w:gridCol w:w="864"/>
        <w:gridCol w:w="864"/>
        <w:gridCol w:w="1005"/>
        <w:gridCol w:w="864"/>
        <w:gridCol w:w="1440"/>
        <w:gridCol w:w="1017"/>
      </w:tblGrid>
      <w:tr w:rsidR="00CB019C" w:rsidRPr="00975B92" w14:paraId="1B116137" w14:textId="77777777" w:rsidTr="00776510">
        <w:tc>
          <w:tcPr>
            <w:tcW w:w="1283" w:type="dxa"/>
          </w:tcPr>
          <w:p w14:paraId="62A166E4" w14:textId="77777777" w:rsidR="00CB019C" w:rsidRPr="00975B92" w:rsidRDefault="00CB019C" w:rsidP="007436E7">
            <w:pPr>
              <w:keepNext/>
              <w:keepLines/>
              <w:contextualSpacing/>
              <w:jc w:val="both"/>
              <w:outlineLvl w:val="6"/>
              <w:rPr>
                <w:rFonts w:ascii="Times New Roman" w:hAnsi="Times New Roman" w:cs="Times New Roman"/>
                <w:b/>
                <w:sz w:val="20"/>
                <w:szCs w:val="20"/>
              </w:rPr>
            </w:pPr>
            <w:r w:rsidRPr="00975B92">
              <w:rPr>
                <w:rFonts w:ascii="Times New Roman" w:hAnsi="Times New Roman" w:cs="Times New Roman"/>
                <w:b/>
                <w:sz w:val="20"/>
                <w:szCs w:val="20"/>
              </w:rPr>
              <w:lastRenderedPageBreak/>
              <w:t>Model</w:t>
            </w:r>
          </w:p>
        </w:tc>
        <w:tc>
          <w:tcPr>
            <w:tcW w:w="866" w:type="dxa"/>
          </w:tcPr>
          <w:p w14:paraId="64F51DD4" w14:textId="1C07BC6C" w:rsidR="00CB019C" w:rsidRPr="00975B92" w:rsidRDefault="0008075A" w:rsidP="007436E7">
            <w:pPr>
              <w:keepNext/>
              <w:keepLines/>
              <w:contextualSpacing/>
              <w:jc w:val="both"/>
              <w:outlineLvl w:val="6"/>
              <w:rPr>
                <w:rFonts w:ascii="Times New Roman" w:hAnsi="Times New Roman" w:cs="Times New Roman"/>
                <w:b/>
                <w:sz w:val="20"/>
                <w:szCs w:val="20"/>
              </w:rPr>
            </w:pPr>
            <w:r>
              <w:rPr>
                <w:rFonts w:ascii="Times New Roman" w:hAnsi="Times New Roman" w:cs="Times New Roman"/>
              </w:rPr>
              <w:t>χ</w:t>
            </w:r>
            <w:r w:rsidRPr="00A26978">
              <w:rPr>
                <w:rFonts w:ascii="Times New Roman" w:hAnsi="Times New Roman" w:cs="Times New Roman"/>
                <w:vertAlign w:val="superscript"/>
              </w:rPr>
              <w:t>2</w:t>
            </w:r>
          </w:p>
        </w:tc>
        <w:tc>
          <w:tcPr>
            <w:tcW w:w="864" w:type="dxa"/>
          </w:tcPr>
          <w:p w14:paraId="2A864886" w14:textId="77777777" w:rsidR="00CB019C" w:rsidRPr="00975B92" w:rsidRDefault="00CB019C" w:rsidP="007436E7">
            <w:pPr>
              <w:keepNext/>
              <w:keepLines/>
              <w:contextualSpacing/>
              <w:jc w:val="both"/>
              <w:outlineLvl w:val="4"/>
              <w:rPr>
                <w:rFonts w:ascii="Times New Roman" w:eastAsiaTheme="majorEastAsia" w:hAnsi="Times New Roman" w:cs="Times New Roman"/>
                <w:b/>
                <w:bCs/>
                <w:i/>
                <w:iCs/>
                <w:color w:val="4F81BD" w:themeColor="accent1"/>
                <w:sz w:val="20"/>
                <w:szCs w:val="20"/>
              </w:rPr>
            </w:pPr>
            <w:r w:rsidRPr="00975B92">
              <w:rPr>
                <w:rFonts w:ascii="Times New Roman" w:hAnsi="Times New Roman" w:cs="Times New Roman"/>
                <w:b/>
                <w:sz w:val="20"/>
                <w:szCs w:val="20"/>
              </w:rPr>
              <w:t>Prob.</w:t>
            </w:r>
          </w:p>
        </w:tc>
        <w:tc>
          <w:tcPr>
            <w:tcW w:w="864" w:type="dxa"/>
          </w:tcPr>
          <w:p w14:paraId="7C9915D7" w14:textId="77777777" w:rsidR="00CB019C" w:rsidRPr="00975B92" w:rsidRDefault="00CB019C" w:rsidP="007436E7">
            <w:pPr>
              <w:keepNext/>
              <w:keepLines/>
              <w:contextualSpacing/>
              <w:jc w:val="both"/>
              <w:outlineLvl w:val="4"/>
              <w:rPr>
                <w:rFonts w:ascii="Times New Roman" w:hAnsi="Times New Roman" w:cs="Times New Roman"/>
                <w:b/>
                <w:sz w:val="20"/>
                <w:szCs w:val="20"/>
              </w:rPr>
            </w:pPr>
            <w:r w:rsidRPr="00975B92">
              <w:rPr>
                <w:rFonts w:ascii="Times New Roman" w:hAnsi="Times New Roman" w:cs="Times New Roman"/>
                <w:b/>
                <w:sz w:val="20"/>
                <w:szCs w:val="20"/>
              </w:rPr>
              <w:t>Df</w:t>
            </w:r>
          </w:p>
        </w:tc>
        <w:tc>
          <w:tcPr>
            <w:tcW w:w="1005" w:type="dxa"/>
          </w:tcPr>
          <w:p w14:paraId="17E7DF28" w14:textId="5AB0A571" w:rsidR="00CB019C" w:rsidRPr="0008075A" w:rsidRDefault="0008075A" w:rsidP="007436E7">
            <w:pPr>
              <w:keepNext/>
              <w:keepLines/>
              <w:contextualSpacing/>
              <w:jc w:val="both"/>
              <w:outlineLvl w:val="6"/>
              <w:rPr>
                <w:rFonts w:ascii="Times New Roman" w:hAnsi="Times New Roman" w:cs="Times New Roman"/>
                <w:b/>
                <w:sz w:val="20"/>
                <w:szCs w:val="20"/>
              </w:rPr>
            </w:pPr>
            <w:r w:rsidRPr="0008075A">
              <w:rPr>
                <w:rFonts w:ascii="Times New Roman" w:hAnsi="Times New Roman" w:cs="Times New Roman"/>
                <w:b/>
              </w:rPr>
              <w:t>χ</w:t>
            </w:r>
            <w:r w:rsidRPr="0008075A">
              <w:rPr>
                <w:rFonts w:ascii="Times New Roman" w:hAnsi="Times New Roman" w:cs="Times New Roman"/>
                <w:b/>
                <w:vertAlign w:val="superscript"/>
              </w:rPr>
              <w:t>2</w:t>
            </w:r>
            <w:r w:rsidR="00CB019C" w:rsidRPr="0008075A">
              <w:rPr>
                <w:rFonts w:ascii="Times New Roman" w:hAnsi="Times New Roman" w:cs="Times New Roman"/>
                <w:b/>
                <w:sz w:val="20"/>
                <w:szCs w:val="20"/>
              </w:rPr>
              <w:t>/df</w:t>
            </w:r>
          </w:p>
        </w:tc>
        <w:tc>
          <w:tcPr>
            <w:tcW w:w="864" w:type="dxa"/>
          </w:tcPr>
          <w:p w14:paraId="3568B35C" w14:textId="77777777" w:rsidR="00CB019C" w:rsidRPr="00975B92" w:rsidRDefault="00CB019C" w:rsidP="007436E7">
            <w:pPr>
              <w:keepNext/>
              <w:keepLines/>
              <w:contextualSpacing/>
              <w:jc w:val="both"/>
              <w:outlineLvl w:val="6"/>
              <w:rPr>
                <w:rFonts w:ascii="Times New Roman" w:hAnsi="Times New Roman" w:cs="Times New Roman"/>
                <w:b/>
                <w:sz w:val="20"/>
                <w:szCs w:val="20"/>
              </w:rPr>
            </w:pPr>
            <w:r w:rsidRPr="00975B92">
              <w:rPr>
                <w:rFonts w:ascii="Times New Roman" w:hAnsi="Times New Roman" w:cs="Times New Roman"/>
                <w:b/>
                <w:sz w:val="20"/>
                <w:szCs w:val="20"/>
              </w:rPr>
              <w:t>CFI</w:t>
            </w:r>
          </w:p>
        </w:tc>
        <w:tc>
          <w:tcPr>
            <w:tcW w:w="1440" w:type="dxa"/>
          </w:tcPr>
          <w:p w14:paraId="0CB5A23F" w14:textId="77777777" w:rsidR="00CB019C" w:rsidRPr="00975B92" w:rsidRDefault="00CB019C" w:rsidP="007436E7">
            <w:pPr>
              <w:keepNext/>
              <w:keepLines/>
              <w:contextualSpacing/>
              <w:jc w:val="both"/>
              <w:outlineLvl w:val="6"/>
              <w:rPr>
                <w:rFonts w:ascii="Times New Roman" w:eastAsiaTheme="majorEastAsia" w:hAnsi="Times New Roman" w:cs="Times New Roman"/>
                <w:b/>
                <w:bCs/>
                <w:i/>
                <w:iCs/>
                <w:color w:val="4F81BD" w:themeColor="accent1"/>
                <w:sz w:val="20"/>
              </w:rPr>
            </w:pPr>
            <w:r w:rsidRPr="00975B92">
              <w:rPr>
                <w:rFonts w:ascii="Times New Roman" w:hAnsi="Times New Roman" w:cs="Times New Roman"/>
                <w:b/>
                <w:sz w:val="20"/>
              </w:rPr>
              <w:t xml:space="preserve">RMSEA </w:t>
            </w:r>
          </w:p>
          <w:p w14:paraId="2F1E0BDA" w14:textId="77777777" w:rsidR="00CB019C" w:rsidRPr="00975B92" w:rsidRDefault="00CB019C" w:rsidP="007436E7">
            <w:pPr>
              <w:keepNext/>
              <w:keepLines/>
              <w:contextualSpacing/>
              <w:jc w:val="both"/>
              <w:outlineLvl w:val="6"/>
              <w:rPr>
                <w:rFonts w:ascii="Times New Roman" w:hAnsi="Times New Roman" w:cs="Times New Roman"/>
                <w:b/>
                <w:sz w:val="20"/>
              </w:rPr>
            </w:pPr>
            <w:r w:rsidRPr="00975B92">
              <w:rPr>
                <w:rFonts w:ascii="Times New Roman" w:hAnsi="Times New Roman" w:cs="Times New Roman"/>
                <w:b/>
                <w:sz w:val="18"/>
              </w:rPr>
              <w:t>(90% confidence interval)</w:t>
            </w:r>
          </w:p>
        </w:tc>
        <w:tc>
          <w:tcPr>
            <w:tcW w:w="1017" w:type="dxa"/>
          </w:tcPr>
          <w:p w14:paraId="2EB9702E" w14:textId="77777777" w:rsidR="00CB019C" w:rsidRPr="00975B92" w:rsidRDefault="00CB019C" w:rsidP="007436E7">
            <w:pPr>
              <w:keepNext/>
              <w:keepLines/>
              <w:contextualSpacing/>
              <w:jc w:val="both"/>
              <w:outlineLvl w:val="6"/>
              <w:rPr>
                <w:rFonts w:ascii="Times New Roman" w:hAnsi="Times New Roman" w:cs="Times New Roman"/>
                <w:b/>
                <w:sz w:val="20"/>
              </w:rPr>
            </w:pPr>
            <w:r w:rsidRPr="00975B92">
              <w:rPr>
                <w:rFonts w:ascii="Times New Roman" w:hAnsi="Times New Roman" w:cs="Times New Roman"/>
                <w:b/>
                <w:sz w:val="20"/>
              </w:rPr>
              <w:t>PCLOSE</w:t>
            </w:r>
          </w:p>
        </w:tc>
      </w:tr>
      <w:tr w:rsidR="00CB019C" w:rsidRPr="00975B92" w14:paraId="4E1A47E4" w14:textId="77777777" w:rsidTr="00776510">
        <w:tc>
          <w:tcPr>
            <w:tcW w:w="1283" w:type="dxa"/>
          </w:tcPr>
          <w:p w14:paraId="04CB3FEB" w14:textId="77777777" w:rsidR="00CB019C" w:rsidRPr="00975B92" w:rsidRDefault="00CB019C" w:rsidP="007436E7">
            <w:pPr>
              <w:keepNext/>
              <w:keepLines/>
              <w:contextualSpacing/>
              <w:jc w:val="both"/>
              <w:outlineLvl w:val="6"/>
              <w:rPr>
                <w:rFonts w:ascii="Times New Roman" w:eastAsiaTheme="majorEastAsia" w:hAnsi="Times New Roman" w:cs="Times New Roman"/>
                <w:b/>
                <w:bCs/>
                <w:i/>
                <w:iCs/>
                <w:color w:val="4F81BD" w:themeColor="accent1"/>
                <w:sz w:val="20"/>
                <w:szCs w:val="20"/>
              </w:rPr>
            </w:pPr>
            <w:r w:rsidRPr="00975B92">
              <w:rPr>
                <w:rFonts w:ascii="Times New Roman" w:hAnsi="Times New Roman" w:cs="Times New Roman"/>
                <w:sz w:val="20"/>
                <w:szCs w:val="20"/>
              </w:rPr>
              <w:t>Baseline Full Path Model</w:t>
            </w:r>
          </w:p>
          <w:p w14:paraId="045FD20C" w14:textId="77777777" w:rsidR="00CB019C" w:rsidRPr="00975B92" w:rsidRDefault="00CB019C" w:rsidP="007436E7">
            <w:pPr>
              <w:keepNext/>
              <w:keepLines/>
              <w:spacing w:before="200"/>
              <w:jc w:val="both"/>
              <w:outlineLvl w:val="2"/>
              <w:rPr>
                <w:rFonts w:ascii="Times New Roman" w:hAnsi="Times New Roman" w:cs="Times New Roman"/>
                <w:b/>
                <w:sz w:val="20"/>
                <w:szCs w:val="20"/>
              </w:rPr>
            </w:pPr>
            <w:r w:rsidRPr="00975B92">
              <w:rPr>
                <w:rFonts w:ascii="Times New Roman" w:hAnsi="Times New Roman" w:cs="Times New Roman"/>
                <w:b/>
                <w:sz w:val="20"/>
                <w:szCs w:val="20"/>
              </w:rPr>
              <w:t xml:space="preserve"> </w:t>
            </w:r>
          </w:p>
          <w:p w14:paraId="6B09C842" w14:textId="77777777" w:rsidR="00CB019C" w:rsidRPr="00975B92" w:rsidRDefault="00CB019C" w:rsidP="007436E7">
            <w:pPr>
              <w:keepNext/>
              <w:keepLines/>
              <w:contextualSpacing/>
              <w:jc w:val="both"/>
              <w:outlineLvl w:val="6"/>
              <w:rPr>
                <w:rFonts w:ascii="Times New Roman" w:hAnsi="Times New Roman" w:cs="Times New Roman"/>
                <w:sz w:val="20"/>
                <w:szCs w:val="20"/>
              </w:rPr>
            </w:pPr>
          </w:p>
        </w:tc>
        <w:tc>
          <w:tcPr>
            <w:tcW w:w="866" w:type="dxa"/>
          </w:tcPr>
          <w:p w14:paraId="71548B21" w14:textId="77777777" w:rsidR="00CB019C" w:rsidRPr="00975B92" w:rsidRDefault="00CB019C" w:rsidP="007436E7">
            <w:pPr>
              <w:tabs>
                <w:tab w:val="center" w:pos="4320"/>
                <w:tab w:val="right" w:pos="8640"/>
              </w:tabs>
              <w:jc w:val="both"/>
              <w:rPr>
                <w:rFonts w:ascii="Times New Roman" w:hAnsi="Times New Roman" w:cs="Times New Roman"/>
                <w:sz w:val="20"/>
                <w:szCs w:val="20"/>
              </w:rPr>
            </w:pPr>
            <w:r w:rsidRPr="00975B92">
              <w:rPr>
                <w:rFonts w:ascii="Times New Roman" w:hAnsi="Times New Roman" w:cs="Times New Roman"/>
                <w:sz w:val="20"/>
                <w:szCs w:val="20"/>
              </w:rPr>
              <w:t>836.925</w:t>
            </w:r>
          </w:p>
        </w:tc>
        <w:tc>
          <w:tcPr>
            <w:tcW w:w="864" w:type="dxa"/>
          </w:tcPr>
          <w:p w14:paraId="536A5444" w14:textId="77777777" w:rsidR="00CB019C" w:rsidRPr="00975B92" w:rsidRDefault="00CB019C" w:rsidP="007436E7">
            <w:pPr>
              <w:tabs>
                <w:tab w:val="center" w:pos="4320"/>
                <w:tab w:val="right" w:pos="8640"/>
              </w:tabs>
              <w:jc w:val="both"/>
              <w:rPr>
                <w:rFonts w:ascii="Times New Roman" w:hAnsi="Times New Roman" w:cs="Times New Roman"/>
                <w:sz w:val="20"/>
                <w:szCs w:val="20"/>
              </w:rPr>
            </w:pPr>
            <w:r w:rsidRPr="00975B92">
              <w:rPr>
                <w:rFonts w:ascii="Times New Roman" w:hAnsi="Times New Roman" w:cs="Times New Roman"/>
                <w:sz w:val="20"/>
                <w:szCs w:val="20"/>
              </w:rPr>
              <w:t>&lt; .0001</w:t>
            </w:r>
          </w:p>
        </w:tc>
        <w:tc>
          <w:tcPr>
            <w:tcW w:w="864" w:type="dxa"/>
          </w:tcPr>
          <w:p w14:paraId="312FA878" w14:textId="77777777" w:rsidR="00CB019C" w:rsidRPr="00975B92" w:rsidRDefault="00CB019C" w:rsidP="007436E7">
            <w:pPr>
              <w:tabs>
                <w:tab w:val="center" w:pos="4320"/>
                <w:tab w:val="right" w:pos="8640"/>
              </w:tabs>
              <w:jc w:val="both"/>
              <w:rPr>
                <w:rFonts w:ascii="Times New Roman" w:hAnsi="Times New Roman" w:cs="Times New Roman"/>
                <w:sz w:val="20"/>
                <w:szCs w:val="20"/>
              </w:rPr>
            </w:pPr>
            <w:r w:rsidRPr="00975B92">
              <w:rPr>
                <w:rFonts w:ascii="Times New Roman" w:hAnsi="Times New Roman" w:cs="Times New Roman"/>
                <w:sz w:val="20"/>
                <w:szCs w:val="20"/>
              </w:rPr>
              <w:t>568</w:t>
            </w:r>
          </w:p>
        </w:tc>
        <w:tc>
          <w:tcPr>
            <w:tcW w:w="1005" w:type="dxa"/>
          </w:tcPr>
          <w:p w14:paraId="0C5ECF6D" w14:textId="77777777" w:rsidR="00CB019C" w:rsidRPr="00975B92" w:rsidRDefault="00CB019C" w:rsidP="007436E7">
            <w:pPr>
              <w:tabs>
                <w:tab w:val="center" w:pos="4320"/>
                <w:tab w:val="right" w:pos="8640"/>
              </w:tabs>
              <w:jc w:val="both"/>
              <w:rPr>
                <w:rFonts w:ascii="Times New Roman" w:hAnsi="Times New Roman" w:cs="Times New Roman"/>
                <w:b/>
                <w:sz w:val="20"/>
                <w:szCs w:val="20"/>
              </w:rPr>
            </w:pPr>
            <w:r w:rsidRPr="00975B92">
              <w:rPr>
                <w:rFonts w:ascii="Times New Roman" w:hAnsi="Times New Roman" w:cs="Times New Roman"/>
                <w:sz w:val="20"/>
                <w:szCs w:val="20"/>
              </w:rPr>
              <w:t>1.473</w:t>
            </w:r>
          </w:p>
        </w:tc>
        <w:tc>
          <w:tcPr>
            <w:tcW w:w="864" w:type="dxa"/>
          </w:tcPr>
          <w:p w14:paraId="2C48352E" w14:textId="77777777" w:rsidR="00CB019C" w:rsidRPr="00975B92" w:rsidRDefault="00CB019C" w:rsidP="007436E7">
            <w:pPr>
              <w:tabs>
                <w:tab w:val="center" w:pos="4320"/>
                <w:tab w:val="right" w:pos="8640"/>
              </w:tabs>
              <w:jc w:val="both"/>
              <w:rPr>
                <w:rFonts w:ascii="Times New Roman" w:hAnsi="Times New Roman" w:cs="Times New Roman"/>
                <w:b/>
                <w:sz w:val="20"/>
                <w:szCs w:val="20"/>
              </w:rPr>
            </w:pPr>
            <w:r w:rsidRPr="00975B92">
              <w:rPr>
                <w:rFonts w:ascii="Times New Roman" w:hAnsi="Times New Roman" w:cs="Times New Roman"/>
                <w:sz w:val="20"/>
                <w:szCs w:val="20"/>
              </w:rPr>
              <w:t>.950</w:t>
            </w:r>
          </w:p>
        </w:tc>
        <w:tc>
          <w:tcPr>
            <w:tcW w:w="1440" w:type="dxa"/>
          </w:tcPr>
          <w:p w14:paraId="692D0278"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.044</w:t>
            </w:r>
          </w:p>
          <w:p w14:paraId="7EC4B0D9" w14:textId="77777777" w:rsidR="00CB019C" w:rsidRPr="00975B92" w:rsidRDefault="00CB019C" w:rsidP="007436E7">
            <w:pPr>
              <w:jc w:val="both"/>
              <w:rPr>
                <w:rFonts w:ascii="Times New Roman" w:hAnsi="Times New Roman" w:cs="Times New Roman"/>
                <w:sz w:val="20"/>
                <w:szCs w:val="20"/>
              </w:rPr>
            </w:pPr>
          </w:p>
          <w:p w14:paraId="5AC16D51"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Low90 = .037</w:t>
            </w:r>
          </w:p>
          <w:p w14:paraId="498B9943" w14:textId="77777777" w:rsidR="00CB019C" w:rsidRPr="00975B92" w:rsidRDefault="00CB019C" w:rsidP="007436E7">
            <w:pPr>
              <w:tabs>
                <w:tab w:val="center" w:pos="4320"/>
                <w:tab w:val="right" w:pos="8640"/>
              </w:tabs>
              <w:jc w:val="both"/>
              <w:rPr>
                <w:rFonts w:ascii="Times New Roman" w:hAnsi="Times New Roman" w:cs="Times New Roman"/>
                <w:sz w:val="20"/>
                <w:szCs w:val="20"/>
              </w:rPr>
            </w:pPr>
            <w:r w:rsidRPr="00975B92">
              <w:rPr>
                <w:rFonts w:ascii="Times New Roman" w:hAnsi="Times New Roman" w:cs="Times New Roman"/>
                <w:sz w:val="20"/>
                <w:szCs w:val="20"/>
              </w:rPr>
              <w:t>High90 = .050</w:t>
            </w:r>
          </w:p>
        </w:tc>
        <w:tc>
          <w:tcPr>
            <w:tcW w:w="1017" w:type="dxa"/>
          </w:tcPr>
          <w:p w14:paraId="0B837B35" w14:textId="77777777" w:rsidR="00CB019C" w:rsidRPr="00975B92" w:rsidRDefault="00CB019C" w:rsidP="007436E7">
            <w:pPr>
              <w:tabs>
                <w:tab w:val="center" w:pos="4320"/>
                <w:tab w:val="right" w:pos="8640"/>
              </w:tabs>
              <w:jc w:val="both"/>
              <w:rPr>
                <w:rFonts w:ascii="Times New Roman" w:hAnsi="Times New Roman" w:cs="Times New Roman"/>
                <w:b/>
                <w:sz w:val="20"/>
                <w:szCs w:val="20"/>
              </w:rPr>
            </w:pPr>
            <w:r w:rsidRPr="00975B92">
              <w:rPr>
                <w:rFonts w:ascii="Times New Roman" w:hAnsi="Times New Roman" w:cs="Times New Roman"/>
                <w:sz w:val="20"/>
                <w:szCs w:val="20"/>
              </w:rPr>
              <w:t>.948</w:t>
            </w:r>
          </w:p>
        </w:tc>
      </w:tr>
      <w:tr w:rsidR="00CB019C" w:rsidRPr="00975B92" w14:paraId="41025920" w14:textId="77777777" w:rsidTr="00776510">
        <w:tc>
          <w:tcPr>
            <w:tcW w:w="1283" w:type="dxa"/>
          </w:tcPr>
          <w:p w14:paraId="6144D30A" w14:textId="77777777" w:rsidR="00CB019C" w:rsidRPr="00975B92" w:rsidRDefault="00CB019C" w:rsidP="007436E7">
            <w:pPr>
              <w:keepNext/>
              <w:keepLines/>
              <w:contextualSpacing/>
              <w:jc w:val="both"/>
              <w:outlineLvl w:val="6"/>
              <w:rPr>
                <w:rFonts w:ascii="Times New Roman" w:eastAsiaTheme="majorEastAsia" w:hAnsi="Times New Roman" w:cs="Times New Roman"/>
                <w:b/>
                <w:bCs/>
                <w:i/>
                <w:iCs/>
                <w:color w:val="4F81BD" w:themeColor="accent1"/>
                <w:sz w:val="20"/>
                <w:szCs w:val="20"/>
              </w:rPr>
            </w:pPr>
            <w:r w:rsidRPr="00975B92">
              <w:rPr>
                <w:rFonts w:ascii="Times New Roman" w:hAnsi="Times New Roman" w:cs="Times New Roman"/>
                <w:sz w:val="20"/>
                <w:szCs w:val="20"/>
              </w:rPr>
              <w:t>Moderation</w:t>
            </w:r>
          </w:p>
          <w:p w14:paraId="2860FEFA" w14:textId="0E267459" w:rsidR="00CB019C" w:rsidRPr="00975B92" w:rsidRDefault="00CB019C" w:rsidP="007436E7">
            <w:pPr>
              <w:keepNext/>
              <w:keepLines/>
              <w:contextualSpacing/>
              <w:jc w:val="both"/>
              <w:outlineLvl w:val="6"/>
              <w:rPr>
                <w:rFonts w:ascii="Times New Roman" w:eastAsiaTheme="majorEastAsia" w:hAnsi="Times New Roman" w:cs="Times New Roman"/>
                <w:b/>
                <w:bCs/>
                <w:i/>
                <w:iCs/>
                <w:color w:val="4F81BD" w:themeColor="accent1"/>
                <w:sz w:val="20"/>
                <w:szCs w:val="20"/>
              </w:rPr>
            </w:pPr>
            <w:r w:rsidRPr="00975B92">
              <w:rPr>
                <w:rFonts w:ascii="Times New Roman" w:hAnsi="Times New Roman" w:cs="Times New Roman"/>
                <w:sz w:val="20"/>
                <w:szCs w:val="20"/>
              </w:rPr>
              <w:t>(</w:t>
            </w:r>
            <w:r w:rsidR="00A01C19">
              <w:rPr>
                <w:rFonts w:ascii="Times New Roman" w:hAnsi="Times New Roman" w:cs="Times New Roman"/>
                <w:sz w:val="20"/>
                <w:szCs w:val="20"/>
              </w:rPr>
              <w:t>F</w:t>
            </w:r>
            <w:r w:rsidRPr="00975B92">
              <w:rPr>
                <w:rFonts w:ascii="Times New Roman" w:hAnsi="Times New Roman" w:cs="Times New Roman"/>
                <w:sz w:val="20"/>
                <w:szCs w:val="20"/>
              </w:rPr>
              <w:t xml:space="preserve">ull </w:t>
            </w:r>
            <w:r w:rsidR="00A01C19">
              <w:rPr>
                <w:rFonts w:ascii="Times New Roman" w:hAnsi="Times New Roman" w:cs="Times New Roman"/>
                <w:sz w:val="20"/>
                <w:szCs w:val="20"/>
              </w:rPr>
              <w:t>M</w:t>
            </w:r>
            <w:r w:rsidRPr="00975B92">
              <w:rPr>
                <w:rFonts w:ascii="Times New Roman" w:hAnsi="Times New Roman" w:cs="Times New Roman"/>
                <w:sz w:val="20"/>
                <w:szCs w:val="20"/>
              </w:rPr>
              <w:t>odel)</w:t>
            </w:r>
          </w:p>
          <w:p w14:paraId="2C227638" w14:textId="77777777" w:rsidR="00CB019C" w:rsidRPr="00975B92" w:rsidRDefault="00CB019C" w:rsidP="007436E7">
            <w:pPr>
              <w:jc w:val="both"/>
              <w:rPr>
                <w:rFonts w:ascii="Times New Roman" w:hAnsi="Times New Roman" w:cs="Times New Roman"/>
                <w:b/>
                <w:sz w:val="20"/>
                <w:szCs w:val="20"/>
              </w:rPr>
            </w:pPr>
            <w:r w:rsidRPr="00975B92">
              <w:rPr>
                <w:rFonts w:ascii="Times New Roman" w:hAnsi="Times New Roman" w:cs="Times New Roman"/>
                <w:b/>
                <w:sz w:val="20"/>
                <w:szCs w:val="20"/>
              </w:rPr>
              <w:t xml:space="preserve"> </w:t>
            </w:r>
          </w:p>
          <w:p w14:paraId="411DFB11" w14:textId="77777777" w:rsidR="00CB019C" w:rsidRPr="00975B92" w:rsidRDefault="00CB019C" w:rsidP="007436E7">
            <w:pPr>
              <w:keepNext/>
              <w:keepLines/>
              <w:contextualSpacing/>
              <w:jc w:val="both"/>
              <w:outlineLvl w:val="6"/>
              <w:rPr>
                <w:rFonts w:ascii="Times New Roman" w:hAnsi="Times New Roman" w:cs="Times New Roman"/>
                <w:sz w:val="20"/>
                <w:szCs w:val="20"/>
              </w:rPr>
            </w:pPr>
          </w:p>
        </w:tc>
        <w:tc>
          <w:tcPr>
            <w:tcW w:w="866" w:type="dxa"/>
          </w:tcPr>
          <w:p w14:paraId="363581E9" w14:textId="77777777" w:rsidR="00CB019C" w:rsidRPr="00975B92" w:rsidRDefault="00CB019C" w:rsidP="007436E7">
            <w:pPr>
              <w:tabs>
                <w:tab w:val="center" w:pos="4320"/>
                <w:tab w:val="right" w:pos="8640"/>
              </w:tabs>
              <w:jc w:val="both"/>
              <w:rPr>
                <w:rFonts w:ascii="Times New Roman" w:hAnsi="Times New Roman" w:cs="Times New Roman"/>
                <w:sz w:val="20"/>
                <w:szCs w:val="20"/>
              </w:rPr>
            </w:pPr>
            <w:r w:rsidRPr="00975B92">
              <w:rPr>
                <w:rFonts w:ascii="Times New Roman" w:hAnsi="Times New Roman" w:cs="Times New Roman"/>
                <w:sz w:val="20"/>
                <w:szCs w:val="20"/>
              </w:rPr>
              <w:t>891.914</w:t>
            </w:r>
          </w:p>
        </w:tc>
        <w:tc>
          <w:tcPr>
            <w:tcW w:w="864" w:type="dxa"/>
          </w:tcPr>
          <w:p w14:paraId="3DC58D1B" w14:textId="77777777" w:rsidR="00CB019C" w:rsidRPr="00975B92" w:rsidRDefault="00CB019C" w:rsidP="007436E7">
            <w:pPr>
              <w:tabs>
                <w:tab w:val="center" w:pos="4320"/>
                <w:tab w:val="right" w:pos="8640"/>
              </w:tabs>
              <w:jc w:val="both"/>
              <w:rPr>
                <w:rFonts w:ascii="Times New Roman" w:hAnsi="Times New Roman" w:cs="Times New Roman"/>
                <w:sz w:val="20"/>
                <w:szCs w:val="20"/>
              </w:rPr>
            </w:pPr>
            <w:r w:rsidRPr="00975B92">
              <w:rPr>
                <w:rFonts w:ascii="Times New Roman" w:hAnsi="Times New Roman" w:cs="Times New Roman"/>
                <w:sz w:val="20"/>
                <w:szCs w:val="20"/>
              </w:rPr>
              <w:t>&lt; .0001</w:t>
            </w:r>
          </w:p>
        </w:tc>
        <w:tc>
          <w:tcPr>
            <w:tcW w:w="864" w:type="dxa"/>
          </w:tcPr>
          <w:p w14:paraId="5EC306E5" w14:textId="77777777" w:rsidR="00CB019C" w:rsidRPr="00975B92" w:rsidRDefault="00CB019C" w:rsidP="007436E7">
            <w:pPr>
              <w:tabs>
                <w:tab w:val="center" w:pos="4320"/>
                <w:tab w:val="right" w:pos="8640"/>
              </w:tabs>
              <w:jc w:val="both"/>
              <w:rPr>
                <w:rFonts w:ascii="Times New Roman" w:hAnsi="Times New Roman" w:cs="Times New Roman"/>
                <w:sz w:val="20"/>
                <w:szCs w:val="20"/>
              </w:rPr>
            </w:pPr>
            <w:r w:rsidRPr="00975B92">
              <w:rPr>
                <w:rFonts w:ascii="Times New Roman" w:hAnsi="Times New Roman" w:cs="Times New Roman"/>
                <w:sz w:val="20"/>
                <w:szCs w:val="20"/>
              </w:rPr>
              <w:t>598</w:t>
            </w:r>
          </w:p>
        </w:tc>
        <w:tc>
          <w:tcPr>
            <w:tcW w:w="1005" w:type="dxa"/>
          </w:tcPr>
          <w:p w14:paraId="7AEC60F8" w14:textId="77777777" w:rsidR="00CB019C" w:rsidRPr="00975B92" w:rsidRDefault="00CB019C" w:rsidP="007436E7">
            <w:pPr>
              <w:tabs>
                <w:tab w:val="center" w:pos="4320"/>
                <w:tab w:val="right" w:pos="8640"/>
              </w:tabs>
              <w:jc w:val="both"/>
              <w:rPr>
                <w:rFonts w:ascii="Times New Roman" w:hAnsi="Times New Roman" w:cs="Times New Roman"/>
                <w:sz w:val="20"/>
                <w:szCs w:val="20"/>
              </w:rPr>
            </w:pPr>
            <w:r w:rsidRPr="00975B92">
              <w:rPr>
                <w:rFonts w:ascii="Times New Roman" w:hAnsi="Times New Roman" w:cs="Times New Roman"/>
                <w:sz w:val="20"/>
                <w:szCs w:val="20"/>
              </w:rPr>
              <w:t>1.491</w:t>
            </w:r>
          </w:p>
        </w:tc>
        <w:tc>
          <w:tcPr>
            <w:tcW w:w="864" w:type="dxa"/>
          </w:tcPr>
          <w:p w14:paraId="59510BDE" w14:textId="77777777" w:rsidR="00CB019C" w:rsidRPr="00975B92" w:rsidRDefault="00CB019C" w:rsidP="007436E7">
            <w:pPr>
              <w:tabs>
                <w:tab w:val="center" w:pos="4320"/>
                <w:tab w:val="right" w:pos="8640"/>
              </w:tabs>
              <w:jc w:val="both"/>
              <w:rPr>
                <w:rFonts w:ascii="Times New Roman" w:hAnsi="Times New Roman" w:cs="Times New Roman"/>
                <w:sz w:val="20"/>
                <w:szCs w:val="20"/>
              </w:rPr>
            </w:pPr>
            <w:r w:rsidRPr="00975B92">
              <w:rPr>
                <w:rFonts w:ascii="Times New Roman" w:hAnsi="Times New Roman" w:cs="Times New Roman"/>
                <w:sz w:val="20"/>
                <w:szCs w:val="20"/>
              </w:rPr>
              <w:t>.946</w:t>
            </w:r>
          </w:p>
        </w:tc>
        <w:tc>
          <w:tcPr>
            <w:tcW w:w="1440" w:type="dxa"/>
          </w:tcPr>
          <w:p w14:paraId="15413491"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.045</w:t>
            </w:r>
          </w:p>
          <w:p w14:paraId="018A6E41" w14:textId="77777777" w:rsidR="00CB019C" w:rsidRPr="00975B92" w:rsidRDefault="00CB019C" w:rsidP="007436E7">
            <w:pPr>
              <w:jc w:val="both"/>
              <w:rPr>
                <w:rFonts w:ascii="Times New Roman" w:hAnsi="Times New Roman" w:cs="Times New Roman"/>
                <w:sz w:val="20"/>
                <w:szCs w:val="20"/>
              </w:rPr>
            </w:pPr>
          </w:p>
          <w:p w14:paraId="36B46358"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Low90 = .038</w:t>
            </w:r>
          </w:p>
          <w:p w14:paraId="4153F57F" w14:textId="77777777" w:rsidR="00CB019C" w:rsidRPr="00975B92" w:rsidRDefault="00CB019C" w:rsidP="007436E7">
            <w:pPr>
              <w:keepNext/>
              <w:keepLines/>
              <w:tabs>
                <w:tab w:val="center" w:pos="4320"/>
                <w:tab w:val="right" w:pos="8640"/>
              </w:tabs>
              <w:spacing w:before="200"/>
              <w:jc w:val="both"/>
              <w:outlineLvl w:val="2"/>
              <w:rPr>
                <w:rFonts w:ascii="Times New Roman" w:hAnsi="Times New Roman" w:cs="Times New Roman"/>
                <w:sz w:val="20"/>
                <w:szCs w:val="20"/>
              </w:rPr>
            </w:pPr>
            <w:r w:rsidRPr="00975B92">
              <w:rPr>
                <w:rFonts w:ascii="Times New Roman" w:hAnsi="Times New Roman" w:cs="Times New Roman"/>
                <w:sz w:val="20"/>
                <w:szCs w:val="20"/>
              </w:rPr>
              <w:t>High90 = .051</w:t>
            </w:r>
          </w:p>
        </w:tc>
        <w:tc>
          <w:tcPr>
            <w:tcW w:w="1017" w:type="dxa"/>
          </w:tcPr>
          <w:p w14:paraId="4CFDD5DD" w14:textId="77777777" w:rsidR="00CB019C" w:rsidRPr="00975B92" w:rsidRDefault="00CB019C" w:rsidP="007436E7">
            <w:pPr>
              <w:tabs>
                <w:tab w:val="center" w:pos="4320"/>
                <w:tab w:val="right" w:pos="8640"/>
              </w:tabs>
              <w:jc w:val="both"/>
              <w:rPr>
                <w:rFonts w:ascii="Times New Roman" w:hAnsi="Times New Roman" w:cs="Times New Roman"/>
                <w:sz w:val="20"/>
              </w:rPr>
            </w:pPr>
            <w:r w:rsidRPr="00975B92">
              <w:rPr>
                <w:rFonts w:ascii="Times New Roman" w:hAnsi="Times New Roman" w:cs="Times New Roman"/>
                <w:sz w:val="20"/>
              </w:rPr>
              <w:t>.926</w:t>
            </w:r>
          </w:p>
        </w:tc>
      </w:tr>
    </w:tbl>
    <w:p w14:paraId="1221F24D" w14:textId="77777777" w:rsidR="00CB019C" w:rsidRPr="00975B92" w:rsidRDefault="00CB019C" w:rsidP="007436E7">
      <w:pPr>
        <w:spacing w:line="480" w:lineRule="auto"/>
        <w:jc w:val="both"/>
        <w:rPr>
          <w:rFonts w:ascii="Times New Roman" w:hAnsi="Times New Roman" w:cs="Times New Roman"/>
        </w:rPr>
      </w:pPr>
    </w:p>
    <w:p w14:paraId="3B592700" w14:textId="77777777" w:rsidR="00CB019C" w:rsidRPr="00975B92" w:rsidRDefault="00CB019C" w:rsidP="000A6E2C">
      <w:pPr>
        <w:pStyle w:val="Heading3new"/>
      </w:pPr>
      <w:r w:rsidRPr="00975B92">
        <w:t>Mediation effects</w:t>
      </w:r>
    </w:p>
    <w:p w14:paraId="6639F939" w14:textId="65895366"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Finally, Hypothesis H</w:t>
      </w:r>
      <w:r w:rsidRPr="00975B92">
        <w:rPr>
          <w:rFonts w:ascii="Times New Roman" w:hAnsi="Times New Roman" w:cs="Times New Roman"/>
          <w:vertAlign w:val="subscript"/>
        </w:rPr>
        <w:t>4A</w:t>
      </w:r>
      <w:r w:rsidRPr="00975B92">
        <w:rPr>
          <w:rFonts w:ascii="Times New Roman" w:hAnsi="Times New Roman" w:cs="Times New Roman"/>
        </w:rPr>
        <w:t xml:space="preserve"> and  H</w:t>
      </w:r>
      <w:r w:rsidRPr="00975B92">
        <w:rPr>
          <w:rFonts w:ascii="Times New Roman" w:hAnsi="Times New Roman" w:cs="Times New Roman"/>
          <w:vertAlign w:val="subscript"/>
        </w:rPr>
        <w:t>4B</w:t>
      </w:r>
      <w:r w:rsidRPr="00975B92">
        <w:rPr>
          <w:rFonts w:ascii="Times New Roman" w:hAnsi="Times New Roman" w:cs="Times New Roman"/>
        </w:rPr>
        <w:t xml:space="preserve"> were tested with SCRO serving as mediator for the relationship between EO and Innovation Performance. However, there were no significant effects (p = .262) so that the hypotheses were not confirmed. The results of the hypotheses testing are summarized in</w:t>
      </w:r>
      <w:r w:rsidR="00AB4353">
        <w:rPr>
          <w:rFonts w:ascii="Times New Roman" w:hAnsi="Times New Roman" w:cs="Times New Roman"/>
        </w:rPr>
        <w:t xml:space="preserve"> </w:t>
      </w:r>
      <w:r w:rsidR="00AB4353">
        <w:rPr>
          <w:rFonts w:ascii="Times New Roman" w:hAnsi="Times New Roman" w:cs="Times New Roman"/>
        </w:rPr>
        <w:fldChar w:fldCharType="begin"/>
      </w:r>
      <w:r w:rsidR="00AB4353">
        <w:rPr>
          <w:rFonts w:ascii="Times New Roman" w:hAnsi="Times New Roman" w:cs="Times New Roman"/>
        </w:rPr>
        <w:instrText xml:space="preserve"> REF _Ref358325100 \h </w:instrText>
      </w:r>
      <w:r w:rsidR="00AB4353">
        <w:rPr>
          <w:rFonts w:ascii="Times New Roman" w:hAnsi="Times New Roman" w:cs="Times New Roman"/>
        </w:rPr>
      </w:r>
      <w:r w:rsidR="00AB4353">
        <w:rPr>
          <w:rFonts w:ascii="Times New Roman" w:hAnsi="Times New Roman" w:cs="Times New Roman"/>
        </w:rPr>
        <w:fldChar w:fldCharType="separate"/>
      </w:r>
      <w:r w:rsidR="00C2793E">
        <w:t xml:space="preserve">Table </w:t>
      </w:r>
      <w:r w:rsidR="00C2793E">
        <w:rPr>
          <w:noProof/>
        </w:rPr>
        <w:t>38</w:t>
      </w:r>
      <w:r w:rsidR="00AB4353">
        <w:rPr>
          <w:rFonts w:ascii="Times New Roman" w:hAnsi="Times New Roman" w:cs="Times New Roman"/>
        </w:rPr>
        <w:fldChar w:fldCharType="end"/>
      </w:r>
      <w:r w:rsidRPr="00975B92">
        <w:rPr>
          <w:rFonts w:ascii="Times New Roman" w:hAnsi="Times New Roman" w:cs="Times New Roman"/>
        </w:rPr>
        <w:t>.</w:t>
      </w:r>
    </w:p>
    <w:p w14:paraId="591AF1D2" w14:textId="77777777" w:rsidR="00CB019C" w:rsidRPr="00975B92" w:rsidRDefault="00CB019C" w:rsidP="007436E7">
      <w:pPr>
        <w:spacing w:line="480" w:lineRule="auto"/>
        <w:jc w:val="both"/>
        <w:rPr>
          <w:rFonts w:ascii="Times New Roman" w:hAnsi="Times New Roman" w:cs="Times New Roman"/>
        </w:rPr>
      </w:pPr>
    </w:p>
    <w:p w14:paraId="53A1BF85" w14:textId="3F19788B" w:rsidR="00AB4353" w:rsidRDefault="00AB4353" w:rsidP="00AB4353">
      <w:pPr>
        <w:pStyle w:val="Caption"/>
        <w:keepNext/>
        <w:jc w:val="both"/>
      </w:pPr>
      <w:bookmarkStart w:id="161" w:name="_Toc358326874"/>
      <w:bookmarkStart w:id="162" w:name="_Ref358325100"/>
      <w:r>
        <w:t xml:space="preserve">Table </w:t>
      </w:r>
      <w:fldSimple w:instr=" SEQ Table \* ARABIC ">
        <w:r w:rsidR="00C2793E">
          <w:rPr>
            <w:noProof/>
          </w:rPr>
          <w:t>38</w:t>
        </w:r>
        <w:bookmarkEnd w:id="161"/>
      </w:fldSimple>
      <w:bookmarkEnd w:id="162"/>
    </w:p>
    <w:p w14:paraId="79BBF7A0" w14:textId="4F3243C9" w:rsidR="00CB019C" w:rsidRPr="00975B92" w:rsidRDefault="00CB019C" w:rsidP="007436E7">
      <w:pPr>
        <w:jc w:val="both"/>
        <w:rPr>
          <w:rFonts w:ascii="Times New Roman" w:hAnsi="Times New Roman" w:cs="Times New Roman"/>
          <w:b/>
        </w:rPr>
      </w:pPr>
      <w:r w:rsidRPr="00975B92">
        <w:rPr>
          <w:rFonts w:ascii="Times New Roman" w:hAnsi="Times New Roman" w:cs="Times New Roman"/>
          <w:b/>
        </w:rPr>
        <w:t>Summary of Hypothesis Testing</w:t>
      </w:r>
    </w:p>
    <w:tbl>
      <w:tblPr>
        <w:tblStyle w:val="TableGrid"/>
        <w:tblW w:w="0" w:type="auto"/>
        <w:tblLook w:val="04A0" w:firstRow="1" w:lastRow="0" w:firstColumn="1" w:lastColumn="0" w:noHBand="0" w:noVBand="1"/>
      </w:tblPr>
      <w:tblGrid>
        <w:gridCol w:w="1771"/>
        <w:gridCol w:w="1771"/>
        <w:gridCol w:w="1771"/>
        <w:gridCol w:w="1772"/>
      </w:tblGrid>
      <w:tr w:rsidR="00CB019C" w:rsidRPr="00975B92" w14:paraId="2ABDEC59" w14:textId="77777777" w:rsidTr="00776510">
        <w:tc>
          <w:tcPr>
            <w:tcW w:w="1771" w:type="dxa"/>
          </w:tcPr>
          <w:p w14:paraId="3B17BC5F" w14:textId="77777777" w:rsidR="00CB019C" w:rsidRPr="00975B92" w:rsidRDefault="00CB019C" w:rsidP="007436E7">
            <w:pPr>
              <w:jc w:val="both"/>
              <w:rPr>
                <w:rFonts w:ascii="Times New Roman" w:hAnsi="Times New Roman" w:cs="Times New Roman"/>
                <w:b/>
                <w:sz w:val="20"/>
                <w:szCs w:val="20"/>
              </w:rPr>
            </w:pPr>
            <w:r w:rsidRPr="00975B92">
              <w:rPr>
                <w:rFonts w:ascii="Times New Roman" w:hAnsi="Times New Roman" w:cs="Times New Roman"/>
                <w:b/>
                <w:sz w:val="20"/>
                <w:szCs w:val="20"/>
              </w:rPr>
              <w:t>Hypothesis</w:t>
            </w:r>
          </w:p>
        </w:tc>
        <w:tc>
          <w:tcPr>
            <w:tcW w:w="1771" w:type="dxa"/>
          </w:tcPr>
          <w:p w14:paraId="18A25D1C" w14:textId="77777777" w:rsidR="00CB019C" w:rsidRPr="00975B92" w:rsidRDefault="00CB019C" w:rsidP="007436E7">
            <w:pPr>
              <w:jc w:val="both"/>
              <w:rPr>
                <w:rFonts w:ascii="Times New Roman" w:hAnsi="Times New Roman" w:cs="Times New Roman"/>
                <w:b/>
                <w:sz w:val="20"/>
                <w:szCs w:val="20"/>
              </w:rPr>
            </w:pPr>
            <w:r w:rsidRPr="00975B92">
              <w:rPr>
                <w:rFonts w:ascii="Times New Roman" w:hAnsi="Times New Roman" w:cs="Times New Roman"/>
                <w:b/>
                <w:sz w:val="20"/>
                <w:szCs w:val="20"/>
              </w:rPr>
              <w:t xml:space="preserve">Parameter </w:t>
            </w:r>
          </w:p>
          <w:p w14:paraId="27DAB16C" w14:textId="77777777" w:rsidR="00CB019C" w:rsidRPr="00975B92" w:rsidRDefault="00CB019C" w:rsidP="007436E7">
            <w:pPr>
              <w:jc w:val="both"/>
              <w:rPr>
                <w:rFonts w:ascii="Times New Roman" w:hAnsi="Times New Roman" w:cs="Times New Roman"/>
                <w:b/>
                <w:sz w:val="20"/>
                <w:szCs w:val="20"/>
              </w:rPr>
            </w:pPr>
            <w:r w:rsidRPr="00975B92">
              <w:rPr>
                <w:rFonts w:ascii="Times New Roman" w:hAnsi="Times New Roman" w:cs="Times New Roman"/>
                <w:b/>
                <w:sz w:val="20"/>
                <w:szCs w:val="20"/>
              </w:rPr>
              <w:t>Estimate</w:t>
            </w:r>
          </w:p>
        </w:tc>
        <w:tc>
          <w:tcPr>
            <w:tcW w:w="1771" w:type="dxa"/>
          </w:tcPr>
          <w:p w14:paraId="0BD54332" w14:textId="77777777" w:rsidR="00CB019C" w:rsidRPr="00975B92" w:rsidRDefault="00CB019C" w:rsidP="007436E7">
            <w:pPr>
              <w:jc w:val="both"/>
              <w:rPr>
                <w:rFonts w:ascii="Times New Roman" w:hAnsi="Times New Roman" w:cs="Times New Roman"/>
                <w:b/>
                <w:sz w:val="20"/>
                <w:szCs w:val="20"/>
              </w:rPr>
            </w:pPr>
            <w:r w:rsidRPr="00975B92">
              <w:rPr>
                <w:rFonts w:ascii="Times New Roman" w:hAnsi="Times New Roman" w:cs="Times New Roman"/>
                <w:b/>
                <w:sz w:val="20"/>
                <w:szCs w:val="20"/>
              </w:rPr>
              <w:t>Probability</w:t>
            </w:r>
          </w:p>
        </w:tc>
        <w:tc>
          <w:tcPr>
            <w:tcW w:w="1772" w:type="dxa"/>
          </w:tcPr>
          <w:p w14:paraId="0F7F892B" w14:textId="77777777" w:rsidR="00CB019C" w:rsidRPr="00975B92" w:rsidRDefault="00CB019C" w:rsidP="007436E7">
            <w:pPr>
              <w:jc w:val="both"/>
              <w:rPr>
                <w:rFonts w:ascii="Times New Roman" w:hAnsi="Times New Roman" w:cs="Times New Roman"/>
                <w:b/>
                <w:sz w:val="20"/>
                <w:szCs w:val="20"/>
              </w:rPr>
            </w:pPr>
            <w:r w:rsidRPr="00975B92">
              <w:rPr>
                <w:rFonts w:ascii="Times New Roman" w:hAnsi="Times New Roman" w:cs="Times New Roman"/>
                <w:b/>
                <w:sz w:val="20"/>
                <w:szCs w:val="20"/>
              </w:rPr>
              <w:t>Conclusion</w:t>
            </w:r>
          </w:p>
        </w:tc>
      </w:tr>
      <w:tr w:rsidR="00CB019C" w:rsidRPr="00975B92" w14:paraId="1F9A7847" w14:textId="77777777" w:rsidTr="00776510">
        <w:tc>
          <w:tcPr>
            <w:tcW w:w="1771" w:type="dxa"/>
          </w:tcPr>
          <w:p w14:paraId="5320CEE0"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H</w:t>
            </w:r>
            <w:r w:rsidRPr="00975B92">
              <w:rPr>
                <w:rFonts w:ascii="Times New Roman" w:hAnsi="Times New Roman" w:cs="Times New Roman"/>
                <w:sz w:val="20"/>
                <w:szCs w:val="20"/>
                <w:vertAlign w:val="subscript"/>
              </w:rPr>
              <w:t>1A</w:t>
            </w:r>
            <w:r w:rsidRPr="00975B92">
              <w:rPr>
                <w:rFonts w:ascii="Times New Roman" w:hAnsi="Times New Roman" w:cs="Times New Roman"/>
                <w:sz w:val="20"/>
                <w:szCs w:val="20"/>
              </w:rPr>
              <w:t xml:space="preserve">   </w:t>
            </w:r>
          </w:p>
          <w:p w14:paraId="2CAD3839"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H</w:t>
            </w:r>
            <w:r w:rsidRPr="00975B92">
              <w:rPr>
                <w:rFonts w:ascii="Times New Roman" w:hAnsi="Times New Roman" w:cs="Times New Roman"/>
                <w:sz w:val="20"/>
                <w:szCs w:val="20"/>
                <w:vertAlign w:val="subscript"/>
              </w:rPr>
              <w:t>1B</w:t>
            </w:r>
            <w:r w:rsidRPr="00975B92">
              <w:rPr>
                <w:rFonts w:ascii="Times New Roman" w:hAnsi="Times New Roman" w:cs="Times New Roman"/>
                <w:sz w:val="20"/>
                <w:szCs w:val="20"/>
              </w:rPr>
              <w:t xml:space="preserve">  </w:t>
            </w:r>
          </w:p>
          <w:p w14:paraId="0C52BC2D"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 xml:space="preserve"> </w:t>
            </w:r>
          </w:p>
        </w:tc>
        <w:tc>
          <w:tcPr>
            <w:tcW w:w="1771" w:type="dxa"/>
          </w:tcPr>
          <w:p w14:paraId="5D09B92D"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.294*</w:t>
            </w:r>
          </w:p>
          <w:p w14:paraId="5911E157"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.232*</w:t>
            </w:r>
          </w:p>
        </w:tc>
        <w:tc>
          <w:tcPr>
            <w:tcW w:w="1771" w:type="dxa"/>
          </w:tcPr>
          <w:p w14:paraId="1DFEB953"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P = .002</w:t>
            </w:r>
          </w:p>
          <w:p w14:paraId="50185C26"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P = .029</w:t>
            </w:r>
          </w:p>
        </w:tc>
        <w:tc>
          <w:tcPr>
            <w:tcW w:w="1772" w:type="dxa"/>
          </w:tcPr>
          <w:p w14:paraId="51940415"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Confirmed</w:t>
            </w:r>
          </w:p>
          <w:p w14:paraId="366D7125"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Confirmed</w:t>
            </w:r>
          </w:p>
        </w:tc>
      </w:tr>
      <w:tr w:rsidR="00CB019C" w:rsidRPr="00975B92" w14:paraId="0B719924" w14:textId="77777777" w:rsidTr="00776510">
        <w:tc>
          <w:tcPr>
            <w:tcW w:w="1771" w:type="dxa"/>
          </w:tcPr>
          <w:p w14:paraId="0404FB7C"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H</w:t>
            </w:r>
            <w:r w:rsidRPr="00975B92">
              <w:rPr>
                <w:rFonts w:ascii="Times New Roman" w:hAnsi="Times New Roman" w:cs="Times New Roman"/>
                <w:sz w:val="20"/>
                <w:szCs w:val="20"/>
                <w:vertAlign w:val="subscript"/>
              </w:rPr>
              <w:t>2A</w:t>
            </w:r>
          </w:p>
          <w:p w14:paraId="4E3086A8"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H</w:t>
            </w:r>
            <w:r w:rsidRPr="00975B92">
              <w:rPr>
                <w:rFonts w:ascii="Times New Roman" w:hAnsi="Times New Roman" w:cs="Times New Roman"/>
                <w:sz w:val="20"/>
                <w:szCs w:val="20"/>
                <w:vertAlign w:val="subscript"/>
              </w:rPr>
              <w:t>2B</w:t>
            </w:r>
          </w:p>
          <w:p w14:paraId="36AAC73B"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 xml:space="preserve"> </w:t>
            </w:r>
          </w:p>
        </w:tc>
        <w:tc>
          <w:tcPr>
            <w:tcW w:w="1771" w:type="dxa"/>
          </w:tcPr>
          <w:p w14:paraId="50A9E0FF"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.665***</w:t>
            </w:r>
          </w:p>
          <w:p w14:paraId="20298A2E"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.661***</w:t>
            </w:r>
          </w:p>
        </w:tc>
        <w:tc>
          <w:tcPr>
            <w:tcW w:w="1771" w:type="dxa"/>
          </w:tcPr>
          <w:p w14:paraId="74A6BDA1"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P &lt; .001</w:t>
            </w:r>
          </w:p>
          <w:p w14:paraId="3BC5CF29"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P &lt; .001</w:t>
            </w:r>
          </w:p>
          <w:p w14:paraId="2EA93389" w14:textId="77777777" w:rsidR="00CB019C" w:rsidRPr="00975B92" w:rsidRDefault="00CB019C" w:rsidP="007436E7">
            <w:pPr>
              <w:jc w:val="both"/>
              <w:rPr>
                <w:rFonts w:ascii="Times New Roman" w:hAnsi="Times New Roman" w:cs="Times New Roman"/>
                <w:sz w:val="20"/>
                <w:szCs w:val="20"/>
              </w:rPr>
            </w:pPr>
          </w:p>
        </w:tc>
        <w:tc>
          <w:tcPr>
            <w:tcW w:w="1772" w:type="dxa"/>
          </w:tcPr>
          <w:p w14:paraId="2C2AC7DE"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Confirmed</w:t>
            </w:r>
          </w:p>
          <w:p w14:paraId="004252DD"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Confirmed</w:t>
            </w:r>
          </w:p>
        </w:tc>
      </w:tr>
      <w:tr w:rsidR="00CB019C" w:rsidRPr="00975B92" w14:paraId="0ED7AA40" w14:textId="77777777" w:rsidTr="00776510">
        <w:tc>
          <w:tcPr>
            <w:tcW w:w="1771" w:type="dxa"/>
          </w:tcPr>
          <w:p w14:paraId="200CBE0B"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H</w:t>
            </w:r>
            <w:r w:rsidRPr="00975B92">
              <w:rPr>
                <w:rFonts w:ascii="Times New Roman" w:hAnsi="Times New Roman" w:cs="Times New Roman"/>
                <w:sz w:val="20"/>
                <w:szCs w:val="20"/>
                <w:vertAlign w:val="subscript"/>
              </w:rPr>
              <w:t>3A</w:t>
            </w:r>
            <w:r w:rsidRPr="00975B92">
              <w:rPr>
                <w:rFonts w:ascii="Times New Roman" w:hAnsi="Times New Roman" w:cs="Times New Roman"/>
                <w:sz w:val="20"/>
                <w:szCs w:val="20"/>
              </w:rPr>
              <w:t xml:space="preserve"> </w:t>
            </w:r>
          </w:p>
          <w:p w14:paraId="23E3642F"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H</w:t>
            </w:r>
            <w:r w:rsidRPr="00975B92">
              <w:rPr>
                <w:rFonts w:ascii="Times New Roman" w:hAnsi="Times New Roman" w:cs="Times New Roman"/>
                <w:sz w:val="20"/>
                <w:szCs w:val="20"/>
                <w:vertAlign w:val="subscript"/>
              </w:rPr>
              <w:t>3B</w:t>
            </w:r>
            <w:r w:rsidRPr="00975B92">
              <w:rPr>
                <w:rFonts w:ascii="Times New Roman" w:hAnsi="Times New Roman" w:cs="Times New Roman"/>
                <w:sz w:val="20"/>
                <w:szCs w:val="20"/>
              </w:rPr>
              <w:t xml:space="preserve">  </w:t>
            </w:r>
          </w:p>
          <w:p w14:paraId="65873281" w14:textId="77777777" w:rsidR="00CB019C" w:rsidRPr="00975B92" w:rsidRDefault="00CB019C" w:rsidP="007436E7">
            <w:pPr>
              <w:jc w:val="both"/>
              <w:rPr>
                <w:rFonts w:ascii="Times New Roman" w:hAnsi="Times New Roman" w:cs="Times New Roman"/>
                <w:sz w:val="20"/>
              </w:rPr>
            </w:pPr>
            <w:r w:rsidRPr="00975B92">
              <w:rPr>
                <w:rFonts w:ascii="Times New Roman" w:hAnsi="Times New Roman" w:cs="Times New Roman"/>
                <w:sz w:val="20"/>
                <w:szCs w:val="20"/>
              </w:rPr>
              <w:t xml:space="preserve"> </w:t>
            </w:r>
          </w:p>
          <w:p w14:paraId="0EA975BE" w14:textId="77777777" w:rsidR="00CB019C" w:rsidRPr="00975B92" w:rsidRDefault="00CB019C" w:rsidP="007436E7">
            <w:pPr>
              <w:jc w:val="both"/>
              <w:rPr>
                <w:rFonts w:ascii="Times New Roman" w:hAnsi="Times New Roman" w:cs="Times New Roman"/>
                <w:sz w:val="20"/>
                <w:szCs w:val="20"/>
              </w:rPr>
            </w:pPr>
          </w:p>
        </w:tc>
        <w:tc>
          <w:tcPr>
            <w:tcW w:w="1771" w:type="dxa"/>
          </w:tcPr>
          <w:p w14:paraId="1616A0FD"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.028</w:t>
            </w:r>
          </w:p>
          <w:p w14:paraId="7D2ACEC4"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.172**</w:t>
            </w:r>
          </w:p>
        </w:tc>
        <w:tc>
          <w:tcPr>
            <w:tcW w:w="1771" w:type="dxa"/>
          </w:tcPr>
          <w:p w14:paraId="6E4B32A1"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P = .562</w:t>
            </w:r>
          </w:p>
          <w:p w14:paraId="55E24D63"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P = .002</w:t>
            </w:r>
          </w:p>
        </w:tc>
        <w:tc>
          <w:tcPr>
            <w:tcW w:w="1772" w:type="dxa"/>
          </w:tcPr>
          <w:p w14:paraId="65BFB564"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Not confirmed</w:t>
            </w:r>
          </w:p>
          <w:p w14:paraId="069EA2C9"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 xml:space="preserve">Confirmed </w:t>
            </w:r>
          </w:p>
        </w:tc>
      </w:tr>
      <w:tr w:rsidR="00CB019C" w:rsidRPr="00975B92" w14:paraId="6256BF95" w14:textId="77777777" w:rsidTr="00776510">
        <w:tc>
          <w:tcPr>
            <w:tcW w:w="1771" w:type="dxa"/>
          </w:tcPr>
          <w:p w14:paraId="02AB19B1"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H</w:t>
            </w:r>
            <w:r w:rsidRPr="00975B92">
              <w:rPr>
                <w:rFonts w:ascii="Times New Roman" w:hAnsi="Times New Roman" w:cs="Times New Roman"/>
                <w:sz w:val="20"/>
                <w:szCs w:val="20"/>
                <w:vertAlign w:val="subscript"/>
              </w:rPr>
              <w:t>4A/B</w:t>
            </w:r>
            <w:r w:rsidRPr="00975B92">
              <w:rPr>
                <w:rFonts w:ascii="Times New Roman" w:hAnsi="Times New Roman" w:cs="Times New Roman"/>
                <w:sz w:val="20"/>
                <w:szCs w:val="20"/>
              </w:rPr>
              <w:t xml:space="preserve"> </w:t>
            </w:r>
          </w:p>
          <w:p w14:paraId="790556DE" w14:textId="77777777" w:rsidR="00CB019C" w:rsidRPr="00975B92" w:rsidRDefault="00CB019C" w:rsidP="007436E7">
            <w:pPr>
              <w:jc w:val="both"/>
              <w:rPr>
                <w:rFonts w:ascii="Times New Roman" w:hAnsi="Times New Roman" w:cs="Times New Roman"/>
                <w:sz w:val="20"/>
                <w:szCs w:val="20"/>
              </w:rPr>
            </w:pPr>
          </w:p>
        </w:tc>
        <w:tc>
          <w:tcPr>
            <w:tcW w:w="1771" w:type="dxa"/>
          </w:tcPr>
          <w:p w14:paraId="5CE26C00"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NA</w:t>
            </w:r>
          </w:p>
        </w:tc>
        <w:tc>
          <w:tcPr>
            <w:tcW w:w="1771" w:type="dxa"/>
          </w:tcPr>
          <w:p w14:paraId="75561563"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P = .262</w:t>
            </w:r>
          </w:p>
        </w:tc>
        <w:tc>
          <w:tcPr>
            <w:tcW w:w="1772" w:type="dxa"/>
          </w:tcPr>
          <w:p w14:paraId="027F6B8F" w14:textId="77777777" w:rsidR="00CB019C" w:rsidRPr="00975B92" w:rsidRDefault="00CB019C" w:rsidP="007436E7">
            <w:pPr>
              <w:jc w:val="both"/>
              <w:rPr>
                <w:rFonts w:ascii="Times New Roman" w:hAnsi="Times New Roman" w:cs="Times New Roman"/>
                <w:sz w:val="20"/>
                <w:szCs w:val="20"/>
              </w:rPr>
            </w:pPr>
            <w:r w:rsidRPr="00975B92">
              <w:rPr>
                <w:rFonts w:ascii="Times New Roman" w:hAnsi="Times New Roman" w:cs="Times New Roman"/>
                <w:sz w:val="20"/>
                <w:szCs w:val="20"/>
              </w:rPr>
              <w:t>Not confirmed</w:t>
            </w:r>
          </w:p>
          <w:p w14:paraId="6D4DF256" w14:textId="77777777" w:rsidR="00CB019C" w:rsidRPr="00975B92" w:rsidRDefault="00CB019C" w:rsidP="007436E7">
            <w:pPr>
              <w:jc w:val="both"/>
              <w:rPr>
                <w:rFonts w:ascii="Times New Roman" w:hAnsi="Times New Roman" w:cs="Times New Roman"/>
                <w:sz w:val="20"/>
                <w:szCs w:val="20"/>
              </w:rPr>
            </w:pPr>
          </w:p>
        </w:tc>
      </w:tr>
    </w:tbl>
    <w:p w14:paraId="3500AF17" w14:textId="77777777" w:rsidR="00CB019C" w:rsidRPr="00975B92" w:rsidRDefault="00CB019C" w:rsidP="007436E7">
      <w:pPr>
        <w:spacing w:line="480" w:lineRule="auto"/>
        <w:jc w:val="both"/>
        <w:rPr>
          <w:rFonts w:ascii="Times New Roman" w:hAnsi="Times New Roman" w:cs="Times New Roman"/>
          <w:sz w:val="20"/>
        </w:rPr>
      </w:pPr>
      <w:r w:rsidRPr="00975B92">
        <w:rPr>
          <w:rFonts w:ascii="Times New Roman" w:hAnsi="Times New Roman" w:cs="Times New Roman"/>
          <w:sz w:val="20"/>
        </w:rPr>
        <w:t>Standardized parameter estimates;    * p&lt; .05; ** p&lt; .01;  *** p&lt; .001</w:t>
      </w:r>
    </w:p>
    <w:p w14:paraId="7649D7C6" w14:textId="77777777" w:rsidR="00CB019C" w:rsidRPr="00975B92" w:rsidRDefault="00CB019C" w:rsidP="007436E7">
      <w:pPr>
        <w:spacing w:line="480" w:lineRule="auto"/>
        <w:jc w:val="both"/>
        <w:rPr>
          <w:rFonts w:ascii="Times New Roman" w:hAnsi="Times New Roman" w:cs="Times New Roman"/>
        </w:rPr>
      </w:pPr>
    </w:p>
    <w:p w14:paraId="09E7BFA5" w14:textId="1A071C97" w:rsidR="00CB019C" w:rsidRPr="00975B92" w:rsidRDefault="000A6E2C" w:rsidP="000A6E2C">
      <w:pPr>
        <w:pStyle w:val="Heading2"/>
      </w:pPr>
      <w:bookmarkStart w:id="163" w:name="_Toc358326746"/>
      <w:r>
        <w:t>Discussion and Contribution</w:t>
      </w:r>
      <w:bookmarkEnd w:id="163"/>
    </w:p>
    <w:p w14:paraId="1AAFC209" w14:textId="77777777" w:rsidR="00CB019C" w:rsidRPr="00975B92" w:rsidRDefault="00CB019C" w:rsidP="00E720C7">
      <w:pPr>
        <w:pStyle w:val="Heading3new"/>
      </w:pPr>
      <w:r w:rsidRPr="00975B92">
        <w:t>Theoretical Contribution</w:t>
      </w:r>
    </w:p>
    <w:p w14:paraId="63B3835F"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lastRenderedPageBreak/>
        <w:t xml:space="preserve">This research attempts to achieve several theoretical contributions. First, the existing supply chain management literature stream is extended by empirically testing a conceptual model of SCRO. The positive effect of SCRO on both innovation and financial performance was confirmed.. Furthermore, it was demonstrated that  entrepreneurial orientation strengthens the positive relationship between SCRO and financial performance.  </w:t>
      </w:r>
    </w:p>
    <w:p w14:paraId="78C3C4E0"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Second, the SCM perspective of open innovation is extended by highlighting the important role of managerial orchestration practices within the open innovation framework. This research demonstrated the positive contribution of effective resource orchestration practices on organizational performance. The study illustrated how fruitful the innovation research domain can benefit from operational, micro-level supply chain research. Supply chain resource management appears to develop an emerging body of knowledge to which this study intended to contribute. Thereby, the call for more research on the supply side within the open innovation approach was also addressed with this study by confirming the critical performance impact of supply chain resource orchestration. </w:t>
      </w:r>
    </w:p>
    <w:p w14:paraId="0964BEC3"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Third, this research study will help to better understand the attitudinal impact (of proactive innovativeness, risk-taking, autonomy, and competitive aggressiveness) on the SCRO-performance relationship. Interestingly, the scale purification resulted in combining innovativeness and proactivity for this dataset. Hence, this research provides a new perspective to the ongoing debate about the best operationalization of entrepreneurial orientation.</w:t>
      </w:r>
    </w:p>
    <w:p w14:paraId="78F6FC34"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Furthermore, the confirmation of the SCRO framework contributes to the resource orchestration theory stream. It is a further step in providing empirical validation to that emerging theory. The SCRO operationalization can serve as a foundation for </w:t>
      </w:r>
      <w:r w:rsidRPr="00975B92">
        <w:rPr>
          <w:rFonts w:ascii="Times New Roman" w:hAnsi="Times New Roman" w:cs="Times New Roman"/>
        </w:rPr>
        <w:lastRenderedPageBreak/>
        <w:t>future studies. For example, the leveraging construct appears to relate not only to the relationship with customers but more broadly to other supply chain constituents as well. Based on the current literature, this was a rather surprising finding and might indicate a future research opportunity.</w:t>
      </w:r>
    </w:p>
    <w:p w14:paraId="36364E07"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Another contribution relates to the combination of supply management and entrepreneurship literature streams to address a phenomenon at the intersection of both fields. This research findings bridge both fields and might help to overcome the current separation. Finally, the relatively fragmented literature stream on open innovation from a supply chain management’s perspective is synthesized and guidance for further research is provided. A new cumulative body of knowledge, drawing from both SCM and innovation literature streams, appears to be emerging, This study was intended to provide new insights as a first step in the direction of cross-disciplinary knowledge building.</w:t>
      </w:r>
    </w:p>
    <w:p w14:paraId="5C5C3530" w14:textId="77777777" w:rsidR="00CB019C" w:rsidRPr="00975B92" w:rsidRDefault="00CB019C" w:rsidP="007436E7">
      <w:pPr>
        <w:spacing w:line="480" w:lineRule="auto"/>
        <w:jc w:val="both"/>
        <w:rPr>
          <w:rFonts w:ascii="Times New Roman" w:hAnsi="Times New Roman" w:cs="Times New Roman"/>
        </w:rPr>
      </w:pPr>
    </w:p>
    <w:p w14:paraId="587159B0" w14:textId="77777777" w:rsidR="00CB019C" w:rsidRPr="00975B92" w:rsidRDefault="00CB019C" w:rsidP="00E720C7">
      <w:pPr>
        <w:pStyle w:val="Heading3new"/>
      </w:pPr>
      <w:r w:rsidRPr="00975B92">
        <w:t>Managerial Implications</w:t>
      </w:r>
    </w:p>
    <w:p w14:paraId="0F8A9A52"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As managerial implication, the study will enhance awareness of the critical performance consequences of supply chain resource orchestration. To enhance innovation and financial performance, managers need to attend to a good balance of the three sub-processes of structuring, bundling, and leveraging. Furthermore, this research has demonstrated the moderating effect of entrepreneurial orientation.</w:t>
      </w:r>
    </w:p>
    <w:p w14:paraId="534EE60C" w14:textId="77777777" w:rsidR="00CB019C" w:rsidRPr="00975B92" w:rsidRDefault="00CB019C" w:rsidP="007436E7">
      <w:pPr>
        <w:spacing w:line="480" w:lineRule="auto"/>
        <w:jc w:val="both"/>
        <w:rPr>
          <w:rFonts w:ascii="Times New Roman" w:hAnsi="Times New Roman" w:cs="Times New Roman"/>
        </w:rPr>
      </w:pPr>
      <w:r w:rsidRPr="00975B92">
        <w:rPr>
          <w:rFonts w:ascii="Times New Roman" w:hAnsi="Times New Roman" w:cs="Times New Roman"/>
        </w:rPr>
        <w:t xml:space="preserve"> </w:t>
      </w:r>
      <w:r w:rsidRPr="00975B92">
        <w:rPr>
          <w:rFonts w:ascii="Times New Roman" w:hAnsi="Times New Roman" w:cs="Times New Roman"/>
        </w:rPr>
        <w:tab/>
        <w:t xml:space="preserve">This will draw the practitioners’ attention towards the firm-level attitudinal factors impacting organizational performance. Cultural aspects matter and can even strengthen the performance consequences of solid, effective managerial practices in terms of supply chain resource management. </w:t>
      </w:r>
    </w:p>
    <w:p w14:paraId="14DC4549" w14:textId="77777777" w:rsidR="00CB019C" w:rsidRPr="00975B92" w:rsidRDefault="00CB019C" w:rsidP="007436E7">
      <w:pPr>
        <w:spacing w:line="480" w:lineRule="auto"/>
        <w:ind w:firstLine="720"/>
        <w:jc w:val="both"/>
        <w:rPr>
          <w:rFonts w:ascii="Times New Roman" w:hAnsi="Times New Roman" w:cs="Times New Roman"/>
        </w:rPr>
      </w:pPr>
      <w:r w:rsidRPr="00975B92">
        <w:rPr>
          <w:rFonts w:ascii="Times New Roman" w:hAnsi="Times New Roman" w:cs="Times New Roman"/>
        </w:rPr>
        <w:t xml:space="preserve">Additionally, managers will better understand the opportunity for the supply chain management function to enhance its strategic role within the organization. The objective </w:t>
      </w:r>
      <w:r w:rsidRPr="00975B92">
        <w:rPr>
          <w:rFonts w:ascii="Times New Roman" w:hAnsi="Times New Roman" w:cs="Times New Roman"/>
        </w:rPr>
        <w:lastRenderedPageBreak/>
        <w:t>is to develop effective resource acquisition, identification, integration, and re-configuration as well as exploitation practices in the organization. Supply chain managers could thereby play a major role in establishing new, competitive SCRO capabilities that are highly difficult to imitate. This should create a competitive advantage in the marketplace. Meanwhile, managers have become aware of complementary cultural factors and could assess the current fit and potential opportunities for improvement within their organization in this regard.</w:t>
      </w:r>
    </w:p>
    <w:p w14:paraId="31AC112D" w14:textId="77777777" w:rsidR="001A778C" w:rsidRDefault="001A778C">
      <w:pPr>
        <w:rPr>
          <w:rFonts w:ascii="Times New Roman" w:hAnsi="Times New Roman" w:cs="Times New Roman"/>
          <w:b/>
        </w:rPr>
      </w:pPr>
    </w:p>
    <w:p w14:paraId="366444C1" w14:textId="77777777" w:rsidR="001A2759" w:rsidRDefault="001A2759">
      <w:pPr>
        <w:rPr>
          <w:rFonts w:ascii="Times New Roman" w:eastAsiaTheme="majorEastAsia" w:hAnsi="Times New Roman" w:cstheme="majorBidi"/>
          <w:b/>
          <w:bCs/>
          <w:color w:val="000000" w:themeColor="text1"/>
          <w:szCs w:val="32"/>
        </w:rPr>
      </w:pPr>
      <w:bookmarkStart w:id="164" w:name="_Toc357382423"/>
      <w:bookmarkStart w:id="165" w:name="_Toc357383269"/>
      <w:r>
        <w:br w:type="page"/>
      </w:r>
    </w:p>
    <w:p w14:paraId="2340AB7C" w14:textId="4AE10AB3" w:rsidR="001A778C" w:rsidRPr="007F1DD5" w:rsidRDefault="001A778C" w:rsidP="007F1DD5">
      <w:pPr>
        <w:pStyle w:val="Heading1"/>
      </w:pPr>
      <w:bookmarkStart w:id="166" w:name="_Toc358326747"/>
      <w:r w:rsidRPr="007F1DD5">
        <w:lastRenderedPageBreak/>
        <w:t>CHAPTER FIVE – CONCLUSION</w:t>
      </w:r>
      <w:bookmarkEnd w:id="164"/>
      <w:bookmarkEnd w:id="165"/>
      <w:bookmarkEnd w:id="166"/>
    </w:p>
    <w:p w14:paraId="6F3F9C82" w14:textId="77777777" w:rsidR="00971AA8" w:rsidRDefault="00971AA8" w:rsidP="00971AA8">
      <w:pPr>
        <w:spacing w:line="480" w:lineRule="auto"/>
        <w:jc w:val="both"/>
        <w:rPr>
          <w:rFonts w:ascii="Times New Roman" w:hAnsi="Times New Roman" w:cs="Times New Roman"/>
          <w:b/>
        </w:rPr>
      </w:pPr>
    </w:p>
    <w:p w14:paraId="7B1B7AC6" w14:textId="77777777" w:rsidR="00971AA8" w:rsidRPr="00971AA8" w:rsidRDefault="00971AA8" w:rsidP="00971AA8">
      <w:pPr>
        <w:spacing w:line="480" w:lineRule="auto"/>
        <w:jc w:val="both"/>
        <w:rPr>
          <w:rFonts w:ascii="Times New Roman" w:hAnsi="Times New Roman" w:cs="Times New Roman"/>
        </w:rPr>
      </w:pPr>
      <w:r w:rsidRPr="00971AA8">
        <w:rPr>
          <w:rFonts w:ascii="Times New Roman" w:hAnsi="Times New Roman" w:cs="Times New Roman"/>
        </w:rPr>
        <w:t xml:space="preserve">This concluding chapter offers a brief summary and integration of the findings from the three dissertation research studies, addresses theoretical and practical implications, outlines research limitations, and provides suggestions and direction for future research. The purpose of this research was to examine how supply chain management practices can enhance innovation and financial performance of the organization. Based on existing literature and resource management theory, a conceptual model of supply chain resource orchestration was developed. The new SCRO framework was empirically tested and the positive effects of SCRO on organizational performance were confirmed.  Furthermore, the important interplay between SCRO and organizational culture was conceptually developed and subsequently quantified. </w:t>
      </w:r>
    </w:p>
    <w:p w14:paraId="6841F9EF" w14:textId="77777777" w:rsidR="00971AA8" w:rsidRPr="00971AA8" w:rsidRDefault="00971AA8" w:rsidP="00971AA8">
      <w:pPr>
        <w:spacing w:line="480" w:lineRule="auto"/>
        <w:jc w:val="both"/>
        <w:rPr>
          <w:rFonts w:ascii="Times New Roman" w:hAnsi="Times New Roman" w:cs="Times New Roman"/>
        </w:rPr>
      </w:pPr>
    </w:p>
    <w:p w14:paraId="461E3757" w14:textId="77777777" w:rsidR="00971AA8" w:rsidRPr="00971AA8" w:rsidRDefault="00971AA8" w:rsidP="00DE53D3">
      <w:pPr>
        <w:pStyle w:val="Heading2"/>
      </w:pPr>
      <w:bookmarkStart w:id="167" w:name="_Toc358326748"/>
      <w:r w:rsidRPr="00971AA8">
        <w:t>Theoretical Contribution</w:t>
      </w:r>
      <w:bookmarkEnd w:id="167"/>
    </w:p>
    <w:p w14:paraId="103DE591" w14:textId="77777777" w:rsidR="00971AA8" w:rsidRPr="00971AA8" w:rsidRDefault="00971AA8" w:rsidP="00971AA8">
      <w:pPr>
        <w:spacing w:line="480" w:lineRule="auto"/>
        <w:jc w:val="both"/>
        <w:rPr>
          <w:rFonts w:ascii="Times New Roman" w:hAnsi="Times New Roman" w:cs="Times New Roman"/>
        </w:rPr>
      </w:pPr>
      <w:r w:rsidRPr="00971AA8">
        <w:rPr>
          <w:rFonts w:ascii="Times New Roman" w:hAnsi="Times New Roman" w:cs="Times New Roman"/>
        </w:rPr>
        <w:t xml:space="preserve">This research makes several significant contributions to the body of knowledge at the intersection between supply chain management and innovation management. Thereby, a new integrative theoretical perspective is developed, bridging supply chain, innovation, marketing, and strategic management literature streams. By responding to calls for more research, this dissertation is contributing to the aspects of resource management practices, resource management theoretical domain, theory elaboration methodology, and cultural performance implications.   </w:t>
      </w:r>
    </w:p>
    <w:p w14:paraId="319CA0CD" w14:textId="77777777" w:rsidR="00971AA8" w:rsidRPr="00971AA8" w:rsidRDefault="00971AA8" w:rsidP="00DE53D3">
      <w:pPr>
        <w:spacing w:line="480" w:lineRule="auto"/>
        <w:ind w:firstLine="720"/>
        <w:jc w:val="both"/>
        <w:rPr>
          <w:rFonts w:ascii="Times New Roman" w:hAnsi="Times New Roman" w:cs="Times New Roman"/>
        </w:rPr>
      </w:pPr>
      <w:r w:rsidRPr="00971AA8">
        <w:rPr>
          <w:rFonts w:ascii="Times New Roman" w:hAnsi="Times New Roman" w:cs="Times New Roman"/>
        </w:rPr>
        <w:t xml:space="preserve">Even though buyer-supplier relationships and supplier involvement in innovation have been studied for decades, research is lacking in terms of concrete managerial </w:t>
      </w:r>
      <w:r w:rsidRPr="00971AA8">
        <w:rPr>
          <w:rFonts w:ascii="Times New Roman" w:hAnsi="Times New Roman" w:cs="Times New Roman"/>
          <w:i/>
        </w:rPr>
        <w:t>practices</w:t>
      </w:r>
      <w:r w:rsidRPr="00971AA8">
        <w:rPr>
          <w:rFonts w:ascii="Times New Roman" w:hAnsi="Times New Roman" w:cs="Times New Roman"/>
        </w:rPr>
        <w:t xml:space="preserve"> about the orchestration of key supply chain resources to support innovation activities. Thereby, the research findings will assist in gaining a deeper understanding of </w:t>
      </w:r>
      <w:r w:rsidRPr="00971AA8">
        <w:rPr>
          <w:rFonts w:ascii="Times New Roman" w:hAnsi="Times New Roman" w:cs="Times New Roman"/>
        </w:rPr>
        <w:lastRenderedPageBreak/>
        <w:t xml:space="preserve">the performance effects of supply chain resource orchestration. The dissertation provides new insights into the implications of organizational culture, especially innovation culture, on managerial practices in general, and supply chain resource management in particular. </w:t>
      </w:r>
    </w:p>
    <w:p w14:paraId="60D1A9FE" w14:textId="77777777" w:rsidR="00971AA8" w:rsidRPr="00971AA8" w:rsidRDefault="00971AA8" w:rsidP="00971AA8">
      <w:pPr>
        <w:spacing w:line="480" w:lineRule="auto"/>
        <w:jc w:val="both"/>
        <w:rPr>
          <w:rFonts w:ascii="Times New Roman" w:hAnsi="Times New Roman" w:cs="Times New Roman"/>
        </w:rPr>
      </w:pPr>
      <w:r w:rsidRPr="00971AA8">
        <w:rPr>
          <w:rFonts w:ascii="Times New Roman" w:hAnsi="Times New Roman" w:cs="Times New Roman"/>
        </w:rPr>
        <w:t xml:space="preserve">This research contributes with the development and empirically validation of the SCRO framework and the quantification of the performance consequences of SCRO practices. Researchers have called for more research concerning the operational, micro-level practices of resource management, particularly involving resources outside of the company’s boundaries </w:t>
      </w:r>
      <w:r w:rsidRPr="00971AA8">
        <w:rPr>
          <w:rFonts w:ascii="Times New Roman" w:hAnsi="Times New Roman" w:cs="Times New Roman"/>
        </w:rPr>
        <w:fldChar w:fldCharType="begin" w:fldLock="1"/>
      </w:r>
      <w:r w:rsidRPr="00971AA8">
        <w:rPr>
          <w:rFonts w:ascii="Times New Roman" w:hAnsi="Times New Roman" w:cs="Times New Roman"/>
        </w:rPr>
        <w:instrText>ADDIN CSL_CITATION { "citationItems" : [ { "id" : "ITEM-1", "itemData" : { "DOI" : "10.1111/jscm.12055", "ISBN" : "1523-2409", "ISSN" : "1745493X", "abstract" : "We highlight key contributions from the special topic forum (STF) articles and detail findings from a survey of researchers interested in the role of resources on supply chain functioning and management. We assert that the STF articles have closed important gaps between what needed to be known and is now known about how and when resources aid supply chains. However, the survey findings suggest that researchers who invoke theories of resources need to be more precise in their theoretical exposition and that future research needs to focus more heavily on the role of resources not just within, but also beyond a firm's boundaries (i.e., interfirm), and how those resources aid supply chains. The survey findings also suggest that future supply chain studies should focus more on investigating contingency relationships, and \u201cfitting\u201d research designs to address the specific research question of interest. Broadly speaking, we conclude that resources within and across firm boundaries are vital to supply chain functioning and management, but that as research evolves, new insights might be best characterized by studies that take stock of critical contingencies.", "author" : [ { "dropping-particle" : "", "family" : "Crook", "given" : "T. Russell", "non-dropping-particle" : "", "parse-names" : false, "suffix" : "" }, { "dropping-particle" : "", "family" : "Esper", "given" : "Terry L.", "non-dropping-particle" : "", "parse-names" : false, "suffix" : "" } ], "container-title" : "Journal of Supply Chain Management", "id" : "ITEM-1", "issue" : "3", "issued" : { "date-parts" : [ [ "2014" ] ] }, "page" : "94-97", "title" : "Do Resources Aid in Supply Chain Functioning and Management? Yes, But More (and More Precise) Research is Needed", "type" : "article-journal", "volume" : "50" }, "uris" : [ "http://www.mendeley.com/documents/?uuid=ffa79fbc-359a-441c-bb62-d948795f562a" ] } ], "mendeley" : { "formattedCitation" : "(Crook and Esper 2014)", "plainTextFormattedCitation" : "(Crook and Esper 2014)", "previouslyFormattedCitation" : "(Crook and Esper 2014)" }, "properties" : { "noteIndex" : 0 }, "schema" : "https://github.com/citation-style-language/schema/raw/master/csl-citation.json" }</w:instrText>
      </w:r>
      <w:r w:rsidRPr="00971AA8">
        <w:rPr>
          <w:rFonts w:ascii="Times New Roman" w:hAnsi="Times New Roman" w:cs="Times New Roman"/>
        </w:rPr>
        <w:fldChar w:fldCharType="separate"/>
      </w:r>
      <w:r w:rsidRPr="00971AA8">
        <w:rPr>
          <w:rFonts w:ascii="Times New Roman" w:hAnsi="Times New Roman" w:cs="Times New Roman"/>
        </w:rPr>
        <w:t>(Crook and Esper 2014)</w:t>
      </w:r>
      <w:r w:rsidRPr="00971AA8">
        <w:rPr>
          <w:rFonts w:ascii="Times New Roman" w:hAnsi="Times New Roman" w:cs="Times New Roman"/>
        </w:rPr>
        <w:fldChar w:fldCharType="end"/>
      </w:r>
      <w:r w:rsidRPr="00971AA8">
        <w:rPr>
          <w:rFonts w:ascii="Times New Roman" w:hAnsi="Times New Roman" w:cs="Times New Roman"/>
        </w:rPr>
        <w:t xml:space="preserve">. In this regard, both the case study and the survey research provide a new perspective and illustrate concrete SCRO practices along with their performance implications. This research might create the foundation to better understand the practices of how external resources are successfully orchestrated, including the important aspects of resource integration and exploitation. </w:t>
      </w:r>
    </w:p>
    <w:p w14:paraId="66736716" w14:textId="77777777" w:rsidR="00971AA8" w:rsidRPr="00971AA8" w:rsidRDefault="00971AA8" w:rsidP="005A5DD6">
      <w:pPr>
        <w:spacing w:line="480" w:lineRule="auto"/>
        <w:ind w:firstLine="720"/>
        <w:jc w:val="both"/>
        <w:rPr>
          <w:rFonts w:ascii="Times New Roman" w:hAnsi="Times New Roman" w:cs="Times New Roman"/>
        </w:rPr>
      </w:pPr>
      <w:r w:rsidRPr="00971AA8">
        <w:rPr>
          <w:rFonts w:ascii="Times New Roman" w:hAnsi="Times New Roman" w:cs="Times New Roman"/>
        </w:rPr>
        <w:t xml:space="preserve">Another major theoretical contribution relates to the extension of resource management theory. The domain of the current resource orchestration theory is broadened to encompass supply chain resource orchestration as an additional phenomenon. In the context of innovation, particularly concerning collaborative new product and service development, this research has described SCRO practices and confirmed its performance implications, which enhances both depth and breadth of the resource orchestration theory. Thereby, a new direction for future research endeavors in resource management is indicated. Based on the employment of theory elaboration, case study, and survey methodologies, the newly developed and tested SCRO framework has enriched and contextualized the extant resource management theory. </w:t>
      </w:r>
    </w:p>
    <w:p w14:paraId="7446B3D2" w14:textId="77777777" w:rsidR="00971AA8" w:rsidRPr="00971AA8" w:rsidRDefault="00971AA8" w:rsidP="005A5DD6">
      <w:pPr>
        <w:spacing w:line="480" w:lineRule="auto"/>
        <w:ind w:firstLine="720"/>
        <w:jc w:val="both"/>
        <w:rPr>
          <w:rFonts w:ascii="Times New Roman" w:hAnsi="Times New Roman" w:cs="Times New Roman"/>
        </w:rPr>
      </w:pPr>
      <w:r w:rsidRPr="00971AA8">
        <w:rPr>
          <w:rFonts w:ascii="Times New Roman" w:hAnsi="Times New Roman" w:cs="Times New Roman"/>
        </w:rPr>
        <w:t xml:space="preserve">A related methodological contribution might lie in applying the theory elaboration approach </w:t>
      </w:r>
      <w:r w:rsidRPr="00971AA8">
        <w:rPr>
          <w:rFonts w:ascii="Times New Roman" w:hAnsi="Times New Roman" w:cs="Times New Roman"/>
        </w:rPr>
        <w:fldChar w:fldCharType="begin" w:fldLock="1"/>
      </w:r>
      <w:r w:rsidRPr="00971AA8">
        <w:rPr>
          <w:rFonts w:ascii="Times New Roman" w:hAnsi="Times New Roman" w:cs="Times New Roman"/>
        </w:rPr>
        <w:instrText>ADDIN CSL_CITATION { "citationItems" : [ { "id" : "ITEM-1", "itemData" : { "DOI" : "10.1016/j.jom.2014.03.004", "ISSN" : "0272-6963", "author" : [ { "dropping-particle" : "", "family" : "Ketokivi", "given" : "Mikko", "non-dropping-particle" : "", "parse-names" : false, "suffix" : "" }, { "dropping-particle" : "", "family" : "Choi", "given" : "Thomas", "non-dropping-particle" : "", "parse-names" : false, "suffix" : "" } ], "container-title" : "Journal of Operations Management", "id" : "ITEM-1", "issue" : "5", "issued" : { "date-parts" : [ [ "2014" ] ] }, "page" : "232-240", "publisher" : "Elsevier B.V.", "title" : "Renaissance of case research as a scientific method", "type" : "article-journal", "volume" : "32" }, "uris" : [ "http://www.mendeley.com/documents/?uuid=d1c36dbd-61c8-47df-91bd-ba12cdfcdf11" ] } ], "mendeley" : { "formattedCitation" : "(Ketokivi and Choi 2014)", "plainTextFormattedCitation" : "(Ketokivi and Choi 2014)", "previouslyFormattedCitation" : "(Ketokivi and Choi 2014)" }, "properties" : { "noteIndex" : 0 }, "schema" : "https://github.com/citation-style-language/schema/raw/master/csl-citation.json" }</w:instrText>
      </w:r>
      <w:r w:rsidRPr="00971AA8">
        <w:rPr>
          <w:rFonts w:ascii="Times New Roman" w:hAnsi="Times New Roman" w:cs="Times New Roman"/>
        </w:rPr>
        <w:fldChar w:fldCharType="separate"/>
      </w:r>
      <w:r w:rsidRPr="00971AA8">
        <w:rPr>
          <w:rFonts w:ascii="Times New Roman" w:hAnsi="Times New Roman" w:cs="Times New Roman"/>
        </w:rPr>
        <w:t>(Ketokivi and Choi 2014)</w:t>
      </w:r>
      <w:r w:rsidRPr="00971AA8">
        <w:rPr>
          <w:rFonts w:ascii="Times New Roman" w:hAnsi="Times New Roman" w:cs="Times New Roman"/>
        </w:rPr>
        <w:fldChar w:fldCharType="end"/>
      </w:r>
      <w:r w:rsidRPr="00971AA8">
        <w:rPr>
          <w:rFonts w:ascii="Times New Roman" w:hAnsi="Times New Roman" w:cs="Times New Roman"/>
        </w:rPr>
        <w:t xml:space="preserve">, which has not received a lot of attention in the supply chain management literature yet. Overall, the research is based on complementary </w:t>
      </w:r>
      <w:r w:rsidRPr="00971AA8">
        <w:rPr>
          <w:rFonts w:ascii="Times New Roman" w:hAnsi="Times New Roman" w:cs="Times New Roman"/>
        </w:rPr>
        <w:lastRenderedPageBreak/>
        <w:t xml:space="preserve">research methodologies, which help to offset weaknesses of each individual method </w:t>
      </w:r>
      <w:r w:rsidRPr="00971AA8">
        <w:rPr>
          <w:rFonts w:ascii="Times New Roman" w:hAnsi="Times New Roman" w:cs="Times New Roman"/>
        </w:rPr>
        <w:fldChar w:fldCharType="begin" w:fldLock="1"/>
      </w:r>
      <w:r w:rsidRPr="00971AA8">
        <w:rPr>
          <w:rFonts w:ascii="Times New Roman" w:hAnsi="Times New Roman" w:cs="Times New Roman"/>
        </w:rPr>
        <w:instrText>ADDIN CSL_CITATION { "citationItems" : [ { "id" : "ITEM-1", "itemData" : { "author" : [ { "dropping-particle" : "", "family" : "McGrath", "given" : "Joseph E.", "non-dropping-particle" : "", "parse-names" : false, "suffix" : "" } ], "container-title" : "American Behavioral Scientist", "id" : "ITEM-1", "issue" : "2", "issued" : { "date-parts" : [ [ "1981" ] ] }, "page" : "179-210", "title" : "Dilemmatics: The Study of Research Choices and Dilemmas", "type" : "article-journal", "volume" : "25" }, "uris" : [ "http://www.mendeley.com/documents/?uuid=207c19d8-c727-4d2e-a65d-649f00c1f5b3" ] } ], "mendeley" : { "formattedCitation" : "(McGrath 1981)", "plainTextFormattedCitation" : "(McGrath 1981)", "previouslyFormattedCitation" : "(McGrath 1981)" }, "properties" : { "noteIndex" : 0 }, "schema" : "https://github.com/citation-style-language/schema/raw/master/csl-citation.json" }</w:instrText>
      </w:r>
      <w:r w:rsidRPr="00971AA8">
        <w:rPr>
          <w:rFonts w:ascii="Times New Roman" w:hAnsi="Times New Roman" w:cs="Times New Roman"/>
        </w:rPr>
        <w:fldChar w:fldCharType="separate"/>
      </w:r>
      <w:r w:rsidRPr="00971AA8">
        <w:rPr>
          <w:rFonts w:ascii="Times New Roman" w:hAnsi="Times New Roman" w:cs="Times New Roman"/>
        </w:rPr>
        <w:t>(McGrath 1981)</w:t>
      </w:r>
      <w:r w:rsidRPr="00971AA8">
        <w:rPr>
          <w:rFonts w:ascii="Times New Roman" w:hAnsi="Times New Roman" w:cs="Times New Roman"/>
        </w:rPr>
        <w:fldChar w:fldCharType="end"/>
      </w:r>
      <w:r w:rsidRPr="00971AA8">
        <w:rPr>
          <w:rFonts w:ascii="Times New Roman" w:hAnsi="Times New Roman" w:cs="Times New Roman"/>
        </w:rPr>
        <w:t xml:space="preserve">. </w:t>
      </w:r>
    </w:p>
    <w:p w14:paraId="576D70A8" w14:textId="77777777" w:rsidR="00971AA8" w:rsidRPr="00971AA8" w:rsidRDefault="00971AA8" w:rsidP="005A5DD6">
      <w:pPr>
        <w:spacing w:line="480" w:lineRule="auto"/>
        <w:ind w:firstLine="720"/>
        <w:jc w:val="both"/>
        <w:rPr>
          <w:rFonts w:ascii="Times New Roman" w:hAnsi="Times New Roman" w:cs="Times New Roman"/>
        </w:rPr>
      </w:pPr>
      <w:r w:rsidRPr="00971AA8">
        <w:rPr>
          <w:rFonts w:ascii="Times New Roman" w:hAnsi="Times New Roman" w:cs="Times New Roman"/>
        </w:rPr>
        <w:t>Moreover, the findings illustrate the complex relationship between SCRO practices and organizational culture. The research has demonstrated the critical consequences particularly of innovation culture on the effectiveness of SCRO practices. Without a fit of culture, SCRO practices remain less effective. Managing supply chain resources necessitates a matching cultural environment. In particular, the case study findings contribute by enabling to gain a deeper understanding of the opinions, activities, and processes that occur at the interplay between SCRO practices and organizational culture.</w:t>
      </w:r>
    </w:p>
    <w:p w14:paraId="1C87B021" w14:textId="77777777" w:rsidR="00971AA8" w:rsidRPr="00971AA8" w:rsidRDefault="00971AA8" w:rsidP="00971AA8">
      <w:pPr>
        <w:spacing w:line="480" w:lineRule="auto"/>
        <w:jc w:val="both"/>
        <w:rPr>
          <w:rFonts w:ascii="Times New Roman" w:hAnsi="Times New Roman" w:cs="Times New Roman"/>
        </w:rPr>
      </w:pPr>
    </w:p>
    <w:p w14:paraId="1C7CA653" w14:textId="77777777" w:rsidR="00971AA8" w:rsidRPr="00971AA8" w:rsidRDefault="00971AA8" w:rsidP="005A5DD6">
      <w:pPr>
        <w:pStyle w:val="Heading2"/>
      </w:pPr>
      <w:bookmarkStart w:id="168" w:name="_Toc358326749"/>
      <w:r w:rsidRPr="00971AA8">
        <w:t>Implications for Practice</w:t>
      </w:r>
      <w:bookmarkEnd w:id="168"/>
    </w:p>
    <w:p w14:paraId="75058ACD" w14:textId="77777777" w:rsidR="00971AA8" w:rsidRPr="00971AA8" w:rsidRDefault="00971AA8" w:rsidP="00971AA8">
      <w:pPr>
        <w:spacing w:line="480" w:lineRule="auto"/>
        <w:jc w:val="both"/>
        <w:rPr>
          <w:rFonts w:ascii="Times New Roman" w:hAnsi="Times New Roman" w:cs="Times New Roman"/>
        </w:rPr>
      </w:pPr>
      <w:r w:rsidRPr="00971AA8">
        <w:rPr>
          <w:rFonts w:ascii="Times New Roman" w:hAnsi="Times New Roman" w:cs="Times New Roman"/>
        </w:rPr>
        <w:t xml:space="preserve">The findings of this dissertation research might have several implications for supply chain, innovation, and marketing managers. Possibly most significantly, this research suggests that supply chain management practices can have a positive direct effect on innovation and financial performance. The study results have demonstrated that well-balanced efforts in structuring, bundling, and leveraging can enhance organizational performance. Furthermore, establishing an innovation-supporting culture within the organization can strengthen the financial performance benefits of SCRO practices even further. It appears critical for manager to comprehend the SCRO framework and its consequences when taking decision about the acquisition and integration of supply chain resources. Specifically for the purchasing function, this research might indicate the importance of effective resource integration and leveraging because the resource acquisition sub-process is insufficient by itself. Hence, purchasing managers might be </w:t>
      </w:r>
      <w:r w:rsidRPr="00971AA8">
        <w:rPr>
          <w:rFonts w:ascii="Times New Roman" w:hAnsi="Times New Roman" w:cs="Times New Roman"/>
        </w:rPr>
        <w:lastRenderedPageBreak/>
        <w:t xml:space="preserve">well advised in striving for better cross-functional integration in addition to enhanced inter-organizational integration with key suppliers in order to drive innovation in their company. </w:t>
      </w:r>
    </w:p>
    <w:p w14:paraId="70AAD3B4" w14:textId="199C1D3D" w:rsidR="00971AA8" w:rsidRPr="00971AA8" w:rsidRDefault="005A5DD6" w:rsidP="005A5DD6">
      <w:pPr>
        <w:spacing w:line="480" w:lineRule="auto"/>
        <w:ind w:firstLine="720"/>
        <w:jc w:val="both"/>
        <w:rPr>
          <w:rFonts w:ascii="Times New Roman" w:hAnsi="Times New Roman" w:cs="Times New Roman"/>
        </w:rPr>
      </w:pPr>
      <w:r>
        <w:rPr>
          <w:rFonts w:ascii="Times New Roman" w:hAnsi="Times New Roman" w:cs="Times New Roman"/>
        </w:rPr>
        <w:t>T</w:t>
      </w:r>
      <w:r w:rsidR="00971AA8" w:rsidRPr="00971AA8">
        <w:rPr>
          <w:rFonts w:ascii="Times New Roman" w:hAnsi="Times New Roman" w:cs="Times New Roman"/>
        </w:rPr>
        <w:t xml:space="preserve">he case studies as well as the subsequent survey research have </w:t>
      </w:r>
      <w:r>
        <w:rPr>
          <w:rFonts w:ascii="Times New Roman" w:hAnsi="Times New Roman" w:cs="Times New Roman"/>
        </w:rPr>
        <w:t xml:space="preserve">both </w:t>
      </w:r>
      <w:r w:rsidR="00971AA8" w:rsidRPr="00971AA8">
        <w:rPr>
          <w:rFonts w:ascii="Times New Roman" w:hAnsi="Times New Roman" w:cs="Times New Roman"/>
        </w:rPr>
        <w:t>indicated the critical aspect of leveraging resources. While theory has suggested to synchronize structuring, bundling, and leveraging practices, the case companies appear to put less emphasis on leveraging and commercialization activities. Managers might benefit from reflecting upon or reconsidering their companies’ leveraging processes to avoid a detrimental imbalance among SCRO practices. Not surprisingly, the two case companies that were ahead in terms of leveraging practices showed also the far better financial returns. Thus, this research might assist managers in this regard as the performance implications have been illustrated. Another interesting finding of the case study relates to an apparent neglect of resource divesture activities. For purchasing managers, an emphasis on acquisition might appear plausible. Nonetheless, this research might initiate better portfolio management in organizations and assist practice with how to better structure a portfolio of supply chain resources, which includes the necessary divesture of resources as well.</w:t>
      </w:r>
    </w:p>
    <w:p w14:paraId="64889CB2" w14:textId="77777777" w:rsidR="00971AA8" w:rsidRPr="00971AA8" w:rsidRDefault="00971AA8" w:rsidP="009735B0">
      <w:pPr>
        <w:spacing w:line="480" w:lineRule="auto"/>
        <w:ind w:firstLine="720"/>
        <w:jc w:val="both"/>
        <w:rPr>
          <w:rFonts w:ascii="Times New Roman" w:hAnsi="Times New Roman" w:cs="Times New Roman"/>
        </w:rPr>
      </w:pPr>
      <w:r w:rsidRPr="00971AA8">
        <w:rPr>
          <w:rFonts w:ascii="Times New Roman" w:hAnsi="Times New Roman" w:cs="Times New Roman"/>
        </w:rPr>
        <w:t xml:space="preserve">Another practical implication concerns organizational culture, and a quote from the case interviews provide an interesting insight. Since innovation is becoming increasingly complex and requires more attentiveness to cultural issues, a supply chain manager from a global logistics equipment industry distinctly noted: </w:t>
      </w:r>
    </w:p>
    <w:p w14:paraId="67F03FB0" w14:textId="77777777" w:rsidR="00971AA8" w:rsidRPr="00971AA8" w:rsidRDefault="00971AA8" w:rsidP="00971AA8">
      <w:pPr>
        <w:spacing w:line="480" w:lineRule="auto"/>
        <w:jc w:val="both"/>
        <w:rPr>
          <w:rFonts w:ascii="Times New Roman" w:hAnsi="Times New Roman" w:cs="Times New Roman"/>
        </w:rPr>
      </w:pPr>
    </w:p>
    <w:p w14:paraId="06C839C7" w14:textId="77777777" w:rsidR="00971AA8" w:rsidRPr="00971AA8" w:rsidRDefault="00971AA8" w:rsidP="009735B0">
      <w:pPr>
        <w:ind w:left="720"/>
        <w:jc w:val="both"/>
        <w:rPr>
          <w:rFonts w:ascii="Times New Roman" w:hAnsi="Times New Roman" w:cs="Times New Roman"/>
        </w:rPr>
      </w:pPr>
      <w:r w:rsidRPr="00971AA8">
        <w:rPr>
          <w:rFonts w:ascii="Times New Roman" w:hAnsi="Times New Roman" w:cs="Times New Roman"/>
        </w:rPr>
        <w:t>“The first thing is the culture of our company. Engineering allowing our supplier to own it, have the responsibility, that is the key thing, is to let go of that” (Thomas, Senior Supply Manager)</w:t>
      </w:r>
    </w:p>
    <w:p w14:paraId="4A5D3DEA" w14:textId="77777777" w:rsidR="00971AA8" w:rsidRPr="00971AA8" w:rsidRDefault="00971AA8" w:rsidP="00971AA8">
      <w:pPr>
        <w:spacing w:line="480" w:lineRule="auto"/>
        <w:jc w:val="both"/>
        <w:rPr>
          <w:rFonts w:ascii="Times New Roman" w:hAnsi="Times New Roman" w:cs="Times New Roman"/>
        </w:rPr>
      </w:pPr>
    </w:p>
    <w:p w14:paraId="761D23CE" w14:textId="77777777" w:rsidR="00971AA8" w:rsidRPr="00971AA8" w:rsidRDefault="00971AA8" w:rsidP="00971AA8">
      <w:pPr>
        <w:spacing w:line="480" w:lineRule="auto"/>
        <w:jc w:val="both"/>
        <w:rPr>
          <w:rFonts w:ascii="Times New Roman" w:hAnsi="Times New Roman" w:cs="Times New Roman"/>
        </w:rPr>
      </w:pPr>
      <w:r w:rsidRPr="00971AA8">
        <w:rPr>
          <w:rFonts w:ascii="Times New Roman" w:hAnsi="Times New Roman" w:cs="Times New Roman"/>
        </w:rPr>
        <w:lastRenderedPageBreak/>
        <w:t>By understanding the implications of innovation culture and its interplay with SCRO, managers might more effectively assess and balance the trade-offs of their strategic innovation-related supply chain decisions. These insights could help managers make better strategic and operational decisions, driving innovation performance and thereby enhancing the competitive position of their organization. Overall, this research might assist organizations in reducing the failure rates of innovation while supporting management in strengthening the competitive situation of their company.</w:t>
      </w:r>
    </w:p>
    <w:p w14:paraId="56F381F5" w14:textId="77777777" w:rsidR="00971AA8" w:rsidRPr="00971AA8" w:rsidRDefault="00971AA8" w:rsidP="00971AA8">
      <w:pPr>
        <w:spacing w:line="480" w:lineRule="auto"/>
        <w:jc w:val="both"/>
        <w:rPr>
          <w:rFonts w:ascii="Times New Roman" w:hAnsi="Times New Roman" w:cs="Times New Roman"/>
        </w:rPr>
      </w:pPr>
    </w:p>
    <w:p w14:paraId="56CD720A" w14:textId="77777777" w:rsidR="00971AA8" w:rsidRPr="00971AA8" w:rsidRDefault="00971AA8" w:rsidP="00BB63C8">
      <w:pPr>
        <w:pStyle w:val="Heading2"/>
      </w:pPr>
      <w:bookmarkStart w:id="169" w:name="_Toc358326750"/>
      <w:r w:rsidRPr="00971AA8">
        <w:t>Limitations</w:t>
      </w:r>
      <w:bookmarkEnd w:id="169"/>
    </w:p>
    <w:p w14:paraId="229CC1E7" w14:textId="77777777" w:rsidR="00971AA8" w:rsidRPr="00971AA8" w:rsidRDefault="00971AA8" w:rsidP="00971AA8">
      <w:pPr>
        <w:spacing w:line="480" w:lineRule="auto"/>
        <w:jc w:val="both"/>
        <w:rPr>
          <w:rFonts w:ascii="Times New Roman" w:hAnsi="Times New Roman" w:cs="Times New Roman"/>
        </w:rPr>
      </w:pPr>
      <w:r w:rsidRPr="00971AA8">
        <w:rPr>
          <w:rFonts w:ascii="Times New Roman" w:hAnsi="Times New Roman" w:cs="Times New Roman"/>
        </w:rPr>
        <w:t>A theoretical model emerged from the systematic literature review and was refined through a constant comparison technique, alternating between literature (theory elaboration) and practitioners’ interviews, to develop the new SCRO framework. This conceptualization of supply chain resource orchestration was then tested with a survey instrument, with structural equation modeling used for the data analysis. Thereby, limitations remain and are discussed in this section.</w:t>
      </w:r>
    </w:p>
    <w:p w14:paraId="72C76D58" w14:textId="77777777" w:rsidR="00971AA8" w:rsidRPr="00971AA8" w:rsidRDefault="00971AA8" w:rsidP="002C6096">
      <w:pPr>
        <w:spacing w:line="480" w:lineRule="auto"/>
        <w:ind w:firstLine="720"/>
        <w:jc w:val="both"/>
        <w:rPr>
          <w:rFonts w:ascii="Times New Roman" w:hAnsi="Times New Roman" w:cs="Times New Roman"/>
        </w:rPr>
      </w:pPr>
      <w:r w:rsidRPr="00971AA8">
        <w:rPr>
          <w:rFonts w:ascii="Times New Roman" w:hAnsi="Times New Roman" w:cs="Times New Roman"/>
        </w:rPr>
        <w:t>By focusing solely on the resource inflow from collaborative suppliers but not customers or competitors, the boundary conditions of this research are limited to the upstream supply chain. Future research might expand the application of SCRO from the supply network to other external constituents. Participant of the case study came from the high technology industry environments, limiting the generalizability. Follow-up interviews with participants from a different environment such as small and midsize firms or from another cultural background could complement interesting new insights.</w:t>
      </w:r>
    </w:p>
    <w:p w14:paraId="67BAAC2C" w14:textId="77777777" w:rsidR="00971AA8" w:rsidRPr="00971AA8" w:rsidRDefault="00971AA8" w:rsidP="002C6096">
      <w:pPr>
        <w:spacing w:line="480" w:lineRule="auto"/>
        <w:ind w:firstLine="720"/>
        <w:jc w:val="both"/>
        <w:rPr>
          <w:rFonts w:ascii="Times New Roman" w:hAnsi="Times New Roman" w:cs="Times New Roman"/>
        </w:rPr>
      </w:pPr>
      <w:r w:rsidRPr="00971AA8">
        <w:rPr>
          <w:rFonts w:ascii="Times New Roman" w:hAnsi="Times New Roman" w:cs="Times New Roman"/>
        </w:rPr>
        <w:t xml:space="preserve">The survey is based on the B2B panel data from Qualtrics. Scholars have commented on limitations in regards to the use of panel data for survey research </w:t>
      </w:r>
      <w:r w:rsidRPr="00971AA8">
        <w:rPr>
          <w:rFonts w:ascii="Times New Roman" w:hAnsi="Times New Roman" w:cs="Times New Roman"/>
        </w:rPr>
        <w:lastRenderedPageBreak/>
        <w:fldChar w:fldCharType="begin" w:fldLock="1"/>
      </w:r>
      <w:r w:rsidRPr="00971AA8">
        <w:rPr>
          <w:rFonts w:ascii="Times New Roman" w:hAnsi="Times New Roman" w:cs="Times New Roman"/>
        </w:rPr>
        <w:instrText>ADDIN CSL_CITATION { "citationItems" : [ { "id" : "ITEM-1", "itemData" : { "DOI" : "10.1111/jbl.12092", "author" : [ { "dropping-particle" : "", "family" : "Schoenherr", "given" : "Tobias", "non-dropping-particle" : "", "parse-names" : false, "suffix" : "" }, { "dropping-particle" : "", "family" : "Ellram", "given" : "Lisa M", "non-dropping-particle" : "", "parse-names" : false, "suffix" : "" }, { "dropping-particle" : "", "family" : "Tate", "given" : "Wendy L", "non-dropping-particle" : "", "parse-names" : false, "suffix" : "" } ], "container-title" : "Journal of Business Logistics", "id" : "ITEM-1", "issue" : "3", "issued" : { "date-parts" : [ [ "2015" ] ] }, "page" : "288-300", "title" : "A Note on the Use of Survey Research Firms to Enable Empirical Data Collection", "type" : "article-journal", "volume" : "36" }, "uris" : [ "http://www.mendeley.com/documents/?uuid=7f33efe1-de35-4779-9d1a-43398b4f9b64" ] } ], "mendeley" : { "formattedCitation" : "(Schoenherr, Ellram, and Tate 2015)", "plainTextFormattedCitation" : "(Schoenherr, Ellram, and Tate 2015)" }, "properties" : { "noteIndex" : 0 }, "schema" : "https://github.com/citation-style-language/schema/raw/master/csl-citation.json" }</w:instrText>
      </w:r>
      <w:r w:rsidRPr="00971AA8">
        <w:rPr>
          <w:rFonts w:ascii="Times New Roman" w:hAnsi="Times New Roman" w:cs="Times New Roman"/>
        </w:rPr>
        <w:fldChar w:fldCharType="separate"/>
      </w:r>
      <w:r w:rsidRPr="00971AA8">
        <w:rPr>
          <w:rFonts w:ascii="Times New Roman" w:hAnsi="Times New Roman" w:cs="Times New Roman"/>
        </w:rPr>
        <w:t>(Schoenherr, Ellram, and Tate 2015)</w:t>
      </w:r>
      <w:r w:rsidRPr="00971AA8">
        <w:rPr>
          <w:rFonts w:ascii="Times New Roman" w:hAnsi="Times New Roman" w:cs="Times New Roman"/>
        </w:rPr>
        <w:fldChar w:fldCharType="end"/>
      </w:r>
      <w:r w:rsidRPr="00971AA8">
        <w:rPr>
          <w:rFonts w:ascii="Times New Roman" w:hAnsi="Times New Roman" w:cs="Times New Roman"/>
        </w:rPr>
        <w:t>. This concern is related to the actual population characteristics, survey administration, response rate measurement, or data quality, for example. Different sources of bias need to be acknowledged. The motivation to get paid might result in a sampling bias. Non-response bias is difficult or impossible to assess because the total number of successful solicitations remains unknown. How many people have actually received the invitation and purposefully decided not to respond versus how many mails were lost in a spam filter, for example? Even though qualifying questions and attention checks were applied, a risk of misrepresentation might remain. Plausibility checks were made, but the participants remained anonymous to the principal investigator. Therefore, future replication could address those limitations and verify the robustness of the findings.</w:t>
      </w:r>
    </w:p>
    <w:p w14:paraId="7F6C00B4" w14:textId="77777777" w:rsidR="00971AA8" w:rsidRPr="00971AA8" w:rsidRDefault="00971AA8" w:rsidP="002C6096">
      <w:pPr>
        <w:spacing w:line="480" w:lineRule="auto"/>
        <w:ind w:firstLine="720"/>
        <w:jc w:val="both"/>
        <w:rPr>
          <w:rFonts w:ascii="Times New Roman" w:hAnsi="Times New Roman" w:cs="Times New Roman"/>
        </w:rPr>
      </w:pPr>
      <w:r w:rsidRPr="00971AA8">
        <w:rPr>
          <w:rFonts w:ascii="Times New Roman" w:hAnsi="Times New Roman" w:cs="Times New Roman"/>
        </w:rPr>
        <w:t>The questionnaire was based on existing and adapted scales (e.g., entrepreneurial orientation) but little prior measurement instruments were applicable to operationalize SCRO. Future research could refine the scale development of the SCRO instrument. Other limitations are the result of the research design. The performance measurement was based on individuals’ perceptions concerning innovation and financial performance. Even though it is a very common approach, this assessment remains inherently subjective. Furthermore, the survey was based on a single respondent. Hence, future research might utilize secondary data and possibly multiple respondents. The theoretically expected time lag between innovation and financial effects could be addressed with archival data as well.</w:t>
      </w:r>
    </w:p>
    <w:p w14:paraId="6D63E8BB" w14:textId="77777777" w:rsidR="00971AA8" w:rsidRPr="00971AA8" w:rsidRDefault="00971AA8" w:rsidP="00971AA8">
      <w:pPr>
        <w:spacing w:line="480" w:lineRule="auto"/>
        <w:jc w:val="both"/>
        <w:rPr>
          <w:rFonts w:ascii="Times New Roman" w:hAnsi="Times New Roman" w:cs="Times New Roman"/>
        </w:rPr>
      </w:pPr>
    </w:p>
    <w:p w14:paraId="2CE44B24" w14:textId="77777777" w:rsidR="00971AA8" w:rsidRPr="00971AA8" w:rsidRDefault="00971AA8" w:rsidP="002C6096">
      <w:pPr>
        <w:pStyle w:val="Heading2"/>
      </w:pPr>
      <w:bookmarkStart w:id="170" w:name="_Toc358326751"/>
      <w:r w:rsidRPr="00971AA8">
        <w:lastRenderedPageBreak/>
        <w:t>Future Research Opportunities</w:t>
      </w:r>
      <w:bookmarkEnd w:id="170"/>
    </w:p>
    <w:p w14:paraId="4D236BA2" w14:textId="77777777" w:rsidR="00971AA8" w:rsidRPr="00971AA8" w:rsidRDefault="00971AA8" w:rsidP="00971AA8">
      <w:pPr>
        <w:spacing w:line="480" w:lineRule="auto"/>
        <w:jc w:val="both"/>
        <w:rPr>
          <w:rFonts w:ascii="Times New Roman" w:hAnsi="Times New Roman" w:cs="Times New Roman"/>
        </w:rPr>
      </w:pPr>
      <w:r w:rsidRPr="00971AA8">
        <w:rPr>
          <w:rFonts w:ascii="Times New Roman" w:hAnsi="Times New Roman" w:cs="Times New Roman"/>
        </w:rPr>
        <w:t>This dissertation research represents only an initial step in the development and refinement of the SCRO framework, and not all critical aspects are fully addressed yet, so that fruitful research opportunities remain. Further research is required to expand the SCRO framework and to define its boundary conditions. After the basic conceptual model was quantitatively and qualitatively confirmed with a case study and a survey methodology, subsequent research should continue with additional empirical validation of the SCRO framework. As the importance of the open innovation paradigm continues to grow due to the strategic necessity of innovation, further research on the managerial practices along with cultural implications appears warranted. For example, the SCRO framework could be tested in different settings to verify its robustness in varying environments. Longitudinal research could strengthen the conceptual understanding by investigating how the SCRO relationships hold over time.</w:t>
      </w:r>
    </w:p>
    <w:p w14:paraId="62E51199" w14:textId="77777777" w:rsidR="00971AA8" w:rsidRPr="00971AA8" w:rsidRDefault="00971AA8" w:rsidP="002C6096">
      <w:pPr>
        <w:spacing w:line="480" w:lineRule="auto"/>
        <w:ind w:firstLine="720"/>
        <w:jc w:val="both"/>
        <w:rPr>
          <w:rFonts w:ascii="Times New Roman" w:hAnsi="Times New Roman" w:cs="Times New Roman"/>
        </w:rPr>
      </w:pPr>
      <w:r w:rsidRPr="00971AA8">
        <w:rPr>
          <w:rFonts w:ascii="Times New Roman" w:hAnsi="Times New Roman" w:cs="Times New Roman"/>
        </w:rPr>
        <w:t xml:space="preserve">The literature review has identified a lack of coherence in the body of knowledge concerning supply chain resource orchestration and innovation. The two streams appear to be divided. The issue of fragmented knowledge can be overcome by focused scholarly efforts to close the identified research gaps and to integrate and draw from both respective literature streams. The proposed research agenda of Chapter Two can provide a starting point in this regard. Future research could focus on several important issues on the strategic as well as operational level of SCRO. As the SCRO framework is emphasizing more the micro level of operational practices, further research could address the strategic implications for the organization. One research opportunity relates to the strategic role of SCM in driving innovation.  While engineering and marketing appear to be established functional “players,” the interviews with practitioners have revealed noticeable differences in terms of level of innovation-related contribution and </w:t>
      </w:r>
      <w:r w:rsidRPr="00971AA8">
        <w:rPr>
          <w:rFonts w:ascii="Times New Roman" w:hAnsi="Times New Roman" w:cs="Times New Roman"/>
        </w:rPr>
        <w:lastRenderedPageBreak/>
        <w:t>responsibility for the SCM discipline. Future research might explore the strategic implications for supply chain management.</w:t>
      </w:r>
    </w:p>
    <w:p w14:paraId="08E0FC11" w14:textId="77777777" w:rsidR="00971AA8" w:rsidRPr="00971AA8" w:rsidRDefault="00971AA8" w:rsidP="002C6096">
      <w:pPr>
        <w:spacing w:line="480" w:lineRule="auto"/>
        <w:ind w:firstLine="720"/>
        <w:jc w:val="both"/>
        <w:rPr>
          <w:rFonts w:ascii="Times New Roman" w:hAnsi="Times New Roman" w:cs="Times New Roman"/>
        </w:rPr>
      </w:pPr>
      <w:r w:rsidRPr="00971AA8">
        <w:rPr>
          <w:rFonts w:ascii="Times New Roman" w:hAnsi="Times New Roman" w:cs="Times New Roman"/>
        </w:rPr>
        <w:t xml:space="preserve">Finally, future research might bridge the SCRO phenomenon with the literature stream of absorptive capacity. Possibly, SCRO might be understood as a further dimension of the latter construct. Thereby, SCRO might be complementary to the current focus on engineering and R&amp;D-related competences and capabilities. The engineering-SCM relationship could become the subject of future research, especially in the context of new product/service development activities.  </w:t>
      </w:r>
    </w:p>
    <w:p w14:paraId="3A32D7B7" w14:textId="77777777" w:rsidR="00971AA8" w:rsidRPr="00971AA8" w:rsidRDefault="00971AA8" w:rsidP="00971AA8">
      <w:pPr>
        <w:spacing w:line="480" w:lineRule="auto"/>
        <w:jc w:val="both"/>
        <w:rPr>
          <w:rFonts w:ascii="Times New Roman" w:hAnsi="Times New Roman" w:cs="Times New Roman"/>
          <w:b/>
        </w:rPr>
      </w:pPr>
    </w:p>
    <w:p w14:paraId="7664263A" w14:textId="77777777" w:rsidR="00971AA8" w:rsidRDefault="00971AA8" w:rsidP="00971AA8">
      <w:pPr>
        <w:spacing w:line="480" w:lineRule="auto"/>
        <w:jc w:val="both"/>
        <w:rPr>
          <w:rFonts w:ascii="Times New Roman" w:hAnsi="Times New Roman" w:cs="Times New Roman"/>
          <w:b/>
        </w:rPr>
      </w:pPr>
    </w:p>
    <w:p w14:paraId="4E2A25B3" w14:textId="311BC69D" w:rsidR="001A778C" w:rsidRDefault="001A778C" w:rsidP="00971AA8">
      <w:pPr>
        <w:spacing w:line="480" w:lineRule="auto"/>
        <w:jc w:val="both"/>
        <w:rPr>
          <w:rFonts w:ascii="Times New Roman" w:hAnsi="Times New Roman" w:cs="Times New Roman"/>
          <w:b/>
        </w:rPr>
      </w:pPr>
      <w:r>
        <w:rPr>
          <w:rFonts w:ascii="Times New Roman" w:hAnsi="Times New Roman" w:cs="Times New Roman"/>
          <w:b/>
        </w:rPr>
        <w:br w:type="page"/>
      </w:r>
    </w:p>
    <w:p w14:paraId="3DA16AD3" w14:textId="4E274573" w:rsidR="00F36C7B" w:rsidRPr="007F1DD5" w:rsidRDefault="00937241" w:rsidP="007F1DD5">
      <w:pPr>
        <w:pStyle w:val="Heading1"/>
      </w:pPr>
      <w:bookmarkStart w:id="171" w:name="_Toc357382424"/>
      <w:bookmarkStart w:id="172" w:name="_Toc357383270"/>
      <w:r>
        <w:lastRenderedPageBreak/>
        <w:t xml:space="preserve"> </w:t>
      </w:r>
      <w:bookmarkStart w:id="173" w:name="_Toc358326752"/>
      <w:r w:rsidR="00BF6D7C" w:rsidRPr="007F1DD5">
        <w:t>REFERENCES</w:t>
      </w:r>
      <w:bookmarkEnd w:id="171"/>
      <w:bookmarkEnd w:id="172"/>
      <w:bookmarkEnd w:id="173"/>
    </w:p>
    <w:p w14:paraId="068BC67F" w14:textId="77777777" w:rsidR="00BF6D7C" w:rsidRDefault="00BF6D7C" w:rsidP="0035460B">
      <w:pPr>
        <w:spacing w:line="480" w:lineRule="auto"/>
        <w:jc w:val="both"/>
        <w:rPr>
          <w:rFonts w:ascii="Times New Roman" w:hAnsi="Times New Roman" w:cs="Times New Roman"/>
        </w:rPr>
      </w:pPr>
    </w:p>
    <w:p w14:paraId="3B4AA844" w14:textId="3A260009" w:rsidR="00BF6D7C" w:rsidRDefault="00BF6D7C" w:rsidP="00971AA8">
      <w:pPr>
        <w:jc w:val="both"/>
        <w:rPr>
          <w:rFonts w:ascii="Times New Roman" w:hAnsi="Times New Roman" w:cs="Times New Roman"/>
        </w:rPr>
      </w:pPr>
      <w:r>
        <w:rPr>
          <w:rFonts w:ascii="Times New Roman" w:hAnsi="Times New Roman" w:cs="Times New Roman"/>
        </w:rPr>
        <w:br w:type="page"/>
      </w:r>
    </w:p>
    <w:p w14:paraId="1BA83BE9" w14:textId="7BED3623" w:rsidR="00BF6D7C" w:rsidRDefault="00BF6D7C" w:rsidP="007F1DD5">
      <w:pPr>
        <w:pStyle w:val="Heading2"/>
      </w:pPr>
      <w:bookmarkStart w:id="174" w:name="_Toc357382425"/>
      <w:bookmarkStart w:id="175" w:name="_Toc357383271"/>
      <w:bookmarkStart w:id="176" w:name="_Toc358326753"/>
      <w:r w:rsidRPr="00BF6D7C">
        <w:lastRenderedPageBreak/>
        <w:t>C</w:t>
      </w:r>
      <w:r>
        <w:t>hapter One</w:t>
      </w:r>
      <w:r w:rsidRPr="00BF6D7C">
        <w:t>: R</w:t>
      </w:r>
      <w:r>
        <w:t>eferences</w:t>
      </w:r>
      <w:bookmarkEnd w:id="174"/>
      <w:bookmarkEnd w:id="175"/>
      <w:bookmarkEnd w:id="176"/>
    </w:p>
    <w:p w14:paraId="25691B3F" w14:textId="17E98244"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B717D1">
        <w:rPr>
          <w:rFonts w:ascii="Times New Roman" w:hAnsi="Times New Roman" w:cs="Times New Roman"/>
          <w:b/>
          <w:color w:val="000000" w:themeColor="text1"/>
        </w:rPr>
        <w:fldChar w:fldCharType="begin" w:fldLock="1"/>
      </w:r>
      <w:r w:rsidRPr="00B717D1">
        <w:rPr>
          <w:rFonts w:ascii="Times New Roman" w:hAnsi="Times New Roman" w:cs="Times New Roman"/>
          <w:b/>
          <w:color w:val="000000" w:themeColor="text1"/>
        </w:rPr>
        <w:instrText xml:space="preserve">ADDIN Mendeley Bibliography CSL_BIBLIOGRAPHY </w:instrText>
      </w:r>
      <w:r w:rsidRPr="00B717D1">
        <w:rPr>
          <w:rFonts w:ascii="Times New Roman" w:hAnsi="Times New Roman" w:cs="Times New Roman"/>
          <w:b/>
          <w:color w:val="000000" w:themeColor="text1"/>
        </w:rPr>
        <w:fldChar w:fldCharType="separate"/>
      </w:r>
      <w:r w:rsidRPr="0055735F">
        <w:rPr>
          <w:rFonts w:ascii="Times New Roman" w:hAnsi="Times New Roman" w:cs="Times New Roman"/>
          <w:noProof/>
        </w:rPr>
        <w:t xml:space="preserve">Allred, B. B., &amp; Swan, K. S. (2014). Process Technology Sourcing and the Innovation Context. </w:t>
      </w:r>
      <w:r w:rsidRPr="0055735F">
        <w:rPr>
          <w:rFonts w:ascii="Times New Roman" w:hAnsi="Times New Roman" w:cs="Times New Roman"/>
          <w:i/>
          <w:iCs/>
          <w:noProof/>
        </w:rPr>
        <w:t>Journal of Product Innovation Management</w:t>
      </w:r>
      <w:r w:rsidRPr="0055735F">
        <w:rPr>
          <w:rFonts w:ascii="Times New Roman" w:hAnsi="Times New Roman" w:cs="Times New Roman"/>
          <w:noProof/>
        </w:rPr>
        <w:t xml:space="preserve">, </w:t>
      </w:r>
      <w:r w:rsidRPr="0055735F">
        <w:rPr>
          <w:rFonts w:ascii="Times New Roman" w:hAnsi="Times New Roman" w:cs="Times New Roman"/>
          <w:i/>
          <w:iCs/>
          <w:noProof/>
        </w:rPr>
        <w:t>31</w:t>
      </w:r>
      <w:r w:rsidRPr="0055735F">
        <w:rPr>
          <w:rFonts w:ascii="Times New Roman" w:hAnsi="Times New Roman" w:cs="Times New Roman"/>
          <w:noProof/>
        </w:rPr>
        <w:t xml:space="preserve">(6), 1146–1166. </w:t>
      </w:r>
      <w:r w:rsidR="00FD50FC">
        <w:rPr>
          <w:rFonts w:ascii="Times New Roman" w:hAnsi="Times New Roman" w:cs="Times New Roman"/>
          <w:noProof/>
        </w:rPr>
        <w:t xml:space="preserve"> </w:t>
      </w:r>
    </w:p>
    <w:p w14:paraId="4C46F742"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Autry, C. W., Rose, W. J., &amp; Bell, J. E. (2014). Reconsidering the Supply Chain Integration – Performance Relationship: In Search of Theoretical Consistency and Clarity. </w:t>
      </w:r>
      <w:r w:rsidRPr="0055735F">
        <w:rPr>
          <w:rFonts w:ascii="Times New Roman" w:hAnsi="Times New Roman" w:cs="Times New Roman"/>
          <w:i/>
          <w:iCs/>
          <w:noProof/>
        </w:rPr>
        <w:t>Journal of Business Logistics</w:t>
      </w:r>
      <w:r w:rsidRPr="0055735F">
        <w:rPr>
          <w:rFonts w:ascii="Times New Roman" w:hAnsi="Times New Roman" w:cs="Times New Roman"/>
          <w:noProof/>
        </w:rPr>
        <w:t xml:space="preserve">, </w:t>
      </w:r>
      <w:r w:rsidRPr="0055735F">
        <w:rPr>
          <w:rFonts w:ascii="Times New Roman" w:hAnsi="Times New Roman" w:cs="Times New Roman"/>
          <w:i/>
          <w:iCs/>
          <w:noProof/>
        </w:rPr>
        <w:t>35</w:t>
      </w:r>
      <w:r w:rsidRPr="0055735F">
        <w:rPr>
          <w:rFonts w:ascii="Times New Roman" w:hAnsi="Times New Roman" w:cs="Times New Roman"/>
          <w:noProof/>
        </w:rPr>
        <w:t>(3), 275–276.</w:t>
      </w:r>
    </w:p>
    <w:p w14:paraId="598881BB" w14:textId="011D816E"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Barney, J. B. (1991). Firm Resources and Sustained Competitive Advantage. </w:t>
      </w:r>
      <w:r w:rsidRPr="0055735F">
        <w:rPr>
          <w:rFonts w:ascii="Times New Roman" w:hAnsi="Times New Roman" w:cs="Times New Roman"/>
          <w:i/>
          <w:iCs/>
          <w:noProof/>
        </w:rPr>
        <w:t>Journal of Management</w:t>
      </w:r>
      <w:r w:rsidRPr="0055735F">
        <w:rPr>
          <w:rFonts w:ascii="Times New Roman" w:hAnsi="Times New Roman" w:cs="Times New Roman"/>
          <w:noProof/>
        </w:rPr>
        <w:t xml:space="preserve">, </w:t>
      </w:r>
      <w:r w:rsidRPr="0055735F">
        <w:rPr>
          <w:rFonts w:ascii="Times New Roman" w:hAnsi="Times New Roman" w:cs="Times New Roman"/>
          <w:i/>
          <w:iCs/>
          <w:noProof/>
        </w:rPr>
        <w:t>17</w:t>
      </w:r>
      <w:r w:rsidRPr="0055735F">
        <w:rPr>
          <w:rFonts w:ascii="Times New Roman" w:hAnsi="Times New Roman" w:cs="Times New Roman"/>
          <w:noProof/>
        </w:rPr>
        <w:t xml:space="preserve">(1), 99–120. </w:t>
      </w:r>
      <w:r w:rsidR="00FD50FC">
        <w:rPr>
          <w:rFonts w:ascii="Times New Roman" w:hAnsi="Times New Roman" w:cs="Times New Roman"/>
          <w:noProof/>
        </w:rPr>
        <w:t xml:space="preserve"> </w:t>
      </w:r>
    </w:p>
    <w:p w14:paraId="64E5CC35" w14:textId="32216A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Barney, J. B., Ketchen, D. J., &amp; Wright, M. (2011). The Future of Resource-Based Theory: Revitalization or Decline? </w:t>
      </w:r>
      <w:r w:rsidRPr="0055735F">
        <w:rPr>
          <w:rFonts w:ascii="Times New Roman" w:hAnsi="Times New Roman" w:cs="Times New Roman"/>
          <w:i/>
          <w:iCs/>
          <w:noProof/>
        </w:rPr>
        <w:t>Journal of Management</w:t>
      </w:r>
      <w:r w:rsidRPr="0055735F">
        <w:rPr>
          <w:rFonts w:ascii="Times New Roman" w:hAnsi="Times New Roman" w:cs="Times New Roman"/>
          <w:noProof/>
        </w:rPr>
        <w:t xml:space="preserve">, </w:t>
      </w:r>
      <w:r w:rsidRPr="0055735F">
        <w:rPr>
          <w:rFonts w:ascii="Times New Roman" w:hAnsi="Times New Roman" w:cs="Times New Roman"/>
          <w:i/>
          <w:iCs/>
          <w:noProof/>
        </w:rPr>
        <w:t>37</w:t>
      </w:r>
      <w:r w:rsidRPr="0055735F">
        <w:rPr>
          <w:rFonts w:ascii="Times New Roman" w:hAnsi="Times New Roman" w:cs="Times New Roman"/>
          <w:noProof/>
        </w:rPr>
        <w:t xml:space="preserve">(5), 1299–1315. </w:t>
      </w:r>
      <w:r w:rsidR="00FD50FC">
        <w:rPr>
          <w:rFonts w:ascii="Times New Roman" w:hAnsi="Times New Roman" w:cs="Times New Roman"/>
          <w:noProof/>
        </w:rPr>
        <w:t xml:space="preserve"> </w:t>
      </w:r>
    </w:p>
    <w:p w14:paraId="5ED7EEF5"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Bruce, M., Daly, L., &amp; Kahn, K. B. (2007). Delineating Design Factors that Influence the Global Product Launch Process. </w:t>
      </w:r>
      <w:r w:rsidRPr="0055735F">
        <w:rPr>
          <w:rFonts w:ascii="Times New Roman" w:hAnsi="Times New Roman" w:cs="Times New Roman"/>
          <w:i/>
          <w:iCs/>
          <w:noProof/>
        </w:rPr>
        <w:t>Journal of Product Innovation Management</w:t>
      </w:r>
      <w:r w:rsidRPr="0055735F">
        <w:rPr>
          <w:rFonts w:ascii="Times New Roman" w:hAnsi="Times New Roman" w:cs="Times New Roman"/>
          <w:noProof/>
        </w:rPr>
        <w:t xml:space="preserve">, </w:t>
      </w:r>
      <w:r w:rsidRPr="0055735F">
        <w:rPr>
          <w:rFonts w:ascii="Times New Roman" w:hAnsi="Times New Roman" w:cs="Times New Roman"/>
          <w:i/>
          <w:iCs/>
          <w:noProof/>
        </w:rPr>
        <w:t>24</w:t>
      </w:r>
      <w:r w:rsidRPr="0055735F">
        <w:rPr>
          <w:rFonts w:ascii="Times New Roman" w:hAnsi="Times New Roman" w:cs="Times New Roman"/>
          <w:noProof/>
        </w:rPr>
        <w:t>, 456–470.</w:t>
      </w:r>
    </w:p>
    <w:p w14:paraId="1CF727D0" w14:textId="1D4098A8"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Cousins, P. D., Handfield, R. B., Lawson, B., &amp; Petersen, K. J. (2006). Creating supply chain relational capital: The impact of formal and informal socialization processes. </w:t>
      </w:r>
      <w:r w:rsidRPr="0055735F">
        <w:rPr>
          <w:rFonts w:ascii="Times New Roman" w:hAnsi="Times New Roman" w:cs="Times New Roman"/>
          <w:i/>
          <w:iCs/>
          <w:noProof/>
        </w:rPr>
        <w:t>Journal of Operations Management</w:t>
      </w:r>
      <w:r w:rsidRPr="0055735F">
        <w:rPr>
          <w:rFonts w:ascii="Times New Roman" w:hAnsi="Times New Roman" w:cs="Times New Roman"/>
          <w:noProof/>
        </w:rPr>
        <w:t xml:space="preserve">, </w:t>
      </w:r>
      <w:r w:rsidRPr="0055735F">
        <w:rPr>
          <w:rFonts w:ascii="Times New Roman" w:hAnsi="Times New Roman" w:cs="Times New Roman"/>
          <w:i/>
          <w:iCs/>
          <w:noProof/>
        </w:rPr>
        <w:t>24</w:t>
      </w:r>
      <w:r w:rsidRPr="0055735F">
        <w:rPr>
          <w:rFonts w:ascii="Times New Roman" w:hAnsi="Times New Roman" w:cs="Times New Roman"/>
          <w:noProof/>
        </w:rPr>
        <w:t xml:space="preserve">, 851–863. </w:t>
      </w:r>
      <w:r w:rsidR="00FD50FC">
        <w:rPr>
          <w:rFonts w:ascii="Times New Roman" w:hAnsi="Times New Roman" w:cs="Times New Roman"/>
          <w:noProof/>
        </w:rPr>
        <w:t xml:space="preserve"> </w:t>
      </w:r>
    </w:p>
    <w:p w14:paraId="50BF253D"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Craighead, C. W., Ketchen, J. D. J., &amp; Cheng, L. (2016). “Goldilocks” Theorizing in Supply Chain Research: Balancing Scientific and Practical Utility via Middle- Range Theory. </w:t>
      </w:r>
      <w:r w:rsidRPr="0055735F">
        <w:rPr>
          <w:rFonts w:ascii="Times New Roman" w:hAnsi="Times New Roman" w:cs="Times New Roman"/>
          <w:i/>
          <w:iCs/>
          <w:noProof/>
        </w:rPr>
        <w:t>Transportation Journal</w:t>
      </w:r>
      <w:r w:rsidRPr="0055735F">
        <w:rPr>
          <w:rFonts w:ascii="Times New Roman" w:hAnsi="Times New Roman" w:cs="Times New Roman"/>
          <w:noProof/>
        </w:rPr>
        <w:t xml:space="preserve">, </w:t>
      </w:r>
      <w:r w:rsidRPr="0055735F">
        <w:rPr>
          <w:rFonts w:ascii="Times New Roman" w:hAnsi="Times New Roman" w:cs="Times New Roman"/>
          <w:i/>
          <w:iCs/>
          <w:noProof/>
        </w:rPr>
        <w:t>55</w:t>
      </w:r>
      <w:r w:rsidRPr="0055735F">
        <w:rPr>
          <w:rFonts w:ascii="Times New Roman" w:hAnsi="Times New Roman" w:cs="Times New Roman"/>
          <w:noProof/>
        </w:rPr>
        <w:t>(3), 241–257.</w:t>
      </w:r>
    </w:p>
    <w:p w14:paraId="5004645C" w14:textId="2B64B31C"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Crook, T. R., &amp; Esper, T. L. (2014). Do Resources Aid in Supply Chain Functioning and Management? Yes, But More (and More Precise) Research is Needed. </w:t>
      </w:r>
      <w:r w:rsidRPr="0055735F">
        <w:rPr>
          <w:rFonts w:ascii="Times New Roman" w:hAnsi="Times New Roman" w:cs="Times New Roman"/>
          <w:i/>
          <w:iCs/>
          <w:noProof/>
        </w:rPr>
        <w:t>Journal of Supply Chain Management</w:t>
      </w:r>
      <w:r w:rsidRPr="0055735F">
        <w:rPr>
          <w:rFonts w:ascii="Times New Roman" w:hAnsi="Times New Roman" w:cs="Times New Roman"/>
          <w:noProof/>
        </w:rPr>
        <w:t xml:space="preserve">, </w:t>
      </w:r>
      <w:r w:rsidRPr="0055735F">
        <w:rPr>
          <w:rFonts w:ascii="Times New Roman" w:hAnsi="Times New Roman" w:cs="Times New Roman"/>
          <w:i/>
          <w:iCs/>
          <w:noProof/>
        </w:rPr>
        <w:t>50</w:t>
      </w:r>
      <w:r w:rsidRPr="0055735F">
        <w:rPr>
          <w:rFonts w:ascii="Times New Roman" w:hAnsi="Times New Roman" w:cs="Times New Roman"/>
          <w:noProof/>
        </w:rPr>
        <w:t xml:space="preserve">(3), 94–97. </w:t>
      </w:r>
      <w:r w:rsidR="00FD50FC">
        <w:rPr>
          <w:rFonts w:ascii="Times New Roman" w:hAnsi="Times New Roman" w:cs="Times New Roman"/>
          <w:noProof/>
        </w:rPr>
        <w:t xml:space="preserve"> </w:t>
      </w:r>
    </w:p>
    <w:p w14:paraId="538AF709"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Gassmann, O., Enkel, E., &amp; Chesbrough, H. (2010). The future of open innovation. </w:t>
      </w:r>
      <w:r w:rsidRPr="0055735F">
        <w:rPr>
          <w:rFonts w:ascii="Times New Roman" w:hAnsi="Times New Roman" w:cs="Times New Roman"/>
          <w:i/>
          <w:iCs/>
          <w:noProof/>
        </w:rPr>
        <w:t>R&amp;D Management</w:t>
      </w:r>
      <w:r w:rsidRPr="0055735F">
        <w:rPr>
          <w:rFonts w:ascii="Times New Roman" w:hAnsi="Times New Roman" w:cs="Times New Roman"/>
          <w:noProof/>
        </w:rPr>
        <w:t>, 1–9.</w:t>
      </w:r>
    </w:p>
    <w:p w14:paraId="1533F767" w14:textId="6D1EE434"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Hansen, M. H., Perry, L. T., &amp; Reese, C. S. (2004). A bayesian operationalization of the resource-based view. </w:t>
      </w:r>
      <w:r w:rsidRPr="0055735F">
        <w:rPr>
          <w:rFonts w:ascii="Times New Roman" w:hAnsi="Times New Roman" w:cs="Times New Roman"/>
          <w:i/>
          <w:iCs/>
          <w:noProof/>
        </w:rPr>
        <w:t>Strategic Management Journal</w:t>
      </w:r>
      <w:r w:rsidRPr="0055735F">
        <w:rPr>
          <w:rFonts w:ascii="Times New Roman" w:hAnsi="Times New Roman" w:cs="Times New Roman"/>
          <w:noProof/>
        </w:rPr>
        <w:t xml:space="preserve">, </w:t>
      </w:r>
      <w:r w:rsidRPr="0055735F">
        <w:rPr>
          <w:rFonts w:ascii="Times New Roman" w:hAnsi="Times New Roman" w:cs="Times New Roman"/>
          <w:i/>
          <w:iCs/>
          <w:noProof/>
        </w:rPr>
        <w:t>25</w:t>
      </w:r>
      <w:r w:rsidRPr="0055735F">
        <w:rPr>
          <w:rFonts w:ascii="Times New Roman" w:hAnsi="Times New Roman" w:cs="Times New Roman"/>
          <w:noProof/>
        </w:rPr>
        <w:t xml:space="preserve">(13), 1279–1295. </w:t>
      </w:r>
      <w:r w:rsidR="00FD50FC">
        <w:rPr>
          <w:rFonts w:ascii="Times New Roman" w:hAnsi="Times New Roman" w:cs="Times New Roman"/>
          <w:noProof/>
        </w:rPr>
        <w:t xml:space="preserve"> </w:t>
      </w:r>
    </w:p>
    <w:p w14:paraId="05A6E9D0" w14:textId="1B41BC5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Heidenreich, S., &amp; Kraemer, T. (2016). Innovations - Doomed to Fail? Investigating Strategies to Overcome Passive Innovation Resistance. </w:t>
      </w:r>
      <w:r w:rsidRPr="0055735F">
        <w:rPr>
          <w:rFonts w:ascii="Times New Roman" w:hAnsi="Times New Roman" w:cs="Times New Roman"/>
          <w:i/>
          <w:iCs/>
          <w:noProof/>
        </w:rPr>
        <w:t>Journal of Product Innovation Management</w:t>
      </w:r>
      <w:r w:rsidRPr="0055735F">
        <w:rPr>
          <w:rFonts w:ascii="Times New Roman" w:hAnsi="Times New Roman" w:cs="Times New Roman"/>
          <w:noProof/>
        </w:rPr>
        <w:t xml:space="preserve">, </w:t>
      </w:r>
      <w:r w:rsidRPr="0055735F">
        <w:rPr>
          <w:rFonts w:ascii="Times New Roman" w:hAnsi="Times New Roman" w:cs="Times New Roman"/>
          <w:i/>
          <w:iCs/>
          <w:noProof/>
        </w:rPr>
        <w:t>33</w:t>
      </w:r>
      <w:r w:rsidRPr="0055735F">
        <w:rPr>
          <w:rFonts w:ascii="Times New Roman" w:hAnsi="Times New Roman" w:cs="Times New Roman"/>
          <w:noProof/>
        </w:rPr>
        <w:t xml:space="preserve">(3), 277–297. </w:t>
      </w:r>
      <w:r w:rsidR="00FD50FC">
        <w:rPr>
          <w:rFonts w:ascii="Times New Roman" w:hAnsi="Times New Roman" w:cs="Times New Roman"/>
          <w:noProof/>
        </w:rPr>
        <w:t xml:space="preserve"> </w:t>
      </w:r>
    </w:p>
    <w:p w14:paraId="6F64774C"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Hitt, M. A., Ireland, R. D., Sirmon, D. G., &amp; Trahms, C. A. (2011). Strategic Entrepreneurship: Creating Value for Individuals, Organizations, and Society. </w:t>
      </w:r>
      <w:r w:rsidRPr="0055735F">
        <w:rPr>
          <w:rFonts w:ascii="Times New Roman" w:hAnsi="Times New Roman" w:cs="Times New Roman"/>
          <w:i/>
          <w:iCs/>
          <w:noProof/>
        </w:rPr>
        <w:t>Academy of Management Perspectives</w:t>
      </w:r>
      <w:r w:rsidRPr="0055735F">
        <w:rPr>
          <w:rFonts w:ascii="Times New Roman" w:hAnsi="Times New Roman" w:cs="Times New Roman"/>
          <w:noProof/>
        </w:rPr>
        <w:t>, (May), 57–75.</w:t>
      </w:r>
    </w:p>
    <w:p w14:paraId="7C419B49"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Ketchen, D. J., Wowak, K. D., &amp; Craighead, C. W. (2014). Resource Gaps and Resource Orchestration Shortfalls in Supply Chain Management: The Case of Product Recalls. </w:t>
      </w:r>
      <w:r w:rsidRPr="0055735F">
        <w:rPr>
          <w:rFonts w:ascii="Times New Roman" w:hAnsi="Times New Roman" w:cs="Times New Roman"/>
          <w:i/>
          <w:iCs/>
          <w:noProof/>
        </w:rPr>
        <w:t>Journal of Supply Chain Management</w:t>
      </w:r>
      <w:r w:rsidRPr="0055735F">
        <w:rPr>
          <w:rFonts w:ascii="Times New Roman" w:hAnsi="Times New Roman" w:cs="Times New Roman"/>
          <w:noProof/>
        </w:rPr>
        <w:t xml:space="preserve">, </w:t>
      </w:r>
      <w:r w:rsidRPr="0055735F">
        <w:rPr>
          <w:rFonts w:ascii="Times New Roman" w:hAnsi="Times New Roman" w:cs="Times New Roman"/>
          <w:i/>
          <w:iCs/>
          <w:noProof/>
        </w:rPr>
        <w:t>50</w:t>
      </w:r>
      <w:r w:rsidRPr="0055735F">
        <w:rPr>
          <w:rFonts w:ascii="Times New Roman" w:hAnsi="Times New Roman" w:cs="Times New Roman"/>
          <w:noProof/>
        </w:rPr>
        <w:t>(3), 6–15.</w:t>
      </w:r>
    </w:p>
    <w:p w14:paraId="7BEF494F" w14:textId="77C65D76"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Kozlenkova, I. V., Samaha, S. A., &amp; Palmatier, R. W. (2014). Resource-based theory in marketing. </w:t>
      </w:r>
      <w:r w:rsidRPr="0055735F">
        <w:rPr>
          <w:rFonts w:ascii="Times New Roman" w:hAnsi="Times New Roman" w:cs="Times New Roman"/>
          <w:i/>
          <w:iCs/>
          <w:noProof/>
        </w:rPr>
        <w:t>Journal of the Academy of Marketing Science</w:t>
      </w:r>
      <w:r w:rsidRPr="0055735F">
        <w:rPr>
          <w:rFonts w:ascii="Times New Roman" w:hAnsi="Times New Roman" w:cs="Times New Roman"/>
          <w:noProof/>
        </w:rPr>
        <w:t xml:space="preserve">, </w:t>
      </w:r>
      <w:r w:rsidRPr="0055735F">
        <w:rPr>
          <w:rFonts w:ascii="Times New Roman" w:hAnsi="Times New Roman" w:cs="Times New Roman"/>
          <w:i/>
          <w:iCs/>
          <w:noProof/>
        </w:rPr>
        <w:t>42</w:t>
      </w:r>
      <w:r w:rsidRPr="0055735F">
        <w:rPr>
          <w:rFonts w:ascii="Times New Roman" w:hAnsi="Times New Roman" w:cs="Times New Roman"/>
          <w:noProof/>
        </w:rPr>
        <w:t xml:space="preserve">(1), 1–21. </w:t>
      </w:r>
      <w:r w:rsidR="00FD50FC">
        <w:rPr>
          <w:rFonts w:ascii="Times New Roman" w:hAnsi="Times New Roman" w:cs="Times New Roman"/>
          <w:noProof/>
        </w:rPr>
        <w:t xml:space="preserve"> </w:t>
      </w:r>
    </w:p>
    <w:p w14:paraId="25DC5D67" w14:textId="6354FF2F"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Krause, D. R., Pagell, M., &amp; Curkovic, S. (2001). Toward a measure of competitive priorities for purchasing. </w:t>
      </w:r>
      <w:r w:rsidRPr="0055735F">
        <w:rPr>
          <w:rFonts w:ascii="Times New Roman" w:hAnsi="Times New Roman" w:cs="Times New Roman"/>
          <w:i/>
          <w:iCs/>
          <w:noProof/>
        </w:rPr>
        <w:t>Journal of Operations Management</w:t>
      </w:r>
      <w:r w:rsidRPr="0055735F">
        <w:rPr>
          <w:rFonts w:ascii="Times New Roman" w:hAnsi="Times New Roman" w:cs="Times New Roman"/>
          <w:noProof/>
        </w:rPr>
        <w:t xml:space="preserve">, </w:t>
      </w:r>
      <w:r w:rsidRPr="0055735F">
        <w:rPr>
          <w:rFonts w:ascii="Times New Roman" w:hAnsi="Times New Roman" w:cs="Times New Roman"/>
          <w:i/>
          <w:iCs/>
          <w:noProof/>
        </w:rPr>
        <w:t>19</w:t>
      </w:r>
      <w:r w:rsidRPr="0055735F">
        <w:rPr>
          <w:rFonts w:ascii="Times New Roman" w:hAnsi="Times New Roman" w:cs="Times New Roman"/>
          <w:noProof/>
        </w:rPr>
        <w:t xml:space="preserve">, 497–512. </w:t>
      </w:r>
      <w:r w:rsidR="00FD50FC">
        <w:rPr>
          <w:rFonts w:ascii="Times New Roman" w:hAnsi="Times New Roman" w:cs="Times New Roman"/>
          <w:noProof/>
        </w:rPr>
        <w:t xml:space="preserve"> </w:t>
      </w:r>
    </w:p>
    <w:p w14:paraId="11F7FC15" w14:textId="66E46F49"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Leiponen, A., &amp; Helfat, C. E. (2010). Innovation Objectives, Knowledge Sources, and the Benefits of Breadth. </w:t>
      </w:r>
      <w:r w:rsidRPr="0055735F">
        <w:rPr>
          <w:rFonts w:ascii="Times New Roman" w:hAnsi="Times New Roman" w:cs="Times New Roman"/>
          <w:i/>
          <w:iCs/>
          <w:noProof/>
        </w:rPr>
        <w:t>Stratgic Management Journal</w:t>
      </w:r>
      <w:r w:rsidRPr="0055735F">
        <w:rPr>
          <w:rFonts w:ascii="Times New Roman" w:hAnsi="Times New Roman" w:cs="Times New Roman"/>
          <w:noProof/>
        </w:rPr>
        <w:t xml:space="preserve">, </w:t>
      </w:r>
      <w:r w:rsidRPr="0055735F">
        <w:rPr>
          <w:rFonts w:ascii="Times New Roman" w:hAnsi="Times New Roman" w:cs="Times New Roman"/>
          <w:i/>
          <w:iCs/>
          <w:noProof/>
        </w:rPr>
        <w:t>31</w:t>
      </w:r>
      <w:r w:rsidRPr="0055735F">
        <w:rPr>
          <w:rFonts w:ascii="Times New Roman" w:hAnsi="Times New Roman" w:cs="Times New Roman"/>
          <w:noProof/>
        </w:rPr>
        <w:t xml:space="preserve">, 224–236. </w:t>
      </w:r>
      <w:r w:rsidR="00FD50FC">
        <w:rPr>
          <w:rFonts w:ascii="Times New Roman" w:hAnsi="Times New Roman" w:cs="Times New Roman"/>
          <w:noProof/>
        </w:rPr>
        <w:t xml:space="preserve"> </w:t>
      </w:r>
    </w:p>
    <w:p w14:paraId="718E65ED"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Linder, J. C., Jarvenpaa, S., &amp; Davenport, T. H. (2003). Toward an Innovation Sourcing Strategy. </w:t>
      </w:r>
      <w:r w:rsidRPr="0055735F">
        <w:rPr>
          <w:rFonts w:ascii="Times New Roman" w:hAnsi="Times New Roman" w:cs="Times New Roman"/>
          <w:i/>
          <w:iCs/>
          <w:noProof/>
        </w:rPr>
        <w:t>MIT Sloan Management Review</w:t>
      </w:r>
      <w:r w:rsidRPr="0055735F">
        <w:rPr>
          <w:rFonts w:ascii="Times New Roman" w:hAnsi="Times New Roman" w:cs="Times New Roman"/>
          <w:noProof/>
        </w:rPr>
        <w:t xml:space="preserve">, </w:t>
      </w:r>
      <w:r w:rsidRPr="0055735F">
        <w:rPr>
          <w:rFonts w:ascii="Times New Roman" w:hAnsi="Times New Roman" w:cs="Times New Roman"/>
          <w:i/>
          <w:iCs/>
          <w:noProof/>
        </w:rPr>
        <w:t>44</w:t>
      </w:r>
      <w:r w:rsidRPr="0055735F">
        <w:rPr>
          <w:rFonts w:ascii="Times New Roman" w:hAnsi="Times New Roman" w:cs="Times New Roman"/>
          <w:noProof/>
        </w:rPr>
        <w:t>(4), 43–49.</w:t>
      </w:r>
    </w:p>
    <w:p w14:paraId="7EE92D0E"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Oke, A., Prajogo, D. I., &amp; Yayaram, J. (2013). STRENGTHENING THE INNOVATION CHAIN: THE ROLE OF INTERNAL INNOVATION CLIMATE AND STRATEGIC RELATIONSHIPS WITH SUPPLY CHAIN PARTNERS. </w:t>
      </w:r>
      <w:r w:rsidRPr="0055735F">
        <w:rPr>
          <w:rFonts w:ascii="Times New Roman" w:hAnsi="Times New Roman" w:cs="Times New Roman"/>
          <w:i/>
          <w:iCs/>
          <w:noProof/>
        </w:rPr>
        <w:t>Journal of Supply Chain Management</w:t>
      </w:r>
      <w:r w:rsidRPr="0055735F">
        <w:rPr>
          <w:rFonts w:ascii="Times New Roman" w:hAnsi="Times New Roman" w:cs="Times New Roman"/>
          <w:noProof/>
        </w:rPr>
        <w:t xml:space="preserve">, </w:t>
      </w:r>
      <w:r w:rsidRPr="0055735F">
        <w:rPr>
          <w:rFonts w:ascii="Times New Roman" w:hAnsi="Times New Roman" w:cs="Times New Roman"/>
          <w:i/>
          <w:iCs/>
          <w:noProof/>
        </w:rPr>
        <w:t>49</w:t>
      </w:r>
      <w:r w:rsidRPr="0055735F">
        <w:rPr>
          <w:rFonts w:ascii="Times New Roman" w:hAnsi="Times New Roman" w:cs="Times New Roman"/>
          <w:noProof/>
        </w:rPr>
        <w:t>(4), 43–58.</w:t>
      </w:r>
    </w:p>
    <w:p w14:paraId="52726AF2" w14:textId="3F5052D2"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Schoenherr, T., &amp; Swink, M. (2012). Revisiting the arcs of integration: Cross-validations </w:t>
      </w:r>
      <w:r w:rsidRPr="0055735F">
        <w:rPr>
          <w:rFonts w:ascii="Times New Roman" w:hAnsi="Times New Roman" w:cs="Times New Roman"/>
          <w:noProof/>
        </w:rPr>
        <w:lastRenderedPageBreak/>
        <w:t xml:space="preserve">and extensions. </w:t>
      </w:r>
      <w:r w:rsidRPr="0055735F">
        <w:rPr>
          <w:rFonts w:ascii="Times New Roman" w:hAnsi="Times New Roman" w:cs="Times New Roman"/>
          <w:i/>
          <w:iCs/>
          <w:noProof/>
        </w:rPr>
        <w:t>Journal of Operations Management</w:t>
      </w:r>
      <w:r w:rsidRPr="0055735F">
        <w:rPr>
          <w:rFonts w:ascii="Times New Roman" w:hAnsi="Times New Roman" w:cs="Times New Roman"/>
          <w:noProof/>
        </w:rPr>
        <w:t xml:space="preserve">, </w:t>
      </w:r>
      <w:r w:rsidRPr="0055735F">
        <w:rPr>
          <w:rFonts w:ascii="Times New Roman" w:hAnsi="Times New Roman" w:cs="Times New Roman"/>
          <w:i/>
          <w:iCs/>
          <w:noProof/>
        </w:rPr>
        <w:t>30</w:t>
      </w:r>
      <w:r w:rsidRPr="0055735F">
        <w:rPr>
          <w:rFonts w:ascii="Times New Roman" w:hAnsi="Times New Roman" w:cs="Times New Roman"/>
          <w:noProof/>
        </w:rPr>
        <w:t xml:space="preserve">(1–2), 99–115. </w:t>
      </w:r>
      <w:r w:rsidR="00FD50FC">
        <w:rPr>
          <w:rFonts w:ascii="Times New Roman" w:hAnsi="Times New Roman" w:cs="Times New Roman"/>
          <w:noProof/>
        </w:rPr>
        <w:t xml:space="preserve"> </w:t>
      </w:r>
    </w:p>
    <w:p w14:paraId="0A7D9F4F"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Sirmon, D. G., &amp; Hitt, M. A. (2003). Managing Resources: Linking Unique Resources, Management, and Wealth Creation in Family Firms. </w:t>
      </w:r>
      <w:r w:rsidRPr="0055735F">
        <w:rPr>
          <w:rFonts w:ascii="Times New Roman" w:hAnsi="Times New Roman" w:cs="Times New Roman"/>
          <w:i/>
          <w:iCs/>
          <w:noProof/>
        </w:rPr>
        <w:t>Entrepreneurship Theory and Practice</w:t>
      </w:r>
      <w:r w:rsidRPr="0055735F">
        <w:rPr>
          <w:rFonts w:ascii="Times New Roman" w:hAnsi="Times New Roman" w:cs="Times New Roman"/>
          <w:noProof/>
        </w:rPr>
        <w:t>, (Summer), 339–359.</w:t>
      </w:r>
    </w:p>
    <w:p w14:paraId="10554190" w14:textId="3F4B0BA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Sirmon, D. G., Hitt, M. A., Ireland, R. D., &amp; Gilbert, B. A. (2011). Resource Orchestration to Create Competitive Advantage : Breadth , Depth , and Life Cycle Effects. </w:t>
      </w:r>
      <w:r w:rsidRPr="0055735F">
        <w:rPr>
          <w:rFonts w:ascii="Times New Roman" w:hAnsi="Times New Roman" w:cs="Times New Roman"/>
          <w:i/>
          <w:iCs/>
          <w:noProof/>
        </w:rPr>
        <w:t>Journal of Management</w:t>
      </w:r>
      <w:r w:rsidRPr="0055735F">
        <w:rPr>
          <w:rFonts w:ascii="Times New Roman" w:hAnsi="Times New Roman" w:cs="Times New Roman"/>
          <w:noProof/>
        </w:rPr>
        <w:t xml:space="preserve">, </w:t>
      </w:r>
      <w:r w:rsidRPr="0055735F">
        <w:rPr>
          <w:rFonts w:ascii="Times New Roman" w:hAnsi="Times New Roman" w:cs="Times New Roman"/>
          <w:i/>
          <w:iCs/>
          <w:noProof/>
        </w:rPr>
        <w:t>37</w:t>
      </w:r>
      <w:r w:rsidRPr="0055735F">
        <w:rPr>
          <w:rFonts w:ascii="Times New Roman" w:hAnsi="Times New Roman" w:cs="Times New Roman"/>
          <w:noProof/>
        </w:rPr>
        <w:t xml:space="preserve">(5), 1390–1412. </w:t>
      </w:r>
      <w:r w:rsidR="00FD50FC">
        <w:rPr>
          <w:rFonts w:ascii="Times New Roman" w:hAnsi="Times New Roman" w:cs="Times New Roman"/>
          <w:noProof/>
        </w:rPr>
        <w:t xml:space="preserve"> </w:t>
      </w:r>
    </w:p>
    <w:p w14:paraId="31C0FD11" w14:textId="2F6EDC42"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Song, M., &amp; Di Benedetto, C. A. (2008). Supplier’ s involvement and success of radical new product development in new ventures. </w:t>
      </w:r>
      <w:r w:rsidRPr="0055735F">
        <w:rPr>
          <w:rFonts w:ascii="Times New Roman" w:hAnsi="Times New Roman" w:cs="Times New Roman"/>
          <w:i/>
          <w:iCs/>
          <w:noProof/>
        </w:rPr>
        <w:t>Journal of Operations Management</w:t>
      </w:r>
      <w:r w:rsidRPr="0055735F">
        <w:rPr>
          <w:rFonts w:ascii="Times New Roman" w:hAnsi="Times New Roman" w:cs="Times New Roman"/>
          <w:noProof/>
        </w:rPr>
        <w:t xml:space="preserve">, </w:t>
      </w:r>
      <w:r w:rsidRPr="0055735F">
        <w:rPr>
          <w:rFonts w:ascii="Times New Roman" w:hAnsi="Times New Roman" w:cs="Times New Roman"/>
          <w:i/>
          <w:iCs/>
          <w:noProof/>
        </w:rPr>
        <w:t>26</w:t>
      </w:r>
      <w:r w:rsidR="00FD50FC">
        <w:rPr>
          <w:rFonts w:ascii="Times New Roman" w:hAnsi="Times New Roman" w:cs="Times New Roman"/>
          <w:noProof/>
        </w:rPr>
        <w:t xml:space="preserve">, 1–22. </w:t>
      </w:r>
    </w:p>
    <w:p w14:paraId="53B94127" w14:textId="0AD720EA"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Wagner, S. M. (2010). Supplier traits for better customer firm innovation performance. </w:t>
      </w:r>
      <w:r w:rsidRPr="0055735F">
        <w:rPr>
          <w:rFonts w:ascii="Times New Roman" w:hAnsi="Times New Roman" w:cs="Times New Roman"/>
          <w:i/>
          <w:iCs/>
          <w:noProof/>
        </w:rPr>
        <w:t>Industrial Marketing Management</w:t>
      </w:r>
      <w:r w:rsidRPr="0055735F">
        <w:rPr>
          <w:rFonts w:ascii="Times New Roman" w:hAnsi="Times New Roman" w:cs="Times New Roman"/>
          <w:noProof/>
        </w:rPr>
        <w:t xml:space="preserve">, </w:t>
      </w:r>
      <w:r w:rsidRPr="0055735F">
        <w:rPr>
          <w:rFonts w:ascii="Times New Roman" w:hAnsi="Times New Roman" w:cs="Times New Roman"/>
          <w:i/>
          <w:iCs/>
          <w:noProof/>
        </w:rPr>
        <w:t>39</w:t>
      </w:r>
      <w:r w:rsidRPr="0055735F">
        <w:rPr>
          <w:rFonts w:ascii="Times New Roman" w:hAnsi="Times New Roman" w:cs="Times New Roman"/>
          <w:noProof/>
        </w:rPr>
        <w:t xml:space="preserve">(7), 1139–1149. </w:t>
      </w:r>
      <w:r w:rsidR="00FD50FC">
        <w:rPr>
          <w:rFonts w:ascii="Times New Roman" w:hAnsi="Times New Roman" w:cs="Times New Roman"/>
          <w:noProof/>
        </w:rPr>
        <w:t xml:space="preserve"> </w:t>
      </w:r>
    </w:p>
    <w:p w14:paraId="0505560E" w14:textId="4927EE90"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West, J., &amp; Bogers, M. (2014). Leveraging External Sources of Innovation: A Review of Research on Open Innovation. </w:t>
      </w:r>
      <w:r w:rsidRPr="0055735F">
        <w:rPr>
          <w:rFonts w:ascii="Times New Roman" w:hAnsi="Times New Roman" w:cs="Times New Roman"/>
          <w:i/>
          <w:iCs/>
          <w:noProof/>
        </w:rPr>
        <w:t>Journal of Product Innovation Management</w:t>
      </w:r>
      <w:r w:rsidRPr="0055735F">
        <w:rPr>
          <w:rFonts w:ascii="Times New Roman" w:hAnsi="Times New Roman" w:cs="Times New Roman"/>
          <w:noProof/>
        </w:rPr>
        <w:t xml:space="preserve">, </w:t>
      </w:r>
      <w:r w:rsidRPr="0055735F">
        <w:rPr>
          <w:rFonts w:ascii="Times New Roman" w:hAnsi="Times New Roman" w:cs="Times New Roman"/>
          <w:i/>
          <w:iCs/>
          <w:noProof/>
        </w:rPr>
        <w:t>31</w:t>
      </w:r>
      <w:r w:rsidRPr="0055735F">
        <w:rPr>
          <w:rFonts w:ascii="Times New Roman" w:hAnsi="Times New Roman" w:cs="Times New Roman"/>
          <w:noProof/>
        </w:rPr>
        <w:t xml:space="preserve">(4), 814–831. </w:t>
      </w:r>
      <w:r w:rsidR="00FD50FC">
        <w:rPr>
          <w:rFonts w:ascii="Times New Roman" w:hAnsi="Times New Roman" w:cs="Times New Roman"/>
          <w:noProof/>
        </w:rPr>
        <w:t xml:space="preserve"> </w:t>
      </w:r>
    </w:p>
    <w:p w14:paraId="38C3053E" w14:textId="77777777"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Wowak, K. D., Craighead, C. W., Ketchen, D. J., &amp; Hult, G. T. M. (2016). Toward a “theoretical toolbox” for the supplier-enabled fuzzy front end of the new product development process. </w:t>
      </w:r>
      <w:r w:rsidRPr="0055735F">
        <w:rPr>
          <w:rFonts w:ascii="Times New Roman" w:hAnsi="Times New Roman" w:cs="Times New Roman"/>
          <w:i/>
          <w:iCs/>
          <w:noProof/>
        </w:rPr>
        <w:t>Journal of Supply Chain Management</w:t>
      </w:r>
      <w:r w:rsidRPr="0055735F">
        <w:rPr>
          <w:rFonts w:ascii="Times New Roman" w:hAnsi="Times New Roman" w:cs="Times New Roman"/>
          <w:noProof/>
        </w:rPr>
        <w:t xml:space="preserve">, </w:t>
      </w:r>
      <w:r w:rsidRPr="0055735F">
        <w:rPr>
          <w:rFonts w:ascii="Times New Roman" w:hAnsi="Times New Roman" w:cs="Times New Roman"/>
          <w:i/>
          <w:iCs/>
          <w:noProof/>
        </w:rPr>
        <w:t>52</w:t>
      </w:r>
      <w:r w:rsidRPr="0055735F">
        <w:rPr>
          <w:rFonts w:ascii="Times New Roman" w:hAnsi="Times New Roman" w:cs="Times New Roman"/>
          <w:noProof/>
        </w:rPr>
        <w:t>(1), 66–81.</w:t>
      </w:r>
    </w:p>
    <w:p w14:paraId="2CACF12B" w14:textId="708A2E59" w:rsidR="00015DE7" w:rsidRPr="0055735F" w:rsidRDefault="00015DE7" w:rsidP="00015DE7">
      <w:pPr>
        <w:widowControl w:val="0"/>
        <w:autoSpaceDE w:val="0"/>
        <w:autoSpaceDN w:val="0"/>
        <w:adjustRightInd w:val="0"/>
        <w:ind w:left="480" w:hanging="480"/>
        <w:rPr>
          <w:rFonts w:ascii="Times New Roman" w:hAnsi="Times New Roman" w:cs="Times New Roman"/>
          <w:noProof/>
        </w:rPr>
      </w:pPr>
      <w:r w:rsidRPr="0055735F">
        <w:rPr>
          <w:rFonts w:ascii="Times New Roman" w:hAnsi="Times New Roman" w:cs="Times New Roman"/>
          <w:noProof/>
        </w:rPr>
        <w:t xml:space="preserve">Yli-Renko, H., Autio, E., &amp; Sapienza, H. J. (2001). Social Capital, Knowledge Acquisition, and Knowledge Exploitation in Young Technoloy-Based Firms. </w:t>
      </w:r>
      <w:r w:rsidRPr="0055735F">
        <w:rPr>
          <w:rFonts w:ascii="Times New Roman" w:hAnsi="Times New Roman" w:cs="Times New Roman"/>
          <w:i/>
          <w:iCs/>
          <w:noProof/>
        </w:rPr>
        <w:t>Strategic Management Journal</w:t>
      </w:r>
      <w:r w:rsidRPr="0055735F">
        <w:rPr>
          <w:rFonts w:ascii="Times New Roman" w:hAnsi="Times New Roman" w:cs="Times New Roman"/>
          <w:noProof/>
        </w:rPr>
        <w:t xml:space="preserve">, </w:t>
      </w:r>
      <w:r w:rsidRPr="0055735F">
        <w:rPr>
          <w:rFonts w:ascii="Times New Roman" w:hAnsi="Times New Roman" w:cs="Times New Roman"/>
          <w:i/>
          <w:iCs/>
          <w:noProof/>
        </w:rPr>
        <w:t>22</w:t>
      </w:r>
      <w:r w:rsidR="00FD50FC">
        <w:rPr>
          <w:rFonts w:ascii="Times New Roman" w:hAnsi="Times New Roman" w:cs="Times New Roman"/>
          <w:noProof/>
        </w:rPr>
        <w:t xml:space="preserve">, 587–613.  </w:t>
      </w:r>
    </w:p>
    <w:p w14:paraId="01ACC9B4" w14:textId="77777777" w:rsidR="00015DE7" w:rsidRPr="00B717D1" w:rsidRDefault="00015DE7" w:rsidP="00015DE7">
      <w:pPr>
        <w:widowControl w:val="0"/>
        <w:autoSpaceDE w:val="0"/>
        <w:autoSpaceDN w:val="0"/>
        <w:adjustRightInd w:val="0"/>
        <w:ind w:left="480" w:hanging="480"/>
        <w:rPr>
          <w:rFonts w:ascii="Times New Roman" w:hAnsi="Times New Roman" w:cs="Times New Roman"/>
          <w:b/>
          <w:color w:val="000000" w:themeColor="text1"/>
        </w:rPr>
      </w:pPr>
      <w:r w:rsidRPr="00B717D1">
        <w:rPr>
          <w:rFonts w:ascii="Times New Roman" w:hAnsi="Times New Roman" w:cs="Times New Roman"/>
          <w:b/>
          <w:color w:val="000000" w:themeColor="text1"/>
        </w:rPr>
        <w:fldChar w:fldCharType="end"/>
      </w:r>
    </w:p>
    <w:p w14:paraId="5642E276" w14:textId="77777777" w:rsidR="00BF6D7C" w:rsidRDefault="00BF6D7C" w:rsidP="00BF6D7C">
      <w:pPr>
        <w:spacing w:line="480" w:lineRule="auto"/>
        <w:rPr>
          <w:rFonts w:ascii="Times New Roman" w:hAnsi="Times New Roman" w:cs="Times New Roman"/>
          <w:b/>
        </w:rPr>
      </w:pPr>
    </w:p>
    <w:p w14:paraId="5EF6AB8C" w14:textId="77777777" w:rsidR="00BF6D7C" w:rsidRDefault="00BF6D7C" w:rsidP="00BF6D7C">
      <w:pPr>
        <w:spacing w:line="480" w:lineRule="auto"/>
        <w:rPr>
          <w:rFonts w:ascii="Times New Roman" w:hAnsi="Times New Roman" w:cs="Times New Roman"/>
          <w:b/>
        </w:rPr>
      </w:pPr>
    </w:p>
    <w:p w14:paraId="381FFC2B" w14:textId="3E19BD16" w:rsidR="00BF6D7C" w:rsidRDefault="00BF6D7C">
      <w:pPr>
        <w:rPr>
          <w:rFonts w:ascii="Times New Roman" w:hAnsi="Times New Roman" w:cs="Times New Roman"/>
          <w:b/>
        </w:rPr>
      </w:pPr>
      <w:r>
        <w:rPr>
          <w:rFonts w:ascii="Times New Roman" w:hAnsi="Times New Roman" w:cs="Times New Roman"/>
          <w:b/>
        </w:rPr>
        <w:br w:type="page"/>
      </w:r>
    </w:p>
    <w:p w14:paraId="1A693D03" w14:textId="77777777" w:rsidR="00BF6D7C" w:rsidRPr="00BF6D7C" w:rsidRDefault="00BF6D7C" w:rsidP="007F1DD5">
      <w:pPr>
        <w:pStyle w:val="Heading2"/>
      </w:pPr>
      <w:bookmarkStart w:id="177" w:name="_Toc357382426"/>
      <w:bookmarkStart w:id="178" w:name="_Toc357383272"/>
      <w:bookmarkStart w:id="179" w:name="_Toc358326754"/>
      <w:r w:rsidRPr="00BF6D7C">
        <w:lastRenderedPageBreak/>
        <w:t>C</w:t>
      </w:r>
      <w:r>
        <w:t>hapter Two</w:t>
      </w:r>
      <w:r w:rsidRPr="00BF6D7C">
        <w:t>: R</w:t>
      </w:r>
      <w:r>
        <w:t>eferences</w:t>
      </w:r>
      <w:bookmarkEnd w:id="177"/>
      <w:bookmarkEnd w:id="178"/>
      <w:bookmarkEnd w:id="179"/>
    </w:p>
    <w:p w14:paraId="2BB5A230" w14:textId="77777777" w:rsidR="00314CF4" w:rsidRPr="006A22BF" w:rsidRDefault="00D60E4C" w:rsidP="00314CF4">
      <w:pPr>
        <w:widowControl w:val="0"/>
        <w:autoSpaceDE w:val="0"/>
        <w:autoSpaceDN w:val="0"/>
        <w:adjustRightInd w:val="0"/>
        <w:ind w:left="480" w:hanging="480"/>
        <w:rPr>
          <w:rFonts w:ascii="Times New Roman" w:hAnsi="Times New Roman" w:cs="Times New Roman"/>
          <w:noProof/>
        </w:rPr>
      </w:pPr>
      <w:r>
        <w:rPr>
          <w:rFonts w:ascii="Times New Roman" w:hAnsi="Times New Roman" w:cs="Times New Roman"/>
        </w:rPr>
        <w:t xml:space="preserve"> </w:t>
      </w:r>
      <w:r w:rsidR="00314CF4">
        <w:rPr>
          <w:rFonts w:ascii="Times New Roman" w:hAnsi="Times New Roman" w:cs="Times New Roman"/>
        </w:rPr>
        <w:fldChar w:fldCharType="begin" w:fldLock="1"/>
      </w:r>
      <w:r w:rsidR="00314CF4">
        <w:rPr>
          <w:rFonts w:ascii="Times New Roman" w:hAnsi="Times New Roman" w:cs="Times New Roman"/>
        </w:rPr>
        <w:instrText xml:space="preserve">ADDIN Mendeley Bibliography CSL_BIBLIOGRAPHY </w:instrText>
      </w:r>
      <w:r w:rsidR="00314CF4">
        <w:rPr>
          <w:rFonts w:ascii="Times New Roman" w:hAnsi="Times New Roman" w:cs="Times New Roman"/>
        </w:rPr>
        <w:fldChar w:fldCharType="separate"/>
      </w:r>
      <w:r w:rsidR="00314CF4" w:rsidRPr="006A22BF">
        <w:rPr>
          <w:rFonts w:ascii="Times New Roman" w:hAnsi="Times New Roman" w:cs="Times New Roman"/>
          <w:noProof/>
        </w:rPr>
        <w:t xml:space="preserve">Abecassis-Moedas, C., &amp; Mahmoud-Jouini, S. Ben. (2008). Absorptive capacity and source-recipient complementarity in designing new products: An empirically derived framework. </w:t>
      </w:r>
      <w:r w:rsidR="00314CF4" w:rsidRPr="006A22BF">
        <w:rPr>
          <w:rFonts w:ascii="Times New Roman" w:hAnsi="Times New Roman" w:cs="Times New Roman"/>
          <w:i/>
          <w:iCs/>
          <w:noProof/>
        </w:rPr>
        <w:t>Journal of Product Innovation Management</w:t>
      </w:r>
      <w:r w:rsidR="00314CF4" w:rsidRPr="006A22BF">
        <w:rPr>
          <w:rFonts w:ascii="Times New Roman" w:hAnsi="Times New Roman" w:cs="Times New Roman"/>
          <w:noProof/>
        </w:rPr>
        <w:t xml:space="preserve">, </w:t>
      </w:r>
      <w:r w:rsidR="00314CF4" w:rsidRPr="006A22BF">
        <w:rPr>
          <w:rFonts w:ascii="Times New Roman" w:hAnsi="Times New Roman" w:cs="Times New Roman"/>
          <w:i/>
          <w:iCs/>
          <w:noProof/>
        </w:rPr>
        <w:t>25</w:t>
      </w:r>
      <w:r w:rsidR="00314CF4" w:rsidRPr="006A22BF">
        <w:rPr>
          <w:rFonts w:ascii="Times New Roman" w:hAnsi="Times New Roman" w:cs="Times New Roman"/>
          <w:noProof/>
        </w:rPr>
        <w:t xml:space="preserve">(5), 473–490. </w:t>
      </w:r>
      <w:r w:rsidR="00314CF4">
        <w:rPr>
          <w:rFonts w:ascii="Times New Roman" w:hAnsi="Times New Roman" w:cs="Times New Roman"/>
          <w:noProof/>
        </w:rPr>
        <w:t xml:space="preserve"> </w:t>
      </w:r>
    </w:p>
    <w:p w14:paraId="721BE0A1"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Allred, B. B., &amp; Swan, K. S. (2014). Process Technology Sourcing and the Innovation Context.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31</w:t>
      </w:r>
      <w:r w:rsidRPr="006A22BF">
        <w:rPr>
          <w:rFonts w:ascii="Times New Roman" w:hAnsi="Times New Roman" w:cs="Times New Roman"/>
          <w:noProof/>
        </w:rPr>
        <w:t xml:space="preserve">(6), 1146–1166. </w:t>
      </w:r>
      <w:r>
        <w:rPr>
          <w:rFonts w:ascii="Times New Roman" w:hAnsi="Times New Roman" w:cs="Times New Roman"/>
          <w:noProof/>
        </w:rPr>
        <w:t xml:space="preserve"> </w:t>
      </w:r>
    </w:p>
    <w:p w14:paraId="32856E7C"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Almeida, P., &amp; Phene, A. (2004). Subsidiaries and knowledge creation: the influence of the MNC and host country on innovation. </w:t>
      </w:r>
      <w:r w:rsidRPr="006A22BF">
        <w:rPr>
          <w:rFonts w:ascii="Times New Roman" w:hAnsi="Times New Roman" w:cs="Times New Roman"/>
          <w:i/>
          <w:iCs/>
          <w:noProof/>
        </w:rPr>
        <w:t>Strategic Management Journal</w:t>
      </w:r>
      <w:r w:rsidRPr="006A22BF">
        <w:rPr>
          <w:rFonts w:ascii="Times New Roman" w:hAnsi="Times New Roman" w:cs="Times New Roman"/>
          <w:noProof/>
        </w:rPr>
        <w:t xml:space="preserve">, </w:t>
      </w:r>
      <w:r w:rsidRPr="006A22BF">
        <w:rPr>
          <w:rFonts w:ascii="Times New Roman" w:hAnsi="Times New Roman" w:cs="Times New Roman"/>
          <w:i/>
          <w:iCs/>
          <w:noProof/>
        </w:rPr>
        <w:t>25</w:t>
      </w:r>
      <w:r w:rsidRPr="006A22BF">
        <w:rPr>
          <w:rFonts w:ascii="Times New Roman" w:hAnsi="Times New Roman" w:cs="Times New Roman"/>
          <w:noProof/>
        </w:rPr>
        <w:t xml:space="preserve">(89), 847–864. </w:t>
      </w:r>
      <w:r>
        <w:rPr>
          <w:rFonts w:ascii="Times New Roman" w:hAnsi="Times New Roman" w:cs="Times New Roman"/>
          <w:noProof/>
        </w:rPr>
        <w:t xml:space="preserve"> </w:t>
      </w:r>
    </w:p>
    <w:p w14:paraId="43EC5766" w14:textId="77777777" w:rsidR="00314CF4"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Atuahene-Gima, K. (2005). Resolving the Capability: Rigidity Paradox in New Product Innovation. </w:t>
      </w:r>
      <w:r w:rsidRPr="006A22BF">
        <w:rPr>
          <w:rFonts w:ascii="Times New Roman" w:hAnsi="Times New Roman" w:cs="Times New Roman"/>
          <w:i/>
          <w:iCs/>
          <w:noProof/>
        </w:rPr>
        <w:t>Journal of Marketing</w:t>
      </w:r>
      <w:r w:rsidRPr="006A22BF">
        <w:rPr>
          <w:rFonts w:ascii="Times New Roman" w:hAnsi="Times New Roman" w:cs="Times New Roman"/>
          <w:noProof/>
        </w:rPr>
        <w:t xml:space="preserve">, </w:t>
      </w:r>
      <w:r w:rsidRPr="006A22BF">
        <w:rPr>
          <w:rFonts w:ascii="Times New Roman" w:hAnsi="Times New Roman" w:cs="Times New Roman"/>
          <w:i/>
          <w:iCs/>
          <w:noProof/>
        </w:rPr>
        <w:t>69</w:t>
      </w:r>
      <w:r w:rsidRPr="006A22BF">
        <w:rPr>
          <w:rFonts w:ascii="Times New Roman" w:hAnsi="Times New Roman" w:cs="Times New Roman"/>
          <w:noProof/>
        </w:rPr>
        <w:t xml:space="preserve">(4), 61–83. </w:t>
      </w:r>
      <w:r>
        <w:rPr>
          <w:rFonts w:ascii="Times New Roman" w:hAnsi="Times New Roman" w:cs="Times New Roman"/>
          <w:noProof/>
        </w:rPr>
        <w:t xml:space="preserve"> </w:t>
      </w:r>
    </w:p>
    <w:p w14:paraId="5CE1C16A"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C751EB">
        <w:rPr>
          <w:rFonts w:ascii="Times New Roman" w:hAnsi="Times New Roman" w:cs="Times New Roman"/>
          <w:noProof/>
        </w:rPr>
        <w:t xml:space="preserve">Autry, C. W., Rose, W. J., &amp; Bell, J. E. (2014). Reconsidering the Supply Chain Integration – Performance Relationship: In Search of Theoretical Consistency and Clarity. </w:t>
      </w:r>
      <w:r w:rsidRPr="00C751EB">
        <w:rPr>
          <w:rFonts w:ascii="Times New Roman" w:hAnsi="Times New Roman" w:cs="Times New Roman"/>
          <w:i/>
          <w:iCs/>
          <w:noProof/>
        </w:rPr>
        <w:t>Journal of Business Logistics</w:t>
      </w:r>
      <w:r w:rsidRPr="00C751EB">
        <w:rPr>
          <w:rFonts w:ascii="Times New Roman" w:hAnsi="Times New Roman" w:cs="Times New Roman"/>
          <w:noProof/>
        </w:rPr>
        <w:t xml:space="preserve">, </w:t>
      </w:r>
      <w:r w:rsidRPr="00C751EB">
        <w:rPr>
          <w:rFonts w:ascii="Times New Roman" w:hAnsi="Times New Roman" w:cs="Times New Roman"/>
          <w:i/>
          <w:iCs/>
          <w:noProof/>
        </w:rPr>
        <w:t>35</w:t>
      </w:r>
      <w:r w:rsidRPr="00C751EB">
        <w:rPr>
          <w:rFonts w:ascii="Times New Roman" w:hAnsi="Times New Roman" w:cs="Times New Roman"/>
          <w:noProof/>
        </w:rPr>
        <w:t>(3), 275–276.</w:t>
      </w:r>
    </w:p>
    <w:p w14:paraId="5BC5E5C9"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Azadegan, A., &amp; Dooley, K. J. (2010). Supplier innovativeness, organizational learning styles and manufacturer performance: An empirical assessment. </w:t>
      </w:r>
      <w:r w:rsidRPr="006A22BF">
        <w:rPr>
          <w:rFonts w:ascii="Times New Roman" w:hAnsi="Times New Roman" w:cs="Times New Roman"/>
          <w:i/>
          <w:iCs/>
          <w:noProof/>
        </w:rPr>
        <w:t>Journal of Operations Management</w:t>
      </w:r>
      <w:r w:rsidRPr="006A22BF">
        <w:rPr>
          <w:rFonts w:ascii="Times New Roman" w:hAnsi="Times New Roman" w:cs="Times New Roman"/>
          <w:noProof/>
        </w:rPr>
        <w:t xml:space="preserve">, </w:t>
      </w:r>
      <w:r w:rsidRPr="006A22BF">
        <w:rPr>
          <w:rFonts w:ascii="Times New Roman" w:hAnsi="Times New Roman" w:cs="Times New Roman"/>
          <w:i/>
          <w:iCs/>
          <w:noProof/>
        </w:rPr>
        <w:t>28</w:t>
      </w:r>
      <w:r w:rsidRPr="006A22BF">
        <w:rPr>
          <w:rFonts w:ascii="Times New Roman" w:hAnsi="Times New Roman" w:cs="Times New Roman"/>
          <w:noProof/>
        </w:rPr>
        <w:t xml:space="preserve">(6), 488–505. </w:t>
      </w:r>
      <w:r>
        <w:rPr>
          <w:rFonts w:ascii="Times New Roman" w:hAnsi="Times New Roman" w:cs="Times New Roman"/>
          <w:noProof/>
        </w:rPr>
        <w:t xml:space="preserve"> </w:t>
      </w:r>
    </w:p>
    <w:p w14:paraId="520D2789"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Bierly, P. E., Damanpour, F., &amp; Santoro, M. D. (2009). The Application of External Knowledge: Organizational Conditions for Exploration and Exploitation. </w:t>
      </w:r>
      <w:r w:rsidRPr="006A22BF">
        <w:rPr>
          <w:rFonts w:ascii="Times New Roman" w:hAnsi="Times New Roman" w:cs="Times New Roman"/>
          <w:i/>
          <w:iCs/>
          <w:noProof/>
        </w:rPr>
        <w:t>Journal of Management Studies</w:t>
      </w:r>
      <w:r w:rsidRPr="006A22BF">
        <w:rPr>
          <w:rFonts w:ascii="Times New Roman" w:hAnsi="Times New Roman" w:cs="Times New Roman"/>
          <w:noProof/>
        </w:rPr>
        <w:t xml:space="preserve">, </w:t>
      </w:r>
      <w:r w:rsidRPr="006A22BF">
        <w:rPr>
          <w:rFonts w:ascii="Times New Roman" w:hAnsi="Times New Roman" w:cs="Times New Roman"/>
          <w:i/>
          <w:iCs/>
          <w:noProof/>
        </w:rPr>
        <w:t>46</w:t>
      </w:r>
      <w:r w:rsidRPr="006A22BF">
        <w:rPr>
          <w:rFonts w:ascii="Times New Roman" w:hAnsi="Times New Roman" w:cs="Times New Roman"/>
          <w:noProof/>
        </w:rPr>
        <w:t>(3), 481–509.</w:t>
      </w:r>
    </w:p>
    <w:p w14:paraId="5DB2929A"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Brattström, A., &amp; Richtnér, A. (2014). Good Cop-Bad Cop: Trust, Control, and the Lure of Integration.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31</w:t>
      </w:r>
      <w:r w:rsidRPr="006A22BF">
        <w:rPr>
          <w:rFonts w:ascii="Times New Roman" w:hAnsi="Times New Roman" w:cs="Times New Roman"/>
          <w:noProof/>
        </w:rPr>
        <w:t xml:space="preserve">(3), 584–598. </w:t>
      </w:r>
      <w:r>
        <w:rPr>
          <w:rFonts w:ascii="Times New Roman" w:hAnsi="Times New Roman" w:cs="Times New Roman"/>
          <w:noProof/>
        </w:rPr>
        <w:t xml:space="preserve"> </w:t>
      </w:r>
    </w:p>
    <w:p w14:paraId="26AF0400"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Calantone, R. J., &amp; Di Benedetto, C. A. (2012). The role of lean launch execution and launch timing on new product performance. </w:t>
      </w:r>
      <w:r w:rsidRPr="006A22BF">
        <w:rPr>
          <w:rFonts w:ascii="Times New Roman" w:hAnsi="Times New Roman" w:cs="Times New Roman"/>
          <w:i/>
          <w:iCs/>
          <w:noProof/>
        </w:rPr>
        <w:t>Journal of the Academy of Marketing Science</w:t>
      </w:r>
      <w:r w:rsidRPr="006A22BF">
        <w:rPr>
          <w:rFonts w:ascii="Times New Roman" w:hAnsi="Times New Roman" w:cs="Times New Roman"/>
          <w:noProof/>
        </w:rPr>
        <w:t xml:space="preserve">, </w:t>
      </w:r>
      <w:r w:rsidRPr="006A22BF">
        <w:rPr>
          <w:rFonts w:ascii="Times New Roman" w:hAnsi="Times New Roman" w:cs="Times New Roman"/>
          <w:i/>
          <w:iCs/>
          <w:noProof/>
        </w:rPr>
        <w:t>40</w:t>
      </w:r>
      <w:r w:rsidRPr="006A22BF">
        <w:rPr>
          <w:rFonts w:ascii="Times New Roman" w:hAnsi="Times New Roman" w:cs="Times New Roman"/>
          <w:noProof/>
        </w:rPr>
        <w:t xml:space="preserve">(4), 526–538. </w:t>
      </w:r>
      <w:r>
        <w:rPr>
          <w:rFonts w:ascii="Times New Roman" w:hAnsi="Times New Roman" w:cs="Times New Roman"/>
          <w:noProof/>
        </w:rPr>
        <w:t xml:space="preserve"> </w:t>
      </w:r>
    </w:p>
    <w:p w14:paraId="2339369D"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4E2D45">
        <w:rPr>
          <w:rFonts w:ascii="Times New Roman" w:hAnsi="Times New Roman" w:cs="Times New Roman"/>
          <w:noProof/>
          <w:lang w:val="es-ES"/>
        </w:rPr>
        <w:t xml:space="preserve">Cantarello, S., Nosella, A., Petroni, G., &amp; Venturini, K. (2011). </w:t>
      </w:r>
      <w:r w:rsidRPr="006A22BF">
        <w:rPr>
          <w:rFonts w:ascii="Times New Roman" w:hAnsi="Times New Roman" w:cs="Times New Roman"/>
          <w:noProof/>
        </w:rPr>
        <w:t xml:space="preserve">External technology sourcing: evidence from design-driven innovation. </w:t>
      </w:r>
      <w:r w:rsidRPr="006A22BF">
        <w:rPr>
          <w:rFonts w:ascii="Times New Roman" w:hAnsi="Times New Roman" w:cs="Times New Roman"/>
          <w:i/>
          <w:iCs/>
          <w:noProof/>
        </w:rPr>
        <w:t>Management Decision</w:t>
      </w:r>
      <w:r w:rsidRPr="006A22BF">
        <w:rPr>
          <w:rFonts w:ascii="Times New Roman" w:hAnsi="Times New Roman" w:cs="Times New Roman"/>
          <w:noProof/>
        </w:rPr>
        <w:t xml:space="preserve">, </w:t>
      </w:r>
      <w:r w:rsidRPr="006A22BF">
        <w:rPr>
          <w:rFonts w:ascii="Times New Roman" w:hAnsi="Times New Roman" w:cs="Times New Roman"/>
          <w:i/>
          <w:iCs/>
          <w:noProof/>
        </w:rPr>
        <w:t>49</w:t>
      </w:r>
      <w:r w:rsidRPr="006A22BF">
        <w:rPr>
          <w:rFonts w:ascii="Times New Roman" w:hAnsi="Times New Roman" w:cs="Times New Roman"/>
          <w:noProof/>
        </w:rPr>
        <w:t xml:space="preserve">(6), 962–983. </w:t>
      </w:r>
      <w:r>
        <w:rPr>
          <w:rFonts w:ascii="Times New Roman" w:hAnsi="Times New Roman" w:cs="Times New Roman"/>
          <w:noProof/>
        </w:rPr>
        <w:t xml:space="preserve"> </w:t>
      </w:r>
    </w:p>
    <w:p w14:paraId="64F0EADE"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Cassiman, B., &amp; Veugelers, R. (2006). In Search of Complementarity in Innovation Strategy: Internal R&amp;D and External Knowledge Acquisition. </w:t>
      </w:r>
      <w:r w:rsidRPr="006A22BF">
        <w:rPr>
          <w:rFonts w:ascii="Times New Roman" w:hAnsi="Times New Roman" w:cs="Times New Roman"/>
          <w:i/>
          <w:iCs/>
          <w:noProof/>
        </w:rPr>
        <w:t>Management Science</w:t>
      </w:r>
      <w:r w:rsidRPr="006A22BF">
        <w:rPr>
          <w:rFonts w:ascii="Times New Roman" w:hAnsi="Times New Roman" w:cs="Times New Roman"/>
          <w:noProof/>
        </w:rPr>
        <w:t xml:space="preserve">, </w:t>
      </w:r>
      <w:r w:rsidRPr="006A22BF">
        <w:rPr>
          <w:rFonts w:ascii="Times New Roman" w:hAnsi="Times New Roman" w:cs="Times New Roman"/>
          <w:i/>
          <w:iCs/>
          <w:noProof/>
        </w:rPr>
        <w:t>52</w:t>
      </w:r>
      <w:r w:rsidRPr="006A22BF">
        <w:rPr>
          <w:rFonts w:ascii="Times New Roman" w:hAnsi="Times New Roman" w:cs="Times New Roman"/>
          <w:noProof/>
        </w:rPr>
        <w:t xml:space="preserve">(1), 68–82. </w:t>
      </w:r>
      <w:r>
        <w:rPr>
          <w:rFonts w:ascii="Times New Roman" w:hAnsi="Times New Roman" w:cs="Times New Roman"/>
          <w:noProof/>
        </w:rPr>
        <w:t xml:space="preserve"> </w:t>
      </w:r>
    </w:p>
    <w:p w14:paraId="096F2B9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Chen, C., &amp; Huang, J. (2009). Strategic human resource practices and innovation performance — The mediating role of knowledge management capacity. </w:t>
      </w:r>
      <w:r w:rsidRPr="006A22BF">
        <w:rPr>
          <w:rFonts w:ascii="Times New Roman" w:hAnsi="Times New Roman" w:cs="Times New Roman"/>
          <w:i/>
          <w:iCs/>
          <w:noProof/>
        </w:rPr>
        <w:t>Journal of Business Research</w:t>
      </w:r>
      <w:r w:rsidRPr="006A22BF">
        <w:rPr>
          <w:rFonts w:ascii="Times New Roman" w:hAnsi="Times New Roman" w:cs="Times New Roman"/>
          <w:noProof/>
        </w:rPr>
        <w:t xml:space="preserve">, </w:t>
      </w:r>
      <w:r w:rsidRPr="006A22BF">
        <w:rPr>
          <w:rFonts w:ascii="Times New Roman" w:hAnsi="Times New Roman" w:cs="Times New Roman"/>
          <w:i/>
          <w:iCs/>
          <w:noProof/>
        </w:rPr>
        <w:t>62</w:t>
      </w:r>
      <w:r w:rsidRPr="006A22BF">
        <w:rPr>
          <w:rFonts w:ascii="Times New Roman" w:hAnsi="Times New Roman" w:cs="Times New Roman"/>
          <w:noProof/>
        </w:rPr>
        <w:t xml:space="preserve">(1), 104–114. </w:t>
      </w:r>
      <w:r>
        <w:rPr>
          <w:rFonts w:ascii="Times New Roman" w:hAnsi="Times New Roman" w:cs="Times New Roman"/>
          <w:noProof/>
        </w:rPr>
        <w:t xml:space="preserve"> </w:t>
      </w:r>
    </w:p>
    <w:p w14:paraId="08E799F2"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Chen, J., Chen, Y., &amp; Vanhaverbeke, W. (2011). The influence of scope, depth, and orientation of external technology sources on the innovative performance of Chinese firms. </w:t>
      </w:r>
      <w:r w:rsidRPr="006A22BF">
        <w:rPr>
          <w:rFonts w:ascii="Times New Roman" w:hAnsi="Times New Roman" w:cs="Times New Roman"/>
          <w:i/>
          <w:iCs/>
          <w:noProof/>
        </w:rPr>
        <w:t>Technovation</w:t>
      </w:r>
      <w:r w:rsidRPr="006A22BF">
        <w:rPr>
          <w:rFonts w:ascii="Times New Roman" w:hAnsi="Times New Roman" w:cs="Times New Roman"/>
          <w:noProof/>
        </w:rPr>
        <w:t xml:space="preserve">, </w:t>
      </w:r>
      <w:r w:rsidRPr="006A22BF">
        <w:rPr>
          <w:rFonts w:ascii="Times New Roman" w:hAnsi="Times New Roman" w:cs="Times New Roman"/>
          <w:i/>
          <w:iCs/>
          <w:noProof/>
        </w:rPr>
        <w:t>31</w:t>
      </w:r>
      <w:r w:rsidRPr="006A22BF">
        <w:rPr>
          <w:rFonts w:ascii="Times New Roman" w:hAnsi="Times New Roman" w:cs="Times New Roman"/>
          <w:noProof/>
        </w:rPr>
        <w:t xml:space="preserve">(8), 362–373. </w:t>
      </w:r>
      <w:r>
        <w:rPr>
          <w:rFonts w:ascii="Times New Roman" w:hAnsi="Times New Roman" w:cs="Times New Roman"/>
          <w:noProof/>
        </w:rPr>
        <w:t xml:space="preserve"> </w:t>
      </w:r>
    </w:p>
    <w:p w14:paraId="38098FD6"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Chen, Y., Lin, M. J., &amp; Chang, C. (2009). The positive effects of relationship learning and absorptive capacity on innovation performance and competitive advantage in industrial markets. </w:t>
      </w:r>
      <w:r w:rsidRPr="006A22BF">
        <w:rPr>
          <w:rFonts w:ascii="Times New Roman" w:hAnsi="Times New Roman" w:cs="Times New Roman"/>
          <w:i/>
          <w:iCs/>
          <w:noProof/>
        </w:rPr>
        <w:t>Industrial Marketing Management</w:t>
      </w:r>
      <w:r w:rsidRPr="006A22BF">
        <w:rPr>
          <w:rFonts w:ascii="Times New Roman" w:hAnsi="Times New Roman" w:cs="Times New Roman"/>
          <w:noProof/>
        </w:rPr>
        <w:t xml:space="preserve">, </w:t>
      </w:r>
      <w:r w:rsidRPr="006A22BF">
        <w:rPr>
          <w:rFonts w:ascii="Times New Roman" w:hAnsi="Times New Roman" w:cs="Times New Roman"/>
          <w:i/>
          <w:iCs/>
          <w:noProof/>
        </w:rPr>
        <w:t>38</w:t>
      </w:r>
      <w:r w:rsidRPr="006A22BF">
        <w:rPr>
          <w:rFonts w:ascii="Times New Roman" w:hAnsi="Times New Roman" w:cs="Times New Roman"/>
          <w:noProof/>
        </w:rPr>
        <w:t xml:space="preserve">(2), 152–158. </w:t>
      </w:r>
      <w:r>
        <w:rPr>
          <w:rFonts w:ascii="Times New Roman" w:hAnsi="Times New Roman" w:cs="Times New Roman"/>
          <w:noProof/>
        </w:rPr>
        <w:t xml:space="preserve"> </w:t>
      </w:r>
    </w:p>
    <w:p w14:paraId="61DFE40D"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Chesbrough, H. (2003). </w:t>
      </w:r>
      <w:r w:rsidRPr="006A22BF">
        <w:rPr>
          <w:rFonts w:ascii="Times New Roman" w:hAnsi="Times New Roman" w:cs="Times New Roman"/>
          <w:i/>
          <w:iCs/>
          <w:noProof/>
        </w:rPr>
        <w:t>Open Innovation: The New Imperative for Creating and Profiting from Technology</w:t>
      </w:r>
      <w:r w:rsidRPr="006A22BF">
        <w:rPr>
          <w:rFonts w:ascii="Times New Roman" w:hAnsi="Times New Roman" w:cs="Times New Roman"/>
          <w:noProof/>
        </w:rPr>
        <w:t>. Boston, MA: Harvard Business School Publication Corp.</w:t>
      </w:r>
    </w:p>
    <w:p w14:paraId="653CA25C"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Chesbrough, H. (2006). </w:t>
      </w:r>
      <w:r w:rsidRPr="006A22BF">
        <w:rPr>
          <w:rFonts w:ascii="Times New Roman" w:hAnsi="Times New Roman" w:cs="Times New Roman"/>
          <w:i/>
          <w:iCs/>
          <w:noProof/>
        </w:rPr>
        <w:t>Open business models: How to thrive in the new innovation landscape</w:t>
      </w:r>
      <w:r w:rsidRPr="006A22BF">
        <w:rPr>
          <w:rFonts w:ascii="Times New Roman" w:hAnsi="Times New Roman" w:cs="Times New Roman"/>
          <w:noProof/>
        </w:rPr>
        <w:t>. Boston, MA: Harvard Business School Press.</w:t>
      </w:r>
    </w:p>
    <w:p w14:paraId="622D82E1"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Chesbrough, H., &amp; Crowther, A. K. (2006). Beyond high tech: Early adopters of open innovation in other industries. </w:t>
      </w:r>
      <w:r w:rsidRPr="006A22BF">
        <w:rPr>
          <w:rFonts w:ascii="Times New Roman" w:hAnsi="Times New Roman" w:cs="Times New Roman"/>
          <w:i/>
          <w:iCs/>
          <w:noProof/>
        </w:rPr>
        <w:t>R&amp;D Management</w:t>
      </w:r>
      <w:r w:rsidRPr="006A22BF">
        <w:rPr>
          <w:rFonts w:ascii="Times New Roman" w:hAnsi="Times New Roman" w:cs="Times New Roman"/>
          <w:noProof/>
        </w:rPr>
        <w:t xml:space="preserve">, </w:t>
      </w:r>
      <w:r w:rsidRPr="006A22BF">
        <w:rPr>
          <w:rFonts w:ascii="Times New Roman" w:hAnsi="Times New Roman" w:cs="Times New Roman"/>
          <w:i/>
          <w:iCs/>
          <w:noProof/>
        </w:rPr>
        <w:t>36</w:t>
      </w:r>
      <w:r w:rsidRPr="006A22BF">
        <w:rPr>
          <w:rFonts w:ascii="Times New Roman" w:hAnsi="Times New Roman" w:cs="Times New Roman"/>
          <w:noProof/>
        </w:rPr>
        <w:t>(3), 229–236.</w:t>
      </w:r>
    </w:p>
    <w:p w14:paraId="0702DB51"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Clausen, T. H. (2013). External knowledge sourcing from innovation cooperation and the role of absorptive capacity: empirical evidence from Norway and Sweden. </w:t>
      </w:r>
      <w:r w:rsidRPr="006A22BF">
        <w:rPr>
          <w:rFonts w:ascii="Times New Roman" w:hAnsi="Times New Roman" w:cs="Times New Roman"/>
          <w:i/>
          <w:iCs/>
          <w:noProof/>
        </w:rPr>
        <w:lastRenderedPageBreak/>
        <w:t>Technology Analysis &amp; Strategic Management</w:t>
      </w:r>
      <w:r w:rsidRPr="006A22BF">
        <w:rPr>
          <w:rFonts w:ascii="Times New Roman" w:hAnsi="Times New Roman" w:cs="Times New Roman"/>
          <w:noProof/>
        </w:rPr>
        <w:t xml:space="preserve">, </w:t>
      </w:r>
      <w:r w:rsidRPr="006A22BF">
        <w:rPr>
          <w:rFonts w:ascii="Times New Roman" w:hAnsi="Times New Roman" w:cs="Times New Roman"/>
          <w:i/>
          <w:iCs/>
          <w:noProof/>
        </w:rPr>
        <w:t>25</w:t>
      </w:r>
      <w:r w:rsidRPr="006A22BF">
        <w:rPr>
          <w:rFonts w:ascii="Times New Roman" w:hAnsi="Times New Roman" w:cs="Times New Roman"/>
          <w:noProof/>
        </w:rPr>
        <w:t xml:space="preserve">(1), 57–70. </w:t>
      </w:r>
      <w:r>
        <w:rPr>
          <w:rFonts w:ascii="Times New Roman" w:hAnsi="Times New Roman" w:cs="Times New Roman"/>
          <w:noProof/>
        </w:rPr>
        <w:t xml:space="preserve"> </w:t>
      </w:r>
    </w:p>
    <w:p w14:paraId="13A46348"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Cohen, W. M., &amp; Levinthal, D. A. (1990). Absorptive Capacity: A New Perspective on Learning and Innovation. </w:t>
      </w:r>
      <w:r w:rsidRPr="006A22BF">
        <w:rPr>
          <w:rFonts w:ascii="Times New Roman" w:hAnsi="Times New Roman" w:cs="Times New Roman"/>
          <w:i/>
          <w:iCs/>
          <w:noProof/>
        </w:rPr>
        <w:t>Administrative Science Quarterly</w:t>
      </w:r>
      <w:r w:rsidRPr="006A22BF">
        <w:rPr>
          <w:rFonts w:ascii="Times New Roman" w:hAnsi="Times New Roman" w:cs="Times New Roman"/>
          <w:noProof/>
        </w:rPr>
        <w:t xml:space="preserve">, </w:t>
      </w:r>
      <w:r w:rsidRPr="006A22BF">
        <w:rPr>
          <w:rFonts w:ascii="Times New Roman" w:hAnsi="Times New Roman" w:cs="Times New Roman"/>
          <w:i/>
          <w:iCs/>
          <w:noProof/>
        </w:rPr>
        <w:t>35</w:t>
      </w:r>
      <w:r w:rsidRPr="006A22BF">
        <w:rPr>
          <w:rFonts w:ascii="Times New Roman" w:hAnsi="Times New Roman" w:cs="Times New Roman"/>
          <w:noProof/>
        </w:rPr>
        <w:t>(1), 128–152.</w:t>
      </w:r>
    </w:p>
    <w:p w14:paraId="2481851E"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Combs, J. G., Crook, T. R., &amp; Shook, C. L. (2005). The dimensionality of organizational performance and its implications for strategic management research. </w:t>
      </w:r>
      <w:r w:rsidRPr="006A22BF">
        <w:rPr>
          <w:rFonts w:ascii="Times New Roman" w:hAnsi="Times New Roman" w:cs="Times New Roman"/>
          <w:i/>
          <w:iCs/>
          <w:noProof/>
        </w:rPr>
        <w:t>Research Methodology in Strategy and Management</w:t>
      </w:r>
      <w:r w:rsidRPr="006A22BF">
        <w:rPr>
          <w:rFonts w:ascii="Times New Roman" w:hAnsi="Times New Roman" w:cs="Times New Roman"/>
          <w:noProof/>
        </w:rPr>
        <w:t xml:space="preserve">, </w:t>
      </w:r>
      <w:r w:rsidRPr="006A22BF">
        <w:rPr>
          <w:rFonts w:ascii="Times New Roman" w:hAnsi="Times New Roman" w:cs="Times New Roman"/>
          <w:i/>
          <w:iCs/>
          <w:noProof/>
        </w:rPr>
        <w:t>2</w:t>
      </w:r>
      <w:r w:rsidRPr="006A22BF">
        <w:rPr>
          <w:rFonts w:ascii="Times New Roman" w:hAnsi="Times New Roman" w:cs="Times New Roman"/>
          <w:noProof/>
        </w:rPr>
        <w:t>(5), 259–286.</w:t>
      </w:r>
    </w:p>
    <w:p w14:paraId="17DCA013"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Cuijpers, M., Guenter, H., &amp; Hussinger, K. (2011). Costs and benefits of inter-departmental innovation collaboration. </w:t>
      </w:r>
      <w:r w:rsidRPr="006A22BF">
        <w:rPr>
          <w:rFonts w:ascii="Times New Roman" w:hAnsi="Times New Roman" w:cs="Times New Roman"/>
          <w:i/>
          <w:iCs/>
          <w:noProof/>
        </w:rPr>
        <w:t>Research Policy</w:t>
      </w:r>
      <w:r w:rsidRPr="006A22BF">
        <w:rPr>
          <w:rFonts w:ascii="Times New Roman" w:hAnsi="Times New Roman" w:cs="Times New Roman"/>
          <w:noProof/>
        </w:rPr>
        <w:t xml:space="preserve">, </w:t>
      </w:r>
      <w:r w:rsidRPr="006A22BF">
        <w:rPr>
          <w:rFonts w:ascii="Times New Roman" w:hAnsi="Times New Roman" w:cs="Times New Roman"/>
          <w:i/>
          <w:iCs/>
          <w:noProof/>
        </w:rPr>
        <w:t>40</w:t>
      </w:r>
      <w:r w:rsidRPr="006A22BF">
        <w:rPr>
          <w:rFonts w:ascii="Times New Roman" w:hAnsi="Times New Roman" w:cs="Times New Roman"/>
          <w:noProof/>
        </w:rPr>
        <w:t xml:space="preserve">(4), 565–575. </w:t>
      </w:r>
      <w:r>
        <w:rPr>
          <w:rFonts w:ascii="Times New Roman" w:hAnsi="Times New Roman" w:cs="Times New Roman"/>
          <w:noProof/>
        </w:rPr>
        <w:t xml:space="preserve"> </w:t>
      </w:r>
    </w:p>
    <w:p w14:paraId="05F5BA0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De Brentani, U., &amp; Kleinschmidt, E. J. (2004). Corporate Culture and Commitment: Impact on Performance of International New Product Development Programs.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21</w:t>
      </w:r>
      <w:r w:rsidRPr="006A22BF">
        <w:rPr>
          <w:rFonts w:ascii="Times New Roman" w:hAnsi="Times New Roman" w:cs="Times New Roman"/>
          <w:noProof/>
        </w:rPr>
        <w:t>, 309–333.</w:t>
      </w:r>
    </w:p>
    <w:p w14:paraId="3EEDFF60"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Di Benedetto, C. A. (1999). Identifying the Key Success Factors in New Product Launch.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16</w:t>
      </w:r>
      <w:r w:rsidRPr="006A22BF">
        <w:rPr>
          <w:rFonts w:ascii="Times New Roman" w:hAnsi="Times New Roman" w:cs="Times New Roman"/>
          <w:noProof/>
        </w:rPr>
        <w:t>, 530–544.</w:t>
      </w:r>
    </w:p>
    <w:p w14:paraId="4B6ACA22"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Eisenhardt, K. M., &amp; Santos, F. M. (2002). Knowledge-based view: A new theory of strategy. </w:t>
      </w:r>
      <w:r w:rsidRPr="006A22BF">
        <w:rPr>
          <w:rFonts w:ascii="Times New Roman" w:hAnsi="Times New Roman" w:cs="Times New Roman"/>
          <w:i/>
          <w:iCs/>
          <w:noProof/>
        </w:rPr>
        <w:t>Handbook of Strategy and Management</w:t>
      </w:r>
      <w:r w:rsidRPr="006A22BF">
        <w:rPr>
          <w:rFonts w:ascii="Times New Roman" w:hAnsi="Times New Roman" w:cs="Times New Roman"/>
          <w:noProof/>
        </w:rPr>
        <w:t xml:space="preserve">, </w:t>
      </w:r>
      <w:r w:rsidRPr="006A22BF">
        <w:rPr>
          <w:rFonts w:ascii="Times New Roman" w:hAnsi="Times New Roman" w:cs="Times New Roman"/>
          <w:i/>
          <w:iCs/>
          <w:noProof/>
        </w:rPr>
        <w:t>1</w:t>
      </w:r>
      <w:r w:rsidRPr="006A22BF">
        <w:rPr>
          <w:rFonts w:ascii="Times New Roman" w:hAnsi="Times New Roman" w:cs="Times New Roman"/>
          <w:noProof/>
        </w:rPr>
        <w:t>, 139–164.</w:t>
      </w:r>
    </w:p>
    <w:p w14:paraId="5AD96666"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Enkel, E., Gassmann, O., &amp; Chesbrough, H. (2009). Open R &amp; D and open innovation : exploring the phenomenon. </w:t>
      </w:r>
      <w:r w:rsidRPr="006A22BF">
        <w:rPr>
          <w:rFonts w:ascii="Times New Roman" w:hAnsi="Times New Roman" w:cs="Times New Roman"/>
          <w:i/>
          <w:iCs/>
          <w:noProof/>
        </w:rPr>
        <w:t>R&amp;D Management</w:t>
      </w:r>
      <w:r w:rsidRPr="006A22BF">
        <w:rPr>
          <w:rFonts w:ascii="Times New Roman" w:hAnsi="Times New Roman" w:cs="Times New Roman"/>
          <w:noProof/>
        </w:rPr>
        <w:t xml:space="preserve">, </w:t>
      </w:r>
      <w:r w:rsidRPr="006A22BF">
        <w:rPr>
          <w:rFonts w:ascii="Times New Roman" w:hAnsi="Times New Roman" w:cs="Times New Roman"/>
          <w:i/>
          <w:iCs/>
          <w:noProof/>
        </w:rPr>
        <w:t>39</w:t>
      </w:r>
      <w:r w:rsidRPr="006A22BF">
        <w:rPr>
          <w:rFonts w:ascii="Times New Roman" w:hAnsi="Times New Roman" w:cs="Times New Roman"/>
          <w:noProof/>
        </w:rPr>
        <w:t>(4), 311–316.</w:t>
      </w:r>
    </w:p>
    <w:p w14:paraId="613A2E0B"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Evanschitzky, H., Eisend, M., Calantone, R. J., &amp; Jiang, Y. (2012). Success Factors of Product Innovation: An Updated Meta-Analysis.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29</w:t>
      </w:r>
      <w:r w:rsidRPr="006A22BF">
        <w:rPr>
          <w:rFonts w:ascii="Times New Roman" w:hAnsi="Times New Roman" w:cs="Times New Roman"/>
          <w:noProof/>
        </w:rPr>
        <w:t xml:space="preserve">(S1), 21–37. </w:t>
      </w:r>
      <w:r>
        <w:rPr>
          <w:rFonts w:ascii="Times New Roman" w:hAnsi="Times New Roman" w:cs="Times New Roman"/>
          <w:noProof/>
        </w:rPr>
        <w:t xml:space="preserve"> </w:t>
      </w:r>
    </w:p>
    <w:p w14:paraId="100557C8"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Fischl, M., Scherrer-Rathje, M., &amp; Friedli, T. (2014). Digging deeper into supply risk: a systematic literature review on price risks. </w:t>
      </w:r>
      <w:r w:rsidRPr="006A22BF">
        <w:rPr>
          <w:rFonts w:ascii="Times New Roman" w:hAnsi="Times New Roman" w:cs="Times New Roman"/>
          <w:i/>
          <w:iCs/>
          <w:noProof/>
        </w:rPr>
        <w:t>Supply Chain Management: An International Journal</w:t>
      </w:r>
      <w:r w:rsidRPr="006A22BF">
        <w:rPr>
          <w:rFonts w:ascii="Times New Roman" w:hAnsi="Times New Roman" w:cs="Times New Roman"/>
          <w:noProof/>
        </w:rPr>
        <w:t xml:space="preserve">, </w:t>
      </w:r>
      <w:r w:rsidRPr="006A22BF">
        <w:rPr>
          <w:rFonts w:ascii="Times New Roman" w:hAnsi="Times New Roman" w:cs="Times New Roman"/>
          <w:i/>
          <w:iCs/>
          <w:noProof/>
        </w:rPr>
        <w:t>19</w:t>
      </w:r>
      <w:r w:rsidRPr="006A22BF">
        <w:rPr>
          <w:rFonts w:ascii="Times New Roman" w:hAnsi="Times New Roman" w:cs="Times New Roman"/>
          <w:noProof/>
        </w:rPr>
        <w:t xml:space="preserve">(5/6), 480–503. </w:t>
      </w:r>
      <w:r>
        <w:rPr>
          <w:rFonts w:ascii="Times New Roman" w:hAnsi="Times New Roman" w:cs="Times New Roman"/>
          <w:noProof/>
        </w:rPr>
        <w:t xml:space="preserve"> </w:t>
      </w:r>
    </w:p>
    <w:p w14:paraId="380549D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Fisher, M. L. (1997). What Is the Right Supply Chain for Your Product? </w:t>
      </w:r>
      <w:r w:rsidRPr="006A22BF">
        <w:rPr>
          <w:rFonts w:ascii="Times New Roman" w:hAnsi="Times New Roman" w:cs="Times New Roman"/>
          <w:i/>
          <w:iCs/>
          <w:noProof/>
        </w:rPr>
        <w:t>Harvard Business Review</w:t>
      </w:r>
      <w:r w:rsidRPr="006A22BF">
        <w:rPr>
          <w:rFonts w:ascii="Times New Roman" w:hAnsi="Times New Roman" w:cs="Times New Roman"/>
          <w:noProof/>
        </w:rPr>
        <w:t>, (March-April), 105–116.</w:t>
      </w:r>
    </w:p>
    <w:p w14:paraId="3DEE305E"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Flint, D. J. (2006). Innovation , symbolic interaction and customer valuing: Thoughts stemming from a service-dominant logic of marketing. </w:t>
      </w:r>
      <w:r w:rsidRPr="006A22BF">
        <w:rPr>
          <w:rFonts w:ascii="Times New Roman" w:hAnsi="Times New Roman" w:cs="Times New Roman"/>
          <w:i/>
          <w:iCs/>
          <w:noProof/>
        </w:rPr>
        <w:t>Marketing Theory</w:t>
      </w:r>
      <w:r w:rsidRPr="006A22BF">
        <w:rPr>
          <w:rFonts w:ascii="Times New Roman" w:hAnsi="Times New Roman" w:cs="Times New Roman"/>
          <w:noProof/>
        </w:rPr>
        <w:t xml:space="preserve">, </w:t>
      </w:r>
      <w:r w:rsidRPr="006A22BF">
        <w:rPr>
          <w:rFonts w:ascii="Times New Roman" w:hAnsi="Times New Roman" w:cs="Times New Roman"/>
          <w:i/>
          <w:iCs/>
          <w:noProof/>
        </w:rPr>
        <w:t>6</w:t>
      </w:r>
      <w:r w:rsidRPr="006A22BF">
        <w:rPr>
          <w:rFonts w:ascii="Times New Roman" w:hAnsi="Times New Roman" w:cs="Times New Roman"/>
          <w:noProof/>
        </w:rPr>
        <w:t xml:space="preserve">(3), 349–362. </w:t>
      </w:r>
      <w:r>
        <w:rPr>
          <w:rFonts w:ascii="Times New Roman" w:hAnsi="Times New Roman" w:cs="Times New Roman"/>
          <w:noProof/>
        </w:rPr>
        <w:t xml:space="preserve"> </w:t>
      </w:r>
    </w:p>
    <w:p w14:paraId="75C264A1"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Gallego, J., Rubalcaba, L., &amp; Suárez, C. (2013). Knowledge for innovation in Europe: The role of external knowledge on firms’ cooperation strategies. </w:t>
      </w:r>
      <w:r w:rsidRPr="006A22BF">
        <w:rPr>
          <w:rFonts w:ascii="Times New Roman" w:hAnsi="Times New Roman" w:cs="Times New Roman"/>
          <w:i/>
          <w:iCs/>
          <w:noProof/>
        </w:rPr>
        <w:t>Journal of Business Research</w:t>
      </w:r>
      <w:r w:rsidRPr="006A22BF">
        <w:rPr>
          <w:rFonts w:ascii="Times New Roman" w:hAnsi="Times New Roman" w:cs="Times New Roman"/>
          <w:noProof/>
        </w:rPr>
        <w:t xml:space="preserve">, </w:t>
      </w:r>
      <w:r w:rsidRPr="006A22BF">
        <w:rPr>
          <w:rFonts w:ascii="Times New Roman" w:hAnsi="Times New Roman" w:cs="Times New Roman"/>
          <w:i/>
          <w:iCs/>
          <w:noProof/>
        </w:rPr>
        <w:t>66</w:t>
      </w:r>
      <w:r w:rsidRPr="006A22BF">
        <w:rPr>
          <w:rFonts w:ascii="Times New Roman" w:hAnsi="Times New Roman" w:cs="Times New Roman"/>
          <w:noProof/>
        </w:rPr>
        <w:t>, 2034–2041.</w:t>
      </w:r>
    </w:p>
    <w:p w14:paraId="3D9B7690"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Gassmann, O. (2006). Opening Up the Innovation Process: Towards an Agenda. </w:t>
      </w:r>
      <w:r w:rsidRPr="006A22BF">
        <w:rPr>
          <w:rFonts w:ascii="Times New Roman" w:hAnsi="Times New Roman" w:cs="Times New Roman"/>
          <w:i/>
          <w:iCs/>
          <w:noProof/>
        </w:rPr>
        <w:t>R&amp;D Management</w:t>
      </w:r>
      <w:r w:rsidRPr="006A22BF">
        <w:rPr>
          <w:rFonts w:ascii="Times New Roman" w:hAnsi="Times New Roman" w:cs="Times New Roman"/>
          <w:noProof/>
        </w:rPr>
        <w:t xml:space="preserve">, </w:t>
      </w:r>
      <w:r w:rsidRPr="006A22BF">
        <w:rPr>
          <w:rFonts w:ascii="Times New Roman" w:hAnsi="Times New Roman" w:cs="Times New Roman"/>
          <w:i/>
          <w:iCs/>
          <w:noProof/>
        </w:rPr>
        <w:t>36</w:t>
      </w:r>
      <w:r w:rsidRPr="006A22BF">
        <w:rPr>
          <w:rFonts w:ascii="Times New Roman" w:hAnsi="Times New Roman" w:cs="Times New Roman"/>
          <w:noProof/>
        </w:rPr>
        <w:t xml:space="preserve">(3), 223–228. </w:t>
      </w:r>
      <w:r>
        <w:rPr>
          <w:rFonts w:ascii="Times New Roman" w:hAnsi="Times New Roman" w:cs="Times New Roman"/>
          <w:noProof/>
        </w:rPr>
        <w:t xml:space="preserve"> </w:t>
      </w:r>
    </w:p>
    <w:p w14:paraId="102058BE"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Gassmann, O., &amp; Enkel, E. (2004). Towards a Theory of Open Innovation: Three Core Process Archetypes. In </w:t>
      </w:r>
      <w:r w:rsidRPr="006A22BF">
        <w:rPr>
          <w:rFonts w:ascii="Times New Roman" w:hAnsi="Times New Roman" w:cs="Times New Roman"/>
          <w:i/>
          <w:iCs/>
          <w:noProof/>
        </w:rPr>
        <w:t>Proceedings of The R&amp;D Management Conference, Lisbon, Portugal, July 6–9.</w:t>
      </w:r>
      <w:r w:rsidRPr="006A22BF">
        <w:rPr>
          <w:rFonts w:ascii="Times New Roman" w:hAnsi="Times New Roman" w:cs="Times New Roman"/>
          <w:noProof/>
        </w:rPr>
        <w:t xml:space="preserve"> (pp. 1–18).</w:t>
      </w:r>
    </w:p>
    <w:p w14:paraId="43F9301D"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Gassmann, O., Enkel, E., &amp; Chesbrough, H. (2010). The future of open innovation. </w:t>
      </w:r>
      <w:r w:rsidRPr="006A22BF">
        <w:rPr>
          <w:rFonts w:ascii="Times New Roman" w:hAnsi="Times New Roman" w:cs="Times New Roman"/>
          <w:i/>
          <w:iCs/>
          <w:noProof/>
        </w:rPr>
        <w:t>R&amp;D Management</w:t>
      </w:r>
      <w:r w:rsidRPr="006A22BF">
        <w:rPr>
          <w:rFonts w:ascii="Times New Roman" w:hAnsi="Times New Roman" w:cs="Times New Roman"/>
          <w:noProof/>
        </w:rPr>
        <w:t>, 1–9.</w:t>
      </w:r>
    </w:p>
    <w:p w14:paraId="49B7A020"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Gatignon, H., &amp; Xuereb, J.-M. (1997). Strategic Orientation of the Firm and New Product Performance. </w:t>
      </w:r>
      <w:r w:rsidRPr="006A22BF">
        <w:rPr>
          <w:rFonts w:ascii="Times New Roman" w:hAnsi="Times New Roman" w:cs="Times New Roman"/>
          <w:i/>
          <w:iCs/>
          <w:noProof/>
        </w:rPr>
        <w:t>Journal of Marketing Research</w:t>
      </w:r>
      <w:r w:rsidRPr="006A22BF">
        <w:rPr>
          <w:rFonts w:ascii="Times New Roman" w:hAnsi="Times New Roman" w:cs="Times New Roman"/>
          <w:noProof/>
        </w:rPr>
        <w:t xml:space="preserve">, </w:t>
      </w:r>
      <w:r w:rsidRPr="006A22BF">
        <w:rPr>
          <w:rFonts w:ascii="Times New Roman" w:hAnsi="Times New Roman" w:cs="Times New Roman"/>
          <w:i/>
          <w:iCs/>
          <w:noProof/>
        </w:rPr>
        <w:t>XXXIV</w:t>
      </w:r>
      <w:r w:rsidRPr="006A22BF">
        <w:rPr>
          <w:rFonts w:ascii="Times New Roman" w:hAnsi="Times New Roman" w:cs="Times New Roman"/>
          <w:noProof/>
        </w:rPr>
        <w:t>, 77–90.</w:t>
      </w:r>
    </w:p>
    <w:p w14:paraId="2486D26E"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Gligor, D. M. (2014). The role of demand management in achieving supply chain agility. </w:t>
      </w:r>
      <w:r w:rsidRPr="006A22BF">
        <w:rPr>
          <w:rFonts w:ascii="Times New Roman" w:hAnsi="Times New Roman" w:cs="Times New Roman"/>
          <w:i/>
          <w:iCs/>
          <w:noProof/>
        </w:rPr>
        <w:t>Supply Chain Management: An International Journal</w:t>
      </w:r>
      <w:r w:rsidRPr="006A22BF">
        <w:rPr>
          <w:rFonts w:ascii="Times New Roman" w:hAnsi="Times New Roman" w:cs="Times New Roman"/>
          <w:noProof/>
        </w:rPr>
        <w:t xml:space="preserve">, </w:t>
      </w:r>
      <w:r w:rsidRPr="006A22BF">
        <w:rPr>
          <w:rFonts w:ascii="Times New Roman" w:hAnsi="Times New Roman" w:cs="Times New Roman"/>
          <w:i/>
          <w:iCs/>
          <w:noProof/>
        </w:rPr>
        <w:t>19</w:t>
      </w:r>
      <w:r w:rsidRPr="006A22BF">
        <w:rPr>
          <w:rFonts w:ascii="Times New Roman" w:hAnsi="Times New Roman" w:cs="Times New Roman"/>
          <w:noProof/>
        </w:rPr>
        <w:t>(5/6), 577–591. http://doi.org/10.1108/SCM-10-2013-0363</w:t>
      </w:r>
    </w:p>
    <w:p w14:paraId="63438187"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Gligor, D. M., &amp; Holcomb, M. C. (2012). Understanding the role of logistics capabilities in achieving supply chain agility: a systematic literature review. </w:t>
      </w:r>
      <w:r w:rsidRPr="006A22BF">
        <w:rPr>
          <w:rFonts w:ascii="Times New Roman" w:hAnsi="Times New Roman" w:cs="Times New Roman"/>
          <w:i/>
          <w:iCs/>
          <w:noProof/>
        </w:rPr>
        <w:t>Supply Chain Management: An International Journal</w:t>
      </w:r>
      <w:r w:rsidRPr="006A22BF">
        <w:rPr>
          <w:rFonts w:ascii="Times New Roman" w:hAnsi="Times New Roman" w:cs="Times New Roman"/>
          <w:noProof/>
        </w:rPr>
        <w:t xml:space="preserve">, </w:t>
      </w:r>
      <w:r w:rsidRPr="006A22BF">
        <w:rPr>
          <w:rFonts w:ascii="Times New Roman" w:hAnsi="Times New Roman" w:cs="Times New Roman"/>
          <w:i/>
          <w:iCs/>
          <w:noProof/>
        </w:rPr>
        <w:t>17</w:t>
      </w:r>
      <w:r w:rsidRPr="006A22BF">
        <w:rPr>
          <w:rFonts w:ascii="Times New Roman" w:hAnsi="Times New Roman" w:cs="Times New Roman"/>
          <w:noProof/>
        </w:rPr>
        <w:t xml:space="preserve">(4), 438–453. </w:t>
      </w:r>
      <w:r>
        <w:rPr>
          <w:rFonts w:ascii="Times New Roman" w:hAnsi="Times New Roman" w:cs="Times New Roman"/>
          <w:noProof/>
        </w:rPr>
        <w:t xml:space="preserve"> </w:t>
      </w:r>
    </w:p>
    <w:p w14:paraId="2FCD016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Heidenreich, S., &amp; Kraemer, T. (2016). Innovations - Doomed to Fail? Investigating Strategies to Overcome Passive Innovation Resistance.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33</w:t>
      </w:r>
      <w:r w:rsidRPr="006A22BF">
        <w:rPr>
          <w:rFonts w:ascii="Times New Roman" w:hAnsi="Times New Roman" w:cs="Times New Roman"/>
          <w:noProof/>
        </w:rPr>
        <w:t xml:space="preserve">(3), 277–297. </w:t>
      </w:r>
      <w:r>
        <w:rPr>
          <w:rFonts w:ascii="Times New Roman" w:hAnsi="Times New Roman" w:cs="Times New Roman"/>
          <w:noProof/>
        </w:rPr>
        <w:t xml:space="preserve"> </w:t>
      </w:r>
    </w:p>
    <w:p w14:paraId="66BB4200"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lastRenderedPageBreak/>
        <w:t xml:space="preserve">Iansiti, M. (1995). Shooting the Rapids: Managing Product Development In Turbulent Environments. </w:t>
      </w:r>
      <w:r w:rsidRPr="006A22BF">
        <w:rPr>
          <w:rFonts w:ascii="Times New Roman" w:hAnsi="Times New Roman" w:cs="Times New Roman"/>
          <w:i/>
          <w:iCs/>
          <w:noProof/>
        </w:rPr>
        <w:t>California Management Review</w:t>
      </w:r>
      <w:r w:rsidRPr="006A22BF">
        <w:rPr>
          <w:rFonts w:ascii="Times New Roman" w:hAnsi="Times New Roman" w:cs="Times New Roman"/>
          <w:noProof/>
        </w:rPr>
        <w:t xml:space="preserve">, </w:t>
      </w:r>
      <w:r w:rsidRPr="006A22BF">
        <w:rPr>
          <w:rFonts w:ascii="Times New Roman" w:hAnsi="Times New Roman" w:cs="Times New Roman"/>
          <w:i/>
          <w:iCs/>
          <w:noProof/>
        </w:rPr>
        <w:t>38</w:t>
      </w:r>
      <w:r w:rsidRPr="006A22BF">
        <w:rPr>
          <w:rFonts w:ascii="Times New Roman" w:hAnsi="Times New Roman" w:cs="Times New Roman"/>
          <w:noProof/>
        </w:rPr>
        <w:t xml:space="preserve">(1), 37–58. </w:t>
      </w:r>
      <w:r>
        <w:rPr>
          <w:rFonts w:ascii="Times New Roman" w:hAnsi="Times New Roman" w:cs="Times New Roman"/>
          <w:noProof/>
        </w:rPr>
        <w:t xml:space="preserve"> </w:t>
      </w:r>
    </w:p>
    <w:p w14:paraId="38DFF0B0"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Jiang, L. (Alice), Waller, D. S., &amp; Cai, S. (2013). Does ownership type matter for innovation? Evidence from China. </w:t>
      </w:r>
      <w:r w:rsidRPr="006A22BF">
        <w:rPr>
          <w:rFonts w:ascii="Times New Roman" w:hAnsi="Times New Roman" w:cs="Times New Roman"/>
          <w:i/>
          <w:iCs/>
          <w:noProof/>
        </w:rPr>
        <w:t>Journal of Business Research</w:t>
      </w:r>
      <w:r w:rsidRPr="006A22BF">
        <w:rPr>
          <w:rFonts w:ascii="Times New Roman" w:hAnsi="Times New Roman" w:cs="Times New Roman"/>
          <w:noProof/>
        </w:rPr>
        <w:t xml:space="preserve">, </w:t>
      </w:r>
      <w:r w:rsidRPr="006A22BF">
        <w:rPr>
          <w:rFonts w:ascii="Times New Roman" w:hAnsi="Times New Roman" w:cs="Times New Roman"/>
          <w:i/>
          <w:iCs/>
          <w:noProof/>
        </w:rPr>
        <w:t>66</w:t>
      </w:r>
      <w:r w:rsidRPr="006A22BF">
        <w:rPr>
          <w:rFonts w:ascii="Times New Roman" w:hAnsi="Times New Roman" w:cs="Times New Roman"/>
          <w:noProof/>
        </w:rPr>
        <w:t xml:space="preserve">(12), 2473–2478. </w:t>
      </w:r>
      <w:r>
        <w:rPr>
          <w:rFonts w:ascii="Times New Roman" w:hAnsi="Times New Roman" w:cs="Times New Roman"/>
          <w:noProof/>
        </w:rPr>
        <w:t xml:space="preserve"> </w:t>
      </w:r>
    </w:p>
    <w:p w14:paraId="02215EFE"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Kang, K. H., &amp; Kang, J. (2009). How Do Firms Source External Knowledge for Innovation? Analysing Effects of Different Knowledge Sourcing Methods. </w:t>
      </w:r>
      <w:r w:rsidRPr="006A22BF">
        <w:rPr>
          <w:rFonts w:ascii="Times New Roman" w:hAnsi="Times New Roman" w:cs="Times New Roman"/>
          <w:i/>
          <w:iCs/>
          <w:noProof/>
        </w:rPr>
        <w:t>International Journal of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13</w:t>
      </w:r>
      <w:r w:rsidRPr="006A22BF">
        <w:rPr>
          <w:rFonts w:ascii="Times New Roman" w:hAnsi="Times New Roman" w:cs="Times New Roman"/>
          <w:noProof/>
        </w:rPr>
        <w:t xml:space="preserve">(1), 1–17. </w:t>
      </w:r>
      <w:r>
        <w:rPr>
          <w:rFonts w:ascii="Times New Roman" w:hAnsi="Times New Roman" w:cs="Times New Roman"/>
          <w:noProof/>
        </w:rPr>
        <w:t xml:space="preserve"> </w:t>
      </w:r>
    </w:p>
    <w:p w14:paraId="5545DB96"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Kang, K. H., &amp; Kang, J. (2014). Do external knowledge sourcing modes matter for service innovation? Empirical evidence from South Korean service firms.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31</w:t>
      </w:r>
      <w:r w:rsidRPr="006A22BF">
        <w:rPr>
          <w:rFonts w:ascii="Times New Roman" w:hAnsi="Times New Roman" w:cs="Times New Roman"/>
          <w:noProof/>
        </w:rPr>
        <w:t xml:space="preserve">(1), 176–191. </w:t>
      </w:r>
      <w:r>
        <w:rPr>
          <w:rFonts w:ascii="Times New Roman" w:hAnsi="Times New Roman" w:cs="Times New Roman"/>
          <w:noProof/>
        </w:rPr>
        <w:t xml:space="preserve"> </w:t>
      </w:r>
    </w:p>
    <w:p w14:paraId="7405F4DD"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Katz, J., &amp; Gartner, W. B. (1988). Properties of Emerging Organizations. </w:t>
      </w:r>
      <w:r w:rsidRPr="006A22BF">
        <w:rPr>
          <w:rFonts w:ascii="Times New Roman" w:hAnsi="Times New Roman" w:cs="Times New Roman"/>
          <w:i/>
          <w:iCs/>
          <w:noProof/>
        </w:rPr>
        <w:t>Academy of Management Review</w:t>
      </w:r>
      <w:r w:rsidRPr="006A22BF">
        <w:rPr>
          <w:rFonts w:ascii="Times New Roman" w:hAnsi="Times New Roman" w:cs="Times New Roman"/>
          <w:noProof/>
        </w:rPr>
        <w:t xml:space="preserve">, </w:t>
      </w:r>
      <w:r w:rsidRPr="006A22BF">
        <w:rPr>
          <w:rFonts w:ascii="Times New Roman" w:hAnsi="Times New Roman" w:cs="Times New Roman"/>
          <w:i/>
          <w:iCs/>
          <w:noProof/>
        </w:rPr>
        <w:t>13</w:t>
      </w:r>
      <w:r w:rsidRPr="006A22BF">
        <w:rPr>
          <w:rFonts w:ascii="Times New Roman" w:hAnsi="Times New Roman" w:cs="Times New Roman"/>
          <w:noProof/>
        </w:rPr>
        <w:t>(3), 429–441.</w:t>
      </w:r>
    </w:p>
    <w:p w14:paraId="238FBE4B"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Keupp, M. M., &amp; Gassmann, O. (2009). The Past and the Future of International Entrepreneurship: A Review and Suggestions for Developing the Field. </w:t>
      </w:r>
      <w:r w:rsidRPr="006A22BF">
        <w:rPr>
          <w:rFonts w:ascii="Times New Roman" w:hAnsi="Times New Roman" w:cs="Times New Roman"/>
          <w:i/>
          <w:iCs/>
          <w:noProof/>
        </w:rPr>
        <w:t>Journal of Management</w:t>
      </w:r>
      <w:r w:rsidRPr="006A22BF">
        <w:rPr>
          <w:rFonts w:ascii="Times New Roman" w:hAnsi="Times New Roman" w:cs="Times New Roman"/>
          <w:noProof/>
        </w:rPr>
        <w:t xml:space="preserve">, </w:t>
      </w:r>
      <w:r w:rsidRPr="006A22BF">
        <w:rPr>
          <w:rFonts w:ascii="Times New Roman" w:hAnsi="Times New Roman" w:cs="Times New Roman"/>
          <w:i/>
          <w:iCs/>
          <w:noProof/>
        </w:rPr>
        <w:t>35</w:t>
      </w:r>
      <w:r w:rsidRPr="006A22BF">
        <w:rPr>
          <w:rFonts w:ascii="Times New Roman" w:hAnsi="Times New Roman" w:cs="Times New Roman"/>
          <w:noProof/>
        </w:rPr>
        <w:t xml:space="preserve">(3), 600–633. </w:t>
      </w:r>
      <w:r>
        <w:rPr>
          <w:rFonts w:ascii="Times New Roman" w:hAnsi="Times New Roman" w:cs="Times New Roman"/>
          <w:noProof/>
        </w:rPr>
        <w:t xml:space="preserve"> </w:t>
      </w:r>
    </w:p>
    <w:p w14:paraId="5C840E66"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Knudsen, M. P., &amp; Mortensen, T. B. (2011). Some immediate but negative effects of openness on product development performance. </w:t>
      </w:r>
      <w:r w:rsidRPr="006A22BF">
        <w:rPr>
          <w:rFonts w:ascii="Times New Roman" w:hAnsi="Times New Roman" w:cs="Times New Roman"/>
          <w:i/>
          <w:iCs/>
          <w:noProof/>
        </w:rPr>
        <w:t>Technovation</w:t>
      </w:r>
      <w:r w:rsidRPr="006A22BF">
        <w:rPr>
          <w:rFonts w:ascii="Times New Roman" w:hAnsi="Times New Roman" w:cs="Times New Roman"/>
          <w:noProof/>
        </w:rPr>
        <w:t xml:space="preserve">, </w:t>
      </w:r>
      <w:r w:rsidRPr="006A22BF">
        <w:rPr>
          <w:rFonts w:ascii="Times New Roman" w:hAnsi="Times New Roman" w:cs="Times New Roman"/>
          <w:i/>
          <w:iCs/>
          <w:noProof/>
        </w:rPr>
        <w:t>31</w:t>
      </w:r>
      <w:r w:rsidRPr="006A22BF">
        <w:rPr>
          <w:rFonts w:ascii="Times New Roman" w:hAnsi="Times New Roman" w:cs="Times New Roman"/>
          <w:noProof/>
        </w:rPr>
        <w:t xml:space="preserve">(1), 54–64. </w:t>
      </w:r>
      <w:r>
        <w:rPr>
          <w:rFonts w:ascii="Times New Roman" w:hAnsi="Times New Roman" w:cs="Times New Roman"/>
          <w:noProof/>
        </w:rPr>
        <w:t xml:space="preserve"> </w:t>
      </w:r>
    </w:p>
    <w:p w14:paraId="51294003"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Kostopoulos, K., Papalexandris, A., Papachroni, M., &amp; Ioannou, G. (2011). Absorptive capacity, innovation, and financial performance. </w:t>
      </w:r>
      <w:r w:rsidRPr="006A22BF">
        <w:rPr>
          <w:rFonts w:ascii="Times New Roman" w:hAnsi="Times New Roman" w:cs="Times New Roman"/>
          <w:i/>
          <w:iCs/>
          <w:noProof/>
        </w:rPr>
        <w:t>Journal of Business Research</w:t>
      </w:r>
      <w:r w:rsidRPr="006A22BF">
        <w:rPr>
          <w:rFonts w:ascii="Times New Roman" w:hAnsi="Times New Roman" w:cs="Times New Roman"/>
          <w:noProof/>
        </w:rPr>
        <w:t xml:space="preserve">, </w:t>
      </w:r>
      <w:r w:rsidRPr="006A22BF">
        <w:rPr>
          <w:rFonts w:ascii="Times New Roman" w:hAnsi="Times New Roman" w:cs="Times New Roman"/>
          <w:i/>
          <w:iCs/>
          <w:noProof/>
        </w:rPr>
        <w:t>64</w:t>
      </w:r>
      <w:r w:rsidRPr="006A22BF">
        <w:rPr>
          <w:rFonts w:ascii="Times New Roman" w:hAnsi="Times New Roman" w:cs="Times New Roman"/>
          <w:noProof/>
        </w:rPr>
        <w:t xml:space="preserve">(12), 1335–1343. </w:t>
      </w:r>
      <w:r>
        <w:rPr>
          <w:rFonts w:ascii="Times New Roman" w:hAnsi="Times New Roman" w:cs="Times New Roman"/>
          <w:noProof/>
        </w:rPr>
        <w:t xml:space="preserve"> </w:t>
      </w:r>
    </w:p>
    <w:p w14:paraId="36898E94"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Laursen, K., &amp; Salter, A. (2006). Open for Innovation: The Role of Openness in Explaining Innovation Performance Among U.K. Manufacturing Firms. </w:t>
      </w:r>
      <w:r w:rsidRPr="006A22BF">
        <w:rPr>
          <w:rFonts w:ascii="Times New Roman" w:hAnsi="Times New Roman" w:cs="Times New Roman"/>
          <w:i/>
          <w:iCs/>
          <w:noProof/>
        </w:rPr>
        <w:t>Strategic Management Journal</w:t>
      </w:r>
      <w:r w:rsidRPr="006A22BF">
        <w:rPr>
          <w:rFonts w:ascii="Times New Roman" w:hAnsi="Times New Roman" w:cs="Times New Roman"/>
          <w:noProof/>
        </w:rPr>
        <w:t xml:space="preserve">, </w:t>
      </w:r>
      <w:r w:rsidRPr="006A22BF">
        <w:rPr>
          <w:rFonts w:ascii="Times New Roman" w:hAnsi="Times New Roman" w:cs="Times New Roman"/>
          <w:i/>
          <w:iCs/>
          <w:noProof/>
        </w:rPr>
        <w:t>27</w:t>
      </w:r>
      <w:r w:rsidRPr="006A22BF">
        <w:rPr>
          <w:rFonts w:ascii="Times New Roman" w:hAnsi="Times New Roman" w:cs="Times New Roman"/>
          <w:noProof/>
        </w:rPr>
        <w:t xml:space="preserve">, 131–150. </w:t>
      </w:r>
      <w:r>
        <w:rPr>
          <w:rFonts w:ascii="Times New Roman" w:hAnsi="Times New Roman" w:cs="Times New Roman"/>
          <w:noProof/>
        </w:rPr>
        <w:t xml:space="preserve"> </w:t>
      </w:r>
    </w:p>
    <w:p w14:paraId="562F9549"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Leiponen, A., &amp; Helfat, C. E. (2010). Innovation Objectives, Knowledge Sources, and the Benefits of Breadth. </w:t>
      </w:r>
      <w:r w:rsidRPr="006A22BF">
        <w:rPr>
          <w:rFonts w:ascii="Times New Roman" w:hAnsi="Times New Roman" w:cs="Times New Roman"/>
          <w:i/>
          <w:iCs/>
          <w:noProof/>
        </w:rPr>
        <w:t>Stratgic Management Journal</w:t>
      </w:r>
      <w:r w:rsidRPr="006A22BF">
        <w:rPr>
          <w:rFonts w:ascii="Times New Roman" w:hAnsi="Times New Roman" w:cs="Times New Roman"/>
          <w:noProof/>
        </w:rPr>
        <w:t xml:space="preserve">, </w:t>
      </w:r>
      <w:r w:rsidRPr="006A22BF">
        <w:rPr>
          <w:rFonts w:ascii="Times New Roman" w:hAnsi="Times New Roman" w:cs="Times New Roman"/>
          <w:i/>
          <w:iCs/>
          <w:noProof/>
        </w:rPr>
        <w:t>31</w:t>
      </w:r>
      <w:r w:rsidRPr="006A22BF">
        <w:rPr>
          <w:rFonts w:ascii="Times New Roman" w:hAnsi="Times New Roman" w:cs="Times New Roman"/>
          <w:noProof/>
        </w:rPr>
        <w:t xml:space="preserve">, 224–236. </w:t>
      </w:r>
      <w:r>
        <w:rPr>
          <w:rFonts w:ascii="Times New Roman" w:hAnsi="Times New Roman" w:cs="Times New Roman"/>
          <w:noProof/>
        </w:rPr>
        <w:t xml:space="preserve"> </w:t>
      </w:r>
    </w:p>
    <w:p w14:paraId="7A7F035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Liebeskind, J. P., Oliver, A. L., Zucker, L., &amp; Brewer, M. (1996). Social Networks, Learning, and Flexibility: Sourcing Scientific Knowledge in New Biotechnology Firms. </w:t>
      </w:r>
      <w:r w:rsidRPr="006A22BF">
        <w:rPr>
          <w:rFonts w:ascii="Times New Roman" w:hAnsi="Times New Roman" w:cs="Times New Roman"/>
          <w:i/>
          <w:iCs/>
          <w:noProof/>
        </w:rPr>
        <w:t>Organization Science</w:t>
      </w:r>
      <w:r w:rsidRPr="006A22BF">
        <w:rPr>
          <w:rFonts w:ascii="Times New Roman" w:hAnsi="Times New Roman" w:cs="Times New Roman"/>
          <w:noProof/>
        </w:rPr>
        <w:t xml:space="preserve">, </w:t>
      </w:r>
      <w:r w:rsidRPr="006A22BF">
        <w:rPr>
          <w:rFonts w:ascii="Times New Roman" w:hAnsi="Times New Roman" w:cs="Times New Roman"/>
          <w:i/>
          <w:iCs/>
          <w:noProof/>
        </w:rPr>
        <w:t>7</w:t>
      </w:r>
      <w:r w:rsidRPr="006A22BF">
        <w:rPr>
          <w:rFonts w:ascii="Times New Roman" w:hAnsi="Times New Roman" w:cs="Times New Roman"/>
          <w:noProof/>
        </w:rPr>
        <w:t>(4), 428–443.</w:t>
      </w:r>
    </w:p>
    <w:p w14:paraId="75AFD0B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Linder, J. C., Jarvenpaa, S., &amp; Davenport, T. H. (2003). Toward an Innovation Sourcing Strategy. </w:t>
      </w:r>
      <w:r w:rsidRPr="006A22BF">
        <w:rPr>
          <w:rFonts w:ascii="Times New Roman" w:hAnsi="Times New Roman" w:cs="Times New Roman"/>
          <w:i/>
          <w:iCs/>
          <w:noProof/>
        </w:rPr>
        <w:t>MIT Sloan Management Review</w:t>
      </w:r>
      <w:r w:rsidRPr="006A22BF">
        <w:rPr>
          <w:rFonts w:ascii="Times New Roman" w:hAnsi="Times New Roman" w:cs="Times New Roman"/>
          <w:noProof/>
        </w:rPr>
        <w:t xml:space="preserve">, </w:t>
      </w:r>
      <w:r w:rsidRPr="006A22BF">
        <w:rPr>
          <w:rFonts w:ascii="Times New Roman" w:hAnsi="Times New Roman" w:cs="Times New Roman"/>
          <w:i/>
          <w:iCs/>
          <w:noProof/>
        </w:rPr>
        <w:t>44</w:t>
      </w:r>
      <w:r w:rsidRPr="006A22BF">
        <w:rPr>
          <w:rFonts w:ascii="Times New Roman" w:hAnsi="Times New Roman" w:cs="Times New Roman"/>
          <w:noProof/>
        </w:rPr>
        <w:t>(4), 43–49.</w:t>
      </w:r>
    </w:p>
    <w:p w14:paraId="74E6A144"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Luca, L. M. De, &amp; Atuahene-Gima, K. (2007). Market Knowledge Dimensions and Cross-Functional Collaboration: Examining the Different Routes to Product Innovation Performance. </w:t>
      </w:r>
      <w:r w:rsidRPr="006A22BF">
        <w:rPr>
          <w:rFonts w:ascii="Times New Roman" w:hAnsi="Times New Roman" w:cs="Times New Roman"/>
          <w:i/>
          <w:iCs/>
          <w:noProof/>
        </w:rPr>
        <w:t>Journal of Marketing</w:t>
      </w:r>
      <w:r w:rsidRPr="006A22BF">
        <w:rPr>
          <w:rFonts w:ascii="Times New Roman" w:hAnsi="Times New Roman" w:cs="Times New Roman"/>
          <w:noProof/>
        </w:rPr>
        <w:t xml:space="preserve">, </w:t>
      </w:r>
      <w:r w:rsidRPr="006A22BF">
        <w:rPr>
          <w:rFonts w:ascii="Times New Roman" w:hAnsi="Times New Roman" w:cs="Times New Roman"/>
          <w:i/>
          <w:iCs/>
          <w:noProof/>
        </w:rPr>
        <w:t>71</w:t>
      </w:r>
      <w:r w:rsidRPr="006A22BF">
        <w:rPr>
          <w:rFonts w:ascii="Times New Roman" w:hAnsi="Times New Roman" w:cs="Times New Roman"/>
          <w:noProof/>
        </w:rPr>
        <w:t>(1), 95–112.</w:t>
      </w:r>
    </w:p>
    <w:p w14:paraId="4EC5B519"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Lumpkin, G. T., &amp; Dess, G. G. (1996). Clarifying the Entrepreneurial Orientation Construct and Linking it to Performance. </w:t>
      </w:r>
      <w:r w:rsidRPr="006A22BF">
        <w:rPr>
          <w:rFonts w:ascii="Times New Roman" w:hAnsi="Times New Roman" w:cs="Times New Roman"/>
          <w:i/>
          <w:iCs/>
          <w:noProof/>
        </w:rPr>
        <w:t>Academy of Management Review</w:t>
      </w:r>
      <w:r w:rsidRPr="006A22BF">
        <w:rPr>
          <w:rFonts w:ascii="Times New Roman" w:hAnsi="Times New Roman" w:cs="Times New Roman"/>
          <w:noProof/>
        </w:rPr>
        <w:t xml:space="preserve">, </w:t>
      </w:r>
      <w:r w:rsidRPr="006A22BF">
        <w:rPr>
          <w:rFonts w:ascii="Times New Roman" w:hAnsi="Times New Roman" w:cs="Times New Roman"/>
          <w:i/>
          <w:iCs/>
          <w:noProof/>
        </w:rPr>
        <w:t>21</w:t>
      </w:r>
      <w:r w:rsidRPr="006A22BF">
        <w:rPr>
          <w:rFonts w:ascii="Times New Roman" w:hAnsi="Times New Roman" w:cs="Times New Roman"/>
          <w:noProof/>
        </w:rPr>
        <w:t>(1), 135–172.</w:t>
      </w:r>
    </w:p>
    <w:p w14:paraId="11C1629E"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Manuj, I., Omar, A., &amp; Yazdanparast, A. (2013). The Quest for Competitive Advantage in Global Supply Chains: The Role of Interorganizational Learning. </w:t>
      </w:r>
      <w:r w:rsidRPr="006A22BF">
        <w:rPr>
          <w:rFonts w:ascii="Times New Roman" w:hAnsi="Times New Roman" w:cs="Times New Roman"/>
          <w:i/>
          <w:iCs/>
          <w:noProof/>
        </w:rPr>
        <w:t>Transportation Journal</w:t>
      </w:r>
      <w:r w:rsidRPr="006A22BF">
        <w:rPr>
          <w:rFonts w:ascii="Times New Roman" w:hAnsi="Times New Roman" w:cs="Times New Roman"/>
          <w:noProof/>
        </w:rPr>
        <w:t xml:space="preserve">, </w:t>
      </w:r>
      <w:r w:rsidRPr="006A22BF">
        <w:rPr>
          <w:rFonts w:ascii="Times New Roman" w:hAnsi="Times New Roman" w:cs="Times New Roman"/>
          <w:i/>
          <w:iCs/>
          <w:noProof/>
        </w:rPr>
        <w:t>52</w:t>
      </w:r>
      <w:r w:rsidRPr="006A22BF">
        <w:rPr>
          <w:rFonts w:ascii="Times New Roman" w:hAnsi="Times New Roman" w:cs="Times New Roman"/>
          <w:noProof/>
        </w:rPr>
        <w:t xml:space="preserve">(4), 463–492. </w:t>
      </w:r>
      <w:r>
        <w:rPr>
          <w:rFonts w:ascii="Times New Roman" w:hAnsi="Times New Roman" w:cs="Times New Roman"/>
          <w:noProof/>
        </w:rPr>
        <w:t xml:space="preserve"> </w:t>
      </w:r>
    </w:p>
    <w:p w14:paraId="42F0F568"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Marsh, S. J., &amp; Stock, G. N. (2006). Creating dynamic capability: The role of intertemporal integration, knowledge retention, and interpretation.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23</w:t>
      </w:r>
      <w:r w:rsidRPr="006A22BF">
        <w:rPr>
          <w:rFonts w:ascii="Times New Roman" w:hAnsi="Times New Roman" w:cs="Times New Roman"/>
          <w:noProof/>
        </w:rPr>
        <w:t xml:space="preserve">(5), 422–436. </w:t>
      </w:r>
      <w:r>
        <w:rPr>
          <w:rFonts w:ascii="Times New Roman" w:hAnsi="Times New Roman" w:cs="Times New Roman"/>
          <w:noProof/>
        </w:rPr>
        <w:t xml:space="preserve"> </w:t>
      </w:r>
    </w:p>
    <w:p w14:paraId="31035E7D"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McNally, R. C., Akdeniz, M. B., &amp; Calantone, R. J. (2011). New Product Development Processes and New Product Profitability: Exploring the Mediating Role of Speed to Market and Product Quality.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28</w:t>
      </w:r>
      <w:r w:rsidRPr="006A22BF">
        <w:rPr>
          <w:rFonts w:ascii="Times New Roman" w:hAnsi="Times New Roman" w:cs="Times New Roman"/>
          <w:noProof/>
        </w:rPr>
        <w:t>(S1), 63–77.</w:t>
      </w:r>
    </w:p>
    <w:p w14:paraId="694CB4BA"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Miles, M. B., &amp; Huberman, A. M. (1994). </w:t>
      </w:r>
      <w:r w:rsidRPr="006A22BF">
        <w:rPr>
          <w:rFonts w:ascii="Times New Roman" w:hAnsi="Times New Roman" w:cs="Times New Roman"/>
          <w:i/>
          <w:iCs/>
          <w:noProof/>
        </w:rPr>
        <w:t>Qualitative Data Analysis: An expanded sourcebook</w:t>
      </w:r>
      <w:r w:rsidRPr="006A22BF">
        <w:rPr>
          <w:rFonts w:ascii="Times New Roman" w:hAnsi="Times New Roman" w:cs="Times New Roman"/>
          <w:noProof/>
        </w:rPr>
        <w:t xml:space="preserve"> (2nd ed.). Thousand Oaks, CA: Sage Publications.</w:t>
      </w:r>
    </w:p>
    <w:p w14:paraId="3EBE432C"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lastRenderedPageBreak/>
        <w:t xml:space="preserve">Nakata, C., &amp; Im, S. (2010). Spurring Cross-Functional Integration for Higher New Product Performance: A Group Effectiveness Perspective.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27</w:t>
      </w:r>
      <w:r w:rsidRPr="006A22BF">
        <w:rPr>
          <w:rFonts w:ascii="Times New Roman" w:hAnsi="Times New Roman" w:cs="Times New Roman"/>
          <w:noProof/>
        </w:rPr>
        <w:t>, 554–571.</w:t>
      </w:r>
    </w:p>
    <w:p w14:paraId="2423D5A3"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Naranjo-Valencia, J. C., Jiménez-Jiménez, D., &amp; Sanz-Valle, R. (2011). Innovation or imitation? The role of organizational culture. </w:t>
      </w:r>
      <w:r w:rsidRPr="006A22BF">
        <w:rPr>
          <w:rFonts w:ascii="Times New Roman" w:hAnsi="Times New Roman" w:cs="Times New Roman"/>
          <w:i/>
          <w:iCs/>
          <w:noProof/>
        </w:rPr>
        <w:t>Management Decision</w:t>
      </w:r>
      <w:r w:rsidRPr="006A22BF">
        <w:rPr>
          <w:rFonts w:ascii="Times New Roman" w:hAnsi="Times New Roman" w:cs="Times New Roman"/>
          <w:noProof/>
        </w:rPr>
        <w:t xml:space="preserve">, </w:t>
      </w:r>
      <w:r w:rsidRPr="006A22BF">
        <w:rPr>
          <w:rFonts w:ascii="Times New Roman" w:hAnsi="Times New Roman" w:cs="Times New Roman"/>
          <w:i/>
          <w:iCs/>
          <w:noProof/>
        </w:rPr>
        <w:t>49</w:t>
      </w:r>
      <w:r w:rsidRPr="006A22BF">
        <w:rPr>
          <w:rFonts w:ascii="Times New Roman" w:hAnsi="Times New Roman" w:cs="Times New Roman"/>
          <w:noProof/>
        </w:rPr>
        <w:t xml:space="preserve">(1), 55–72. </w:t>
      </w:r>
      <w:r>
        <w:rPr>
          <w:rFonts w:ascii="Times New Roman" w:hAnsi="Times New Roman" w:cs="Times New Roman"/>
          <w:noProof/>
        </w:rPr>
        <w:t xml:space="preserve"> </w:t>
      </w:r>
    </w:p>
    <w:p w14:paraId="0DC7A236"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Newbert, S. L. (2007). Empirical Research on the Resource-Based View of the Firm: An Assessment and Suggestion for Future Research. </w:t>
      </w:r>
      <w:r w:rsidRPr="006A22BF">
        <w:rPr>
          <w:rFonts w:ascii="Times New Roman" w:hAnsi="Times New Roman" w:cs="Times New Roman"/>
          <w:i/>
          <w:iCs/>
          <w:noProof/>
        </w:rPr>
        <w:t>Strategic Management Journal</w:t>
      </w:r>
      <w:r w:rsidRPr="006A22BF">
        <w:rPr>
          <w:rFonts w:ascii="Times New Roman" w:hAnsi="Times New Roman" w:cs="Times New Roman"/>
          <w:noProof/>
        </w:rPr>
        <w:t xml:space="preserve">, </w:t>
      </w:r>
      <w:r w:rsidRPr="006A22BF">
        <w:rPr>
          <w:rFonts w:ascii="Times New Roman" w:hAnsi="Times New Roman" w:cs="Times New Roman"/>
          <w:i/>
          <w:iCs/>
          <w:noProof/>
        </w:rPr>
        <w:t>28</w:t>
      </w:r>
      <w:r w:rsidRPr="006A22BF">
        <w:rPr>
          <w:rFonts w:ascii="Times New Roman" w:hAnsi="Times New Roman" w:cs="Times New Roman"/>
          <w:noProof/>
        </w:rPr>
        <w:t xml:space="preserve">, 121–146. </w:t>
      </w:r>
      <w:r>
        <w:rPr>
          <w:rFonts w:ascii="Times New Roman" w:hAnsi="Times New Roman" w:cs="Times New Roman"/>
          <w:noProof/>
        </w:rPr>
        <w:t xml:space="preserve"> </w:t>
      </w:r>
    </w:p>
    <w:p w14:paraId="3EA6BCD8"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Oke, A., &amp; Kach, A. (2012). Linking sourcing and collaborative strategies to financial performance: The role of operational innovation. </w:t>
      </w:r>
      <w:r w:rsidRPr="006A22BF">
        <w:rPr>
          <w:rFonts w:ascii="Times New Roman" w:hAnsi="Times New Roman" w:cs="Times New Roman"/>
          <w:i/>
          <w:iCs/>
          <w:noProof/>
        </w:rPr>
        <w:t>Journal of Purchasing and Supply Management</w:t>
      </w:r>
      <w:r w:rsidRPr="006A22BF">
        <w:rPr>
          <w:rFonts w:ascii="Times New Roman" w:hAnsi="Times New Roman" w:cs="Times New Roman"/>
          <w:noProof/>
        </w:rPr>
        <w:t xml:space="preserve">, </w:t>
      </w:r>
      <w:r w:rsidRPr="006A22BF">
        <w:rPr>
          <w:rFonts w:ascii="Times New Roman" w:hAnsi="Times New Roman" w:cs="Times New Roman"/>
          <w:i/>
          <w:iCs/>
          <w:noProof/>
        </w:rPr>
        <w:t>18</w:t>
      </w:r>
      <w:r w:rsidRPr="006A22BF">
        <w:rPr>
          <w:rFonts w:ascii="Times New Roman" w:hAnsi="Times New Roman" w:cs="Times New Roman"/>
          <w:noProof/>
        </w:rPr>
        <w:t xml:space="preserve">(1), 46–59. </w:t>
      </w:r>
      <w:r>
        <w:rPr>
          <w:rFonts w:ascii="Times New Roman" w:hAnsi="Times New Roman" w:cs="Times New Roman"/>
          <w:noProof/>
        </w:rPr>
        <w:t xml:space="preserve"> </w:t>
      </w:r>
    </w:p>
    <w:p w14:paraId="1DA79266"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Pashaei, S., &amp; Olhager, J. (2015). Product architecture and supply chain design: a systematic review and research agenda. </w:t>
      </w:r>
      <w:r w:rsidRPr="006A22BF">
        <w:rPr>
          <w:rFonts w:ascii="Times New Roman" w:hAnsi="Times New Roman" w:cs="Times New Roman"/>
          <w:i/>
          <w:iCs/>
          <w:noProof/>
        </w:rPr>
        <w:t>Supply Chain Management: An International Journal</w:t>
      </w:r>
      <w:r w:rsidRPr="006A22BF">
        <w:rPr>
          <w:rFonts w:ascii="Times New Roman" w:hAnsi="Times New Roman" w:cs="Times New Roman"/>
          <w:noProof/>
        </w:rPr>
        <w:t xml:space="preserve">, </w:t>
      </w:r>
      <w:r w:rsidRPr="006A22BF">
        <w:rPr>
          <w:rFonts w:ascii="Times New Roman" w:hAnsi="Times New Roman" w:cs="Times New Roman"/>
          <w:i/>
          <w:iCs/>
          <w:noProof/>
        </w:rPr>
        <w:t>20</w:t>
      </w:r>
      <w:r w:rsidRPr="006A22BF">
        <w:rPr>
          <w:rFonts w:ascii="Times New Roman" w:hAnsi="Times New Roman" w:cs="Times New Roman"/>
          <w:noProof/>
        </w:rPr>
        <w:t xml:space="preserve">(1), 98–112. </w:t>
      </w:r>
      <w:r>
        <w:rPr>
          <w:rFonts w:ascii="Times New Roman" w:hAnsi="Times New Roman" w:cs="Times New Roman"/>
          <w:noProof/>
        </w:rPr>
        <w:t xml:space="preserve"> </w:t>
      </w:r>
    </w:p>
    <w:p w14:paraId="40A8040F"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4E2D45">
        <w:rPr>
          <w:rFonts w:ascii="Times New Roman" w:hAnsi="Times New Roman" w:cs="Times New Roman"/>
          <w:noProof/>
          <w:lang w:val="es-ES"/>
        </w:rPr>
        <w:t xml:space="preserve">Perez-Luno, A., Gopalakrishnan, S., &amp; Cabrera, R. V. (2014). </w:t>
      </w:r>
      <w:r w:rsidRPr="006A22BF">
        <w:rPr>
          <w:rFonts w:ascii="Times New Roman" w:hAnsi="Times New Roman" w:cs="Times New Roman"/>
          <w:noProof/>
        </w:rPr>
        <w:t xml:space="preserve">Innovation and Performance: The Role of Environmental Dynamism on the Success of Innovation Choices. </w:t>
      </w:r>
      <w:r w:rsidRPr="006A22BF">
        <w:rPr>
          <w:rFonts w:ascii="Times New Roman" w:hAnsi="Times New Roman" w:cs="Times New Roman"/>
          <w:i/>
          <w:iCs/>
          <w:noProof/>
        </w:rPr>
        <w:t>IEEE Transactions on Engineering Management</w:t>
      </w:r>
      <w:r w:rsidRPr="006A22BF">
        <w:rPr>
          <w:rFonts w:ascii="Times New Roman" w:hAnsi="Times New Roman" w:cs="Times New Roman"/>
          <w:noProof/>
        </w:rPr>
        <w:t xml:space="preserve">, </w:t>
      </w:r>
      <w:r w:rsidRPr="006A22BF">
        <w:rPr>
          <w:rFonts w:ascii="Times New Roman" w:hAnsi="Times New Roman" w:cs="Times New Roman"/>
          <w:i/>
          <w:iCs/>
          <w:noProof/>
        </w:rPr>
        <w:t>61</w:t>
      </w:r>
      <w:r w:rsidRPr="006A22BF">
        <w:rPr>
          <w:rFonts w:ascii="Times New Roman" w:hAnsi="Times New Roman" w:cs="Times New Roman"/>
          <w:noProof/>
        </w:rPr>
        <w:t>(3), 499–510.</w:t>
      </w:r>
    </w:p>
    <w:p w14:paraId="08B08559"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Powell, W. W., Koput, K. W., &amp; Smith-Doerr, L. (1996). Interorganizational Collaboration and the Locus of Innovation: Networks of Learning in Biotechnology. </w:t>
      </w:r>
      <w:r w:rsidRPr="006A22BF">
        <w:rPr>
          <w:rFonts w:ascii="Times New Roman" w:hAnsi="Times New Roman" w:cs="Times New Roman"/>
          <w:i/>
          <w:iCs/>
          <w:noProof/>
        </w:rPr>
        <w:t>Administrative Science Quarterly</w:t>
      </w:r>
      <w:r w:rsidRPr="006A22BF">
        <w:rPr>
          <w:rFonts w:ascii="Times New Roman" w:hAnsi="Times New Roman" w:cs="Times New Roman"/>
          <w:noProof/>
        </w:rPr>
        <w:t xml:space="preserve">, </w:t>
      </w:r>
      <w:r w:rsidRPr="006A22BF">
        <w:rPr>
          <w:rFonts w:ascii="Times New Roman" w:hAnsi="Times New Roman" w:cs="Times New Roman"/>
          <w:i/>
          <w:iCs/>
          <w:noProof/>
        </w:rPr>
        <w:t>41</w:t>
      </w:r>
      <w:r w:rsidRPr="006A22BF">
        <w:rPr>
          <w:rFonts w:ascii="Times New Roman" w:hAnsi="Times New Roman" w:cs="Times New Roman"/>
          <w:noProof/>
        </w:rPr>
        <w:t xml:space="preserve">(1), 116–145. </w:t>
      </w:r>
      <w:r>
        <w:rPr>
          <w:rFonts w:ascii="Times New Roman" w:hAnsi="Times New Roman" w:cs="Times New Roman"/>
          <w:noProof/>
        </w:rPr>
        <w:t xml:space="preserve"> </w:t>
      </w:r>
    </w:p>
    <w:p w14:paraId="76F86F43"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Quinn, J. B. (2000). Outsourcing Innovation : The New Engine of Growth. </w:t>
      </w:r>
      <w:r w:rsidRPr="006A22BF">
        <w:rPr>
          <w:rFonts w:ascii="Times New Roman" w:hAnsi="Times New Roman" w:cs="Times New Roman"/>
          <w:i/>
          <w:iCs/>
          <w:noProof/>
        </w:rPr>
        <w:t>Sloan Management Review</w:t>
      </w:r>
      <w:r w:rsidRPr="006A22BF">
        <w:rPr>
          <w:rFonts w:ascii="Times New Roman" w:hAnsi="Times New Roman" w:cs="Times New Roman"/>
          <w:noProof/>
        </w:rPr>
        <w:t xml:space="preserve">, </w:t>
      </w:r>
      <w:r w:rsidRPr="006A22BF">
        <w:rPr>
          <w:rFonts w:ascii="Times New Roman" w:hAnsi="Times New Roman" w:cs="Times New Roman"/>
          <w:i/>
          <w:iCs/>
          <w:noProof/>
        </w:rPr>
        <w:t>41</w:t>
      </w:r>
      <w:r w:rsidRPr="006A22BF">
        <w:rPr>
          <w:rFonts w:ascii="Times New Roman" w:hAnsi="Times New Roman" w:cs="Times New Roman"/>
          <w:noProof/>
        </w:rPr>
        <w:t>(4), 13–28.</w:t>
      </w:r>
    </w:p>
    <w:p w14:paraId="33D14591"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Revilla, E., &amp; Villena, V. H. (2012). Knowledge integration taxonomy in buyer – supplier relationships: Trade-offs between efficiency and innovation. </w:t>
      </w:r>
      <w:r w:rsidRPr="006A22BF">
        <w:rPr>
          <w:rFonts w:ascii="Times New Roman" w:hAnsi="Times New Roman" w:cs="Times New Roman"/>
          <w:i/>
          <w:iCs/>
          <w:noProof/>
        </w:rPr>
        <w:t>International Journal of Production Economics</w:t>
      </w:r>
      <w:r w:rsidRPr="006A22BF">
        <w:rPr>
          <w:rFonts w:ascii="Times New Roman" w:hAnsi="Times New Roman" w:cs="Times New Roman"/>
          <w:noProof/>
        </w:rPr>
        <w:t xml:space="preserve">, </w:t>
      </w:r>
      <w:r w:rsidRPr="006A22BF">
        <w:rPr>
          <w:rFonts w:ascii="Times New Roman" w:hAnsi="Times New Roman" w:cs="Times New Roman"/>
          <w:i/>
          <w:iCs/>
          <w:noProof/>
        </w:rPr>
        <w:t>140</w:t>
      </w:r>
      <w:r w:rsidRPr="006A22BF">
        <w:rPr>
          <w:rFonts w:ascii="Times New Roman" w:hAnsi="Times New Roman" w:cs="Times New Roman"/>
          <w:noProof/>
        </w:rPr>
        <w:t xml:space="preserve">, 854–864. </w:t>
      </w:r>
      <w:r>
        <w:rPr>
          <w:rFonts w:ascii="Times New Roman" w:hAnsi="Times New Roman" w:cs="Times New Roman"/>
          <w:noProof/>
        </w:rPr>
        <w:t xml:space="preserve"> </w:t>
      </w:r>
    </w:p>
    <w:p w14:paraId="7E6698A0"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Rigby, D., &amp; Zook, C. (2002). Open-market innovation. </w:t>
      </w:r>
      <w:r w:rsidRPr="006A22BF">
        <w:rPr>
          <w:rFonts w:ascii="Times New Roman" w:hAnsi="Times New Roman" w:cs="Times New Roman"/>
          <w:i/>
          <w:iCs/>
          <w:noProof/>
        </w:rPr>
        <w:t>Harvard Business Review</w:t>
      </w:r>
      <w:r w:rsidRPr="006A22BF">
        <w:rPr>
          <w:rFonts w:ascii="Times New Roman" w:hAnsi="Times New Roman" w:cs="Times New Roman"/>
          <w:noProof/>
        </w:rPr>
        <w:t xml:space="preserve">, </w:t>
      </w:r>
      <w:r w:rsidRPr="006A22BF">
        <w:rPr>
          <w:rFonts w:ascii="Times New Roman" w:hAnsi="Times New Roman" w:cs="Times New Roman"/>
          <w:i/>
          <w:iCs/>
          <w:noProof/>
        </w:rPr>
        <w:t>80</w:t>
      </w:r>
      <w:r w:rsidRPr="006A22BF">
        <w:rPr>
          <w:rFonts w:ascii="Times New Roman" w:hAnsi="Times New Roman" w:cs="Times New Roman"/>
          <w:noProof/>
        </w:rPr>
        <w:t xml:space="preserve">(10), 80–93. </w:t>
      </w:r>
      <w:r>
        <w:rPr>
          <w:rFonts w:ascii="Times New Roman" w:hAnsi="Times New Roman" w:cs="Times New Roman"/>
          <w:noProof/>
        </w:rPr>
        <w:t xml:space="preserve"> </w:t>
      </w:r>
    </w:p>
    <w:p w14:paraId="40FA20DF"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Roper, S., Du, J., &amp; Love, J. H. (2008). Modelling the innovation value chain. </w:t>
      </w:r>
      <w:r w:rsidRPr="006A22BF">
        <w:rPr>
          <w:rFonts w:ascii="Times New Roman" w:hAnsi="Times New Roman" w:cs="Times New Roman"/>
          <w:i/>
          <w:iCs/>
          <w:noProof/>
        </w:rPr>
        <w:t>Research Policy</w:t>
      </w:r>
      <w:r w:rsidRPr="006A22BF">
        <w:rPr>
          <w:rFonts w:ascii="Times New Roman" w:hAnsi="Times New Roman" w:cs="Times New Roman"/>
          <w:noProof/>
        </w:rPr>
        <w:t xml:space="preserve">, </w:t>
      </w:r>
      <w:r w:rsidRPr="006A22BF">
        <w:rPr>
          <w:rFonts w:ascii="Times New Roman" w:hAnsi="Times New Roman" w:cs="Times New Roman"/>
          <w:i/>
          <w:iCs/>
          <w:noProof/>
        </w:rPr>
        <w:t>37</w:t>
      </w:r>
      <w:r w:rsidRPr="006A22BF">
        <w:rPr>
          <w:rFonts w:ascii="Times New Roman" w:hAnsi="Times New Roman" w:cs="Times New Roman"/>
          <w:noProof/>
        </w:rPr>
        <w:t>(6–7), 961–977. http://doi.org/10.1016/j.respol.2008.04.005</w:t>
      </w:r>
    </w:p>
    <w:p w14:paraId="56CBD078"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Rosell, D. T., &amp; Lakemond, N. (2012). Collaborative innovation with suppliers -A conceptual model for characterising supplier contributions to NPD. </w:t>
      </w:r>
      <w:r w:rsidRPr="006A22BF">
        <w:rPr>
          <w:rFonts w:ascii="Times New Roman" w:hAnsi="Times New Roman" w:cs="Times New Roman"/>
          <w:i/>
          <w:iCs/>
          <w:noProof/>
        </w:rPr>
        <w:t>International Journal of Technology Intelligence and Planning</w:t>
      </w:r>
      <w:r w:rsidRPr="006A22BF">
        <w:rPr>
          <w:rFonts w:ascii="Times New Roman" w:hAnsi="Times New Roman" w:cs="Times New Roman"/>
          <w:noProof/>
        </w:rPr>
        <w:t xml:space="preserve">, </w:t>
      </w:r>
      <w:r w:rsidRPr="006A22BF">
        <w:rPr>
          <w:rFonts w:ascii="Times New Roman" w:hAnsi="Times New Roman" w:cs="Times New Roman"/>
          <w:i/>
          <w:iCs/>
          <w:noProof/>
        </w:rPr>
        <w:t>8</w:t>
      </w:r>
      <w:r w:rsidRPr="006A22BF">
        <w:rPr>
          <w:rFonts w:ascii="Times New Roman" w:hAnsi="Times New Roman" w:cs="Times New Roman"/>
          <w:noProof/>
        </w:rPr>
        <w:t xml:space="preserve">(2), 197–214. </w:t>
      </w:r>
      <w:r>
        <w:rPr>
          <w:rFonts w:ascii="Times New Roman" w:hAnsi="Times New Roman" w:cs="Times New Roman"/>
          <w:noProof/>
        </w:rPr>
        <w:t xml:space="preserve"> </w:t>
      </w:r>
    </w:p>
    <w:p w14:paraId="6409740B"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Rosenbusch, N., Rauch, A., &amp; Bausch, A. (2013). The Mediating Role of Entrepreneurial Orientation in the Task Environment – Performance Relationship : A Meta-Analysis. </w:t>
      </w:r>
      <w:r w:rsidRPr="006A22BF">
        <w:rPr>
          <w:rFonts w:ascii="Times New Roman" w:hAnsi="Times New Roman" w:cs="Times New Roman"/>
          <w:i/>
          <w:iCs/>
          <w:noProof/>
        </w:rPr>
        <w:t>Journal of Management</w:t>
      </w:r>
      <w:r w:rsidRPr="006A22BF">
        <w:rPr>
          <w:rFonts w:ascii="Times New Roman" w:hAnsi="Times New Roman" w:cs="Times New Roman"/>
          <w:noProof/>
        </w:rPr>
        <w:t xml:space="preserve">, </w:t>
      </w:r>
      <w:r w:rsidRPr="006A22BF">
        <w:rPr>
          <w:rFonts w:ascii="Times New Roman" w:hAnsi="Times New Roman" w:cs="Times New Roman"/>
          <w:i/>
          <w:iCs/>
          <w:noProof/>
        </w:rPr>
        <w:t>39</w:t>
      </w:r>
      <w:r w:rsidRPr="006A22BF">
        <w:rPr>
          <w:rFonts w:ascii="Times New Roman" w:hAnsi="Times New Roman" w:cs="Times New Roman"/>
          <w:noProof/>
        </w:rPr>
        <w:t xml:space="preserve">(3), 633–659. </w:t>
      </w:r>
      <w:r>
        <w:rPr>
          <w:rFonts w:ascii="Times New Roman" w:hAnsi="Times New Roman" w:cs="Times New Roman"/>
          <w:noProof/>
        </w:rPr>
        <w:t xml:space="preserve"> </w:t>
      </w:r>
    </w:p>
    <w:p w14:paraId="59B5ABC7"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Rothaermel, F. T., &amp; Alexandre, M. T. (2009). Ambidexterity in Technology Sourcing: The Moderating Role of Absorptive Capacity. </w:t>
      </w:r>
      <w:r w:rsidRPr="006A22BF">
        <w:rPr>
          <w:rFonts w:ascii="Times New Roman" w:hAnsi="Times New Roman" w:cs="Times New Roman"/>
          <w:i/>
          <w:iCs/>
          <w:noProof/>
        </w:rPr>
        <w:t>Organization Science</w:t>
      </w:r>
      <w:r w:rsidRPr="006A22BF">
        <w:rPr>
          <w:rFonts w:ascii="Times New Roman" w:hAnsi="Times New Roman" w:cs="Times New Roman"/>
          <w:noProof/>
        </w:rPr>
        <w:t xml:space="preserve">, </w:t>
      </w:r>
      <w:r w:rsidRPr="006A22BF">
        <w:rPr>
          <w:rFonts w:ascii="Times New Roman" w:hAnsi="Times New Roman" w:cs="Times New Roman"/>
          <w:i/>
          <w:iCs/>
          <w:noProof/>
        </w:rPr>
        <w:t>20</w:t>
      </w:r>
      <w:r w:rsidRPr="006A22BF">
        <w:rPr>
          <w:rFonts w:ascii="Times New Roman" w:hAnsi="Times New Roman" w:cs="Times New Roman"/>
          <w:noProof/>
        </w:rPr>
        <w:t xml:space="preserve">(4), 759–780. </w:t>
      </w:r>
      <w:r>
        <w:rPr>
          <w:rFonts w:ascii="Times New Roman" w:hAnsi="Times New Roman" w:cs="Times New Roman"/>
          <w:noProof/>
        </w:rPr>
        <w:t xml:space="preserve"> </w:t>
      </w:r>
    </w:p>
    <w:p w14:paraId="298BCCB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Rothwell, R. (1994). Towards the Fifth-generation Innovation Process. </w:t>
      </w:r>
      <w:r w:rsidRPr="006A22BF">
        <w:rPr>
          <w:rFonts w:ascii="Times New Roman" w:hAnsi="Times New Roman" w:cs="Times New Roman"/>
          <w:i/>
          <w:iCs/>
          <w:noProof/>
        </w:rPr>
        <w:t>International Marketing Review</w:t>
      </w:r>
      <w:r w:rsidRPr="006A22BF">
        <w:rPr>
          <w:rFonts w:ascii="Times New Roman" w:hAnsi="Times New Roman" w:cs="Times New Roman"/>
          <w:noProof/>
        </w:rPr>
        <w:t xml:space="preserve">, </w:t>
      </w:r>
      <w:r w:rsidRPr="006A22BF">
        <w:rPr>
          <w:rFonts w:ascii="Times New Roman" w:hAnsi="Times New Roman" w:cs="Times New Roman"/>
          <w:i/>
          <w:iCs/>
          <w:noProof/>
        </w:rPr>
        <w:t>11</w:t>
      </w:r>
      <w:r w:rsidRPr="006A22BF">
        <w:rPr>
          <w:rFonts w:ascii="Times New Roman" w:hAnsi="Times New Roman" w:cs="Times New Roman"/>
          <w:noProof/>
        </w:rPr>
        <w:t>(1), 7–31.</w:t>
      </w:r>
    </w:p>
    <w:p w14:paraId="7339064E"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Sabidussi, A., Lokshin, B., De Leeuw, T., Duysters, G., Bremmers, H., &amp; Omta, O. (2014). A comparative perspective on external technology sourcing modalities: The role of synergies. </w:t>
      </w:r>
      <w:r w:rsidRPr="006A22BF">
        <w:rPr>
          <w:rFonts w:ascii="Times New Roman" w:hAnsi="Times New Roman" w:cs="Times New Roman"/>
          <w:i/>
          <w:iCs/>
          <w:noProof/>
        </w:rPr>
        <w:t>Journal of Engineering and Technology Management</w:t>
      </w:r>
      <w:r w:rsidRPr="006A22BF">
        <w:rPr>
          <w:rFonts w:ascii="Times New Roman" w:hAnsi="Times New Roman" w:cs="Times New Roman"/>
          <w:noProof/>
        </w:rPr>
        <w:t xml:space="preserve">, </w:t>
      </w:r>
      <w:r w:rsidRPr="006A22BF">
        <w:rPr>
          <w:rFonts w:ascii="Times New Roman" w:hAnsi="Times New Roman" w:cs="Times New Roman"/>
          <w:i/>
          <w:iCs/>
          <w:noProof/>
        </w:rPr>
        <w:t>33</w:t>
      </w:r>
      <w:r w:rsidRPr="006A22BF">
        <w:rPr>
          <w:rFonts w:ascii="Times New Roman" w:hAnsi="Times New Roman" w:cs="Times New Roman"/>
          <w:noProof/>
        </w:rPr>
        <w:t xml:space="preserve">, 18–31. </w:t>
      </w:r>
      <w:r>
        <w:rPr>
          <w:rFonts w:ascii="Times New Roman" w:hAnsi="Times New Roman" w:cs="Times New Roman"/>
          <w:noProof/>
        </w:rPr>
        <w:t xml:space="preserve"> </w:t>
      </w:r>
    </w:p>
    <w:p w14:paraId="6DB3D44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Schilling, M. A., &amp; Hill, C. W. L. (1998). Managing the new product development process: Strategic imperatives. </w:t>
      </w:r>
      <w:r w:rsidRPr="006A22BF">
        <w:rPr>
          <w:rFonts w:ascii="Times New Roman" w:hAnsi="Times New Roman" w:cs="Times New Roman"/>
          <w:i/>
          <w:iCs/>
          <w:noProof/>
        </w:rPr>
        <w:t>Academy of Management Executive</w:t>
      </w:r>
      <w:r w:rsidRPr="006A22BF">
        <w:rPr>
          <w:rFonts w:ascii="Times New Roman" w:hAnsi="Times New Roman" w:cs="Times New Roman"/>
          <w:noProof/>
        </w:rPr>
        <w:t xml:space="preserve">, </w:t>
      </w:r>
      <w:r w:rsidRPr="006A22BF">
        <w:rPr>
          <w:rFonts w:ascii="Times New Roman" w:hAnsi="Times New Roman" w:cs="Times New Roman"/>
          <w:i/>
          <w:iCs/>
          <w:noProof/>
        </w:rPr>
        <w:t>12</w:t>
      </w:r>
      <w:r w:rsidRPr="006A22BF">
        <w:rPr>
          <w:rFonts w:ascii="Times New Roman" w:hAnsi="Times New Roman" w:cs="Times New Roman"/>
          <w:noProof/>
        </w:rPr>
        <w:t>(3), 67–81.</w:t>
      </w:r>
    </w:p>
    <w:p w14:paraId="26E357AD"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Schmelzle, U., &amp; Tate, W. L. (</w:t>
      </w:r>
      <w:r>
        <w:rPr>
          <w:rFonts w:ascii="Times New Roman" w:hAnsi="Times New Roman" w:cs="Times New Roman"/>
          <w:noProof/>
        </w:rPr>
        <w:t>forthcoming</w:t>
      </w:r>
      <w:r w:rsidRPr="006A22BF">
        <w:rPr>
          <w:rFonts w:ascii="Times New Roman" w:hAnsi="Times New Roman" w:cs="Times New Roman"/>
          <w:noProof/>
        </w:rPr>
        <w:t xml:space="preserve">). Integrating External Knowledge: Building a Conceptual Framework of Innovation Sourcing. </w:t>
      </w:r>
      <w:r w:rsidRPr="006A22BF">
        <w:rPr>
          <w:rFonts w:ascii="Times New Roman" w:hAnsi="Times New Roman" w:cs="Times New Roman"/>
          <w:i/>
          <w:iCs/>
          <w:noProof/>
        </w:rPr>
        <w:t>Transportation Journal</w:t>
      </w:r>
      <w:r w:rsidRPr="006A22BF">
        <w:rPr>
          <w:rFonts w:ascii="Times New Roman" w:hAnsi="Times New Roman" w:cs="Times New Roman"/>
          <w:noProof/>
        </w:rPr>
        <w:t xml:space="preserve">, </w:t>
      </w:r>
      <w:r w:rsidRPr="006A22BF">
        <w:rPr>
          <w:rFonts w:ascii="Times New Roman" w:hAnsi="Times New Roman" w:cs="Times New Roman"/>
          <w:i/>
          <w:iCs/>
          <w:noProof/>
        </w:rPr>
        <w:t>56</w:t>
      </w:r>
      <w:r w:rsidRPr="006A22BF">
        <w:rPr>
          <w:rFonts w:ascii="Times New Roman" w:hAnsi="Times New Roman" w:cs="Times New Roman"/>
          <w:noProof/>
        </w:rPr>
        <w:t>(4).</w:t>
      </w:r>
    </w:p>
    <w:p w14:paraId="7AA73E04"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Schoenherr, T., &amp; Swink, M. (2012). Revisiting the arcs of integration: Cross-validations and extensions. </w:t>
      </w:r>
      <w:r w:rsidRPr="006A22BF">
        <w:rPr>
          <w:rFonts w:ascii="Times New Roman" w:hAnsi="Times New Roman" w:cs="Times New Roman"/>
          <w:i/>
          <w:iCs/>
          <w:noProof/>
        </w:rPr>
        <w:t>Journal of Operations Management</w:t>
      </w:r>
      <w:r w:rsidRPr="006A22BF">
        <w:rPr>
          <w:rFonts w:ascii="Times New Roman" w:hAnsi="Times New Roman" w:cs="Times New Roman"/>
          <w:noProof/>
        </w:rPr>
        <w:t xml:space="preserve">, </w:t>
      </w:r>
      <w:r w:rsidRPr="006A22BF">
        <w:rPr>
          <w:rFonts w:ascii="Times New Roman" w:hAnsi="Times New Roman" w:cs="Times New Roman"/>
          <w:i/>
          <w:iCs/>
          <w:noProof/>
        </w:rPr>
        <w:t>30</w:t>
      </w:r>
      <w:r w:rsidRPr="006A22BF">
        <w:rPr>
          <w:rFonts w:ascii="Times New Roman" w:hAnsi="Times New Roman" w:cs="Times New Roman"/>
          <w:noProof/>
        </w:rPr>
        <w:t xml:space="preserve">(1–2), 99–115. </w:t>
      </w:r>
      <w:r>
        <w:rPr>
          <w:rFonts w:ascii="Times New Roman" w:hAnsi="Times New Roman" w:cs="Times New Roman"/>
          <w:noProof/>
        </w:rPr>
        <w:t xml:space="preserve"> </w:t>
      </w:r>
    </w:p>
    <w:p w14:paraId="7D032C2A"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lastRenderedPageBreak/>
        <w:t xml:space="preserve">Seuring, S., &amp; Gold, S. (2012). Conducting content-analysis based literature reviews in supply chain management. </w:t>
      </w:r>
      <w:r w:rsidRPr="006A22BF">
        <w:rPr>
          <w:rFonts w:ascii="Times New Roman" w:hAnsi="Times New Roman" w:cs="Times New Roman"/>
          <w:i/>
          <w:iCs/>
          <w:noProof/>
        </w:rPr>
        <w:t>Supply Chain Management: An International Journal</w:t>
      </w:r>
      <w:r w:rsidRPr="006A22BF">
        <w:rPr>
          <w:rFonts w:ascii="Times New Roman" w:hAnsi="Times New Roman" w:cs="Times New Roman"/>
          <w:noProof/>
        </w:rPr>
        <w:t xml:space="preserve">, </w:t>
      </w:r>
      <w:r w:rsidRPr="006A22BF">
        <w:rPr>
          <w:rFonts w:ascii="Times New Roman" w:hAnsi="Times New Roman" w:cs="Times New Roman"/>
          <w:i/>
          <w:iCs/>
          <w:noProof/>
        </w:rPr>
        <w:t>17</w:t>
      </w:r>
      <w:r w:rsidRPr="006A22BF">
        <w:rPr>
          <w:rFonts w:ascii="Times New Roman" w:hAnsi="Times New Roman" w:cs="Times New Roman"/>
          <w:noProof/>
        </w:rPr>
        <w:t xml:space="preserve">(5), 544–555. </w:t>
      </w:r>
      <w:r>
        <w:rPr>
          <w:rFonts w:ascii="Times New Roman" w:hAnsi="Times New Roman" w:cs="Times New Roman"/>
          <w:noProof/>
        </w:rPr>
        <w:t xml:space="preserve"> </w:t>
      </w:r>
    </w:p>
    <w:p w14:paraId="7DC24C41"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Slowinski, G., Hummel, E., Gupta, A., &amp; Gilmont, E. R. (2009). Effective Practices For Sourcing Innovation. </w:t>
      </w:r>
      <w:r w:rsidRPr="006A22BF">
        <w:rPr>
          <w:rFonts w:ascii="Times New Roman" w:hAnsi="Times New Roman" w:cs="Times New Roman"/>
          <w:i/>
          <w:iCs/>
          <w:noProof/>
        </w:rPr>
        <w:t>Research Technology Management</w:t>
      </w:r>
      <w:r w:rsidRPr="006A22BF">
        <w:rPr>
          <w:rFonts w:ascii="Times New Roman" w:hAnsi="Times New Roman" w:cs="Times New Roman"/>
          <w:noProof/>
        </w:rPr>
        <w:t xml:space="preserve">, </w:t>
      </w:r>
      <w:r w:rsidRPr="006A22BF">
        <w:rPr>
          <w:rFonts w:ascii="Times New Roman" w:hAnsi="Times New Roman" w:cs="Times New Roman"/>
          <w:i/>
          <w:iCs/>
          <w:noProof/>
        </w:rPr>
        <w:t>52</w:t>
      </w:r>
      <w:r w:rsidRPr="006A22BF">
        <w:rPr>
          <w:rFonts w:ascii="Times New Roman" w:hAnsi="Times New Roman" w:cs="Times New Roman"/>
          <w:noProof/>
        </w:rPr>
        <w:t>(1), 27–34.</w:t>
      </w:r>
    </w:p>
    <w:p w14:paraId="21F44357"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Song, M., Kawakami, T., &amp; Stringfellow, A. (2010). A Cross-National Comparative Study of Senior Management Policy, Marketing–Manufacturing Involvement, and Innovation Performance. </w:t>
      </w:r>
      <w:r w:rsidRPr="006A22BF">
        <w:rPr>
          <w:rFonts w:ascii="Times New Roman" w:hAnsi="Times New Roman" w:cs="Times New Roman"/>
          <w:i/>
          <w:iCs/>
          <w:noProof/>
        </w:rPr>
        <w:t>Journal of Product Innovation Management</w:t>
      </w:r>
      <w:r w:rsidRPr="006A22BF">
        <w:rPr>
          <w:rFonts w:ascii="Times New Roman" w:hAnsi="Times New Roman" w:cs="Times New Roman"/>
          <w:noProof/>
        </w:rPr>
        <w:t xml:space="preserve">, </w:t>
      </w:r>
      <w:r w:rsidRPr="006A22BF">
        <w:rPr>
          <w:rFonts w:ascii="Times New Roman" w:hAnsi="Times New Roman" w:cs="Times New Roman"/>
          <w:i/>
          <w:iCs/>
          <w:noProof/>
        </w:rPr>
        <w:t>27</w:t>
      </w:r>
      <w:r w:rsidRPr="006A22BF">
        <w:rPr>
          <w:rFonts w:ascii="Times New Roman" w:hAnsi="Times New Roman" w:cs="Times New Roman"/>
          <w:noProof/>
        </w:rPr>
        <w:t>(2), 179–200.</w:t>
      </w:r>
    </w:p>
    <w:p w14:paraId="32C81F79"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Stock, G. N., &amp; Tatikonda, M. V. (2008). The joint influence of technology uncertainty and interorganizational interaction on external technology integration success. </w:t>
      </w:r>
      <w:r w:rsidRPr="006A22BF">
        <w:rPr>
          <w:rFonts w:ascii="Times New Roman" w:hAnsi="Times New Roman" w:cs="Times New Roman"/>
          <w:i/>
          <w:iCs/>
          <w:noProof/>
        </w:rPr>
        <w:t>Journal of Operations Management</w:t>
      </w:r>
      <w:r w:rsidRPr="006A22BF">
        <w:rPr>
          <w:rFonts w:ascii="Times New Roman" w:hAnsi="Times New Roman" w:cs="Times New Roman"/>
          <w:noProof/>
        </w:rPr>
        <w:t xml:space="preserve">, </w:t>
      </w:r>
      <w:r w:rsidRPr="006A22BF">
        <w:rPr>
          <w:rFonts w:ascii="Times New Roman" w:hAnsi="Times New Roman" w:cs="Times New Roman"/>
          <w:i/>
          <w:iCs/>
          <w:noProof/>
        </w:rPr>
        <w:t>26</w:t>
      </w:r>
      <w:r w:rsidRPr="006A22BF">
        <w:rPr>
          <w:rFonts w:ascii="Times New Roman" w:hAnsi="Times New Roman" w:cs="Times New Roman"/>
          <w:noProof/>
        </w:rPr>
        <w:t xml:space="preserve">(1), 65–80. </w:t>
      </w:r>
      <w:r>
        <w:rPr>
          <w:rFonts w:ascii="Times New Roman" w:hAnsi="Times New Roman" w:cs="Times New Roman"/>
          <w:noProof/>
        </w:rPr>
        <w:t xml:space="preserve"> </w:t>
      </w:r>
    </w:p>
    <w:p w14:paraId="426C27A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Tachizawa, E. M., &amp; Wong, C. Y. (2014). Towards a theory of multi-tier sustainable supply chains: a systematic literature review. </w:t>
      </w:r>
      <w:r w:rsidRPr="006A22BF">
        <w:rPr>
          <w:rFonts w:ascii="Times New Roman" w:hAnsi="Times New Roman" w:cs="Times New Roman"/>
          <w:i/>
          <w:iCs/>
          <w:noProof/>
        </w:rPr>
        <w:t>Supply Chain Management: An International Journal</w:t>
      </w:r>
      <w:r w:rsidRPr="006A22BF">
        <w:rPr>
          <w:rFonts w:ascii="Times New Roman" w:hAnsi="Times New Roman" w:cs="Times New Roman"/>
          <w:noProof/>
        </w:rPr>
        <w:t xml:space="preserve">, </w:t>
      </w:r>
      <w:r w:rsidRPr="006A22BF">
        <w:rPr>
          <w:rFonts w:ascii="Times New Roman" w:hAnsi="Times New Roman" w:cs="Times New Roman"/>
          <w:i/>
          <w:iCs/>
          <w:noProof/>
        </w:rPr>
        <w:t>19</w:t>
      </w:r>
      <w:r w:rsidRPr="006A22BF">
        <w:rPr>
          <w:rFonts w:ascii="Times New Roman" w:hAnsi="Times New Roman" w:cs="Times New Roman"/>
          <w:noProof/>
        </w:rPr>
        <w:t xml:space="preserve">(5/6), 643–663. </w:t>
      </w:r>
      <w:r>
        <w:rPr>
          <w:rFonts w:ascii="Times New Roman" w:hAnsi="Times New Roman" w:cs="Times New Roman"/>
          <w:noProof/>
        </w:rPr>
        <w:t xml:space="preserve"> </w:t>
      </w:r>
    </w:p>
    <w:p w14:paraId="4A39B1BE"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Teece, D. J. (2007). Explicating Dynamic Capabilities: The Nature and Microfoundations of (Sustainable) Enterprise Performance. </w:t>
      </w:r>
      <w:r w:rsidRPr="006A22BF">
        <w:rPr>
          <w:rFonts w:ascii="Times New Roman" w:hAnsi="Times New Roman" w:cs="Times New Roman"/>
          <w:i/>
          <w:iCs/>
          <w:noProof/>
        </w:rPr>
        <w:t>Strategic Management Journal</w:t>
      </w:r>
      <w:r w:rsidRPr="006A22BF">
        <w:rPr>
          <w:rFonts w:ascii="Times New Roman" w:hAnsi="Times New Roman" w:cs="Times New Roman"/>
          <w:noProof/>
        </w:rPr>
        <w:t xml:space="preserve">, </w:t>
      </w:r>
      <w:r w:rsidRPr="006A22BF">
        <w:rPr>
          <w:rFonts w:ascii="Times New Roman" w:hAnsi="Times New Roman" w:cs="Times New Roman"/>
          <w:i/>
          <w:iCs/>
          <w:noProof/>
        </w:rPr>
        <w:t>28</w:t>
      </w:r>
      <w:r w:rsidRPr="006A22BF">
        <w:rPr>
          <w:rFonts w:ascii="Times New Roman" w:hAnsi="Times New Roman" w:cs="Times New Roman"/>
          <w:noProof/>
        </w:rPr>
        <w:t xml:space="preserve">, 1319–1350. </w:t>
      </w:r>
      <w:r>
        <w:rPr>
          <w:rFonts w:ascii="Times New Roman" w:hAnsi="Times New Roman" w:cs="Times New Roman"/>
          <w:noProof/>
        </w:rPr>
        <w:t xml:space="preserve"> </w:t>
      </w:r>
    </w:p>
    <w:p w14:paraId="2264A6D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Tether, B. S., &amp; Tajar, A. (2008). Beyond industry-university links: Sourcing knowledge for innovation from consultants, private research organisations and the public science-base. </w:t>
      </w:r>
      <w:r w:rsidRPr="006A22BF">
        <w:rPr>
          <w:rFonts w:ascii="Times New Roman" w:hAnsi="Times New Roman" w:cs="Times New Roman"/>
          <w:i/>
          <w:iCs/>
          <w:noProof/>
        </w:rPr>
        <w:t>Research Policy</w:t>
      </w:r>
      <w:r w:rsidRPr="006A22BF">
        <w:rPr>
          <w:rFonts w:ascii="Times New Roman" w:hAnsi="Times New Roman" w:cs="Times New Roman"/>
          <w:noProof/>
        </w:rPr>
        <w:t xml:space="preserve">, </w:t>
      </w:r>
      <w:r w:rsidRPr="006A22BF">
        <w:rPr>
          <w:rFonts w:ascii="Times New Roman" w:hAnsi="Times New Roman" w:cs="Times New Roman"/>
          <w:i/>
          <w:iCs/>
          <w:noProof/>
        </w:rPr>
        <w:t>37</w:t>
      </w:r>
      <w:r w:rsidRPr="006A22BF">
        <w:rPr>
          <w:rFonts w:ascii="Times New Roman" w:hAnsi="Times New Roman" w:cs="Times New Roman"/>
          <w:noProof/>
        </w:rPr>
        <w:t xml:space="preserve">(6–7), 1079–1095. </w:t>
      </w:r>
      <w:r>
        <w:rPr>
          <w:rFonts w:ascii="Times New Roman" w:hAnsi="Times New Roman" w:cs="Times New Roman"/>
          <w:noProof/>
        </w:rPr>
        <w:t xml:space="preserve"> </w:t>
      </w:r>
    </w:p>
    <w:p w14:paraId="0A6106EF"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Tsai, K., &amp; Wang, J. (2009). External technology sourcing and innovation performance in LMT sectors: An analysis based on the Taiwanese Technological Innovation Survey. </w:t>
      </w:r>
      <w:r w:rsidRPr="006A22BF">
        <w:rPr>
          <w:rFonts w:ascii="Times New Roman" w:hAnsi="Times New Roman" w:cs="Times New Roman"/>
          <w:i/>
          <w:iCs/>
          <w:noProof/>
        </w:rPr>
        <w:t>Research Policy</w:t>
      </w:r>
      <w:r w:rsidRPr="006A22BF">
        <w:rPr>
          <w:rFonts w:ascii="Times New Roman" w:hAnsi="Times New Roman" w:cs="Times New Roman"/>
          <w:noProof/>
        </w:rPr>
        <w:t xml:space="preserve">, </w:t>
      </w:r>
      <w:r w:rsidRPr="006A22BF">
        <w:rPr>
          <w:rFonts w:ascii="Times New Roman" w:hAnsi="Times New Roman" w:cs="Times New Roman"/>
          <w:i/>
          <w:iCs/>
          <w:noProof/>
        </w:rPr>
        <w:t>38</w:t>
      </w:r>
      <w:r w:rsidRPr="006A22BF">
        <w:rPr>
          <w:rFonts w:ascii="Times New Roman" w:hAnsi="Times New Roman" w:cs="Times New Roman"/>
          <w:noProof/>
        </w:rPr>
        <w:t>, 518–526. http://doi.org/10.1016/j.respol.2008.10.007</w:t>
      </w:r>
    </w:p>
    <w:p w14:paraId="4753B23A"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Venkataraman, N., &amp; Grant, J. H. (1986). Construct measurement in organizational strategy research: A critique and proposal. </w:t>
      </w:r>
      <w:r w:rsidRPr="006A22BF">
        <w:rPr>
          <w:rFonts w:ascii="Times New Roman" w:hAnsi="Times New Roman" w:cs="Times New Roman"/>
          <w:i/>
          <w:iCs/>
          <w:noProof/>
        </w:rPr>
        <w:t>Academy of Management Review</w:t>
      </w:r>
      <w:r w:rsidRPr="006A22BF">
        <w:rPr>
          <w:rFonts w:ascii="Times New Roman" w:hAnsi="Times New Roman" w:cs="Times New Roman"/>
          <w:noProof/>
        </w:rPr>
        <w:t xml:space="preserve">, </w:t>
      </w:r>
      <w:r w:rsidRPr="006A22BF">
        <w:rPr>
          <w:rFonts w:ascii="Times New Roman" w:hAnsi="Times New Roman" w:cs="Times New Roman"/>
          <w:i/>
          <w:iCs/>
          <w:noProof/>
        </w:rPr>
        <w:t>11</w:t>
      </w:r>
      <w:r w:rsidRPr="006A22BF">
        <w:rPr>
          <w:rFonts w:ascii="Times New Roman" w:hAnsi="Times New Roman" w:cs="Times New Roman"/>
          <w:noProof/>
        </w:rPr>
        <w:t>(1), 71–87.</w:t>
      </w:r>
    </w:p>
    <w:p w14:paraId="70E925C5"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Vrande, V. Van De, Lemmens, C., &amp; Vanhaverbeke, W. (2006). Choosing governance modes for external technology sourcing. </w:t>
      </w:r>
      <w:r w:rsidRPr="006A22BF">
        <w:rPr>
          <w:rFonts w:ascii="Times New Roman" w:hAnsi="Times New Roman" w:cs="Times New Roman"/>
          <w:i/>
          <w:iCs/>
          <w:noProof/>
        </w:rPr>
        <w:t>R&amp;D Management</w:t>
      </w:r>
      <w:r w:rsidRPr="006A22BF">
        <w:rPr>
          <w:rFonts w:ascii="Times New Roman" w:hAnsi="Times New Roman" w:cs="Times New Roman"/>
          <w:noProof/>
        </w:rPr>
        <w:t xml:space="preserve">, </w:t>
      </w:r>
      <w:r w:rsidRPr="006A22BF">
        <w:rPr>
          <w:rFonts w:ascii="Times New Roman" w:hAnsi="Times New Roman" w:cs="Times New Roman"/>
          <w:i/>
          <w:iCs/>
          <w:noProof/>
        </w:rPr>
        <w:t>36</w:t>
      </w:r>
      <w:r w:rsidRPr="006A22BF">
        <w:rPr>
          <w:rFonts w:ascii="Times New Roman" w:hAnsi="Times New Roman" w:cs="Times New Roman"/>
          <w:noProof/>
        </w:rPr>
        <w:t>(3), 347–363.</w:t>
      </w:r>
    </w:p>
    <w:p w14:paraId="3B5AFA71"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Wagner, S. M. (2010). Supplier traits for better customer firm innovation performance. </w:t>
      </w:r>
      <w:r w:rsidRPr="006A22BF">
        <w:rPr>
          <w:rFonts w:ascii="Times New Roman" w:hAnsi="Times New Roman" w:cs="Times New Roman"/>
          <w:i/>
          <w:iCs/>
          <w:noProof/>
        </w:rPr>
        <w:t>Industrial Marketing Management</w:t>
      </w:r>
      <w:r w:rsidRPr="006A22BF">
        <w:rPr>
          <w:rFonts w:ascii="Times New Roman" w:hAnsi="Times New Roman" w:cs="Times New Roman"/>
          <w:noProof/>
        </w:rPr>
        <w:t xml:space="preserve">, </w:t>
      </w:r>
      <w:r w:rsidRPr="006A22BF">
        <w:rPr>
          <w:rFonts w:ascii="Times New Roman" w:hAnsi="Times New Roman" w:cs="Times New Roman"/>
          <w:i/>
          <w:iCs/>
          <w:noProof/>
        </w:rPr>
        <w:t>39</w:t>
      </w:r>
      <w:r w:rsidRPr="006A22BF">
        <w:rPr>
          <w:rFonts w:ascii="Times New Roman" w:hAnsi="Times New Roman" w:cs="Times New Roman"/>
          <w:noProof/>
        </w:rPr>
        <w:t xml:space="preserve">(7), 1139–1149. </w:t>
      </w:r>
      <w:r>
        <w:rPr>
          <w:rFonts w:ascii="Times New Roman" w:hAnsi="Times New Roman" w:cs="Times New Roman"/>
          <w:noProof/>
        </w:rPr>
        <w:t xml:space="preserve"> </w:t>
      </w:r>
    </w:p>
    <w:p w14:paraId="2C468EE7"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Wang, F., Chen, J., Wang, Y., Lutao, N., &amp; Vanhaverbeke, W. (2014). The effect of R&amp;D novelty and openness decision on firms’ catch-up performance: Empirical evidence from China. </w:t>
      </w:r>
      <w:r w:rsidRPr="006A22BF">
        <w:rPr>
          <w:rFonts w:ascii="Times New Roman" w:hAnsi="Times New Roman" w:cs="Times New Roman"/>
          <w:i/>
          <w:iCs/>
          <w:noProof/>
        </w:rPr>
        <w:t>Technovation</w:t>
      </w:r>
      <w:r w:rsidRPr="006A22BF">
        <w:rPr>
          <w:rFonts w:ascii="Times New Roman" w:hAnsi="Times New Roman" w:cs="Times New Roman"/>
          <w:noProof/>
        </w:rPr>
        <w:t xml:space="preserve">, </w:t>
      </w:r>
      <w:r w:rsidRPr="006A22BF">
        <w:rPr>
          <w:rFonts w:ascii="Times New Roman" w:hAnsi="Times New Roman" w:cs="Times New Roman"/>
          <w:i/>
          <w:iCs/>
          <w:noProof/>
        </w:rPr>
        <w:t>34</w:t>
      </w:r>
      <w:r w:rsidRPr="006A22BF">
        <w:rPr>
          <w:rFonts w:ascii="Times New Roman" w:hAnsi="Times New Roman" w:cs="Times New Roman"/>
          <w:noProof/>
        </w:rPr>
        <w:t xml:space="preserve">(1), 21–30. </w:t>
      </w:r>
      <w:r>
        <w:rPr>
          <w:rFonts w:ascii="Times New Roman" w:hAnsi="Times New Roman" w:cs="Times New Roman"/>
          <w:noProof/>
        </w:rPr>
        <w:t xml:space="preserve"> </w:t>
      </w:r>
    </w:p>
    <w:p w14:paraId="29E50332"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Wowak, K. D., Craighead, C. W., Ketchen, D. J., &amp; Hult, G. T. M. (2016). Toward a “theoretical toolbox” for the supplier-enabled fuzzy front end of the new product development process. </w:t>
      </w:r>
      <w:r w:rsidRPr="006A22BF">
        <w:rPr>
          <w:rFonts w:ascii="Times New Roman" w:hAnsi="Times New Roman" w:cs="Times New Roman"/>
          <w:i/>
          <w:iCs/>
          <w:noProof/>
        </w:rPr>
        <w:t>Journal of Supply Chain Management</w:t>
      </w:r>
      <w:r w:rsidRPr="006A22BF">
        <w:rPr>
          <w:rFonts w:ascii="Times New Roman" w:hAnsi="Times New Roman" w:cs="Times New Roman"/>
          <w:noProof/>
        </w:rPr>
        <w:t xml:space="preserve">, </w:t>
      </w:r>
      <w:r w:rsidRPr="006A22BF">
        <w:rPr>
          <w:rFonts w:ascii="Times New Roman" w:hAnsi="Times New Roman" w:cs="Times New Roman"/>
          <w:i/>
          <w:iCs/>
          <w:noProof/>
        </w:rPr>
        <w:t>52</w:t>
      </w:r>
      <w:r w:rsidRPr="006A22BF">
        <w:rPr>
          <w:rFonts w:ascii="Times New Roman" w:hAnsi="Times New Roman" w:cs="Times New Roman"/>
          <w:noProof/>
        </w:rPr>
        <w:t>(1), 66–81.</w:t>
      </w:r>
    </w:p>
    <w:p w14:paraId="51B84F62"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Yuen, K. F., &amp; Thai, V. V. (2016). The Relationship between Supply Chain Integration and Operational Performances: A Study of Priorities and Synergies. </w:t>
      </w:r>
      <w:r w:rsidRPr="006A22BF">
        <w:rPr>
          <w:rFonts w:ascii="Times New Roman" w:hAnsi="Times New Roman" w:cs="Times New Roman"/>
          <w:i/>
          <w:iCs/>
          <w:noProof/>
        </w:rPr>
        <w:t>Transportation Journal</w:t>
      </w:r>
      <w:r w:rsidRPr="006A22BF">
        <w:rPr>
          <w:rFonts w:ascii="Times New Roman" w:hAnsi="Times New Roman" w:cs="Times New Roman"/>
          <w:noProof/>
        </w:rPr>
        <w:t xml:space="preserve">, </w:t>
      </w:r>
      <w:r w:rsidRPr="006A22BF">
        <w:rPr>
          <w:rFonts w:ascii="Times New Roman" w:hAnsi="Times New Roman" w:cs="Times New Roman"/>
          <w:i/>
          <w:iCs/>
          <w:noProof/>
        </w:rPr>
        <w:t>55</w:t>
      </w:r>
      <w:r w:rsidRPr="006A22BF">
        <w:rPr>
          <w:rFonts w:ascii="Times New Roman" w:hAnsi="Times New Roman" w:cs="Times New Roman"/>
          <w:noProof/>
        </w:rPr>
        <w:t>(1), 31–50.</w:t>
      </w:r>
    </w:p>
    <w:p w14:paraId="26CA419D"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Zahra, S. A., &amp; George, G. (2002). Absorptive Capacity: A Review , Reconceptualization, and Extension. </w:t>
      </w:r>
      <w:r w:rsidRPr="006A22BF">
        <w:rPr>
          <w:rFonts w:ascii="Times New Roman" w:hAnsi="Times New Roman" w:cs="Times New Roman"/>
          <w:i/>
          <w:iCs/>
          <w:noProof/>
        </w:rPr>
        <w:t>Academy of Management Review</w:t>
      </w:r>
      <w:r w:rsidRPr="006A22BF">
        <w:rPr>
          <w:rFonts w:ascii="Times New Roman" w:hAnsi="Times New Roman" w:cs="Times New Roman"/>
          <w:noProof/>
        </w:rPr>
        <w:t xml:space="preserve">, </w:t>
      </w:r>
      <w:r w:rsidRPr="006A22BF">
        <w:rPr>
          <w:rFonts w:ascii="Times New Roman" w:hAnsi="Times New Roman" w:cs="Times New Roman"/>
          <w:i/>
          <w:iCs/>
          <w:noProof/>
        </w:rPr>
        <w:t>27</w:t>
      </w:r>
      <w:r w:rsidRPr="006A22BF">
        <w:rPr>
          <w:rFonts w:ascii="Times New Roman" w:hAnsi="Times New Roman" w:cs="Times New Roman"/>
          <w:noProof/>
        </w:rPr>
        <w:t>(2), 185–203.</w:t>
      </w:r>
    </w:p>
    <w:p w14:paraId="3843E3CD" w14:textId="77777777" w:rsidR="00314CF4" w:rsidRPr="006A22BF" w:rsidRDefault="00314CF4" w:rsidP="00314CF4">
      <w:pPr>
        <w:widowControl w:val="0"/>
        <w:autoSpaceDE w:val="0"/>
        <w:autoSpaceDN w:val="0"/>
        <w:adjustRightInd w:val="0"/>
        <w:ind w:left="480" w:hanging="480"/>
        <w:rPr>
          <w:rFonts w:ascii="Times New Roman" w:hAnsi="Times New Roman" w:cs="Times New Roman"/>
          <w:noProof/>
        </w:rPr>
      </w:pPr>
      <w:r w:rsidRPr="006A22BF">
        <w:rPr>
          <w:rFonts w:ascii="Times New Roman" w:hAnsi="Times New Roman" w:cs="Times New Roman"/>
          <w:noProof/>
        </w:rPr>
        <w:t xml:space="preserve">Zahra, S. A., &amp; Nielsen, A. P. (2002). Sources of Capabilities, Integration and Technology Commercialization. </w:t>
      </w:r>
      <w:r w:rsidRPr="006A22BF">
        <w:rPr>
          <w:rFonts w:ascii="Times New Roman" w:hAnsi="Times New Roman" w:cs="Times New Roman"/>
          <w:i/>
          <w:iCs/>
          <w:noProof/>
        </w:rPr>
        <w:t>Strategic Management Journal</w:t>
      </w:r>
      <w:r w:rsidRPr="006A22BF">
        <w:rPr>
          <w:rFonts w:ascii="Times New Roman" w:hAnsi="Times New Roman" w:cs="Times New Roman"/>
          <w:noProof/>
        </w:rPr>
        <w:t xml:space="preserve">, </w:t>
      </w:r>
      <w:r w:rsidRPr="006A22BF">
        <w:rPr>
          <w:rFonts w:ascii="Times New Roman" w:hAnsi="Times New Roman" w:cs="Times New Roman"/>
          <w:i/>
          <w:iCs/>
          <w:noProof/>
        </w:rPr>
        <w:t>23</w:t>
      </w:r>
      <w:r w:rsidRPr="006A22BF">
        <w:rPr>
          <w:rFonts w:ascii="Times New Roman" w:hAnsi="Times New Roman" w:cs="Times New Roman"/>
          <w:noProof/>
        </w:rPr>
        <w:t xml:space="preserve">, 377–398. </w:t>
      </w:r>
      <w:r>
        <w:rPr>
          <w:rFonts w:ascii="Times New Roman" w:hAnsi="Times New Roman" w:cs="Times New Roman"/>
          <w:noProof/>
        </w:rPr>
        <w:t xml:space="preserve"> </w:t>
      </w:r>
    </w:p>
    <w:p w14:paraId="1F86F90E" w14:textId="77777777" w:rsidR="00314CF4" w:rsidRDefault="00314CF4" w:rsidP="00314CF4">
      <w:r>
        <w:rPr>
          <w:rFonts w:ascii="Times New Roman" w:hAnsi="Times New Roman" w:cs="Times New Roman"/>
        </w:rPr>
        <w:fldChar w:fldCharType="end"/>
      </w:r>
    </w:p>
    <w:p w14:paraId="5C0F2D8C" w14:textId="77777777" w:rsidR="00314CF4" w:rsidRDefault="00314CF4" w:rsidP="00656DD0">
      <w:pPr>
        <w:widowControl w:val="0"/>
        <w:autoSpaceDE w:val="0"/>
        <w:autoSpaceDN w:val="0"/>
        <w:adjustRightInd w:val="0"/>
        <w:ind w:left="480" w:hanging="480"/>
        <w:rPr>
          <w:rFonts w:ascii="Times New Roman" w:hAnsi="Times New Roman" w:cs="Times New Roman"/>
        </w:rPr>
      </w:pPr>
    </w:p>
    <w:p w14:paraId="0C68CE0E" w14:textId="77777777" w:rsidR="00314CF4" w:rsidRDefault="00314CF4" w:rsidP="00656DD0">
      <w:pPr>
        <w:widowControl w:val="0"/>
        <w:autoSpaceDE w:val="0"/>
        <w:autoSpaceDN w:val="0"/>
        <w:adjustRightInd w:val="0"/>
        <w:ind w:left="480" w:hanging="480"/>
        <w:rPr>
          <w:rFonts w:ascii="Times New Roman" w:hAnsi="Times New Roman" w:cs="Times New Roman"/>
        </w:rPr>
      </w:pPr>
    </w:p>
    <w:p w14:paraId="51DDB332" w14:textId="4D5336C4" w:rsidR="009A0909" w:rsidRDefault="009A0909" w:rsidP="00656DD0">
      <w:pPr>
        <w:widowControl w:val="0"/>
        <w:autoSpaceDE w:val="0"/>
        <w:autoSpaceDN w:val="0"/>
        <w:adjustRightInd w:val="0"/>
        <w:ind w:left="480" w:hanging="480"/>
        <w:rPr>
          <w:rFonts w:ascii="Times New Roman" w:hAnsi="Times New Roman" w:cs="Times New Roman"/>
        </w:rPr>
      </w:pPr>
      <w:r>
        <w:rPr>
          <w:rFonts w:ascii="Times New Roman" w:hAnsi="Times New Roman" w:cs="Times New Roman"/>
        </w:rPr>
        <w:br w:type="page"/>
      </w:r>
    </w:p>
    <w:p w14:paraId="3308A5CC" w14:textId="7A967A0E" w:rsidR="00BF6D7C" w:rsidRPr="00BF6D7C" w:rsidRDefault="00BF6D7C" w:rsidP="001A550A">
      <w:pPr>
        <w:pStyle w:val="Heading2"/>
      </w:pPr>
      <w:bookmarkStart w:id="180" w:name="_Toc357382427"/>
      <w:bookmarkStart w:id="181" w:name="_Toc357383273"/>
      <w:bookmarkStart w:id="182" w:name="_Toc358326755"/>
      <w:r w:rsidRPr="00BF6D7C">
        <w:lastRenderedPageBreak/>
        <w:t>C</w:t>
      </w:r>
      <w:r>
        <w:t>hapter Three</w:t>
      </w:r>
      <w:r w:rsidRPr="00BF6D7C">
        <w:t>: R</w:t>
      </w:r>
      <w:r>
        <w:t>eferences</w:t>
      </w:r>
      <w:bookmarkEnd w:id="180"/>
      <w:bookmarkEnd w:id="181"/>
      <w:bookmarkEnd w:id="182"/>
    </w:p>
    <w:p w14:paraId="181F6AE4" w14:textId="0D145F3A" w:rsidR="00656DD0" w:rsidRPr="00656DD0" w:rsidRDefault="000E6ECE" w:rsidP="00656DD0">
      <w:pPr>
        <w:widowControl w:val="0"/>
        <w:autoSpaceDE w:val="0"/>
        <w:autoSpaceDN w:val="0"/>
        <w:adjustRightInd w:val="0"/>
        <w:ind w:left="480" w:hanging="480"/>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656DD0" w:rsidRPr="00656DD0">
        <w:rPr>
          <w:rFonts w:ascii="Times New Roman" w:hAnsi="Times New Roman" w:cs="Times New Roman"/>
          <w:noProof/>
        </w:rPr>
        <w:t xml:space="preserve">Allred, B. B., &amp; Swan, K. S. (2014). Process Technology Sourcing and the Innovation Context. </w:t>
      </w:r>
      <w:r w:rsidR="00656DD0" w:rsidRPr="00656DD0">
        <w:rPr>
          <w:rFonts w:ascii="Times New Roman" w:hAnsi="Times New Roman" w:cs="Times New Roman"/>
          <w:i/>
          <w:iCs/>
          <w:noProof/>
        </w:rPr>
        <w:t>Journal of Product Innovation Management</w:t>
      </w:r>
      <w:r w:rsidR="00656DD0" w:rsidRPr="00656DD0">
        <w:rPr>
          <w:rFonts w:ascii="Times New Roman" w:hAnsi="Times New Roman" w:cs="Times New Roman"/>
          <w:noProof/>
        </w:rPr>
        <w:t xml:space="preserve">, </w:t>
      </w:r>
      <w:r w:rsidR="00656DD0" w:rsidRPr="00656DD0">
        <w:rPr>
          <w:rFonts w:ascii="Times New Roman" w:hAnsi="Times New Roman" w:cs="Times New Roman"/>
          <w:i/>
          <w:iCs/>
          <w:noProof/>
        </w:rPr>
        <w:t>31</w:t>
      </w:r>
      <w:r w:rsidR="00656DD0" w:rsidRPr="00656DD0">
        <w:rPr>
          <w:rFonts w:ascii="Times New Roman" w:hAnsi="Times New Roman" w:cs="Times New Roman"/>
          <w:noProof/>
        </w:rPr>
        <w:t xml:space="preserve">(6), 1146–1166. </w:t>
      </w:r>
      <w:r w:rsidR="003E3C56">
        <w:rPr>
          <w:rFonts w:ascii="Times New Roman" w:hAnsi="Times New Roman" w:cs="Times New Roman"/>
          <w:noProof/>
        </w:rPr>
        <w:t xml:space="preserve"> </w:t>
      </w:r>
    </w:p>
    <w:p w14:paraId="08546B3F"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Amit, R., &amp; Schoemaker, P. J. H. (1993). Strategic Assets and Organizational Rent.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14</w:t>
      </w:r>
      <w:r w:rsidRPr="00656DD0">
        <w:rPr>
          <w:rFonts w:ascii="Times New Roman" w:hAnsi="Times New Roman" w:cs="Times New Roman"/>
          <w:noProof/>
        </w:rPr>
        <w:t>(1), 33–46.</w:t>
      </w:r>
    </w:p>
    <w:p w14:paraId="29A30F21" w14:textId="4D87C70D"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Baert, C., Meuleman, M., Debruyne, M., &amp; Wright, M. (2016). PORTFOLIO ENTREPRENEURSHIP AND RESOURCE ORCHESTRATION. </w:t>
      </w:r>
      <w:r w:rsidRPr="00656DD0">
        <w:rPr>
          <w:rFonts w:ascii="Times New Roman" w:hAnsi="Times New Roman" w:cs="Times New Roman"/>
          <w:i/>
          <w:iCs/>
          <w:noProof/>
        </w:rPr>
        <w:t>Strategic Entrepreneurship Journal</w:t>
      </w:r>
      <w:r w:rsidRPr="00656DD0">
        <w:rPr>
          <w:rFonts w:ascii="Times New Roman" w:hAnsi="Times New Roman" w:cs="Times New Roman"/>
          <w:noProof/>
        </w:rPr>
        <w:t xml:space="preserve">, </w:t>
      </w:r>
      <w:r w:rsidRPr="00656DD0">
        <w:rPr>
          <w:rFonts w:ascii="Times New Roman" w:hAnsi="Times New Roman" w:cs="Times New Roman"/>
          <w:i/>
          <w:iCs/>
          <w:noProof/>
        </w:rPr>
        <w:t>10</w:t>
      </w:r>
      <w:r w:rsidRPr="00656DD0">
        <w:rPr>
          <w:rFonts w:ascii="Times New Roman" w:hAnsi="Times New Roman" w:cs="Times New Roman"/>
          <w:noProof/>
        </w:rPr>
        <w:t xml:space="preserve">, 346–370. </w:t>
      </w:r>
      <w:r w:rsidR="003E3C56">
        <w:rPr>
          <w:rFonts w:ascii="Times New Roman" w:hAnsi="Times New Roman" w:cs="Times New Roman"/>
          <w:noProof/>
        </w:rPr>
        <w:t xml:space="preserve"> </w:t>
      </w:r>
    </w:p>
    <w:p w14:paraId="6F882426"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Barney, J. B. (1986). Strategic Factor Markets: Expectations, Luck , and Business Strategy. </w:t>
      </w:r>
      <w:r w:rsidRPr="00656DD0">
        <w:rPr>
          <w:rFonts w:ascii="Times New Roman" w:hAnsi="Times New Roman" w:cs="Times New Roman"/>
          <w:i/>
          <w:iCs/>
          <w:noProof/>
        </w:rPr>
        <w:t>Management Science</w:t>
      </w:r>
      <w:r w:rsidRPr="00656DD0">
        <w:rPr>
          <w:rFonts w:ascii="Times New Roman" w:hAnsi="Times New Roman" w:cs="Times New Roman"/>
          <w:noProof/>
        </w:rPr>
        <w:t xml:space="preserve">, </w:t>
      </w:r>
      <w:r w:rsidRPr="00656DD0">
        <w:rPr>
          <w:rFonts w:ascii="Times New Roman" w:hAnsi="Times New Roman" w:cs="Times New Roman"/>
          <w:i/>
          <w:iCs/>
          <w:noProof/>
        </w:rPr>
        <w:t>32</w:t>
      </w:r>
      <w:r w:rsidRPr="00656DD0">
        <w:rPr>
          <w:rFonts w:ascii="Times New Roman" w:hAnsi="Times New Roman" w:cs="Times New Roman"/>
          <w:noProof/>
        </w:rPr>
        <w:t>(10), 1231–1241.</w:t>
      </w:r>
    </w:p>
    <w:p w14:paraId="54DFCABA" w14:textId="379E8901"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Barney, J. B. (1991). Firm Resources and Sustained Competitive Advantage. </w:t>
      </w:r>
      <w:r w:rsidRPr="00656DD0">
        <w:rPr>
          <w:rFonts w:ascii="Times New Roman" w:hAnsi="Times New Roman" w:cs="Times New Roman"/>
          <w:i/>
          <w:iCs/>
          <w:noProof/>
        </w:rPr>
        <w:t>Journal of Management</w:t>
      </w:r>
      <w:r w:rsidRPr="00656DD0">
        <w:rPr>
          <w:rFonts w:ascii="Times New Roman" w:hAnsi="Times New Roman" w:cs="Times New Roman"/>
          <w:noProof/>
        </w:rPr>
        <w:t xml:space="preserve">, </w:t>
      </w:r>
      <w:r w:rsidRPr="00656DD0">
        <w:rPr>
          <w:rFonts w:ascii="Times New Roman" w:hAnsi="Times New Roman" w:cs="Times New Roman"/>
          <w:i/>
          <w:iCs/>
          <w:noProof/>
        </w:rPr>
        <w:t>17</w:t>
      </w:r>
      <w:r w:rsidRPr="00656DD0">
        <w:rPr>
          <w:rFonts w:ascii="Times New Roman" w:hAnsi="Times New Roman" w:cs="Times New Roman"/>
          <w:noProof/>
        </w:rPr>
        <w:t>(1), 99–120. h</w:t>
      </w:r>
      <w:r w:rsidR="003E3C56">
        <w:rPr>
          <w:rFonts w:ascii="Times New Roman" w:hAnsi="Times New Roman" w:cs="Times New Roman"/>
          <w:noProof/>
        </w:rPr>
        <w:t xml:space="preserve"> </w:t>
      </w:r>
    </w:p>
    <w:p w14:paraId="28712467"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Barney, J. B., &amp; Arikan, A. M. (2001). The resource-based view: Origins and implications. In J. S. Hitt, Michael A, Freeman, R E, Harrison (Ed.), </w:t>
      </w:r>
      <w:r w:rsidRPr="00656DD0">
        <w:rPr>
          <w:rFonts w:ascii="Times New Roman" w:hAnsi="Times New Roman" w:cs="Times New Roman"/>
          <w:i/>
          <w:iCs/>
          <w:noProof/>
        </w:rPr>
        <w:t>Handbook of strategic management</w:t>
      </w:r>
      <w:r w:rsidRPr="00656DD0">
        <w:rPr>
          <w:rFonts w:ascii="Times New Roman" w:hAnsi="Times New Roman" w:cs="Times New Roman"/>
          <w:noProof/>
        </w:rPr>
        <w:t xml:space="preserve"> (Vol. 124188, pp. 124–188). Oxford: Blackwell.</w:t>
      </w:r>
    </w:p>
    <w:p w14:paraId="178E4D4D" w14:textId="4866C4D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Barney, J. B., Ketchen, D. J., &amp; Wright, M. (2011). The Future of Resource-Based Theory: Revitalization or Decline? </w:t>
      </w:r>
      <w:r w:rsidRPr="00656DD0">
        <w:rPr>
          <w:rFonts w:ascii="Times New Roman" w:hAnsi="Times New Roman" w:cs="Times New Roman"/>
          <w:i/>
          <w:iCs/>
          <w:noProof/>
        </w:rPr>
        <w:t>Journal of Management</w:t>
      </w:r>
      <w:r w:rsidRPr="00656DD0">
        <w:rPr>
          <w:rFonts w:ascii="Times New Roman" w:hAnsi="Times New Roman" w:cs="Times New Roman"/>
          <w:noProof/>
        </w:rPr>
        <w:t xml:space="preserve">, </w:t>
      </w:r>
      <w:r w:rsidRPr="00656DD0">
        <w:rPr>
          <w:rFonts w:ascii="Times New Roman" w:hAnsi="Times New Roman" w:cs="Times New Roman"/>
          <w:i/>
          <w:iCs/>
          <w:noProof/>
        </w:rPr>
        <w:t>37</w:t>
      </w:r>
      <w:r w:rsidRPr="00656DD0">
        <w:rPr>
          <w:rFonts w:ascii="Times New Roman" w:hAnsi="Times New Roman" w:cs="Times New Roman"/>
          <w:noProof/>
        </w:rPr>
        <w:t xml:space="preserve">(5), 1299–1315. </w:t>
      </w:r>
      <w:r w:rsidR="003E3C56">
        <w:rPr>
          <w:rFonts w:ascii="Times New Roman" w:hAnsi="Times New Roman" w:cs="Times New Roman"/>
          <w:noProof/>
        </w:rPr>
        <w:t xml:space="preserve"> </w:t>
      </w:r>
    </w:p>
    <w:p w14:paraId="49383A32" w14:textId="2057511F"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Braunscheidel, M. J., &amp; Suresh, N. C. (2009). The organizational antecedents of a firm’s supply chain agility for risk mitigation and response. </w:t>
      </w:r>
      <w:r w:rsidRPr="00656DD0">
        <w:rPr>
          <w:rFonts w:ascii="Times New Roman" w:hAnsi="Times New Roman" w:cs="Times New Roman"/>
          <w:i/>
          <w:iCs/>
          <w:noProof/>
        </w:rPr>
        <w:t>Journal of Operations Management</w:t>
      </w:r>
      <w:r w:rsidRPr="00656DD0">
        <w:rPr>
          <w:rFonts w:ascii="Times New Roman" w:hAnsi="Times New Roman" w:cs="Times New Roman"/>
          <w:noProof/>
        </w:rPr>
        <w:t xml:space="preserve">, </w:t>
      </w:r>
      <w:r w:rsidRPr="00656DD0">
        <w:rPr>
          <w:rFonts w:ascii="Times New Roman" w:hAnsi="Times New Roman" w:cs="Times New Roman"/>
          <w:i/>
          <w:iCs/>
          <w:noProof/>
        </w:rPr>
        <w:t>27</w:t>
      </w:r>
      <w:r w:rsidRPr="00656DD0">
        <w:rPr>
          <w:rFonts w:ascii="Times New Roman" w:hAnsi="Times New Roman" w:cs="Times New Roman"/>
          <w:noProof/>
        </w:rPr>
        <w:t xml:space="preserve">(2), 119–140. </w:t>
      </w:r>
      <w:r w:rsidR="003E3C56">
        <w:rPr>
          <w:rFonts w:ascii="Times New Roman" w:hAnsi="Times New Roman" w:cs="Times New Roman"/>
          <w:noProof/>
        </w:rPr>
        <w:t xml:space="preserve"> </w:t>
      </w:r>
    </w:p>
    <w:p w14:paraId="0D1D64FC"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Bruce, M., Daly, L., &amp; Kahn, K. B. (2007). Delineating Design Factors that Influence the Global Product Launch Process. </w:t>
      </w:r>
      <w:r w:rsidRPr="00656DD0">
        <w:rPr>
          <w:rFonts w:ascii="Times New Roman" w:hAnsi="Times New Roman" w:cs="Times New Roman"/>
          <w:i/>
          <w:iCs/>
          <w:noProof/>
        </w:rPr>
        <w:t>Journal of Product Innovation Management</w:t>
      </w:r>
      <w:r w:rsidRPr="00656DD0">
        <w:rPr>
          <w:rFonts w:ascii="Times New Roman" w:hAnsi="Times New Roman" w:cs="Times New Roman"/>
          <w:noProof/>
        </w:rPr>
        <w:t xml:space="preserve">, </w:t>
      </w:r>
      <w:r w:rsidRPr="00656DD0">
        <w:rPr>
          <w:rFonts w:ascii="Times New Roman" w:hAnsi="Times New Roman" w:cs="Times New Roman"/>
          <w:i/>
          <w:iCs/>
          <w:noProof/>
        </w:rPr>
        <w:t>24</w:t>
      </w:r>
      <w:r w:rsidRPr="00656DD0">
        <w:rPr>
          <w:rFonts w:ascii="Times New Roman" w:hAnsi="Times New Roman" w:cs="Times New Roman"/>
          <w:noProof/>
        </w:rPr>
        <w:t>, 456–470.</w:t>
      </w:r>
    </w:p>
    <w:p w14:paraId="3BB7E2B3"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Carter, C. R. (2011). A CALL FOR THEORY: THE MATURATION OF THE SUPPLY CHAIN MANAGEMENT DISCIPLINE. </w:t>
      </w:r>
      <w:r w:rsidRPr="00656DD0">
        <w:rPr>
          <w:rFonts w:ascii="Times New Roman" w:hAnsi="Times New Roman" w:cs="Times New Roman"/>
          <w:i/>
          <w:iCs/>
          <w:noProof/>
        </w:rPr>
        <w:t>Journal of 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47</w:t>
      </w:r>
      <w:r w:rsidRPr="00656DD0">
        <w:rPr>
          <w:rFonts w:ascii="Times New Roman" w:hAnsi="Times New Roman" w:cs="Times New Roman"/>
          <w:noProof/>
        </w:rPr>
        <w:t>(2), 3–7.</w:t>
      </w:r>
    </w:p>
    <w:p w14:paraId="1880CDFD" w14:textId="1B57D084"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Castellion, G., &amp; Markham, S. K. (2013). Perspective: New product failure rates: Influence of Argumentum ad populum and self-interest. </w:t>
      </w:r>
      <w:r w:rsidRPr="00656DD0">
        <w:rPr>
          <w:rFonts w:ascii="Times New Roman" w:hAnsi="Times New Roman" w:cs="Times New Roman"/>
          <w:i/>
          <w:iCs/>
          <w:noProof/>
        </w:rPr>
        <w:t>Journal of Product Innovation Management</w:t>
      </w:r>
      <w:r w:rsidRPr="00656DD0">
        <w:rPr>
          <w:rFonts w:ascii="Times New Roman" w:hAnsi="Times New Roman" w:cs="Times New Roman"/>
          <w:noProof/>
        </w:rPr>
        <w:t xml:space="preserve">, </w:t>
      </w:r>
      <w:r w:rsidRPr="00656DD0">
        <w:rPr>
          <w:rFonts w:ascii="Times New Roman" w:hAnsi="Times New Roman" w:cs="Times New Roman"/>
          <w:i/>
          <w:iCs/>
          <w:noProof/>
        </w:rPr>
        <w:t>30</w:t>
      </w:r>
      <w:r w:rsidRPr="00656DD0">
        <w:rPr>
          <w:rFonts w:ascii="Times New Roman" w:hAnsi="Times New Roman" w:cs="Times New Roman"/>
          <w:noProof/>
        </w:rPr>
        <w:t xml:space="preserve">(5), 976–979. </w:t>
      </w:r>
      <w:r w:rsidR="00CF4EC7">
        <w:rPr>
          <w:rFonts w:ascii="Times New Roman" w:hAnsi="Times New Roman" w:cs="Times New Roman"/>
          <w:noProof/>
        </w:rPr>
        <w:t xml:space="preserve"> </w:t>
      </w:r>
    </w:p>
    <w:p w14:paraId="206B1809" w14:textId="4657B97E"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Chen, J., Chen, Y., &amp; Vanhaverbeke, W. (2011). The influence of scope, depth, and orientation of external technology sources on the innovative performance of Chinese firms. </w:t>
      </w:r>
      <w:r w:rsidRPr="00656DD0">
        <w:rPr>
          <w:rFonts w:ascii="Times New Roman" w:hAnsi="Times New Roman" w:cs="Times New Roman"/>
          <w:i/>
          <w:iCs/>
          <w:noProof/>
        </w:rPr>
        <w:t>Technovation</w:t>
      </w:r>
      <w:r w:rsidRPr="00656DD0">
        <w:rPr>
          <w:rFonts w:ascii="Times New Roman" w:hAnsi="Times New Roman" w:cs="Times New Roman"/>
          <w:noProof/>
        </w:rPr>
        <w:t xml:space="preserve">, </w:t>
      </w:r>
      <w:r w:rsidRPr="00656DD0">
        <w:rPr>
          <w:rFonts w:ascii="Times New Roman" w:hAnsi="Times New Roman" w:cs="Times New Roman"/>
          <w:i/>
          <w:iCs/>
          <w:noProof/>
        </w:rPr>
        <w:t>31</w:t>
      </w:r>
      <w:r w:rsidRPr="00656DD0">
        <w:rPr>
          <w:rFonts w:ascii="Times New Roman" w:hAnsi="Times New Roman" w:cs="Times New Roman"/>
          <w:noProof/>
        </w:rPr>
        <w:t xml:space="preserve">(8), 362–373. </w:t>
      </w:r>
      <w:r w:rsidR="00CF4EC7">
        <w:rPr>
          <w:rFonts w:ascii="Times New Roman" w:hAnsi="Times New Roman" w:cs="Times New Roman"/>
          <w:noProof/>
        </w:rPr>
        <w:t xml:space="preserve"> </w:t>
      </w:r>
    </w:p>
    <w:p w14:paraId="4785E2CB"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Chesbrough, H. (2003). </w:t>
      </w:r>
      <w:r w:rsidRPr="00656DD0">
        <w:rPr>
          <w:rFonts w:ascii="Times New Roman" w:hAnsi="Times New Roman" w:cs="Times New Roman"/>
          <w:i/>
          <w:iCs/>
          <w:noProof/>
        </w:rPr>
        <w:t>Open Innovation: The New Imperative for Creating and Profiting from Technology</w:t>
      </w:r>
      <w:r w:rsidRPr="00656DD0">
        <w:rPr>
          <w:rFonts w:ascii="Times New Roman" w:hAnsi="Times New Roman" w:cs="Times New Roman"/>
          <w:noProof/>
        </w:rPr>
        <w:t>. Boston, MA: Harvard Business School Publication Corp.</w:t>
      </w:r>
    </w:p>
    <w:p w14:paraId="765A5132"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Choi, T. Y., &amp; Wacker, J. G. (2011). THEORY BUILDING IN THE OM / SCM FIELD: POINTING TO THE FUTURE BY LOOKING AT THE PAST. </w:t>
      </w:r>
      <w:r w:rsidRPr="00656DD0">
        <w:rPr>
          <w:rFonts w:ascii="Times New Roman" w:hAnsi="Times New Roman" w:cs="Times New Roman"/>
          <w:i/>
          <w:iCs/>
          <w:noProof/>
        </w:rPr>
        <w:t>Journal of 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47</w:t>
      </w:r>
      <w:r w:rsidRPr="00656DD0">
        <w:rPr>
          <w:rFonts w:ascii="Times New Roman" w:hAnsi="Times New Roman" w:cs="Times New Roman"/>
          <w:noProof/>
        </w:rPr>
        <w:t>(2), 8–11.</w:t>
      </w:r>
    </w:p>
    <w:p w14:paraId="01E9E800"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Conner, K. R., &amp; Prahalad, C. K. (1996). A Resource-Based Theory of the Firm: Knowledge versus Opportunism. </w:t>
      </w:r>
      <w:r w:rsidRPr="00656DD0">
        <w:rPr>
          <w:rFonts w:ascii="Times New Roman" w:hAnsi="Times New Roman" w:cs="Times New Roman"/>
          <w:i/>
          <w:iCs/>
          <w:noProof/>
        </w:rPr>
        <w:t>Organization Science</w:t>
      </w:r>
      <w:r w:rsidRPr="00656DD0">
        <w:rPr>
          <w:rFonts w:ascii="Times New Roman" w:hAnsi="Times New Roman" w:cs="Times New Roman"/>
          <w:noProof/>
        </w:rPr>
        <w:t xml:space="preserve">, </w:t>
      </w:r>
      <w:r w:rsidRPr="00656DD0">
        <w:rPr>
          <w:rFonts w:ascii="Times New Roman" w:hAnsi="Times New Roman" w:cs="Times New Roman"/>
          <w:i/>
          <w:iCs/>
          <w:noProof/>
        </w:rPr>
        <w:t>7</w:t>
      </w:r>
      <w:r w:rsidRPr="00656DD0">
        <w:rPr>
          <w:rFonts w:ascii="Times New Roman" w:hAnsi="Times New Roman" w:cs="Times New Roman"/>
          <w:noProof/>
        </w:rPr>
        <w:t>(5), 477–501.</w:t>
      </w:r>
    </w:p>
    <w:p w14:paraId="0575ECCB"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Corbin, J. M., &amp; Strauss, A. L. (2008). </w:t>
      </w:r>
      <w:r w:rsidRPr="00656DD0">
        <w:rPr>
          <w:rFonts w:ascii="Times New Roman" w:hAnsi="Times New Roman" w:cs="Times New Roman"/>
          <w:i/>
          <w:iCs/>
          <w:noProof/>
        </w:rPr>
        <w:t>Basics of Qualitative Research</w:t>
      </w:r>
      <w:r w:rsidRPr="00656DD0">
        <w:rPr>
          <w:rFonts w:ascii="Times New Roman" w:hAnsi="Times New Roman" w:cs="Times New Roman"/>
          <w:noProof/>
        </w:rPr>
        <w:t xml:space="preserve"> (3rd ed.). Thousand Oaks, CA: Sage Publications.</w:t>
      </w:r>
    </w:p>
    <w:p w14:paraId="1809E258"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Craighead, C. W., Ketchen, J. D. J., &amp; Cheng, L. (2016). “Goldilocks” Theorizing in Supply Chain Research: Balancing Scientific and Practical Utility via Middle- Range Theory. </w:t>
      </w:r>
      <w:r w:rsidRPr="00656DD0">
        <w:rPr>
          <w:rFonts w:ascii="Times New Roman" w:hAnsi="Times New Roman" w:cs="Times New Roman"/>
          <w:i/>
          <w:iCs/>
          <w:noProof/>
        </w:rPr>
        <w:t>Transportation Journal</w:t>
      </w:r>
      <w:r w:rsidRPr="00656DD0">
        <w:rPr>
          <w:rFonts w:ascii="Times New Roman" w:hAnsi="Times New Roman" w:cs="Times New Roman"/>
          <w:noProof/>
        </w:rPr>
        <w:t xml:space="preserve">, </w:t>
      </w:r>
      <w:r w:rsidRPr="00656DD0">
        <w:rPr>
          <w:rFonts w:ascii="Times New Roman" w:hAnsi="Times New Roman" w:cs="Times New Roman"/>
          <w:i/>
          <w:iCs/>
          <w:noProof/>
        </w:rPr>
        <w:t>55</w:t>
      </w:r>
      <w:r w:rsidRPr="00656DD0">
        <w:rPr>
          <w:rFonts w:ascii="Times New Roman" w:hAnsi="Times New Roman" w:cs="Times New Roman"/>
          <w:noProof/>
        </w:rPr>
        <w:t>(3), 241–257.</w:t>
      </w:r>
    </w:p>
    <w:p w14:paraId="4E3D1616"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Creswell, J. W. (2014). </w:t>
      </w:r>
      <w:r w:rsidRPr="00656DD0">
        <w:rPr>
          <w:rFonts w:ascii="Times New Roman" w:hAnsi="Times New Roman" w:cs="Times New Roman"/>
          <w:i/>
          <w:iCs/>
          <w:noProof/>
        </w:rPr>
        <w:t>Research Design: Qualitative, Quantitative, and Mixed Methods Appraoches</w:t>
      </w:r>
      <w:r w:rsidRPr="00656DD0">
        <w:rPr>
          <w:rFonts w:ascii="Times New Roman" w:hAnsi="Times New Roman" w:cs="Times New Roman"/>
          <w:noProof/>
        </w:rPr>
        <w:t xml:space="preserve"> (4th ed.). Thousand Oaks, CA: Sage Publications.</w:t>
      </w:r>
    </w:p>
    <w:p w14:paraId="18852991"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Crook, T. R., &amp; Esper, T. L. (2014). Do Resources Aid in Supply Chain Functioning and Management? Yes, But More (and More Precise) Research is Needed. </w:t>
      </w:r>
      <w:r w:rsidRPr="00656DD0">
        <w:rPr>
          <w:rFonts w:ascii="Times New Roman" w:hAnsi="Times New Roman" w:cs="Times New Roman"/>
          <w:i/>
          <w:iCs/>
          <w:noProof/>
        </w:rPr>
        <w:t xml:space="preserve">Journal of </w:t>
      </w:r>
      <w:r w:rsidRPr="00656DD0">
        <w:rPr>
          <w:rFonts w:ascii="Times New Roman" w:hAnsi="Times New Roman" w:cs="Times New Roman"/>
          <w:i/>
          <w:iCs/>
          <w:noProof/>
        </w:rPr>
        <w:lastRenderedPageBreak/>
        <w:t>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50</w:t>
      </w:r>
      <w:r w:rsidRPr="00656DD0">
        <w:rPr>
          <w:rFonts w:ascii="Times New Roman" w:hAnsi="Times New Roman" w:cs="Times New Roman"/>
          <w:noProof/>
        </w:rPr>
        <w:t>(3), 94–97. http://doi.org/10.1111/jscm.12055</w:t>
      </w:r>
    </w:p>
    <w:p w14:paraId="47985A1F" w14:textId="6D7B080C"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Crook, T. R., Jr, D. J. K., Combs, J. G., &amp; Todd, S. Y. (2008). Strategic Resources and Performance: A Meta-Analysis.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29</w:t>
      </w:r>
      <w:r w:rsidRPr="00656DD0">
        <w:rPr>
          <w:rFonts w:ascii="Times New Roman" w:hAnsi="Times New Roman" w:cs="Times New Roman"/>
          <w:noProof/>
        </w:rPr>
        <w:t xml:space="preserve">, 1141–1154. </w:t>
      </w:r>
      <w:r w:rsidR="00491788">
        <w:rPr>
          <w:rFonts w:ascii="Times New Roman" w:hAnsi="Times New Roman" w:cs="Times New Roman"/>
          <w:noProof/>
        </w:rPr>
        <w:t xml:space="preserve"> </w:t>
      </w:r>
    </w:p>
    <w:p w14:paraId="3AC624D0" w14:textId="61046FD2"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Das, A., Narasimhan, R., &amp; Talluri, S. (2006). Supplier integration—Finding an optimal configuration. </w:t>
      </w:r>
      <w:r w:rsidRPr="00656DD0">
        <w:rPr>
          <w:rFonts w:ascii="Times New Roman" w:hAnsi="Times New Roman" w:cs="Times New Roman"/>
          <w:i/>
          <w:iCs/>
          <w:noProof/>
        </w:rPr>
        <w:t>Journal of Operations Management</w:t>
      </w:r>
      <w:r w:rsidRPr="00656DD0">
        <w:rPr>
          <w:rFonts w:ascii="Times New Roman" w:hAnsi="Times New Roman" w:cs="Times New Roman"/>
          <w:noProof/>
        </w:rPr>
        <w:t xml:space="preserve">, </w:t>
      </w:r>
      <w:r w:rsidRPr="00656DD0">
        <w:rPr>
          <w:rFonts w:ascii="Times New Roman" w:hAnsi="Times New Roman" w:cs="Times New Roman"/>
          <w:i/>
          <w:iCs/>
          <w:noProof/>
        </w:rPr>
        <w:t>24</w:t>
      </w:r>
      <w:r w:rsidRPr="00656DD0">
        <w:rPr>
          <w:rFonts w:ascii="Times New Roman" w:hAnsi="Times New Roman" w:cs="Times New Roman"/>
          <w:noProof/>
        </w:rPr>
        <w:t xml:space="preserve">(5), 563–582. </w:t>
      </w:r>
      <w:r w:rsidR="00491788">
        <w:rPr>
          <w:rFonts w:ascii="Times New Roman" w:hAnsi="Times New Roman" w:cs="Times New Roman"/>
          <w:noProof/>
        </w:rPr>
        <w:t xml:space="preserve"> </w:t>
      </w:r>
    </w:p>
    <w:p w14:paraId="5E7F1953" w14:textId="54DC3118"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Dubois, A., &amp; Salmi, A. (2016). A call for broadening the range of approaches to case studies in purchasing and supply management. </w:t>
      </w:r>
      <w:r w:rsidRPr="00656DD0">
        <w:rPr>
          <w:rFonts w:ascii="Times New Roman" w:hAnsi="Times New Roman" w:cs="Times New Roman"/>
          <w:i/>
          <w:iCs/>
          <w:noProof/>
        </w:rPr>
        <w:t>Journal of Purchasing and Supply Management</w:t>
      </w:r>
      <w:r w:rsidRPr="00656DD0">
        <w:rPr>
          <w:rFonts w:ascii="Times New Roman" w:hAnsi="Times New Roman" w:cs="Times New Roman"/>
          <w:noProof/>
        </w:rPr>
        <w:t xml:space="preserve">, </w:t>
      </w:r>
      <w:r w:rsidRPr="00656DD0">
        <w:rPr>
          <w:rFonts w:ascii="Times New Roman" w:hAnsi="Times New Roman" w:cs="Times New Roman"/>
          <w:i/>
          <w:iCs/>
          <w:noProof/>
        </w:rPr>
        <w:t>22</w:t>
      </w:r>
      <w:r w:rsidRPr="00656DD0">
        <w:rPr>
          <w:rFonts w:ascii="Times New Roman" w:hAnsi="Times New Roman" w:cs="Times New Roman"/>
          <w:noProof/>
        </w:rPr>
        <w:t xml:space="preserve">(4), 247–249. </w:t>
      </w:r>
      <w:r w:rsidR="00491788">
        <w:rPr>
          <w:rFonts w:ascii="Times New Roman" w:hAnsi="Times New Roman" w:cs="Times New Roman"/>
          <w:noProof/>
        </w:rPr>
        <w:t xml:space="preserve"> </w:t>
      </w:r>
    </w:p>
    <w:p w14:paraId="4CFB7638" w14:textId="23A97C03"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Eisenhardt, K. M. (1989). Building Theories from Case Study Research. </w:t>
      </w:r>
      <w:r w:rsidRPr="00656DD0">
        <w:rPr>
          <w:rFonts w:ascii="Times New Roman" w:hAnsi="Times New Roman" w:cs="Times New Roman"/>
          <w:i/>
          <w:iCs/>
          <w:noProof/>
        </w:rPr>
        <w:t>Academy of Management Review</w:t>
      </w:r>
      <w:r w:rsidRPr="00656DD0">
        <w:rPr>
          <w:rFonts w:ascii="Times New Roman" w:hAnsi="Times New Roman" w:cs="Times New Roman"/>
          <w:noProof/>
        </w:rPr>
        <w:t xml:space="preserve">, </w:t>
      </w:r>
      <w:r w:rsidRPr="00656DD0">
        <w:rPr>
          <w:rFonts w:ascii="Times New Roman" w:hAnsi="Times New Roman" w:cs="Times New Roman"/>
          <w:i/>
          <w:iCs/>
          <w:noProof/>
        </w:rPr>
        <w:t>14</w:t>
      </w:r>
      <w:r w:rsidRPr="00656DD0">
        <w:rPr>
          <w:rFonts w:ascii="Times New Roman" w:hAnsi="Times New Roman" w:cs="Times New Roman"/>
          <w:noProof/>
        </w:rPr>
        <w:t xml:space="preserve">(4), 532–550. </w:t>
      </w:r>
      <w:r w:rsidR="00491788">
        <w:rPr>
          <w:rFonts w:ascii="Times New Roman" w:hAnsi="Times New Roman" w:cs="Times New Roman"/>
          <w:noProof/>
        </w:rPr>
        <w:t xml:space="preserve"> </w:t>
      </w:r>
    </w:p>
    <w:p w14:paraId="65F31FDA"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Eisenhardt, K. M., &amp; Graebner, M. E. (2007). Theory building from cases: Opportunities and challenges. </w:t>
      </w:r>
      <w:r w:rsidRPr="00656DD0">
        <w:rPr>
          <w:rFonts w:ascii="Times New Roman" w:hAnsi="Times New Roman" w:cs="Times New Roman"/>
          <w:i/>
          <w:iCs/>
          <w:noProof/>
        </w:rPr>
        <w:t>Academy of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50</w:t>
      </w:r>
      <w:r w:rsidRPr="00656DD0">
        <w:rPr>
          <w:rFonts w:ascii="Times New Roman" w:hAnsi="Times New Roman" w:cs="Times New Roman"/>
          <w:noProof/>
        </w:rPr>
        <w:t>(1), 25–32.</w:t>
      </w:r>
    </w:p>
    <w:p w14:paraId="3B19E269"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Eisenhardt, K. M., &amp; Martin, J. A. (2000). Dynamic Capabilities: What Are They?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21</w:t>
      </w:r>
      <w:r w:rsidRPr="00656DD0">
        <w:rPr>
          <w:rFonts w:ascii="Times New Roman" w:hAnsi="Times New Roman" w:cs="Times New Roman"/>
          <w:noProof/>
        </w:rPr>
        <w:t>, 1105–1121.</w:t>
      </w:r>
    </w:p>
    <w:p w14:paraId="6B0FA56B"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Ellram, L. M., Tate, W. L., &amp; Feitzinger, E. G. (2013). FACTOR-MARKET RIVALRY AND COMPETITION FOR SUPPLY CHAIN RESOURCES. </w:t>
      </w:r>
      <w:r w:rsidRPr="00656DD0">
        <w:rPr>
          <w:rFonts w:ascii="Times New Roman" w:hAnsi="Times New Roman" w:cs="Times New Roman"/>
          <w:i/>
          <w:iCs/>
          <w:noProof/>
        </w:rPr>
        <w:t>Journal of 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49</w:t>
      </w:r>
      <w:r w:rsidRPr="00656DD0">
        <w:rPr>
          <w:rFonts w:ascii="Times New Roman" w:hAnsi="Times New Roman" w:cs="Times New Roman"/>
          <w:noProof/>
        </w:rPr>
        <w:t>(1), 29–46.</w:t>
      </w:r>
    </w:p>
    <w:p w14:paraId="5249DA74" w14:textId="080BEC44"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Ettlie, J. E. (1995). Product-Process Development Integration in Manufacturing. </w:t>
      </w:r>
      <w:r w:rsidRPr="00656DD0">
        <w:rPr>
          <w:rFonts w:ascii="Times New Roman" w:hAnsi="Times New Roman" w:cs="Times New Roman"/>
          <w:i/>
          <w:iCs/>
          <w:noProof/>
        </w:rPr>
        <w:t>Management Science</w:t>
      </w:r>
      <w:r w:rsidRPr="00656DD0">
        <w:rPr>
          <w:rFonts w:ascii="Times New Roman" w:hAnsi="Times New Roman" w:cs="Times New Roman"/>
          <w:noProof/>
        </w:rPr>
        <w:t xml:space="preserve">, </w:t>
      </w:r>
      <w:r w:rsidRPr="00656DD0">
        <w:rPr>
          <w:rFonts w:ascii="Times New Roman" w:hAnsi="Times New Roman" w:cs="Times New Roman"/>
          <w:i/>
          <w:iCs/>
          <w:noProof/>
        </w:rPr>
        <w:t>41</w:t>
      </w:r>
      <w:r w:rsidRPr="00656DD0">
        <w:rPr>
          <w:rFonts w:ascii="Times New Roman" w:hAnsi="Times New Roman" w:cs="Times New Roman"/>
          <w:noProof/>
        </w:rPr>
        <w:t xml:space="preserve">, 1224–1237. </w:t>
      </w:r>
      <w:r w:rsidR="00491788">
        <w:rPr>
          <w:rFonts w:ascii="Times New Roman" w:hAnsi="Times New Roman" w:cs="Times New Roman"/>
          <w:noProof/>
        </w:rPr>
        <w:t xml:space="preserve"> </w:t>
      </w:r>
    </w:p>
    <w:p w14:paraId="764E7339"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Gassmann, O., Enkel, E., &amp; Chesbrough, H. (2010). The future of open innovation. </w:t>
      </w:r>
      <w:r w:rsidRPr="00656DD0">
        <w:rPr>
          <w:rFonts w:ascii="Times New Roman" w:hAnsi="Times New Roman" w:cs="Times New Roman"/>
          <w:i/>
          <w:iCs/>
          <w:noProof/>
        </w:rPr>
        <w:t>R&amp;D Management</w:t>
      </w:r>
      <w:r w:rsidRPr="00656DD0">
        <w:rPr>
          <w:rFonts w:ascii="Times New Roman" w:hAnsi="Times New Roman" w:cs="Times New Roman"/>
          <w:noProof/>
        </w:rPr>
        <w:t>, 1–9.</w:t>
      </w:r>
    </w:p>
    <w:p w14:paraId="3AA73ECE"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Grant, R. M. (1991). The Resource-Based Theory of Competitive Advantage: Implications for Strategy Formulation. </w:t>
      </w:r>
      <w:r w:rsidRPr="00656DD0">
        <w:rPr>
          <w:rFonts w:ascii="Times New Roman" w:hAnsi="Times New Roman" w:cs="Times New Roman"/>
          <w:i/>
          <w:iCs/>
          <w:noProof/>
        </w:rPr>
        <w:t>California Management Review</w:t>
      </w:r>
      <w:r w:rsidRPr="00656DD0">
        <w:rPr>
          <w:rFonts w:ascii="Times New Roman" w:hAnsi="Times New Roman" w:cs="Times New Roman"/>
          <w:noProof/>
        </w:rPr>
        <w:t xml:space="preserve">, </w:t>
      </w:r>
      <w:r w:rsidRPr="00656DD0">
        <w:rPr>
          <w:rFonts w:ascii="Times New Roman" w:hAnsi="Times New Roman" w:cs="Times New Roman"/>
          <w:i/>
          <w:iCs/>
          <w:noProof/>
        </w:rPr>
        <w:t>33</w:t>
      </w:r>
      <w:r w:rsidRPr="00656DD0">
        <w:rPr>
          <w:rFonts w:ascii="Times New Roman" w:hAnsi="Times New Roman" w:cs="Times New Roman"/>
          <w:noProof/>
        </w:rPr>
        <w:t>(3), 114–135.</w:t>
      </w:r>
    </w:p>
    <w:p w14:paraId="3D212A4C" w14:textId="0895F040"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Grant, R. M. (1996). Toward a Knowledge-Based Theory of the Firm.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17</w:t>
      </w:r>
      <w:r w:rsidRPr="00656DD0">
        <w:rPr>
          <w:rFonts w:ascii="Times New Roman" w:hAnsi="Times New Roman" w:cs="Times New Roman"/>
          <w:noProof/>
        </w:rPr>
        <w:t xml:space="preserve">, 109–122. </w:t>
      </w:r>
      <w:r w:rsidR="00491788">
        <w:rPr>
          <w:rFonts w:ascii="Times New Roman" w:hAnsi="Times New Roman" w:cs="Times New Roman"/>
          <w:noProof/>
        </w:rPr>
        <w:t xml:space="preserve"> </w:t>
      </w:r>
    </w:p>
    <w:p w14:paraId="3C6067B2"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Hallen, B. L., &amp; Eisenhardt, K. M. (2012). CATALYZING STRATEGIES AND EFFICIENT TIE FORMATION: HOW ENTREPRENEURIAL FIRMS OBTAIN INVESTMENT TIES. </w:t>
      </w:r>
      <w:r w:rsidRPr="00656DD0">
        <w:rPr>
          <w:rFonts w:ascii="Times New Roman" w:hAnsi="Times New Roman" w:cs="Times New Roman"/>
          <w:i/>
          <w:iCs/>
          <w:noProof/>
        </w:rPr>
        <w:t>Academy of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55</w:t>
      </w:r>
      <w:r w:rsidRPr="00656DD0">
        <w:rPr>
          <w:rFonts w:ascii="Times New Roman" w:hAnsi="Times New Roman" w:cs="Times New Roman"/>
          <w:noProof/>
        </w:rPr>
        <w:t>(1), 35–70.</w:t>
      </w:r>
    </w:p>
    <w:p w14:paraId="5976F972" w14:textId="43DEA3F2"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Hansen, M. H., Perry, L. T., &amp; Reese, C. S. (2004). A bayesian operationalization of the resource-based view.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25</w:t>
      </w:r>
      <w:r w:rsidRPr="00656DD0">
        <w:rPr>
          <w:rFonts w:ascii="Times New Roman" w:hAnsi="Times New Roman" w:cs="Times New Roman"/>
          <w:noProof/>
        </w:rPr>
        <w:t xml:space="preserve">(13), 1279–1295. </w:t>
      </w:r>
      <w:r w:rsidR="00491788">
        <w:rPr>
          <w:rFonts w:ascii="Times New Roman" w:hAnsi="Times New Roman" w:cs="Times New Roman"/>
          <w:noProof/>
        </w:rPr>
        <w:t xml:space="preserve"> </w:t>
      </w:r>
    </w:p>
    <w:p w14:paraId="444C65D4" w14:textId="0B68C24E"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Hitt, M. A. (2011). Relevance of strategic management theory and research for supply chain management. </w:t>
      </w:r>
      <w:r w:rsidRPr="00656DD0">
        <w:rPr>
          <w:rFonts w:ascii="Times New Roman" w:hAnsi="Times New Roman" w:cs="Times New Roman"/>
          <w:i/>
          <w:iCs/>
          <w:noProof/>
        </w:rPr>
        <w:t>Journal of 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47</w:t>
      </w:r>
      <w:r w:rsidRPr="00656DD0">
        <w:rPr>
          <w:rFonts w:ascii="Times New Roman" w:hAnsi="Times New Roman" w:cs="Times New Roman"/>
          <w:noProof/>
        </w:rPr>
        <w:t xml:space="preserve">(1), 9–13. </w:t>
      </w:r>
      <w:r w:rsidR="00491788">
        <w:rPr>
          <w:rFonts w:ascii="Times New Roman" w:hAnsi="Times New Roman" w:cs="Times New Roman"/>
          <w:noProof/>
        </w:rPr>
        <w:t xml:space="preserve"> </w:t>
      </w:r>
    </w:p>
    <w:p w14:paraId="41EB4092"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Hitt, M. A., Ireland, R. D., Sirmon, D. G., &amp; Trahms, C. A. (2011). Strategic Entrepreneurship: Creating Value for Individuals, Organizations, and Society. </w:t>
      </w:r>
      <w:r w:rsidRPr="00656DD0">
        <w:rPr>
          <w:rFonts w:ascii="Times New Roman" w:hAnsi="Times New Roman" w:cs="Times New Roman"/>
          <w:i/>
          <w:iCs/>
          <w:noProof/>
        </w:rPr>
        <w:t>Academy of Management Perspectives</w:t>
      </w:r>
      <w:r w:rsidRPr="00656DD0">
        <w:rPr>
          <w:rFonts w:ascii="Times New Roman" w:hAnsi="Times New Roman" w:cs="Times New Roman"/>
          <w:noProof/>
        </w:rPr>
        <w:t>, (May), 57–75.</w:t>
      </w:r>
    </w:p>
    <w:p w14:paraId="7918F09C"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Hock, M., Clauss, T., &amp; Schulz, E. (2015). The impact of organizational culture on a firm’s capability to innovate the business model. </w:t>
      </w:r>
      <w:r w:rsidRPr="00656DD0">
        <w:rPr>
          <w:rFonts w:ascii="Times New Roman" w:hAnsi="Times New Roman" w:cs="Times New Roman"/>
          <w:i/>
          <w:iCs/>
          <w:noProof/>
        </w:rPr>
        <w:t>R&amp;D Management</w:t>
      </w:r>
      <w:r w:rsidRPr="00656DD0">
        <w:rPr>
          <w:rFonts w:ascii="Times New Roman" w:hAnsi="Times New Roman" w:cs="Times New Roman"/>
          <w:noProof/>
        </w:rPr>
        <w:t xml:space="preserve">, </w:t>
      </w:r>
      <w:r w:rsidRPr="00656DD0">
        <w:rPr>
          <w:rFonts w:ascii="Times New Roman" w:hAnsi="Times New Roman" w:cs="Times New Roman"/>
          <w:i/>
          <w:iCs/>
          <w:noProof/>
        </w:rPr>
        <w:t>46</w:t>
      </w:r>
      <w:r w:rsidRPr="00656DD0">
        <w:rPr>
          <w:rFonts w:ascii="Times New Roman" w:hAnsi="Times New Roman" w:cs="Times New Roman"/>
          <w:noProof/>
        </w:rPr>
        <w:t>(3), 433–450.</w:t>
      </w:r>
    </w:p>
    <w:p w14:paraId="4CD38D21" w14:textId="1E9B6A90"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Hoopes, D., &amp; Postrel, S. (1999). Shared knowledge,“glitches,” and product development performance.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865</w:t>
      </w:r>
      <w:r w:rsidRPr="00656DD0">
        <w:rPr>
          <w:rFonts w:ascii="Times New Roman" w:hAnsi="Times New Roman" w:cs="Times New Roman"/>
          <w:noProof/>
        </w:rPr>
        <w:t xml:space="preserve">(March 1997), 837–865. </w:t>
      </w:r>
      <w:r w:rsidR="00491788">
        <w:rPr>
          <w:rFonts w:ascii="Times New Roman" w:hAnsi="Times New Roman" w:cs="Times New Roman"/>
          <w:noProof/>
        </w:rPr>
        <w:t xml:space="preserve"> </w:t>
      </w:r>
    </w:p>
    <w:p w14:paraId="6AD9F996" w14:textId="68711C0D"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Hu, Y., McNamara, P., &amp; Piaskowska, D. (2017). Project Suspensions and Failures in New Product Development: Returns for Entrepreneurial Firms in Co-Development Alliances. </w:t>
      </w:r>
      <w:r w:rsidRPr="00656DD0">
        <w:rPr>
          <w:rFonts w:ascii="Times New Roman" w:hAnsi="Times New Roman" w:cs="Times New Roman"/>
          <w:i/>
          <w:iCs/>
          <w:noProof/>
        </w:rPr>
        <w:t>Journal of Product Innovation Management</w:t>
      </w:r>
      <w:r w:rsidRPr="00656DD0">
        <w:rPr>
          <w:rFonts w:ascii="Times New Roman" w:hAnsi="Times New Roman" w:cs="Times New Roman"/>
          <w:noProof/>
        </w:rPr>
        <w:t xml:space="preserve">, </w:t>
      </w:r>
      <w:r w:rsidRPr="00656DD0">
        <w:rPr>
          <w:rFonts w:ascii="Times New Roman" w:hAnsi="Times New Roman" w:cs="Times New Roman"/>
          <w:i/>
          <w:iCs/>
          <w:noProof/>
        </w:rPr>
        <w:t>34</w:t>
      </w:r>
      <w:r w:rsidRPr="00656DD0">
        <w:rPr>
          <w:rFonts w:ascii="Times New Roman" w:hAnsi="Times New Roman" w:cs="Times New Roman"/>
          <w:noProof/>
        </w:rPr>
        <w:t xml:space="preserve">(1), 35–59. </w:t>
      </w:r>
      <w:r w:rsidR="00491788">
        <w:rPr>
          <w:rFonts w:ascii="Times New Roman" w:hAnsi="Times New Roman" w:cs="Times New Roman"/>
          <w:noProof/>
        </w:rPr>
        <w:t xml:space="preserve"> </w:t>
      </w:r>
    </w:p>
    <w:p w14:paraId="4748DE16" w14:textId="0DF3FC8D"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Ireland, R. D., Hitt, M. A., &amp; Sirmon, D. G. (2003). A Model of Strategic Entrepreneurship: The Construct and its Dimensions. </w:t>
      </w:r>
      <w:r w:rsidRPr="00656DD0">
        <w:rPr>
          <w:rFonts w:ascii="Times New Roman" w:hAnsi="Times New Roman" w:cs="Times New Roman"/>
          <w:i/>
          <w:iCs/>
          <w:noProof/>
        </w:rPr>
        <w:t>Journal of Management</w:t>
      </w:r>
      <w:r w:rsidRPr="00656DD0">
        <w:rPr>
          <w:rFonts w:ascii="Times New Roman" w:hAnsi="Times New Roman" w:cs="Times New Roman"/>
          <w:noProof/>
        </w:rPr>
        <w:t xml:space="preserve">, </w:t>
      </w:r>
      <w:r w:rsidRPr="00656DD0">
        <w:rPr>
          <w:rFonts w:ascii="Times New Roman" w:hAnsi="Times New Roman" w:cs="Times New Roman"/>
          <w:i/>
          <w:iCs/>
          <w:noProof/>
        </w:rPr>
        <w:t>29</w:t>
      </w:r>
      <w:r w:rsidRPr="00656DD0">
        <w:rPr>
          <w:rFonts w:ascii="Times New Roman" w:hAnsi="Times New Roman" w:cs="Times New Roman"/>
          <w:noProof/>
        </w:rPr>
        <w:t xml:space="preserve">(6), 963–989. </w:t>
      </w:r>
      <w:r w:rsidR="00491788">
        <w:rPr>
          <w:rFonts w:ascii="Times New Roman" w:hAnsi="Times New Roman" w:cs="Times New Roman"/>
          <w:noProof/>
        </w:rPr>
        <w:t xml:space="preserve"> </w:t>
      </w:r>
    </w:p>
    <w:p w14:paraId="517CCFBA" w14:textId="136A1D04"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Ireland, R. D., &amp; Webb, J. W. (2009). Crossing the great divide of strategic entrepreneurship: Transitioning between exploration and exploitation. </w:t>
      </w:r>
      <w:r w:rsidRPr="00656DD0">
        <w:rPr>
          <w:rFonts w:ascii="Times New Roman" w:hAnsi="Times New Roman" w:cs="Times New Roman"/>
          <w:i/>
          <w:iCs/>
          <w:noProof/>
        </w:rPr>
        <w:t xml:space="preserve">Business </w:t>
      </w:r>
      <w:r w:rsidRPr="00656DD0">
        <w:rPr>
          <w:rFonts w:ascii="Times New Roman" w:hAnsi="Times New Roman" w:cs="Times New Roman"/>
          <w:i/>
          <w:iCs/>
          <w:noProof/>
        </w:rPr>
        <w:lastRenderedPageBreak/>
        <w:t>Horizons</w:t>
      </w:r>
      <w:r w:rsidRPr="00656DD0">
        <w:rPr>
          <w:rFonts w:ascii="Times New Roman" w:hAnsi="Times New Roman" w:cs="Times New Roman"/>
          <w:noProof/>
        </w:rPr>
        <w:t xml:space="preserve">, </w:t>
      </w:r>
      <w:r w:rsidRPr="00656DD0">
        <w:rPr>
          <w:rFonts w:ascii="Times New Roman" w:hAnsi="Times New Roman" w:cs="Times New Roman"/>
          <w:i/>
          <w:iCs/>
          <w:noProof/>
        </w:rPr>
        <w:t>52</w:t>
      </w:r>
      <w:r w:rsidRPr="00656DD0">
        <w:rPr>
          <w:rFonts w:ascii="Times New Roman" w:hAnsi="Times New Roman" w:cs="Times New Roman"/>
          <w:noProof/>
        </w:rPr>
        <w:t xml:space="preserve">, 469–479. </w:t>
      </w:r>
      <w:r w:rsidR="00491788">
        <w:rPr>
          <w:rFonts w:ascii="Times New Roman" w:hAnsi="Times New Roman" w:cs="Times New Roman"/>
          <w:noProof/>
        </w:rPr>
        <w:t xml:space="preserve"> </w:t>
      </w:r>
    </w:p>
    <w:p w14:paraId="3C39F554"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Ketchen, D. J., Wowak, K. D., &amp; Craighead, C. W. (2014). Resource Gaps and Resource Orchestration Shortfalls in Supply Chain Management: The Case of Product Recalls. </w:t>
      </w:r>
      <w:r w:rsidRPr="00656DD0">
        <w:rPr>
          <w:rFonts w:ascii="Times New Roman" w:hAnsi="Times New Roman" w:cs="Times New Roman"/>
          <w:i/>
          <w:iCs/>
          <w:noProof/>
        </w:rPr>
        <w:t>Journal of 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50</w:t>
      </w:r>
      <w:r w:rsidRPr="00656DD0">
        <w:rPr>
          <w:rFonts w:ascii="Times New Roman" w:hAnsi="Times New Roman" w:cs="Times New Roman"/>
          <w:noProof/>
        </w:rPr>
        <w:t>(3), 6–15.</w:t>
      </w:r>
    </w:p>
    <w:p w14:paraId="16855A6E" w14:textId="221510FA"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Ketokivi, M., &amp; Choi, T. (2014). Renaissance of case research as a scientific method. </w:t>
      </w:r>
      <w:r w:rsidRPr="00656DD0">
        <w:rPr>
          <w:rFonts w:ascii="Times New Roman" w:hAnsi="Times New Roman" w:cs="Times New Roman"/>
          <w:i/>
          <w:iCs/>
          <w:noProof/>
        </w:rPr>
        <w:t>Journal of Operations Management</w:t>
      </w:r>
      <w:r w:rsidRPr="00656DD0">
        <w:rPr>
          <w:rFonts w:ascii="Times New Roman" w:hAnsi="Times New Roman" w:cs="Times New Roman"/>
          <w:noProof/>
        </w:rPr>
        <w:t xml:space="preserve">, </w:t>
      </w:r>
      <w:r w:rsidRPr="00656DD0">
        <w:rPr>
          <w:rFonts w:ascii="Times New Roman" w:hAnsi="Times New Roman" w:cs="Times New Roman"/>
          <w:i/>
          <w:iCs/>
          <w:noProof/>
        </w:rPr>
        <w:t>32</w:t>
      </w:r>
      <w:r w:rsidRPr="00656DD0">
        <w:rPr>
          <w:rFonts w:ascii="Times New Roman" w:hAnsi="Times New Roman" w:cs="Times New Roman"/>
          <w:noProof/>
        </w:rPr>
        <w:t xml:space="preserve">(5), 232–240. </w:t>
      </w:r>
      <w:r w:rsidR="00491788">
        <w:rPr>
          <w:rFonts w:ascii="Times New Roman" w:hAnsi="Times New Roman" w:cs="Times New Roman"/>
          <w:noProof/>
        </w:rPr>
        <w:t xml:space="preserve"> </w:t>
      </w:r>
    </w:p>
    <w:p w14:paraId="14EAE94F"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Kleinschmidt, E. J., De Brentani, U., &amp; Salomo, S. (2007). Performance of Global New Product Development Programs: A Resource-Based View. </w:t>
      </w:r>
      <w:r w:rsidRPr="00656DD0">
        <w:rPr>
          <w:rFonts w:ascii="Times New Roman" w:hAnsi="Times New Roman" w:cs="Times New Roman"/>
          <w:i/>
          <w:iCs/>
          <w:noProof/>
        </w:rPr>
        <w:t>Journal of Product Innovation Management</w:t>
      </w:r>
      <w:r w:rsidRPr="00656DD0">
        <w:rPr>
          <w:rFonts w:ascii="Times New Roman" w:hAnsi="Times New Roman" w:cs="Times New Roman"/>
          <w:noProof/>
        </w:rPr>
        <w:t xml:space="preserve">, </w:t>
      </w:r>
      <w:r w:rsidRPr="00656DD0">
        <w:rPr>
          <w:rFonts w:ascii="Times New Roman" w:hAnsi="Times New Roman" w:cs="Times New Roman"/>
          <w:i/>
          <w:iCs/>
          <w:noProof/>
        </w:rPr>
        <w:t>24</w:t>
      </w:r>
      <w:r w:rsidRPr="00656DD0">
        <w:rPr>
          <w:rFonts w:ascii="Times New Roman" w:hAnsi="Times New Roman" w:cs="Times New Roman"/>
          <w:noProof/>
        </w:rPr>
        <w:t>, 419–441.</w:t>
      </w:r>
    </w:p>
    <w:p w14:paraId="130529C8" w14:textId="3305CC4F"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Knudsen, M. P., &amp; Mortensen, T. B. (2011). Some immediate but negative effects of openness on product development performance. </w:t>
      </w:r>
      <w:r w:rsidRPr="00656DD0">
        <w:rPr>
          <w:rFonts w:ascii="Times New Roman" w:hAnsi="Times New Roman" w:cs="Times New Roman"/>
          <w:i/>
          <w:iCs/>
          <w:noProof/>
        </w:rPr>
        <w:t>Technovation</w:t>
      </w:r>
      <w:r w:rsidRPr="00656DD0">
        <w:rPr>
          <w:rFonts w:ascii="Times New Roman" w:hAnsi="Times New Roman" w:cs="Times New Roman"/>
          <w:noProof/>
        </w:rPr>
        <w:t xml:space="preserve">, </w:t>
      </w:r>
      <w:r w:rsidRPr="00656DD0">
        <w:rPr>
          <w:rFonts w:ascii="Times New Roman" w:hAnsi="Times New Roman" w:cs="Times New Roman"/>
          <w:i/>
          <w:iCs/>
          <w:noProof/>
        </w:rPr>
        <w:t>31</w:t>
      </w:r>
      <w:r w:rsidRPr="00656DD0">
        <w:rPr>
          <w:rFonts w:ascii="Times New Roman" w:hAnsi="Times New Roman" w:cs="Times New Roman"/>
          <w:noProof/>
        </w:rPr>
        <w:t xml:space="preserve">(1), 54–64. </w:t>
      </w:r>
      <w:r w:rsidR="00491788">
        <w:rPr>
          <w:rFonts w:ascii="Times New Roman" w:hAnsi="Times New Roman" w:cs="Times New Roman"/>
          <w:noProof/>
        </w:rPr>
        <w:t xml:space="preserve"> </w:t>
      </w:r>
    </w:p>
    <w:p w14:paraId="4820AC55" w14:textId="28685B8C"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Kogut, B., &amp; Zander, U. (1996). What Firms Do? Coordination, Identity, and Learning. </w:t>
      </w:r>
      <w:r w:rsidRPr="00656DD0">
        <w:rPr>
          <w:rFonts w:ascii="Times New Roman" w:hAnsi="Times New Roman" w:cs="Times New Roman"/>
          <w:i/>
          <w:iCs/>
          <w:noProof/>
        </w:rPr>
        <w:t>Organization Science</w:t>
      </w:r>
      <w:r w:rsidRPr="00656DD0">
        <w:rPr>
          <w:rFonts w:ascii="Times New Roman" w:hAnsi="Times New Roman" w:cs="Times New Roman"/>
          <w:noProof/>
        </w:rPr>
        <w:t xml:space="preserve">, </w:t>
      </w:r>
      <w:r w:rsidRPr="00656DD0">
        <w:rPr>
          <w:rFonts w:ascii="Times New Roman" w:hAnsi="Times New Roman" w:cs="Times New Roman"/>
          <w:i/>
          <w:iCs/>
          <w:noProof/>
        </w:rPr>
        <w:t>7</w:t>
      </w:r>
      <w:r w:rsidRPr="00656DD0">
        <w:rPr>
          <w:rFonts w:ascii="Times New Roman" w:hAnsi="Times New Roman" w:cs="Times New Roman"/>
          <w:noProof/>
        </w:rPr>
        <w:t xml:space="preserve">(5), 502–518. </w:t>
      </w:r>
      <w:r w:rsidR="00491788">
        <w:rPr>
          <w:rFonts w:ascii="Times New Roman" w:hAnsi="Times New Roman" w:cs="Times New Roman"/>
          <w:noProof/>
        </w:rPr>
        <w:t xml:space="preserve"> </w:t>
      </w:r>
    </w:p>
    <w:p w14:paraId="28800814" w14:textId="24BAB634"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Koufteros, X., Verghese, A., &amp; Lucianetti, L. (2014). The effect of performance measurement systems on firm performance: A cross-sectional and a longitudinal study. </w:t>
      </w:r>
      <w:r w:rsidRPr="00656DD0">
        <w:rPr>
          <w:rFonts w:ascii="Times New Roman" w:hAnsi="Times New Roman" w:cs="Times New Roman"/>
          <w:i/>
          <w:iCs/>
          <w:noProof/>
        </w:rPr>
        <w:t>Journal of Operations Management</w:t>
      </w:r>
      <w:r w:rsidRPr="00656DD0">
        <w:rPr>
          <w:rFonts w:ascii="Times New Roman" w:hAnsi="Times New Roman" w:cs="Times New Roman"/>
          <w:noProof/>
        </w:rPr>
        <w:t xml:space="preserve">, </w:t>
      </w:r>
      <w:r w:rsidRPr="00656DD0">
        <w:rPr>
          <w:rFonts w:ascii="Times New Roman" w:hAnsi="Times New Roman" w:cs="Times New Roman"/>
          <w:i/>
          <w:iCs/>
          <w:noProof/>
        </w:rPr>
        <w:t>32</w:t>
      </w:r>
      <w:r w:rsidRPr="00656DD0">
        <w:rPr>
          <w:rFonts w:ascii="Times New Roman" w:hAnsi="Times New Roman" w:cs="Times New Roman"/>
          <w:noProof/>
        </w:rPr>
        <w:t xml:space="preserve">(6), 313–336. </w:t>
      </w:r>
      <w:r w:rsidR="00491788">
        <w:rPr>
          <w:rFonts w:ascii="Times New Roman" w:hAnsi="Times New Roman" w:cs="Times New Roman"/>
          <w:noProof/>
        </w:rPr>
        <w:t xml:space="preserve"> </w:t>
      </w:r>
    </w:p>
    <w:p w14:paraId="52C2C0E1" w14:textId="2473BE0D"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Kozlenkova, I. V., Samaha, S. A., &amp; Palmatier, R. W. (2014). Resource-based theory in marketing. </w:t>
      </w:r>
      <w:r w:rsidRPr="00656DD0">
        <w:rPr>
          <w:rFonts w:ascii="Times New Roman" w:hAnsi="Times New Roman" w:cs="Times New Roman"/>
          <w:i/>
          <w:iCs/>
          <w:noProof/>
        </w:rPr>
        <w:t>Journal of the Academy of Marketing Science</w:t>
      </w:r>
      <w:r w:rsidRPr="00656DD0">
        <w:rPr>
          <w:rFonts w:ascii="Times New Roman" w:hAnsi="Times New Roman" w:cs="Times New Roman"/>
          <w:noProof/>
        </w:rPr>
        <w:t xml:space="preserve">, </w:t>
      </w:r>
      <w:r w:rsidRPr="00656DD0">
        <w:rPr>
          <w:rFonts w:ascii="Times New Roman" w:hAnsi="Times New Roman" w:cs="Times New Roman"/>
          <w:i/>
          <w:iCs/>
          <w:noProof/>
        </w:rPr>
        <w:t>42</w:t>
      </w:r>
      <w:r w:rsidRPr="00656DD0">
        <w:rPr>
          <w:rFonts w:ascii="Times New Roman" w:hAnsi="Times New Roman" w:cs="Times New Roman"/>
          <w:noProof/>
        </w:rPr>
        <w:t xml:space="preserve">(1), 1–21. </w:t>
      </w:r>
      <w:r w:rsidR="00144520">
        <w:rPr>
          <w:rFonts w:ascii="Times New Roman" w:hAnsi="Times New Roman" w:cs="Times New Roman"/>
          <w:noProof/>
        </w:rPr>
        <w:t xml:space="preserve"> </w:t>
      </w:r>
    </w:p>
    <w:p w14:paraId="146E5ADF" w14:textId="7452C29B"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Leiponen, A., &amp; Helfat, C. E. (2010). Innovation Objectives, Knowledge Sources, and the Benefits of Breadth. </w:t>
      </w:r>
      <w:r w:rsidRPr="00656DD0">
        <w:rPr>
          <w:rFonts w:ascii="Times New Roman" w:hAnsi="Times New Roman" w:cs="Times New Roman"/>
          <w:i/>
          <w:iCs/>
          <w:noProof/>
        </w:rPr>
        <w:t>Stratgic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31</w:t>
      </w:r>
      <w:r w:rsidRPr="00656DD0">
        <w:rPr>
          <w:rFonts w:ascii="Times New Roman" w:hAnsi="Times New Roman" w:cs="Times New Roman"/>
          <w:noProof/>
        </w:rPr>
        <w:t xml:space="preserve">, 224–236. </w:t>
      </w:r>
      <w:r w:rsidR="00144520">
        <w:rPr>
          <w:rFonts w:ascii="Times New Roman" w:hAnsi="Times New Roman" w:cs="Times New Roman"/>
          <w:noProof/>
        </w:rPr>
        <w:t xml:space="preserve"> </w:t>
      </w:r>
    </w:p>
    <w:p w14:paraId="68A0DC66" w14:textId="00FABB4B"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Madhavaram, S., &amp; Hunt, S. D. (2008). The service-dominant logic and a hierarchy of operant resources: developing masterful operant resources and implications for marketing strategy. </w:t>
      </w:r>
      <w:r w:rsidRPr="00656DD0">
        <w:rPr>
          <w:rFonts w:ascii="Times New Roman" w:hAnsi="Times New Roman" w:cs="Times New Roman"/>
          <w:i/>
          <w:iCs/>
          <w:noProof/>
        </w:rPr>
        <w:t>Journal of the Academy of Marketing Science</w:t>
      </w:r>
      <w:r w:rsidRPr="00656DD0">
        <w:rPr>
          <w:rFonts w:ascii="Times New Roman" w:hAnsi="Times New Roman" w:cs="Times New Roman"/>
          <w:noProof/>
        </w:rPr>
        <w:t xml:space="preserve">, </w:t>
      </w:r>
      <w:r w:rsidRPr="00656DD0">
        <w:rPr>
          <w:rFonts w:ascii="Times New Roman" w:hAnsi="Times New Roman" w:cs="Times New Roman"/>
          <w:i/>
          <w:iCs/>
          <w:noProof/>
        </w:rPr>
        <w:t>36</w:t>
      </w:r>
      <w:r w:rsidRPr="00656DD0">
        <w:rPr>
          <w:rFonts w:ascii="Times New Roman" w:hAnsi="Times New Roman" w:cs="Times New Roman"/>
          <w:noProof/>
        </w:rPr>
        <w:t xml:space="preserve">, 67–82. </w:t>
      </w:r>
      <w:r w:rsidR="00144520">
        <w:rPr>
          <w:rFonts w:ascii="Times New Roman" w:hAnsi="Times New Roman" w:cs="Times New Roman"/>
          <w:noProof/>
        </w:rPr>
        <w:t xml:space="preserve"> </w:t>
      </w:r>
    </w:p>
    <w:p w14:paraId="7E342884"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Madhok, A., &amp; Tallman, S. B. (1998). Resources, Transactions and Rents: Managing Value Through Interfirm Collaborative Relationships. </w:t>
      </w:r>
      <w:r w:rsidRPr="00656DD0">
        <w:rPr>
          <w:rFonts w:ascii="Times New Roman" w:hAnsi="Times New Roman" w:cs="Times New Roman"/>
          <w:i/>
          <w:iCs/>
          <w:noProof/>
        </w:rPr>
        <w:t>Organization Science</w:t>
      </w:r>
      <w:r w:rsidRPr="00656DD0">
        <w:rPr>
          <w:rFonts w:ascii="Times New Roman" w:hAnsi="Times New Roman" w:cs="Times New Roman"/>
          <w:noProof/>
        </w:rPr>
        <w:t xml:space="preserve">, </w:t>
      </w:r>
      <w:r w:rsidRPr="00656DD0">
        <w:rPr>
          <w:rFonts w:ascii="Times New Roman" w:hAnsi="Times New Roman" w:cs="Times New Roman"/>
          <w:i/>
          <w:iCs/>
          <w:noProof/>
        </w:rPr>
        <w:t>9</w:t>
      </w:r>
      <w:r w:rsidRPr="00656DD0">
        <w:rPr>
          <w:rFonts w:ascii="Times New Roman" w:hAnsi="Times New Roman" w:cs="Times New Roman"/>
          <w:noProof/>
        </w:rPr>
        <w:t>(3), 326–339.</w:t>
      </w:r>
    </w:p>
    <w:p w14:paraId="32034CA3"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Mahoney, J. T., &amp; Pandian, J. R. (1992). The Resource-Based View Within the Conversation of Strategic Management.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13</w:t>
      </w:r>
      <w:r w:rsidRPr="00656DD0">
        <w:rPr>
          <w:rFonts w:ascii="Times New Roman" w:hAnsi="Times New Roman" w:cs="Times New Roman"/>
          <w:noProof/>
        </w:rPr>
        <w:t>(5), 363–380.</w:t>
      </w:r>
    </w:p>
    <w:p w14:paraId="439FC648"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Makadok, R. (2003). Doing the Right Thing and Knowing the Right Thing to Do: Why the Whole is Greater Than the Sum of the Parts.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24</w:t>
      </w:r>
      <w:r w:rsidRPr="00656DD0">
        <w:rPr>
          <w:rFonts w:ascii="Times New Roman" w:hAnsi="Times New Roman" w:cs="Times New Roman"/>
          <w:noProof/>
        </w:rPr>
        <w:t>, 1043–1055.</w:t>
      </w:r>
    </w:p>
    <w:p w14:paraId="6386936B" w14:textId="66976BAE"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Maritan, C. A., &amp; Peteraf, M. A. (2011). Building a Bridge Between Resource Acquisition and Resource Accumulation. </w:t>
      </w:r>
      <w:r w:rsidRPr="00656DD0">
        <w:rPr>
          <w:rFonts w:ascii="Times New Roman" w:hAnsi="Times New Roman" w:cs="Times New Roman"/>
          <w:i/>
          <w:iCs/>
          <w:noProof/>
        </w:rPr>
        <w:t>Journal of Management</w:t>
      </w:r>
      <w:r w:rsidRPr="00656DD0">
        <w:rPr>
          <w:rFonts w:ascii="Times New Roman" w:hAnsi="Times New Roman" w:cs="Times New Roman"/>
          <w:noProof/>
        </w:rPr>
        <w:t xml:space="preserve">, </w:t>
      </w:r>
      <w:r w:rsidRPr="00656DD0">
        <w:rPr>
          <w:rFonts w:ascii="Times New Roman" w:hAnsi="Times New Roman" w:cs="Times New Roman"/>
          <w:i/>
          <w:iCs/>
          <w:noProof/>
        </w:rPr>
        <w:t>37</w:t>
      </w:r>
      <w:r w:rsidRPr="00656DD0">
        <w:rPr>
          <w:rFonts w:ascii="Times New Roman" w:hAnsi="Times New Roman" w:cs="Times New Roman"/>
          <w:noProof/>
        </w:rPr>
        <w:t xml:space="preserve">(5), 1374–1389. </w:t>
      </w:r>
      <w:r w:rsidR="00144520">
        <w:rPr>
          <w:rFonts w:ascii="Times New Roman" w:hAnsi="Times New Roman" w:cs="Times New Roman"/>
          <w:noProof/>
        </w:rPr>
        <w:t xml:space="preserve"> </w:t>
      </w:r>
    </w:p>
    <w:p w14:paraId="3CD252DA"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Martin, J. A., &amp; Eisenhardt, K. M. (2010). Rewiring: Cross-Business-Unit Collaborations in Multibusiness Organizations. </w:t>
      </w:r>
      <w:r w:rsidRPr="00656DD0">
        <w:rPr>
          <w:rFonts w:ascii="Times New Roman" w:hAnsi="Times New Roman" w:cs="Times New Roman"/>
          <w:i/>
          <w:iCs/>
          <w:noProof/>
        </w:rPr>
        <w:t>Academy of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53</w:t>
      </w:r>
      <w:r w:rsidRPr="00656DD0">
        <w:rPr>
          <w:rFonts w:ascii="Times New Roman" w:hAnsi="Times New Roman" w:cs="Times New Roman"/>
          <w:noProof/>
        </w:rPr>
        <w:t>(2), 265–301.</w:t>
      </w:r>
    </w:p>
    <w:p w14:paraId="6BC14D02" w14:textId="6DEAB1C5"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McEvily, S. K., &amp; Chakravarthy, B. (2002). The persistence of knowledge-based advantage: an empirical test for product performance and technological knowledge.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23</w:t>
      </w:r>
      <w:r w:rsidRPr="00656DD0">
        <w:rPr>
          <w:rFonts w:ascii="Times New Roman" w:hAnsi="Times New Roman" w:cs="Times New Roman"/>
          <w:noProof/>
        </w:rPr>
        <w:t xml:space="preserve">(4), 285–305. </w:t>
      </w:r>
      <w:r w:rsidR="00144520">
        <w:rPr>
          <w:rFonts w:ascii="Times New Roman" w:hAnsi="Times New Roman" w:cs="Times New Roman"/>
          <w:noProof/>
        </w:rPr>
        <w:t xml:space="preserve"> </w:t>
      </w:r>
    </w:p>
    <w:p w14:paraId="71B4416E"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McGrath, J. E. (1981). Dilemmatics: The Study of Research Choices and Dilemmas. </w:t>
      </w:r>
      <w:r w:rsidRPr="00656DD0">
        <w:rPr>
          <w:rFonts w:ascii="Times New Roman" w:hAnsi="Times New Roman" w:cs="Times New Roman"/>
          <w:i/>
          <w:iCs/>
          <w:noProof/>
        </w:rPr>
        <w:t>American Behavioral Scientist</w:t>
      </w:r>
      <w:r w:rsidRPr="00656DD0">
        <w:rPr>
          <w:rFonts w:ascii="Times New Roman" w:hAnsi="Times New Roman" w:cs="Times New Roman"/>
          <w:noProof/>
        </w:rPr>
        <w:t xml:space="preserve">, </w:t>
      </w:r>
      <w:r w:rsidRPr="00656DD0">
        <w:rPr>
          <w:rFonts w:ascii="Times New Roman" w:hAnsi="Times New Roman" w:cs="Times New Roman"/>
          <w:i/>
          <w:iCs/>
          <w:noProof/>
        </w:rPr>
        <w:t>25</w:t>
      </w:r>
      <w:r w:rsidRPr="00656DD0">
        <w:rPr>
          <w:rFonts w:ascii="Times New Roman" w:hAnsi="Times New Roman" w:cs="Times New Roman"/>
          <w:noProof/>
        </w:rPr>
        <w:t>(2), 179–210.</w:t>
      </w:r>
    </w:p>
    <w:p w14:paraId="2B3F14F8"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McIvor, R. (2009). How the transaction cost and resource-based theories of the firm inform outsourcing evaluation. </w:t>
      </w:r>
      <w:r w:rsidRPr="00656DD0">
        <w:rPr>
          <w:rFonts w:ascii="Times New Roman" w:hAnsi="Times New Roman" w:cs="Times New Roman"/>
          <w:i/>
          <w:iCs/>
          <w:noProof/>
        </w:rPr>
        <w:t>Journal of Operations Management</w:t>
      </w:r>
      <w:r w:rsidRPr="00656DD0">
        <w:rPr>
          <w:rFonts w:ascii="Times New Roman" w:hAnsi="Times New Roman" w:cs="Times New Roman"/>
          <w:noProof/>
        </w:rPr>
        <w:t xml:space="preserve">, </w:t>
      </w:r>
      <w:r w:rsidRPr="00656DD0">
        <w:rPr>
          <w:rFonts w:ascii="Times New Roman" w:hAnsi="Times New Roman" w:cs="Times New Roman"/>
          <w:i/>
          <w:iCs/>
          <w:noProof/>
        </w:rPr>
        <w:t>27</w:t>
      </w:r>
      <w:r w:rsidRPr="00656DD0">
        <w:rPr>
          <w:rFonts w:ascii="Times New Roman" w:hAnsi="Times New Roman" w:cs="Times New Roman"/>
          <w:noProof/>
        </w:rPr>
        <w:t>, 45–63.</w:t>
      </w:r>
    </w:p>
    <w:p w14:paraId="2E143940"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Miles, M. B., &amp; Huberman, A. M. (1994). </w:t>
      </w:r>
      <w:r w:rsidRPr="00656DD0">
        <w:rPr>
          <w:rFonts w:ascii="Times New Roman" w:hAnsi="Times New Roman" w:cs="Times New Roman"/>
          <w:i/>
          <w:iCs/>
          <w:noProof/>
        </w:rPr>
        <w:t>Qualitative Data Analysis: An expanded sourcebook</w:t>
      </w:r>
      <w:r w:rsidRPr="00656DD0">
        <w:rPr>
          <w:rFonts w:ascii="Times New Roman" w:hAnsi="Times New Roman" w:cs="Times New Roman"/>
          <w:noProof/>
        </w:rPr>
        <w:t xml:space="preserve"> (2nd ed.). Thousand Oaks, CA: Sage Publications.</w:t>
      </w:r>
    </w:p>
    <w:p w14:paraId="58E506D8"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Narasimhan, R., &amp; Narayanan, S. (2013). Perspectives on Supply Network–Enabled Innovations. </w:t>
      </w:r>
      <w:r w:rsidRPr="00656DD0">
        <w:rPr>
          <w:rFonts w:ascii="Times New Roman" w:hAnsi="Times New Roman" w:cs="Times New Roman"/>
          <w:i/>
          <w:iCs/>
          <w:noProof/>
        </w:rPr>
        <w:t>Journal of 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49</w:t>
      </w:r>
      <w:r w:rsidRPr="00656DD0">
        <w:rPr>
          <w:rFonts w:ascii="Times New Roman" w:hAnsi="Times New Roman" w:cs="Times New Roman"/>
          <w:noProof/>
        </w:rPr>
        <w:t>(4), 27–42.</w:t>
      </w:r>
    </w:p>
    <w:p w14:paraId="654467F4"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Oke, A., Prajogo, D. I., &amp; Yayaram, J. (2013). STRENGTHENING THE INNOVATION </w:t>
      </w:r>
      <w:r w:rsidRPr="00656DD0">
        <w:rPr>
          <w:rFonts w:ascii="Times New Roman" w:hAnsi="Times New Roman" w:cs="Times New Roman"/>
          <w:noProof/>
        </w:rPr>
        <w:lastRenderedPageBreak/>
        <w:t xml:space="preserve">CHAIN: THE ROLE OF INTERNAL INNOVATION CLIMATE AND STRATEGIC RELATIONSHIPS WITH SUPPLY CHAIN PARTNERS. </w:t>
      </w:r>
      <w:r w:rsidRPr="00656DD0">
        <w:rPr>
          <w:rFonts w:ascii="Times New Roman" w:hAnsi="Times New Roman" w:cs="Times New Roman"/>
          <w:i/>
          <w:iCs/>
          <w:noProof/>
        </w:rPr>
        <w:t>Journal of 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49</w:t>
      </w:r>
      <w:r w:rsidRPr="00656DD0">
        <w:rPr>
          <w:rFonts w:ascii="Times New Roman" w:hAnsi="Times New Roman" w:cs="Times New Roman"/>
          <w:noProof/>
        </w:rPr>
        <w:t>(4), 43–58.</w:t>
      </w:r>
    </w:p>
    <w:p w14:paraId="0C54F388"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Ozcan, P., &amp; Eisenhardt, K. M. (2009). ORIGIN OF ALLIANCE PORTFOLIOS: ENTREPRENEURS , NETWORK STRATEGIES, AND FIRM PERFORMANCE. </w:t>
      </w:r>
      <w:r w:rsidRPr="00656DD0">
        <w:rPr>
          <w:rFonts w:ascii="Times New Roman" w:hAnsi="Times New Roman" w:cs="Times New Roman"/>
          <w:i/>
          <w:iCs/>
          <w:noProof/>
        </w:rPr>
        <w:t>Academy of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52</w:t>
      </w:r>
      <w:r w:rsidRPr="00656DD0">
        <w:rPr>
          <w:rFonts w:ascii="Times New Roman" w:hAnsi="Times New Roman" w:cs="Times New Roman"/>
          <w:noProof/>
        </w:rPr>
        <w:t>(2), 246–279.</w:t>
      </w:r>
    </w:p>
    <w:p w14:paraId="320F4D7F"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Pfeffer, J., &amp; Salancik, G. R. (1978). The Design and Management of Externally Controlled Organizations. In </w:t>
      </w:r>
      <w:r w:rsidRPr="00656DD0">
        <w:rPr>
          <w:rFonts w:ascii="Times New Roman" w:hAnsi="Times New Roman" w:cs="Times New Roman"/>
          <w:i/>
          <w:iCs/>
          <w:noProof/>
        </w:rPr>
        <w:t>The External Control of Organizations: A Resource Dependence Perspective</w:t>
      </w:r>
      <w:r w:rsidRPr="00656DD0">
        <w:rPr>
          <w:rFonts w:ascii="Times New Roman" w:hAnsi="Times New Roman" w:cs="Times New Roman"/>
          <w:noProof/>
        </w:rPr>
        <w:t xml:space="preserve"> (pp. 257–287). New York, NY: Harper &amp; Row.</w:t>
      </w:r>
    </w:p>
    <w:p w14:paraId="101CD79B" w14:textId="7279369E"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Powell, W. W., Koput, K. W., &amp; Smith-Doerr, L. (1996). Interorganizational Collaboration and the Locus of Innovation: Networks of Learning in Biotechnology. </w:t>
      </w:r>
      <w:r w:rsidRPr="00656DD0">
        <w:rPr>
          <w:rFonts w:ascii="Times New Roman" w:hAnsi="Times New Roman" w:cs="Times New Roman"/>
          <w:i/>
          <w:iCs/>
          <w:noProof/>
        </w:rPr>
        <w:t>Administrative Science Quarterly</w:t>
      </w:r>
      <w:r w:rsidRPr="00656DD0">
        <w:rPr>
          <w:rFonts w:ascii="Times New Roman" w:hAnsi="Times New Roman" w:cs="Times New Roman"/>
          <w:noProof/>
        </w:rPr>
        <w:t xml:space="preserve">, </w:t>
      </w:r>
      <w:r w:rsidRPr="00656DD0">
        <w:rPr>
          <w:rFonts w:ascii="Times New Roman" w:hAnsi="Times New Roman" w:cs="Times New Roman"/>
          <w:i/>
          <w:iCs/>
          <w:noProof/>
        </w:rPr>
        <w:t>41</w:t>
      </w:r>
      <w:r w:rsidR="00144520">
        <w:rPr>
          <w:rFonts w:ascii="Times New Roman" w:hAnsi="Times New Roman" w:cs="Times New Roman"/>
          <w:noProof/>
        </w:rPr>
        <w:t xml:space="preserve">(1), 116–145.  </w:t>
      </w:r>
    </w:p>
    <w:p w14:paraId="3D882050" w14:textId="0E5CA515"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Prahalad, C. K., Hamel, G., &amp; June, M. A. Y. (1990). The Core Competence of the Corporation. </w:t>
      </w:r>
      <w:r w:rsidRPr="00656DD0">
        <w:rPr>
          <w:rFonts w:ascii="Times New Roman" w:hAnsi="Times New Roman" w:cs="Times New Roman"/>
          <w:i/>
          <w:iCs/>
          <w:noProof/>
        </w:rPr>
        <w:t>Harvard Business Review</w:t>
      </w:r>
      <w:r w:rsidRPr="00656DD0">
        <w:rPr>
          <w:rFonts w:ascii="Times New Roman" w:hAnsi="Times New Roman" w:cs="Times New Roman"/>
          <w:noProof/>
        </w:rPr>
        <w:t xml:space="preserve">, </w:t>
      </w:r>
      <w:r w:rsidRPr="00656DD0">
        <w:rPr>
          <w:rFonts w:ascii="Times New Roman" w:hAnsi="Times New Roman" w:cs="Times New Roman"/>
          <w:i/>
          <w:iCs/>
          <w:noProof/>
        </w:rPr>
        <w:t>68</w:t>
      </w:r>
      <w:r w:rsidRPr="00656DD0">
        <w:rPr>
          <w:rFonts w:ascii="Times New Roman" w:hAnsi="Times New Roman" w:cs="Times New Roman"/>
          <w:noProof/>
        </w:rPr>
        <w:t xml:space="preserve">(3), 79–91. </w:t>
      </w:r>
      <w:r w:rsidR="00144520">
        <w:rPr>
          <w:rFonts w:ascii="Times New Roman" w:hAnsi="Times New Roman" w:cs="Times New Roman"/>
          <w:noProof/>
        </w:rPr>
        <w:t xml:space="preserve"> </w:t>
      </w:r>
    </w:p>
    <w:p w14:paraId="2A4C7016" w14:textId="114F62B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Richard, P. J., Devinney, T. M., Yip, G., &amp; Johnson, G. (2009). Measuring Organizational Performance: Towards Methodological Best Practice. </w:t>
      </w:r>
      <w:r w:rsidRPr="00656DD0">
        <w:rPr>
          <w:rFonts w:ascii="Times New Roman" w:hAnsi="Times New Roman" w:cs="Times New Roman"/>
          <w:i/>
          <w:iCs/>
          <w:noProof/>
        </w:rPr>
        <w:t>Journal of Management</w:t>
      </w:r>
      <w:r w:rsidRPr="00656DD0">
        <w:rPr>
          <w:rFonts w:ascii="Times New Roman" w:hAnsi="Times New Roman" w:cs="Times New Roman"/>
          <w:noProof/>
        </w:rPr>
        <w:t xml:space="preserve">, </w:t>
      </w:r>
      <w:r w:rsidRPr="00656DD0">
        <w:rPr>
          <w:rFonts w:ascii="Times New Roman" w:hAnsi="Times New Roman" w:cs="Times New Roman"/>
          <w:i/>
          <w:iCs/>
          <w:noProof/>
        </w:rPr>
        <w:t>35</w:t>
      </w:r>
      <w:r w:rsidRPr="00656DD0">
        <w:rPr>
          <w:rFonts w:ascii="Times New Roman" w:hAnsi="Times New Roman" w:cs="Times New Roman"/>
          <w:noProof/>
        </w:rPr>
        <w:t xml:space="preserve">(3), 718–804. </w:t>
      </w:r>
      <w:r w:rsidR="00144520">
        <w:rPr>
          <w:rFonts w:ascii="Times New Roman" w:hAnsi="Times New Roman" w:cs="Times New Roman"/>
          <w:noProof/>
        </w:rPr>
        <w:t xml:space="preserve"> </w:t>
      </w:r>
    </w:p>
    <w:p w14:paraId="5174B95C" w14:textId="41EC710F"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Rodríguez, A., &amp; Nieto, M. J. (2016). DOES R &amp; D OFFSHORING LEAD TO SME GROWTH? DIFFERENT GOVERNANCE MODES AND THE MEDIATING ROLE OF INNOVATION.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37</w:t>
      </w:r>
      <w:r w:rsidRPr="00656DD0">
        <w:rPr>
          <w:rFonts w:ascii="Times New Roman" w:hAnsi="Times New Roman" w:cs="Times New Roman"/>
          <w:noProof/>
        </w:rPr>
        <w:t xml:space="preserve">, 1734–1753. </w:t>
      </w:r>
      <w:r w:rsidR="00144520">
        <w:rPr>
          <w:rFonts w:ascii="Times New Roman" w:hAnsi="Times New Roman" w:cs="Times New Roman"/>
          <w:noProof/>
        </w:rPr>
        <w:t xml:space="preserve"> </w:t>
      </w:r>
    </w:p>
    <w:p w14:paraId="05F7CF33" w14:textId="4DF15B5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Sirmon, D. G., &amp; Hitt, M. A. (2009). CONTINGENCIES WITHIN DYNAMIC MANAGERIAL CAPABILITIES: INTERDEPENDENT EFFECTS OF RESOURCE INVESTMENT AND DEPLOYMENT ON FIRM PERFORMANCE.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30</w:t>
      </w:r>
      <w:r w:rsidRPr="00656DD0">
        <w:rPr>
          <w:rFonts w:ascii="Times New Roman" w:hAnsi="Times New Roman" w:cs="Times New Roman"/>
          <w:noProof/>
        </w:rPr>
        <w:t xml:space="preserve">, 1375–1394. </w:t>
      </w:r>
      <w:r w:rsidR="00144520">
        <w:rPr>
          <w:rFonts w:ascii="Times New Roman" w:hAnsi="Times New Roman" w:cs="Times New Roman"/>
          <w:noProof/>
        </w:rPr>
        <w:t xml:space="preserve"> </w:t>
      </w:r>
    </w:p>
    <w:p w14:paraId="0ED483AA"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Sirmon, D. G., Hitt, M. A., &amp; Ireland, R. D. (2007). Managing Firm Resources in Dynamic Environments to Create Value: Looking Inside the Black Box. </w:t>
      </w:r>
      <w:r w:rsidRPr="00656DD0">
        <w:rPr>
          <w:rFonts w:ascii="Times New Roman" w:hAnsi="Times New Roman" w:cs="Times New Roman"/>
          <w:i/>
          <w:iCs/>
          <w:noProof/>
        </w:rPr>
        <w:t>Academy of Management Review</w:t>
      </w:r>
      <w:r w:rsidRPr="00656DD0">
        <w:rPr>
          <w:rFonts w:ascii="Times New Roman" w:hAnsi="Times New Roman" w:cs="Times New Roman"/>
          <w:noProof/>
        </w:rPr>
        <w:t xml:space="preserve">, </w:t>
      </w:r>
      <w:r w:rsidRPr="00656DD0">
        <w:rPr>
          <w:rFonts w:ascii="Times New Roman" w:hAnsi="Times New Roman" w:cs="Times New Roman"/>
          <w:i/>
          <w:iCs/>
          <w:noProof/>
        </w:rPr>
        <w:t>32</w:t>
      </w:r>
      <w:r w:rsidRPr="00656DD0">
        <w:rPr>
          <w:rFonts w:ascii="Times New Roman" w:hAnsi="Times New Roman" w:cs="Times New Roman"/>
          <w:noProof/>
        </w:rPr>
        <w:t>(1), 273–292.</w:t>
      </w:r>
    </w:p>
    <w:p w14:paraId="09CBC3B6" w14:textId="12B0338C"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Sirmon, D. G., Hitt, M. A., Ireland, R. D., &amp; Gilbert, B. A. (2011). Resource Orchestration to Create Competitive Advantage : Breadth , Depth , and Life Cycle Effects. </w:t>
      </w:r>
      <w:r w:rsidRPr="00656DD0">
        <w:rPr>
          <w:rFonts w:ascii="Times New Roman" w:hAnsi="Times New Roman" w:cs="Times New Roman"/>
          <w:i/>
          <w:iCs/>
          <w:noProof/>
        </w:rPr>
        <w:t>Journal of Management</w:t>
      </w:r>
      <w:r w:rsidRPr="00656DD0">
        <w:rPr>
          <w:rFonts w:ascii="Times New Roman" w:hAnsi="Times New Roman" w:cs="Times New Roman"/>
          <w:noProof/>
        </w:rPr>
        <w:t xml:space="preserve">, </w:t>
      </w:r>
      <w:r w:rsidRPr="00656DD0">
        <w:rPr>
          <w:rFonts w:ascii="Times New Roman" w:hAnsi="Times New Roman" w:cs="Times New Roman"/>
          <w:i/>
          <w:iCs/>
          <w:noProof/>
        </w:rPr>
        <w:t>37</w:t>
      </w:r>
      <w:r w:rsidRPr="00656DD0">
        <w:rPr>
          <w:rFonts w:ascii="Times New Roman" w:hAnsi="Times New Roman" w:cs="Times New Roman"/>
          <w:noProof/>
        </w:rPr>
        <w:t xml:space="preserve">(5), 1390–1412. </w:t>
      </w:r>
      <w:r w:rsidR="00144520">
        <w:rPr>
          <w:rFonts w:ascii="Times New Roman" w:hAnsi="Times New Roman" w:cs="Times New Roman"/>
          <w:noProof/>
        </w:rPr>
        <w:t xml:space="preserve"> </w:t>
      </w:r>
    </w:p>
    <w:p w14:paraId="691FE45F"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Tate, W. L., &amp; Ellram, L. M. (2012). SERVICE SUPPLY MANAGEMENT STRUCTURE IN OFFSHORE OUTSOURCING. </w:t>
      </w:r>
      <w:r w:rsidRPr="00656DD0">
        <w:rPr>
          <w:rFonts w:ascii="Times New Roman" w:hAnsi="Times New Roman" w:cs="Times New Roman"/>
          <w:i/>
          <w:iCs/>
          <w:noProof/>
        </w:rPr>
        <w:t>Journal of 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48</w:t>
      </w:r>
      <w:r w:rsidRPr="00656DD0">
        <w:rPr>
          <w:rFonts w:ascii="Times New Roman" w:hAnsi="Times New Roman" w:cs="Times New Roman"/>
          <w:noProof/>
        </w:rPr>
        <w:t>(4), 8–29.</w:t>
      </w:r>
    </w:p>
    <w:p w14:paraId="078906C1" w14:textId="455413F9"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Teece, D. J. (2007). Explicating Dynamic Capabilities: The Nature and Microfoundations of (Sustainable) Enterprise Performance.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28</w:t>
      </w:r>
      <w:r w:rsidRPr="00656DD0">
        <w:rPr>
          <w:rFonts w:ascii="Times New Roman" w:hAnsi="Times New Roman" w:cs="Times New Roman"/>
          <w:noProof/>
        </w:rPr>
        <w:t xml:space="preserve">, 1319–1350. </w:t>
      </w:r>
      <w:r w:rsidR="00144520">
        <w:rPr>
          <w:rFonts w:ascii="Times New Roman" w:hAnsi="Times New Roman" w:cs="Times New Roman"/>
          <w:noProof/>
        </w:rPr>
        <w:t xml:space="preserve"> </w:t>
      </w:r>
    </w:p>
    <w:p w14:paraId="2ED4BF5B"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Teece, D. J., Pisano, G., &amp; Shuen, A. (1997). Dynamic capabilities and strategic management.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18</w:t>
      </w:r>
      <w:r w:rsidRPr="00656DD0">
        <w:rPr>
          <w:rFonts w:ascii="Times New Roman" w:hAnsi="Times New Roman" w:cs="Times New Roman"/>
          <w:noProof/>
        </w:rPr>
        <w:t>(7), 509–533. Retrieved from http://doi.wiley.com/10.1002/(SICI)1097-0266(199708)18:7%3C509::AID-SMJ882%3E3.0.CO;2-Z</w:t>
      </w:r>
    </w:p>
    <w:p w14:paraId="32BDC41A" w14:textId="7643394E"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Townsend, J. D., &amp; Calantone, R. J. (2014). Evolution and Transformation of Innovation in the Global Automotive Industry. </w:t>
      </w:r>
      <w:r w:rsidRPr="00656DD0">
        <w:rPr>
          <w:rFonts w:ascii="Times New Roman" w:hAnsi="Times New Roman" w:cs="Times New Roman"/>
          <w:i/>
          <w:iCs/>
          <w:noProof/>
        </w:rPr>
        <w:t>Journal of Product Innovation Management</w:t>
      </w:r>
      <w:r w:rsidRPr="00656DD0">
        <w:rPr>
          <w:rFonts w:ascii="Times New Roman" w:hAnsi="Times New Roman" w:cs="Times New Roman"/>
          <w:noProof/>
        </w:rPr>
        <w:t xml:space="preserve">, </w:t>
      </w:r>
      <w:r w:rsidRPr="00656DD0">
        <w:rPr>
          <w:rFonts w:ascii="Times New Roman" w:hAnsi="Times New Roman" w:cs="Times New Roman"/>
          <w:i/>
          <w:iCs/>
          <w:noProof/>
        </w:rPr>
        <w:t>31</w:t>
      </w:r>
      <w:r w:rsidRPr="00656DD0">
        <w:rPr>
          <w:rFonts w:ascii="Times New Roman" w:hAnsi="Times New Roman" w:cs="Times New Roman"/>
          <w:noProof/>
        </w:rPr>
        <w:t xml:space="preserve">(1), 4–7. </w:t>
      </w:r>
      <w:r w:rsidR="00B745A7">
        <w:rPr>
          <w:rFonts w:ascii="Times New Roman" w:hAnsi="Times New Roman" w:cs="Times New Roman"/>
          <w:noProof/>
        </w:rPr>
        <w:t xml:space="preserve"> </w:t>
      </w:r>
    </w:p>
    <w:p w14:paraId="3518DC35" w14:textId="1DD46AF4"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Vivek, S. D., Banwet, D. K., &amp; Shankar, R. (2008). Analysis of interactions among core, transaction and relationship-specific investments: The case of offshoring. </w:t>
      </w:r>
      <w:r w:rsidRPr="00656DD0">
        <w:rPr>
          <w:rFonts w:ascii="Times New Roman" w:hAnsi="Times New Roman" w:cs="Times New Roman"/>
          <w:i/>
          <w:iCs/>
          <w:noProof/>
        </w:rPr>
        <w:t>Journal of Operations Management</w:t>
      </w:r>
      <w:r w:rsidRPr="00656DD0">
        <w:rPr>
          <w:rFonts w:ascii="Times New Roman" w:hAnsi="Times New Roman" w:cs="Times New Roman"/>
          <w:noProof/>
        </w:rPr>
        <w:t xml:space="preserve">, </w:t>
      </w:r>
      <w:r w:rsidRPr="00656DD0">
        <w:rPr>
          <w:rFonts w:ascii="Times New Roman" w:hAnsi="Times New Roman" w:cs="Times New Roman"/>
          <w:i/>
          <w:iCs/>
          <w:noProof/>
        </w:rPr>
        <w:t>26</w:t>
      </w:r>
      <w:r w:rsidRPr="00656DD0">
        <w:rPr>
          <w:rFonts w:ascii="Times New Roman" w:hAnsi="Times New Roman" w:cs="Times New Roman"/>
          <w:noProof/>
        </w:rPr>
        <w:t xml:space="preserve">, 180–197. </w:t>
      </w:r>
      <w:r w:rsidR="00B745A7">
        <w:rPr>
          <w:rFonts w:ascii="Times New Roman" w:hAnsi="Times New Roman" w:cs="Times New Roman"/>
          <w:noProof/>
        </w:rPr>
        <w:t xml:space="preserve"> </w:t>
      </w:r>
    </w:p>
    <w:p w14:paraId="15C4B107"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Wacker, J. G. (1998). A definition of theory: research guidelines for different theory-building research methods in operations management. </w:t>
      </w:r>
      <w:r w:rsidRPr="00656DD0">
        <w:rPr>
          <w:rFonts w:ascii="Times New Roman" w:hAnsi="Times New Roman" w:cs="Times New Roman"/>
          <w:i/>
          <w:iCs/>
          <w:noProof/>
        </w:rPr>
        <w:t>Journal of Operations Management</w:t>
      </w:r>
      <w:r w:rsidRPr="00656DD0">
        <w:rPr>
          <w:rFonts w:ascii="Times New Roman" w:hAnsi="Times New Roman" w:cs="Times New Roman"/>
          <w:noProof/>
        </w:rPr>
        <w:t xml:space="preserve">, </w:t>
      </w:r>
      <w:r w:rsidRPr="00656DD0">
        <w:rPr>
          <w:rFonts w:ascii="Times New Roman" w:hAnsi="Times New Roman" w:cs="Times New Roman"/>
          <w:i/>
          <w:iCs/>
          <w:noProof/>
        </w:rPr>
        <w:t>16</w:t>
      </w:r>
      <w:r w:rsidRPr="00656DD0">
        <w:rPr>
          <w:rFonts w:ascii="Times New Roman" w:hAnsi="Times New Roman" w:cs="Times New Roman"/>
          <w:noProof/>
        </w:rPr>
        <w:t>(4), 361–385.</w:t>
      </w:r>
    </w:p>
    <w:p w14:paraId="35C80FDE" w14:textId="1FC4E253"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lastRenderedPageBreak/>
        <w:t xml:space="preserve">Wang, L., &amp; Zajac, E. J. (2007). Alliance Or Acquisition? A Dyadic Perspective On Interfirm Resource Combinations.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28</w:t>
      </w:r>
      <w:r w:rsidRPr="00656DD0">
        <w:rPr>
          <w:rFonts w:ascii="Times New Roman" w:hAnsi="Times New Roman" w:cs="Times New Roman"/>
          <w:noProof/>
        </w:rPr>
        <w:t xml:space="preserve">, 1291–1317. </w:t>
      </w:r>
      <w:r w:rsidR="00B745A7">
        <w:rPr>
          <w:rFonts w:ascii="Times New Roman" w:hAnsi="Times New Roman" w:cs="Times New Roman"/>
          <w:noProof/>
        </w:rPr>
        <w:t xml:space="preserve"> </w:t>
      </w:r>
    </w:p>
    <w:p w14:paraId="57158593"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Wei, Y. (Susan), Neill, H. O., Lee, R. P., &amp; Zhou, N. (2013). The Impact of Innovative Culture on Individual Employees: The Moderating Role of Market Information Sharing. </w:t>
      </w:r>
      <w:r w:rsidRPr="00656DD0">
        <w:rPr>
          <w:rFonts w:ascii="Times New Roman" w:hAnsi="Times New Roman" w:cs="Times New Roman"/>
          <w:i/>
          <w:iCs/>
          <w:noProof/>
        </w:rPr>
        <w:t>Journal of Product Innovation Management</w:t>
      </w:r>
      <w:r w:rsidRPr="00656DD0">
        <w:rPr>
          <w:rFonts w:ascii="Times New Roman" w:hAnsi="Times New Roman" w:cs="Times New Roman"/>
          <w:noProof/>
        </w:rPr>
        <w:t xml:space="preserve">, </w:t>
      </w:r>
      <w:r w:rsidRPr="00656DD0">
        <w:rPr>
          <w:rFonts w:ascii="Times New Roman" w:hAnsi="Times New Roman" w:cs="Times New Roman"/>
          <w:i/>
          <w:iCs/>
          <w:noProof/>
        </w:rPr>
        <w:t>30</w:t>
      </w:r>
      <w:r w:rsidRPr="00656DD0">
        <w:rPr>
          <w:rFonts w:ascii="Times New Roman" w:hAnsi="Times New Roman" w:cs="Times New Roman"/>
          <w:noProof/>
        </w:rPr>
        <w:t>(5), 1027–1041.</w:t>
      </w:r>
    </w:p>
    <w:p w14:paraId="6FB22EA4" w14:textId="5658DB4B"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Wernerfelt, B. (1984). A Resource-based View of the Firm. </w:t>
      </w:r>
      <w:r w:rsidRPr="00656DD0">
        <w:rPr>
          <w:rFonts w:ascii="Times New Roman" w:hAnsi="Times New Roman" w:cs="Times New Roman"/>
          <w:i/>
          <w:iCs/>
          <w:noProof/>
        </w:rPr>
        <w:t>Journal of Strategic Management</w:t>
      </w:r>
      <w:r w:rsidRPr="00656DD0">
        <w:rPr>
          <w:rFonts w:ascii="Times New Roman" w:hAnsi="Times New Roman" w:cs="Times New Roman"/>
          <w:noProof/>
        </w:rPr>
        <w:t xml:space="preserve">, </w:t>
      </w:r>
      <w:r w:rsidRPr="00656DD0">
        <w:rPr>
          <w:rFonts w:ascii="Times New Roman" w:hAnsi="Times New Roman" w:cs="Times New Roman"/>
          <w:i/>
          <w:iCs/>
          <w:noProof/>
        </w:rPr>
        <w:t>5</w:t>
      </w:r>
      <w:r w:rsidRPr="00656DD0">
        <w:rPr>
          <w:rFonts w:ascii="Times New Roman" w:hAnsi="Times New Roman" w:cs="Times New Roman"/>
          <w:noProof/>
        </w:rPr>
        <w:t xml:space="preserve">, 171–180. </w:t>
      </w:r>
      <w:r w:rsidR="00B745A7">
        <w:rPr>
          <w:rFonts w:ascii="Times New Roman" w:hAnsi="Times New Roman" w:cs="Times New Roman"/>
          <w:noProof/>
        </w:rPr>
        <w:t xml:space="preserve"> </w:t>
      </w:r>
    </w:p>
    <w:p w14:paraId="21B44C68" w14:textId="03F722B3"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West, J., &amp; Bogers, M. (2014). Leveraging External Sources of Innovation: A Review of Research on Open Innovation. </w:t>
      </w:r>
      <w:r w:rsidRPr="00656DD0">
        <w:rPr>
          <w:rFonts w:ascii="Times New Roman" w:hAnsi="Times New Roman" w:cs="Times New Roman"/>
          <w:i/>
          <w:iCs/>
          <w:noProof/>
        </w:rPr>
        <w:t>Journal of Product Innovation Management</w:t>
      </w:r>
      <w:r w:rsidRPr="00656DD0">
        <w:rPr>
          <w:rFonts w:ascii="Times New Roman" w:hAnsi="Times New Roman" w:cs="Times New Roman"/>
          <w:noProof/>
        </w:rPr>
        <w:t xml:space="preserve">, </w:t>
      </w:r>
      <w:r w:rsidRPr="00656DD0">
        <w:rPr>
          <w:rFonts w:ascii="Times New Roman" w:hAnsi="Times New Roman" w:cs="Times New Roman"/>
          <w:i/>
          <w:iCs/>
          <w:noProof/>
        </w:rPr>
        <w:t>31</w:t>
      </w:r>
      <w:r w:rsidRPr="00656DD0">
        <w:rPr>
          <w:rFonts w:ascii="Times New Roman" w:hAnsi="Times New Roman" w:cs="Times New Roman"/>
          <w:noProof/>
        </w:rPr>
        <w:t xml:space="preserve">(4), 814–831. </w:t>
      </w:r>
      <w:r w:rsidR="00B745A7">
        <w:rPr>
          <w:rFonts w:ascii="Times New Roman" w:hAnsi="Times New Roman" w:cs="Times New Roman"/>
          <w:noProof/>
        </w:rPr>
        <w:t xml:space="preserve"> </w:t>
      </w:r>
    </w:p>
    <w:p w14:paraId="1CE3EAF4"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Wiklund, J., &amp; Shepherd, D. (2003). Knowledge-Based Resources, Entrepreneurial Orientation, and the Performance of Small and Medium-Sized Businesses.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24</w:t>
      </w:r>
      <w:r w:rsidRPr="00656DD0">
        <w:rPr>
          <w:rFonts w:ascii="Times New Roman" w:hAnsi="Times New Roman" w:cs="Times New Roman"/>
          <w:noProof/>
        </w:rPr>
        <w:t>, 1307–1314.</w:t>
      </w:r>
    </w:p>
    <w:p w14:paraId="6EB95CD1"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Wiklund, J., &amp; Shepherd, D. A. (2009). The Effectiveness of Alliances and Acquisitions: The Role of Resource Combination Activities. </w:t>
      </w:r>
      <w:r w:rsidRPr="00656DD0">
        <w:rPr>
          <w:rFonts w:ascii="Times New Roman" w:hAnsi="Times New Roman" w:cs="Times New Roman"/>
          <w:i/>
          <w:iCs/>
          <w:noProof/>
        </w:rPr>
        <w:t>Entrepreneurship Theory and Practice</w:t>
      </w:r>
      <w:r w:rsidRPr="00656DD0">
        <w:rPr>
          <w:rFonts w:ascii="Times New Roman" w:hAnsi="Times New Roman" w:cs="Times New Roman"/>
          <w:noProof/>
        </w:rPr>
        <w:t>, (January), 193–213.</w:t>
      </w:r>
    </w:p>
    <w:p w14:paraId="582AB762"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Winter, S. G. (2003). Understanding dynamic capabilities.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24</w:t>
      </w:r>
      <w:r w:rsidRPr="00656DD0">
        <w:rPr>
          <w:rFonts w:ascii="Times New Roman" w:hAnsi="Times New Roman" w:cs="Times New Roman"/>
          <w:noProof/>
        </w:rPr>
        <w:t>(10), 991–995.</w:t>
      </w:r>
    </w:p>
    <w:p w14:paraId="79CA155F"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Wowak, K. D., Craighead, C. W., Ketchen, D. J., &amp; Hult, G. T. M. (2016). Toward a “theoretical toolbox” for the supplier-enabled fuzzy front end of the new product development process. </w:t>
      </w:r>
      <w:r w:rsidRPr="00656DD0">
        <w:rPr>
          <w:rFonts w:ascii="Times New Roman" w:hAnsi="Times New Roman" w:cs="Times New Roman"/>
          <w:i/>
          <w:iCs/>
          <w:noProof/>
        </w:rPr>
        <w:t>Journal of Supply Chain Management</w:t>
      </w:r>
      <w:r w:rsidRPr="00656DD0">
        <w:rPr>
          <w:rFonts w:ascii="Times New Roman" w:hAnsi="Times New Roman" w:cs="Times New Roman"/>
          <w:noProof/>
        </w:rPr>
        <w:t xml:space="preserve">, </w:t>
      </w:r>
      <w:r w:rsidRPr="00656DD0">
        <w:rPr>
          <w:rFonts w:ascii="Times New Roman" w:hAnsi="Times New Roman" w:cs="Times New Roman"/>
          <w:i/>
          <w:iCs/>
          <w:noProof/>
        </w:rPr>
        <w:t>52</w:t>
      </w:r>
      <w:r w:rsidRPr="00656DD0">
        <w:rPr>
          <w:rFonts w:ascii="Times New Roman" w:hAnsi="Times New Roman" w:cs="Times New Roman"/>
          <w:noProof/>
        </w:rPr>
        <w:t>(1), 66–81.</w:t>
      </w:r>
    </w:p>
    <w:p w14:paraId="58A2D77E"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Yalcinkaya, G., Calantone, R. J., &amp; Griffith, D. A. (2007). An Examination of Exploration and Exploitation Capabilities: Implications for Product Innovation and Market. </w:t>
      </w:r>
      <w:r w:rsidRPr="00656DD0">
        <w:rPr>
          <w:rFonts w:ascii="Times New Roman" w:hAnsi="Times New Roman" w:cs="Times New Roman"/>
          <w:i/>
          <w:iCs/>
          <w:noProof/>
        </w:rPr>
        <w:t>Journal of International Marketing</w:t>
      </w:r>
      <w:r w:rsidRPr="00656DD0">
        <w:rPr>
          <w:rFonts w:ascii="Times New Roman" w:hAnsi="Times New Roman" w:cs="Times New Roman"/>
          <w:noProof/>
        </w:rPr>
        <w:t xml:space="preserve">, </w:t>
      </w:r>
      <w:r w:rsidRPr="00656DD0">
        <w:rPr>
          <w:rFonts w:ascii="Times New Roman" w:hAnsi="Times New Roman" w:cs="Times New Roman"/>
          <w:i/>
          <w:iCs/>
          <w:noProof/>
        </w:rPr>
        <w:t>15</w:t>
      </w:r>
      <w:r w:rsidRPr="00656DD0">
        <w:rPr>
          <w:rFonts w:ascii="Times New Roman" w:hAnsi="Times New Roman" w:cs="Times New Roman"/>
          <w:noProof/>
        </w:rPr>
        <w:t>(4), 63–93.</w:t>
      </w:r>
    </w:p>
    <w:p w14:paraId="7A31F1E2" w14:textId="77777777"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Yin, R. K. (2014). </w:t>
      </w:r>
      <w:r w:rsidRPr="00656DD0">
        <w:rPr>
          <w:rFonts w:ascii="Times New Roman" w:hAnsi="Times New Roman" w:cs="Times New Roman"/>
          <w:i/>
          <w:iCs/>
          <w:noProof/>
        </w:rPr>
        <w:t>Case Study Research: Design and Methods</w:t>
      </w:r>
      <w:r w:rsidRPr="00656DD0">
        <w:rPr>
          <w:rFonts w:ascii="Times New Roman" w:hAnsi="Times New Roman" w:cs="Times New Roman"/>
          <w:noProof/>
        </w:rPr>
        <w:t xml:space="preserve"> (5th ed.). Thousand Oaks, CA: Sage Publications.</w:t>
      </w:r>
    </w:p>
    <w:p w14:paraId="691967A1" w14:textId="43A65C01"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Yli-Renko, H., Autio, E., &amp; Sapienza, H. J. (2001). Social Capital, Knowledge Acquisition, and Knowledge Exploitation in Young Technoloy-Based Firms. </w:t>
      </w:r>
      <w:r w:rsidRPr="00656DD0">
        <w:rPr>
          <w:rFonts w:ascii="Times New Roman" w:hAnsi="Times New Roman" w:cs="Times New Roman"/>
          <w:i/>
          <w:iCs/>
          <w:noProof/>
        </w:rPr>
        <w:t>Strategic Management Journal</w:t>
      </w:r>
      <w:r w:rsidRPr="00656DD0">
        <w:rPr>
          <w:rFonts w:ascii="Times New Roman" w:hAnsi="Times New Roman" w:cs="Times New Roman"/>
          <w:noProof/>
        </w:rPr>
        <w:t xml:space="preserve">, </w:t>
      </w:r>
      <w:r w:rsidRPr="00656DD0">
        <w:rPr>
          <w:rFonts w:ascii="Times New Roman" w:hAnsi="Times New Roman" w:cs="Times New Roman"/>
          <w:i/>
          <w:iCs/>
          <w:noProof/>
        </w:rPr>
        <w:t>22</w:t>
      </w:r>
      <w:r w:rsidRPr="00656DD0">
        <w:rPr>
          <w:rFonts w:ascii="Times New Roman" w:hAnsi="Times New Roman" w:cs="Times New Roman"/>
          <w:noProof/>
        </w:rPr>
        <w:t xml:space="preserve">, 587–613. </w:t>
      </w:r>
      <w:r w:rsidR="00B745A7">
        <w:rPr>
          <w:rFonts w:ascii="Times New Roman" w:hAnsi="Times New Roman" w:cs="Times New Roman"/>
          <w:noProof/>
        </w:rPr>
        <w:t xml:space="preserve"> </w:t>
      </w:r>
    </w:p>
    <w:p w14:paraId="0EA9877F" w14:textId="377F0093" w:rsidR="00656DD0" w:rsidRPr="00656DD0" w:rsidRDefault="00656DD0" w:rsidP="00656DD0">
      <w:pPr>
        <w:widowControl w:val="0"/>
        <w:autoSpaceDE w:val="0"/>
        <w:autoSpaceDN w:val="0"/>
        <w:adjustRightInd w:val="0"/>
        <w:ind w:left="480" w:hanging="480"/>
        <w:rPr>
          <w:rFonts w:ascii="Times New Roman" w:hAnsi="Times New Roman" w:cs="Times New Roman"/>
          <w:noProof/>
        </w:rPr>
      </w:pPr>
      <w:r w:rsidRPr="00656DD0">
        <w:rPr>
          <w:rFonts w:ascii="Times New Roman" w:hAnsi="Times New Roman" w:cs="Times New Roman"/>
          <w:noProof/>
        </w:rPr>
        <w:t xml:space="preserve">Zsidisin, G. A., Hartley, J. L., Bernardes, E. S., &amp; Saunders, L. W. (2015). Examining supply market scanning and internal communication climate as facilitators of supply chain integration. </w:t>
      </w:r>
      <w:r w:rsidRPr="00656DD0">
        <w:rPr>
          <w:rFonts w:ascii="Times New Roman" w:hAnsi="Times New Roman" w:cs="Times New Roman"/>
          <w:i/>
          <w:iCs/>
          <w:noProof/>
        </w:rPr>
        <w:t>Supply Chain Management: An International Journal</w:t>
      </w:r>
      <w:r w:rsidRPr="00656DD0">
        <w:rPr>
          <w:rFonts w:ascii="Times New Roman" w:hAnsi="Times New Roman" w:cs="Times New Roman"/>
          <w:noProof/>
        </w:rPr>
        <w:t xml:space="preserve">, </w:t>
      </w:r>
      <w:r w:rsidRPr="00656DD0">
        <w:rPr>
          <w:rFonts w:ascii="Times New Roman" w:hAnsi="Times New Roman" w:cs="Times New Roman"/>
          <w:i/>
          <w:iCs/>
          <w:noProof/>
        </w:rPr>
        <w:t>20</w:t>
      </w:r>
      <w:r w:rsidRPr="00656DD0">
        <w:rPr>
          <w:rFonts w:ascii="Times New Roman" w:hAnsi="Times New Roman" w:cs="Times New Roman"/>
          <w:noProof/>
        </w:rPr>
        <w:t xml:space="preserve">(5), 549–560. </w:t>
      </w:r>
      <w:r w:rsidR="00563978">
        <w:rPr>
          <w:rFonts w:ascii="Times New Roman" w:hAnsi="Times New Roman" w:cs="Times New Roman"/>
          <w:noProof/>
        </w:rPr>
        <w:t xml:space="preserve">    </w:t>
      </w:r>
    </w:p>
    <w:p w14:paraId="39FED565" w14:textId="4BAE69A2" w:rsidR="00CD0034" w:rsidRDefault="000E6ECE" w:rsidP="00656DD0">
      <w:pPr>
        <w:widowControl w:val="0"/>
        <w:autoSpaceDE w:val="0"/>
        <w:autoSpaceDN w:val="0"/>
        <w:adjustRightInd w:val="0"/>
        <w:ind w:left="480" w:hanging="480"/>
        <w:rPr>
          <w:rFonts w:ascii="Times New Roman" w:hAnsi="Times New Roman" w:cs="Times New Roman"/>
        </w:rPr>
      </w:pPr>
      <w:r>
        <w:rPr>
          <w:rFonts w:ascii="Times New Roman" w:hAnsi="Times New Roman" w:cs="Times New Roman"/>
        </w:rPr>
        <w:fldChar w:fldCharType="end"/>
      </w:r>
    </w:p>
    <w:p w14:paraId="7381A6F9" w14:textId="77777777" w:rsidR="00417DFE" w:rsidRDefault="00417DFE" w:rsidP="008C76D8">
      <w:pPr>
        <w:widowControl w:val="0"/>
        <w:autoSpaceDE w:val="0"/>
        <w:autoSpaceDN w:val="0"/>
        <w:adjustRightInd w:val="0"/>
        <w:ind w:left="480" w:hanging="480"/>
        <w:rPr>
          <w:rFonts w:ascii="Times New Roman" w:hAnsi="Times New Roman" w:cs="Times New Roman"/>
        </w:rPr>
      </w:pPr>
    </w:p>
    <w:p w14:paraId="600473F5" w14:textId="77777777" w:rsidR="00A51D65" w:rsidRDefault="00A51D65" w:rsidP="00A51D65">
      <w:pPr>
        <w:widowControl w:val="0"/>
        <w:autoSpaceDE w:val="0"/>
        <w:autoSpaceDN w:val="0"/>
        <w:adjustRightInd w:val="0"/>
        <w:rPr>
          <w:rFonts w:ascii="Times New Roman" w:hAnsi="Times New Roman" w:cs="Times New Roman"/>
        </w:rPr>
      </w:pPr>
    </w:p>
    <w:p w14:paraId="5446A4DC" w14:textId="77777777" w:rsidR="00A51D65" w:rsidRDefault="00A51D65" w:rsidP="00A51D65">
      <w:pPr>
        <w:widowControl w:val="0"/>
        <w:autoSpaceDE w:val="0"/>
        <w:autoSpaceDN w:val="0"/>
        <w:adjustRightInd w:val="0"/>
        <w:rPr>
          <w:rFonts w:ascii="Times New Roman" w:hAnsi="Times New Roman" w:cs="Times New Roman"/>
        </w:rPr>
      </w:pPr>
    </w:p>
    <w:p w14:paraId="7CE03CFC" w14:textId="77777777" w:rsidR="00DF0AF8" w:rsidRDefault="00DF0AF8" w:rsidP="00A51D65">
      <w:pPr>
        <w:widowControl w:val="0"/>
        <w:autoSpaceDE w:val="0"/>
        <w:autoSpaceDN w:val="0"/>
        <w:adjustRightInd w:val="0"/>
        <w:rPr>
          <w:rFonts w:ascii="Times New Roman" w:hAnsi="Times New Roman" w:cs="Times New Roman"/>
        </w:rPr>
      </w:pPr>
    </w:p>
    <w:p w14:paraId="41909D63" w14:textId="77777777" w:rsidR="00DF0AF8" w:rsidRDefault="00DF0AF8" w:rsidP="00A51D65">
      <w:pPr>
        <w:widowControl w:val="0"/>
        <w:autoSpaceDE w:val="0"/>
        <w:autoSpaceDN w:val="0"/>
        <w:adjustRightInd w:val="0"/>
        <w:rPr>
          <w:rFonts w:ascii="Times New Roman" w:hAnsi="Times New Roman" w:cs="Times New Roman"/>
        </w:rPr>
      </w:pPr>
    </w:p>
    <w:p w14:paraId="63F2B2F5" w14:textId="77777777" w:rsidR="00DF0AF8" w:rsidRDefault="00DF0AF8" w:rsidP="00A51D65">
      <w:pPr>
        <w:widowControl w:val="0"/>
        <w:autoSpaceDE w:val="0"/>
        <w:autoSpaceDN w:val="0"/>
        <w:adjustRightInd w:val="0"/>
        <w:rPr>
          <w:rFonts w:ascii="Times New Roman" w:hAnsi="Times New Roman" w:cs="Times New Roman"/>
        </w:rPr>
      </w:pPr>
    </w:p>
    <w:p w14:paraId="70C85298" w14:textId="77777777" w:rsidR="00DF0AF8" w:rsidRDefault="00DF0AF8" w:rsidP="00A51D65">
      <w:pPr>
        <w:widowControl w:val="0"/>
        <w:autoSpaceDE w:val="0"/>
        <w:autoSpaceDN w:val="0"/>
        <w:adjustRightInd w:val="0"/>
        <w:rPr>
          <w:rFonts w:ascii="Times New Roman" w:hAnsi="Times New Roman" w:cs="Times New Roman"/>
        </w:rPr>
      </w:pPr>
    </w:p>
    <w:p w14:paraId="50157925" w14:textId="77777777" w:rsidR="00DF0AF8" w:rsidRDefault="00DF0AF8" w:rsidP="00A51D65">
      <w:pPr>
        <w:widowControl w:val="0"/>
        <w:autoSpaceDE w:val="0"/>
        <w:autoSpaceDN w:val="0"/>
        <w:adjustRightInd w:val="0"/>
        <w:rPr>
          <w:rFonts w:ascii="Times New Roman" w:hAnsi="Times New Roman" w:cs="Times New Roman"/>
        </w:rPr>
      </w:pPr>
    </w:p>
    <w:p w14:paraId="62D557E2" w14:textId="77777777" w:rsidR="00DF0AF8" w:rsidRDefault="00DF0AF8" w:rsidP="00A51D65">
      <w:pPr>
        <w:widowControl w:val="0"/>
        <w:autoSpaceDE w:val="0"/>
        <w:autoSpaceDN w:val="0"/>
        <w:adjustRightInd w:val="0"/>
        <w:rPr>
          <w:rFonts w:ascii="Times New Roman" w:hAnsi="Times New Roman" w:cs="Times New Roman"/>
        </w:rPr>
      </w:pPr>
    </w:p>
    <w:p w14:paraId="2D9951F8" w14:textId="77777777" w:rsidR="00DF0AF8" w:rsidRDefault="00DF0AF8" w:rsidP="00A51D65">
      <w:pPr>
        <w:widowControl w:val="0"/>
        <w:autoSpaceDE w:val="0"/>
        <w:autoSpaceDN w:val="0"/>
        <w:adjustRightInd w:val="0"/>
        <w:rPr>
          <w:rFonts w:ascii="Times New Roman" w:hAnsi="Times New Roman" w:cs="Times New Roman"/>
        </w:rPr>
      </w:pPr>
    </w:p>
    <w:p w14:paraId="6DEA5AE7" w14:textId="77777777" w:rsidR="00DF0AF8" w:rsidRDefault="00DF0AF8" w:rsidP="00A51D65">
      <w:pPr>
        <w:widowControl w:val="0"/>
        <w:autoSpaceDE w:val="0"/>
        <w:autoSpaceDN w:val="0"/>
        <w:adjustRightInd w:val="0"/>
        <w:rPr>
          <w:rFonts w:ascii="Times New Roman" w:hAnsi="Times New Roman" w:cs="Times New Roman"/>
        </w:rPr>
      </w:pPr>
    </w:p>
    <w:p w14:paraId="52AE3884" w14:textId="77777777" w:rsidR="00DF0AF8" w:rsidRDefault="00DF0AF8" w:rsidP="00A51D65">
      <w:pPr>
        <w:widowControl w:val="0"/>
        <w:autoSpaceDE w:val="0"/>
        <w:autoSpaceDN w:val="0"/>
        <w:adjustRightInd w:val="0"/>
        <w:rPr>
          <w:rFonts w:ascii="Times New Roman" w:hAnsi="Times New Roman" w:cs="Times New Roman"/>
        </w:rPr>
      </w:pPr>
    </w:p>
    <w:p w14:paraId="00BB0FAD" w14:textId="77777777" w:rsidR="00DF0AF8" w:rsidRDefault="00DF0AF8" w:rsidP="00A51D65">
      <w:pPr>
        <w:widowControl w:val="0"/>
        <w:autoSpaceDE w:val="0"/>
        <w:autoSpaceDN w:val="0"/>
        <w:adjustRightInd w:val="0"/>
        <w:rPr>
          <w:rFonts w:ascii="Times New Roman" w:hAnsi="Times New Roman" w:cs="Times New Roman"/>
        </w:rPr>
      </w:pPr>
    </w:p>
    <w:p w14:paraId="23550CA8" w14:textId="77777777" w:rsidR="00DF0AF8" w:rsidRDefault="00DF0AF8" w:rsidP="00A51D65">
      <w:pPr>
        <w:widowControl w:val="0"/>
        <w:autoSpaceDE w:val="0"/>
        <w:autoSpaceDN w:val="0"/>
        <w:adjustRightInd w:val="0"/>
        <w:rPr>
          <w:rFonts w:ascii="Times New Roman" w:hAnsi="Times New Roman" w:cs="Times New Roman"/>
        </w:rPr>
      </w:pPr>
    </w:p>
    <w:p w14:paraId="77796ED6" w14:textId="77777777" w:rsidR="00A51D65" w:rsidRPr="001A550A" w:rsidRDefault="00A51D65" w:rsidP="001A550A">
      <w:pPr>
        <w:pStyle w:val="Heading2"/>
      </w:pPr>
      <w:bookmarkStart w:id="183" w:name="_Toc357382428"/>
      <w:bookmarkStart w:id="184" w:name="_Toc357383274"/>
      <w:bookmarkStart w:id="185" w:name="_Toc358326756"/>
      <w:r w:rsidRPr="001A550A">
        <w:lastRenderedPageBreak/>
        <w:t>Chapter Four: References</w:t>
      </w:r>
      <w:bookmarkEnd w:id="183"/>
      <w:bookmarkEnd w:id="184"/>
      <w:bookmarkEnd w:id="185"/>
    </w:p>
    <w:p w14:paraId="68B0EDC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52539D">
        <w:rPr>
          <w:rFonts w:ascii="Times New Roman" w:hAnsi="Times New Roman"/>
          <w:noProof/>
        </w:rPr>
        <w:t xml:space="preserve">Anderson, B. S., Kreiser, P. M., Kuratko, Donald, F., Hornsby, J. S., &amp; Eshima, Y. (2015). Reconceptualizing Entrepreneurial Orientation.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36</w:t>
      </w:r>
      <w:r w:rsidRPr="0052539D">
        <w:rPr>
          <w:rFonts w:ascii="Times New Roman" w:hAnsi="Times New Roman"/>
          <w:noProof/>
        </w:rPr>
        <w:t xml:space="preserve">, 1579–1596. </w:t>
      </w:r>
      <w:r>
        <w:rPr>
          <w:rFonts w:ascii="Times New Roman" w:hAnsi="Times New Roman"/>
          <w:noProof/>
        </w:rPr>
        <w:t xml:space="preserve"> </w:t>
      </w:r>
    </w:p>
    <w:p w14:paraId="669EC38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Arlbjorn, J. S., &amp; Paulraj, A. (2013). SPECIAL TOPIC FORUM ON INNOVATION IN BUSINESS NETWORKS FROM A SUPPLY CHAIN PERSPECTIVE: CURRENT STATUS AND OPPORTUNITIES FOR FUTURE Research. </w:t>
      </w:r>
      <w:r w:rsidRPr="0052539D">
        <w:rPr>
          <w:rFonts w:ascii="Times New Roman" w:hAnsi="Times New Roman"/>
          <w:i/>
          <w:iCs/>
          <w:noProof/>
        </w:rPr>
        <w:t>Journal of Supply Chain Management</w:t>
      </w:r>
      <w:r w:rsidRPr="0052539D">
        <w:rPr>
          <w:rFonts w:ascii="Times New Roman" w:hAnsi="Times New Roman"/>
          <w:noProof/>
        </w:rPr>
        <w:t xml:space="preserve">, </w:t>
      </w:r>
      <w:r w:rsidRPr="0052539D">
        <w:rPr>
          <w:rFonts w:ascii="Times New Roman" w:hAnsi="Times New Roman"/>
          <w:i/>
          <w:iCs/>
          <w:noProof/>
        </w:rPr>
        <w:t>49</w:t>
      </w:r>
      <w:r w:rsidRPr="0052539D">
        <w:rPr>
          <w:rFonts w:ascii="Times New Roman" w:hAnsi="Times New Roman"/>
          <w:noProof/>
        </w:rPr>
        <w:t>(4), 3–11.</w:t>
      </w:r>
    </w:p>
    <w:p w14:paraId="73C11DBD"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Azadegan, A., &amp; Dooley, K. J. (2010). Supplier innovativeness, organizational learning styles and manufacturer performance: An empirical assessment.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28</w:t>
      </w:r>
      <w:r w:rsidRPr="0052539D">
        <w:rPr>
          <w:rFonts w:ascii="Times New Roman" w:hAnsi="Times New Roman"/>
          <w:noProof/>
        </w:rPr>
        <w:t xml:space="preserve">(6), 488–505. </w:t>
      </w:r>
      <w:r>
        <w:rPr>
          <w:rFonts w:ascii="Times New Roman" w:hAnsi="Times New Roman"/>
          <w:noProof/>
        </w:rPr>
        <w:t xml:space="preserve"> </w:t>
      </w:r>
    </w:p>
    <w:p w14:paraId="529EBEDD"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Baert, C., Meuleman, M., Debruyne, M., &amp; Wright, M. (2016). PORTFOLIO ENTREPRENEURSHIP AND RESOURCE ORCHESTRATION. </w:t>
      </w:r>
      <w:r w:rsidRPr="0052539D">
        <w:rPr>
          <w:rFonts w:ascii="Times New Roman" w:hAnsi="Times New Roman"/>
          <w:i/>
          <w:iCs/>
          <w:noProof/>
        </w:rPr>
        <w:t>Strategic Entrepreneurship Journal</w:t>
      </w:r>
      <w:r w:rsidRPr="0052539D">
        <w:rPr>
          <w:rFonts w:ascii="Times New Roman" w:hAnsi="Times New Roman"/>
          <w:noProof/>
        </w:rPr>
        <w:t xml:space="preserve">, </w:t>
      </w:r>
      <w:r w:rsidRPr="0052539D">
        <w:rPr>
          <w:rFonts w:ascii="Times New Roman" w:hAnsi="Times New Roman"/>
          <w:i/>
          <w:iCs/>
          <w:noProof/>
        </w:rPr>
        <w:t>10</w:t>
      </w:r>
      <w:r w:rsidRPr="0052539D">
        <w:rPr>
          <w:rFonts w:ascii="Times New Roman" w:hAnsi="Times New Roman"/>
          <w:noProof/>
        </w:rPr>
        <w:t xml:space="preserve">, 346–370. </w:t>
      </w:r>
      <w:r>
        <w:rPr>
          <w:rFonts w:ascii="Times New Roman" w:hAnsi="Times New Roman"/>
          <w:noProof/>
        </w:rPr>
        <w:t xml:space="preserve"> </w:t>
      </w:r>
    </w:p>
    <w:p w14:paraId="2F0D110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Bagozzi, R. P., Yi, Y., &amp; Phillips, L. W. (1991). Assessing Construct Validity in Organizational Research. </w:t>
      </w:r>
      <w:r w:rsidRPr="0052539D">
        <w:rPr>
          <w:rFonts w:ascii="Times New Roman" w:hAnsi="Times New Roman"/>
          <w:i/>
          <w:iCs/>
          <w:noProof/>
        </w:rPr>
        <w:t>Administrative Science Quarterly</w:t>
      </w:r>
      <w:r w:rsidRPr="0052539D">
        <w:rPr>
          <w:rFonts w:ascii="Times New Roman" w:hAnsi="Times New Roman"/>
          <w:noProof/>
        </w:rPr>
        <w:t xml:space="preserve">, </w:t>
      </w:r>
      <w:r w:rsidRPr="0052539D">
        <w:rPr>
          <w:rFonts w:ascii="Times New Roman" w:hAnsi="Times New Roman"/>
          <w:i/>
          <w:iCs/>
          <w:noProof/>
        </w:rPr>
        <w:t>36</w:t>
      </w:r>
      <w:r w:rsidRPr="0052539D">
        <w:rPr>
          <w:rFonts w:ascii="Times New Roman" w:hAnsi="Times New Roman"/>
          <w:noProof/>
        </w:rPr>
        <w:t>, 421–458.</w:t>
      </w:r>
    </w:p>
    <w:p w14:paraId="235242B5"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Barney, J. B. (1986). Strategic Factor Markets: Expectations, Luck , and Business Strategy. </w:t>
      </w:r>
      <w:r w:rsidRPr="0052539D">
        <w:rPr>
          <w:rFonts w:ascii="Times New Roman" w:hAnsi="Times New Roman"/>
          <w:i/>
          <w:iCs/>
          <w:noProof/>
        </w:rPr>
        <w:t>Management Science</w:t>
      </w:r>
      <w:r w:rsidRPr="0052539D">
        <w:rPr>
          <w:rFonts w:ascii="Times New Roman" w:hAnsi="Times New Roman"/>
          <w:noProof/>
        </w:rPr>
        <w:t xml:space="preserve">, </w:t>
      </w:r>
      <w:r w:rsidRPr="0052539D">
        <w:rPr>
          <w:rFonts w:ascii="Times New Roman" w:hAnsi="Times New Roman"/>
          <w:i/>
          <w:iCs/>
          <w:noProof/>
        </w:rPr>
        <w:t>32</w:t>
      </w:r>
      <w:r w:rsidRPr="0052539D">
        <w:rPr>
          <w:rFonts w:ascii="Times New Roman" w:hAnsi="Times New Roman"/>
          <w:noProof/>
        </w:rPr>
        <w:t>(10), 1231–1241.</w:t>
      </w:r>
    </w:p>
    <w:p w14:paraId="25D5F073"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Barney, J. B. (1991). Firm Resources and Sustained Competitive Advantage. </w:t>
      </w:r>
      <w:r w:rsidRPr="0052539D">
        <w:rPr>
          <w:rFonts w:ascii="Times New Roman" w:hAnsi="Times New Roman"/>
          <w:i/>
          <w:iCs/>
          <w:noProof/>
        </w:rPr>
        <w:t>Journal of Management</w:t>
      </w:r>
      <w:r w:rsidRPr="0052539D">
        <w:rPr>
          <w:rFonts w:ascii="Times New Roman" w:hAnsi="Times New Roman"/>
          <w:noProof/>
        </w:rPr>
        <w:t xml:space="preserve">, </w:t>
      </w:r>
      <w:r w:rsidRPr="0052539D">
        <w:rPr>
          <w:rFonts w:ascii="Times New Roman" w:hAnsi="Times New Roman"/>
          <w:i/>
          <w:iCs/>
          <w:noProof/>
        </w:rPr>
        <w:t>17</w:t>
      </w:r>
      <w:r w:rsidRPr="0052539D">
        <w:rPr>
          <w:rFonts w:ascii="Times New Roman" w:hAnsi="Times New Roman"/>
          <w:noProof/>
        </w:rPr>
        <w:t xml:space="preserve">(1), 99–120. </w:t>
      </w:r>
      <w:r>
        <w:rPr>
          <w:rFonts w:ascii="Times New Roman" w:hAnsi="Times New Roman"/>
          <w:noProof/>
        </w:rPr>
        <w:t xml:space="preserve"> </w:t>
      </w:r>
    </w:p>
    <w:p w14:paraId="1B762553"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Barney, J. B., Ketchen, D. J., &amp; Wright, M. (2011). The Future of Resource-Based Theory: Revitalization or Decline? </w:t>
      </w:r>
      <w:r w:rsidRPr="0052539D">
        <w:rPr>
          <w:rFonts w:ascii="Times New Roman" w:hAnsi="Times New Roman"/>
          <w:i/>
          <w:iCs/>
          <w:noProof/>
        </w:rPr>
        <w:t>Journal of Management</w:t>
      </w:r>
      <w:r w:rsidRPr="0052539D">
        <w:rPr>
          <w:rFonts w:ascii="Times New Roman" w:hAnsi="Times New Roman"/>
          <w:noProof/>
        </w:rPr>
        <w:t xml:space="preserve">, </w:t>
      </w:r>
      <w:r w:rsidRPr="0052539D">
        <w:rPr>
          <w:rFonts w:ascii="Times New Roman" w:hAnsi="Times New Roman"/>
          <w:i/>
          <w:iCs/>
          <w:noProof/>
        </w:rPr>
        <w:t>37</w:t>
      </w:r>
      <w:r w:rsidRPr="0052539D">
        <w:rPr>
          <w:rFonts w:ascii="Times New Roman" w:hAnsi="Times New Roman"/>
          <w:noProof/>
        </w:rPr>
        <w:t xml:space="preserve">(5), 1299–1315. </w:t>
      </w:r>
      <w:r>
        <w:rPr>
          <w:rFonts w:ascii="Times New Roman" w:hAnsi="Times New Roman"/>
          <w:noProof/>
        </w:rPr>
        <w:t xml:space="preserve"> </w:t>
      </w:r>
    </w:p>
    <w:p w14:paraId="1E82A7D0"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Bruce, M., Daly, L., &amp; Kahn, K. B. (2007). Delineating Design Factors that Influence the Global Product Launch Process.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24</w:t>
      </w:r>
      <w:r w:rsidRPr="0052539D">
        <w:rPr>
          <w:rFonts w:ascii="Times New Roman" w:hAnsi="Times New Roman"/>
          <w:noProof/>
        </w:rPr>
        <w:t>, 456–470.</w:t>
      </w:r>
    </w:p>
    <w:p w14:paraId="156C950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Byrne, B. M. (2010). </w:t>
      </w:r>
      <w:r w:rsidRPr="0052539D">
        <w:rPr>
          <w:rFonts w:ascii="Times New Roman" w:hAnsi="Times New Roman"/>
          <w:i/>
          <w:iCs/>
          <w:noProof/>
        </w:rPr>
        <w:t>Structural Equation Modeling with AMOS: Basic Concepts, Applications, and Programming</w:t>
      </w:r>
      <w:r w:rsidRPr="0052539D">
        <w:rPr>
          <w:rFonts w:ascii="Times New Roman" w:hAnsi="Times New Roman"/>
          <w:noProof/>
        </w:rPr>
        <w:t xml:space="preserve"> (2nd ed.). New York, NY: Routledge.</w:t>
      </w:r>
    </w:p>
    <w:p w14:paraId="019F004C"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Calantone, R. J., &amp; Di Benedetto, C. A. (2012). The role of lean launch execution and launch timing on new product performance. </w:t>
      </w:r>
      <w:r w:rsidRPr="0052539D">
        <w:rPr>
          <w:rFonts w:ascii="Times New Roman" w:hAnsi="Times New Roman"/>
          <w:i/>
          <w:iCs/>
          <w:noProof/>
        </w:rPr>
        <w:t>Journal of the Academy of Marketing Science</w:t>
      </w:r>
      <w:r w:rsidRPr="0052539D">
        <w:rPr>
          <w:rFonts w:ascii="Times New Roman" w:hAnsi="Times New Roman"/>
          <w:noProof/>
        </w:rPr>
        <w:t xml:space="preserve">, </w:t>
      </w:r>
      <w:r w:rsidRPr="0052539D">
        <w:rPr>
          <w:rFonts w:ascii="Times New Roman" w:hAnsi="Times New Roman"/>
          <w:i/>
          <w:iCs/>
          <w:noProof/>
        </w:rPr>
        <w:t>40</w:t>
      </w:r>
      <w:r w:rsidRPr="0052539D">
        <w:rPr>
          <w:rFonts w:ascii="Times New Roman" w:hAnsi="Times New Roman"/>
          <w:noProof/>
        </w:rPr>
        <w:t xml:space="preserve">(4), 526–538. </w:t>
      </w:r>
      <w:r>
        <w:rPr>
          <w:rFonts w:ascii="Times New Roman" w:hAnsi="Times New Roman"/>
          <w:noProof/>
        </w:rPr>
        <w:t xml:space="preserve"> </w:t>
      </w:r>
    </w:p>
    <w:p w14:paraId="4BDB1EA7"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Cao, Q., Simsek, Z., &amp; Jansen, J. J. P. (2015). CEO Social Capital and Entrepreneurial Orientation of the Firm: Bonding and Bridging Effects. </w:t>
      </w:r>
      <w:r w:rsidRPr="0052539D">
        <w:rPr>
          <w:rFonts w:ascii="Times New Roman" w:hAnsi="Times New Roman"/>
          <w:i/>
          <w:iCs/>
          <w:noProof/>
        </w:rPr>
        <w:t>Journal of Management</w:t>
      </w:r>
      <w:r w:rsidRPr="0052539D">
        <w:rPr>
          <w:rFonts w:ascii="Times New Roman" w:hAnsi="Times New Roman"/>
          <w:noProof/>
        </w:rPr>
        <w:t xml:space="preserve">, </w:t>
      </w:r>
      <w:r w:rsidRPr="0052539D">
        <w:rPr>
          <w:rFonts w:ascii="Times New Roman" w:hAnsi="Times New Roman"/>
          <w:i/>
          <w:iCs/>
          <w:noProof/>
        </w:rPr>
        <w:t>41</w:t>
      </w:r>
      <w:r w:rsidRPr="0052539D">
        <w:rPr>
          <w:rFonts w:ascii="Times New Roman" w:hAnsi="Times New Roman"/>
          <w:noProof/>
        </w:rPr>
        <w:t xml:space="preserve">(7), 1957–1981. </w:t>
      </w:r>
      <w:r>
        <w:rPr>
          <w:rFonts w:ascii="Times New Roman" w:hAnsi="Times New Roman"/>
          <w:noProof/>
        </w:rPr>
        <w:t xml:space="preserve"> </w:t>
      </w:r>
    </w:p>
    <w:p w14:paraId="3033CB9B"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Castellion, G., &amp; Markham, S. K. (2013). Perspective: New product failure rates: Influence of Argumentum ad populum and self-interest.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30</w:t>
      </w:r>
      <w:r w:rsidRPr="0052539D">
        <w:rPr>
          <w:rFonts w:ascii="Times New Roman" w:hAnsi="Times New Roman"/>
          <w:noProof/>
        </w:rPr>
        <w:t xml:space="preserve">(5), 976–979. </w:t>
      </w:r>
      <w:r>
        <w:rPr>
          <w:rFonts w:ascii="Times New Roman" w:hAnsi="Times New Roman"/>
          <w:noProof/>
        </w:rPr>
        <w:t xml:space="preserve"> </w:t>
      </w:r>
    </w:p>
    <w:p w14:paraId="4E16BD91"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Chen, C., &amp; Huang, J. (2009). Strategic human resource practices and innovation performance — The mediating role of knowledge management capacity. </w:t>
      </w:r>
      <w:r w:rsidRPr="0052539D">
        <w:rPr>
          <w:rFonts w:ascii="Times New Roman" w:hAnsi="Times New Roman"/>
          <w:i/>
          <w:iCs/>
          <w:noProof/>
        </w:rPr>
        <w:t>Journal of Business Research</w:t>
      </w:r>
      <w:r w:rsidRPr="0052539D">
        <w:rPr>
          <w:rFonts w:ascii="Times New Roman" w:hAnsi="Times New Roman"/>
          <w:noProof/>
        </w:rPr>
        <w:t xml:space="preserve">, </w:t>
      </w:r>
      <w:r w:rsidRPr="0052539D">
        <w:rPr>
          <w:rFonts w:ascii="Times New Roman" w:hAnsi="Times New Roman"/>
          <w:i/>
          <w:iCs/>
          <w:noProof/>
        </w:rPr>
        <w:t>62</w:t>
      </w:r>
      <w:r w:rsidRPr="0052539D">
        <w:rPr>
          <w:rFonts w:ascii="Times New Roman" w:hAnsi="Times New Roman"/>
          <w:noProof/>
        </w:rPr>
        <w:t xml:space="preserve">(1), 104–114. </w:t>
      </w:r>
      <w:r>
        <w:rPr>
          <w:rFonts w:ascii="Times New Roman" w:hAnsi="Times New Roman"/>
          <w:noProof/>
        </w:rPr>
        <w:t xml:space="preserve"> </w:t>
      </w:r>
    </w:p>
    <w:p w14:paraId="59734FB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Chesbrough, H. (2003). </w:t>
      </w:r>
      <w:r w:rsidRPr="0052539D">
        <w:rPr>
          <w:rFonts w:ascii="Times New Roman" w:hAnsi="Times New Roman"/>
          <w:i/>
          <w:iCs/>
          <w:noProof/>
        </w:rPr>
        <w:t>Open Innovation: The New Imperative for Creating and Profiting from Technology</w:t>
      </w:r>
      <w:r w:rsidRPr="0052539D">
        <w:rPr>
          <w:rFonts w:ascii="Times New Roman" w:hAnsi="Times New Roman"/>
          <w:noProof/>
        </w:rPr>
        <w:t>. Boston, MA: Harvard Business School Publication Corp.</w:t>
      </w:r>
    </w:p>
    <w:p w14:paraId="37C64333"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Chesbrough, H. (2006). </w:t>
      </w:r>
      <w:r w:rsidRPr="0052539D">
        <w:rPr>
          <w:rFonts w:ascii="Times New Roman" w:hAnsi="Times New Roman"/>
          <w:i/>
          <w:iCs/>
          <w:noProof/>
        </w:rPr>
        <w:t>Open business models: How to thrive in the new innovation landscape</w:t>
      </w:r>
      <w:r w:rsidRPr="0052539D">
        <w:rPr>
          <w:rFonts w:ascii="Times New Roman" w:hAnsi="Times New Roman"/>
          <w:noProof/>
        </w:rPr>
        <w:t>. Boston, MA: Harvard Business School Press.</w:t>
      </w:r>
    </w:p>
    <w:p w14:paraId="4C0CD0F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Chesbrough, H., &amp; Crowther, A. K. (2006). Beyond high tech: Early adopters of open innovation in other industries. </w:t>
      </w:r>
      <w:r w:rsidRPr="0052539D">
        <w:rPr>
          <w:rFonts w:ascii="Times New Roman" w:hAnsi="Times New Roman"/>
          <w:i/>
          <w:iCs/>
          <w:noProof/>
        </w:rPr>
        <w:t>R&amp;D Management</w:t>
      </w:r>
      <w:r w:rsidRPr="0052539D">
        <w:rPr>
          <w:rFonts w:ascii="Times New Roman" w:hAnsi="Times New Roman"/>
          <w:noProof/>
        </w:rPr>
        <w:t xml:space="preserve">, </w:t>
      </w:r>
      <w:r w:rsidRPr="0052539D">
        <w:rPr>
          <w:rFonts w:ascii="Times New Roman" w:hAnsi="Times New Roman"/>
          <w:i/>
          <w:iCs/>
          <w:noProof/>
        </w:rPr>
        <w:t>36</w:t>
      </w:r>
      <w:r w:rsidRPr="0052539D">
        <w:rPr>
          <w:rFonts w:ascii="Times New Roman" w:hAnsi="Times New Roman"/>
          <w:noProof/>
        </w:rPr>
        <w:t>(3), 229–236.</w:t>
      </w:r>
    </w:p>
    <w:p w14:paraId="22B8B074"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Chirico, F., Sirmon, D. G., Sciascia, S., &amp; Mazzola, P. (2011). Resource Orchestration in Family Firms: Investigating How Entrepreneurial Orientation, Generational Involvement, and Participative Strategy Affect Performance. </w:t>
      </w:r>
      <w:r w:rsidRPr="0052539D">
        <w:rPr>
          <w:rFonts w:ascii="Times New Roman" w:hAnsi="Times New Roman"/>
          <w:i/>
          <w:iCs/>
          <w:noProof/>
        </w:rPr>
        <w:t xml:space="preserve">Strategic </w:t>
      </w:r>
      <w:r w:rsidRPr="0052539D">
        <w:rPr>
          <w:rFonts w:ascii="Times New Roman" w:hAnsi="Times New Roman"/>
          <w:i/>
          <w:iCs/>
          <w:noProof/>
        </w:rPr>
        <w:lastRenderedPageBreak/>
        <w:t>Entrepreneurship Journal</w:t>
      </w:r>
      <w:r w:rsidRPr="0052539D">
        <w:rPr>
          <w:rFonts w:ascii="Times New Roman" w:hAnsi="Times New Roman"/>
          <w:noProof/>
        </w:rPr>
        <w:t xml:space="preserve">, </w:t>
      </w:r>
      <w:r w:rsidRPr="0052539D">
        <w:rPr>
          <w:rFonts w:ascii="Times New Roman" w:hAnsi="Times New Roman"/>
          <w:i/>
          <w:iCs/>
          <w:noProof/>
        </w:rPr>
        <w:t>5</w:t>
      </w:r>
      <w:r w:rsidRPr="0052539D">
        <w:rPr>
          <w:rFonts w:ascii="Times New Roman" w:hAnsi="Times New Roman"/>
          <w:noProof/>
        </w:rPr>
        <w:t xml:space="preserve">, 307–326. </w:t>
      </w:r>
      <w:r>
        <w:rPr>
          <w:rFonts w:ascii="Times New Roman" w:hAnsi="Times New Roman"/>
          <w:noProof/>
        </w:rPr>
        <w:t xml:space="preserve"> </w:t>
      </w:r>
    </w:p>
    <w:p w14:paraId="2256122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Cooper, R. G., &amp; Edgett, S. J. (2003). Overcoming the crunch in resources for new product development. </w:t>
      </w:r>
      <w:r w:rsidRPr="0052539D">
        <w:rPr>
          <w:rFonts w:ascii="Times New Roman" w:hAnsi="Times New Roman"/>
          <w:i/>
          <w:iCs/>
          <w:noProof/>
        </w:rPr>
        <w:t>Research Technology Management</w:t>
      </w:r>
      <w:r w:rsidRPr="0052539D">
        <w:rPr>
          <w:rFonts w:ascii="Times New Roman" w:hAnsi="Times New Roman"/>
          <w:noProof/>
        </w:rPr>
        <w:t xml:space="preserve">, </w:t>
      </w:r>
      <w:r w:rsidRPr="0052539D">
        <w:rPr>
          <w:rFonts w:ascii="Times New Roman" w:hAnsi="Times New Roman"/>
          <w:i/>
          <w:iCs/>
          <w:noProof/>
        </w:rPr>
        <w:t>46</w:t>
      </w:r>
      <w:r w:rsidRPr="0052539D">
        <w:rPr>
          <w:rFonts w:ascii="Times New Roman" w:hAnsi="Times New Roman"/>
          <w:noProof/>
        </w:rPr>
        <w:t>, 48–58.</w:t>
      </w:r>
    </w:p>
    <w:p w14:paraId="5B025A7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Cousins, P. D., Handfield, R. B., Lawson, B., &amp; Petersen, K. J. (2006). Creating supply chain relational capital: The impact of formal and informal socialization processes.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24</w:t>
      </w:r>
      <w:r w:rsidRPr="0052539D">
        <w:rPr>
          <w:rFonts w:ascii="Times New Roman" w:hAnsi="Times New Roman"/>
          <w:noProof/>
        </w:rPr>
        <w:t xml:space="preserve">, 851–863. </w:t>
      </w:r>
      <w:r>
        <w:rPr>
          <w:rFonts w:ascii="Times New Roman" w:hAnsi="Times New Roman"/>
          <w:noProof/>
        </w:rPr>
        <w:t xml:space="preserve"> </w:t>
      </w:r>
    </w:p>
    <w:p w14:paraId="0455AFAC"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Covin, J. G., &amp; Slevin, D. P. (1989). Strategic Management of Small Firms in Hostile and Benign Environments.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10</w:t>
      </w:r>
      <w:r w:rsidRPr="0052539D">
        <w:rPr>
          <w:rFonts w:ascii="Times New Roman" w:hAnsi="Times New Roman"/>
          <w:noProof/>
        </w:rPr>
        <w:t>(1), 75–87.</w:t>
      </w:r>
    </w:p>
    <w:p w14:paraId="6641198C"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Cronbach, L. J. (1951). Coefficient Alpha and the Internal Structure of Tests. </w:t>
      </w:r>
      <w:r w:rsidRPr="0052539D">
        <w:rPr>
          <w:rFonts w:ascii="Times New Roman" w:hAnsi="Times New Roman"/>
          <w:i/>
          <w:iCs/>
          <w:noProof/>
        </w:rPr>
        <w:t>Psychometrika</w:t>
      </w:r>
      <w:r w:rsidRPr="0052539D">
        <w:rPr>
          <w:rFonts w:ascii="Times New Roman" w:hAnsi="Times New Roman"/>
          <w:noProof/>
        </w:rPr>
        <w:t xml:space="preserve">, </w:t>
      </w:r>
      <w:r w:rsidRPr="0052539D">
        <w:rPr>
          <w:rFonts w:ascii="Times New Roman" w:hAnsi="Times New Roman"/>
          <w:i/>
          <w:iCs/>
          <w:noProof/>
        </w:rPr>
        <w:t>16</w:t>
      </w:r>
      <w:r w:rsidRPr="0052539D">
        <w:rPr>
          <w:rFonts w:ascii="Times New Roman" w:hAnsi="Times New Roman"/>
          <w:noProof/>
        </w:rPr>
        <w:t>(3), 297–334.</w:t>
      </w:r>
    </w:p>
    <w:p w14:paraId="6A7DF54F"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Crook, T. R., &amp; Esper, T. L. (2014). Do Resources Aid in Supply Chain Functioning and Management? Yes, But More (and More Precise) Research is Needed. </w:t>
      </w:r>
      <w:r w:rsidRPr="0052539D">
        <w:rPr>
          <w:rFonts w:ascii="Times New Roman" w:hAnsi="Times New Roman"/>
          <w:i/>
          <w:iCs/>
          <w:noProof/>
        </w:rPr>
        <w:t>Journal of Supply Chain Management</w:t>
      </w:r>
      <w:r w:rsidRPr="0052539D">
        <w:rPr>
          <w:rFonts w:ascii="Times New Roman" w:hAnsi="Times New Roman"/>
          <w:noProof/>
        </w:rPr>
        <w:t xml:space="preserve">, </w:t>
      </w:r>
      <w:r w:rsidRPr="0052539D">
        <w:rPr>
          <w:rFonts w:ascii="Times New Roman" w:hAnsi="Times New Roman"/>
          <w:i/>
          <w:iCs/>
          <w:noProof/>
        </w:rPr>
        <w:t>50</w:t>
      </w:r>
      <w:r w:rsidRPr="0052539D">
        <w:rPr>
          <w:rFonts w:ascii="Times New Roman" w:hAnsi="Times New Roman"/>
          <w:noProof/>
        </w:rPr>
        <w:t xml:space="preserve">(3), 94–97. </w:t>
      </w:r>
      <w:r>
        <w:rPr>
          <w:rFonts w:ascii="Times New Roman" w:hAnsi="Times New Roman"/>
          <w:noProof/>
        </w:rPr>
        <w:t xml:space="preserve"> </w:t>
      </w:r>
    </w:p>
    <w:p w14:paraId="7D38D5A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Crook, T. R., Jr, D. J. K., Combs, J. G., &amp; Todd, S. Y. (2008). Strategic Resources and Performance: A Meta-Analysis.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29</w:t>
      </w:r>
      <w:r w:rsidRPr="0052539D">
        <w:rPr>
          <w:rFonts w:ascii="Times New Roman" w:hAnsi="Times New Roman"/>
          <w:noProof/>
        </w:rPr>
        <w:t xml:space="preserve">, 1141–1154. </w:t>
      </w:r>
      <w:r>
        <w:rPr>
          <w:rFonts w:ascii="Times New Roman" w:hAnsi="Times New Roman"/>
          <w:noProof/>
        </w:rPr>
        <w:t xml:space="preserve"> </w:t>
      </w:r>
    </w:p>
    <w:p w14:paraId="08694E7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Curran, P. J., West, S. G., &amp; Finch, J. F. (1996). The Robustness of Test Statistics to Nonnormality and Specification Error in Confirmatory Factor Analysis. </w:t>
      </w:r>
      <w:r w:rsidRPr="0052539D">
        <w:rPr>
          <w:rFonts w:ascii="Times New Roman" w:hAnsi="Times New Roman"/>
          <w:i/>
          <w:iCs/>
          <w:noProof/>
        </w:rPr>
        <w:t>Psychological Methods</w:t>
      </w:r>
      <w:r w:rsidRPr="0052539D">
        <w:rPr>
          <w:rFonts w:ascii="Times New Roman" w:hAnsi="Times New Roman"/>
          <w:noProof/>
        </w:rPr>
        <w:t xml:space="preserve">, </w:t>
      </w:r>
      <w:r w:rsidRPr="0052539D">
        <w:rPr>
          <w:rFonts w:ascii="Times New Roman" w:hAnsi="Times New Roman"/>
          <w:i/>
          <w:iCs/>
          <w:noProof/>
        </w:rPr>
        <w:t>1</w:t>
      </w:r>
      <w:r w:rsidRPr="0052539D">
        <w:rPr>
          <w:rFonts w:ascii="Times New Roman" w:hAnsi="Times New Roman"/>
          <w:noProof/>
        </w:rPr>
        <w:t>(1), 16–29.</w:t>
      </w:r>
    </w:p>
    <w:p w14:paraId="4AF4338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De Brentani, U., &amp; Kleinschmidt, E. J. (2004). Corporate Culture and Commitment: Impact on Performance of International New Product Development Programs.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21</w:t>
      </w:r>
      <w:r w:rsidRPr="0052539D">
        <w:rPr>
          <w:rFonts w:ascii="Times New Roman" w:hAnsi="Times New Roman"/>
          <w:noProof/>
        </w:rPr>
        <w:t>, 309–333.</w:t>
      </w:r>
    </w:p>
    <w:p w14:paraId="15698508"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Defee, C. C., Williams, B., Randall, W. S., &amp; Thomas, R. (2010). An inventory of theory in logistics and SCM research. </w:t>
      </w:r>
      <w:r w:rsidRPr="0052539D">
        <w:rPr>
          <w:rFonts w:ascii="Times New Roman" w:hAnsi="Times New Roman"/>
          <w:i/>
          <w:iCs/>
          <w:noProof/>
        </w:rPr>
        <w:t>The International Journal of Logistics Management</w:t>
      </w:r>
      <w:r w:rsidRPr="0052539D">
        <w:rPr>
          <w:rFonts w:ascii="Times New Roman" w:hAnsi="Times New Roman"/>
          <w:noProof/>
        </w:rPr>
        <w:t xml:space="preserve">, </w:t>
      </w:r>
      <w:r w:rsidRPr="0052539D">
        <w:rPr>
          <w:rFonts w:ascii="Times New Roman" w:hAnsi="Times New Roman"/>
          <w:i/>
          <w:iCs/>
          <w:noProof/>
        </w:rPr>
        <w:t>21</w:t>
      </w:r>
      <w:r w:rsidRPr="0052539D">
        <w:rPr>
          <w:rFonts w:ascii="Times New Roman" w:hAnsi="Times New Roman"/>
          <w:noProof/>
        </w:rPr>
        <w:t>(3), 404–489.</w:t>
      </w:r>
    </w:p>
    <w:p w14:paraId="0C21463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DeVellis, R. F. (2003). </w:t>
      </w:r>
      <w:r w:rsidRPr="0052539D">
        <w:rPr>
          <w:rFonts w:ascii="Times New Roman" w:hAnsi="Times New Roman"/>
          <w:i/>
          <w:iCs/>
          <w:noProof/>
        </w:rPr>
        <w:t>Scale Development: Theory and Applications</w:t>
      </w:r>
      <w:r w:rsidRPr="0052539D">
        <w:rPr>
          <w:rFonts w:ascii="Times New Roman" w:hAnsi="Times New Roman"/>
          <w:noProof/>
        </w:rPr>
        <w:t xml:space="preserve"> (Second Edi). Thousand Oaks, CA: Sage Publications.</w:t>
      </w:r>
    </w:p>
    <w:p w14:paraId="738FA2AA"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Dhanaraj, C., &amp; Parkhe, A. (2006). Orchestrating Innovation Networks. </w:t>
      </w:r>
      <w:r w:rsidRPr="0052539D">
        <w:rPr>
          <w:rFonts w:ascii="Times New Roman" w:hAnsi="Times New Roman"/>
          <w:i/>
          <w:iCs/>
          <w:noProof/>
        </w:rPr>
        <w:t>Academy of Management Review</w:t>
      </w:r>
      <w:r w:rsidRPr="0052539D">
        <w:rPr>
          <w:rFonts w:ascii="Times New Roman" w:hAnsi="Times New Roman"/>
          <w:noProof/>
        </w:rPr>
        <w:t xml:space="preserve">, </w:t>
      </w:r>
      <w:r w:rsidRPr="0052539D">
        <w:rPr>
          <w:rFonts w:ascii="Times New Roman" w:hAnsi="Times New Roman"/>
          <w:i/>
          <w:iCs/>
          <w:noProof/>
        </w:rPr>
        <w:t>31</w:t>
      </w:r>
      <w:r w:rsidRPr="0052539D">
        <w:rPr>
          <w:rFonts w:ascii="Times New Roman" w:hAnsi="Times New Roman"/>
          <w:noProof/>
        </w:rPr>
        <w:t>(3), 659–669.</w:t>
      </w:r>
    </w:p>
    <w:p w14:paraId="6860492B"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Di Benedetto, C. A. (1999). Identifying the Key Success Factors in New Product Launch.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16</w:t>
      </w:r>
      <w:r w:rsidRPr="0052539D">
        <w:rPr>
          <w:rFonts w:ascii="Times New Roman" w:hAnsi="Times New Roman"/>
          <w:noProof/>
        </w:rPr>
        <w:t>, 530–544.</w:t>
      </w:r>
    </w:p>
    <w:p w14:paraId="50E3E8BC"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Diamantopoulos, A., &amp; Winklhofer, H. M. (2001). Index Construction With Formative Indicators: An Alternative to Scale Development. </w:t>
      </w:r>
      <w:r w:rsidRPr="0052539D">
        <w:rPr>
          <w:rFonts w:ascii="Times New Roman" w:hAnsi="Times New Roman"/>
          <w:i/>
          <w:iCs/>
          <w:noProof/>
        </w:rPr>
        <w:t>Journal of Marketing Research</w:t>
      </w:r>
      <w:r w:rsidRPr="0052539D">
        <w:rPr>
          <w:rFonts w:ascii="Times New Roman" w:hAnsi="Times New Roman"/>
          <w:noProof/>
        </w:rPr>
        <w:t xml:space="preserve">, </w:t>
      </w:r>
      <w:r w:rsidRPr="0052539D">
        <w:rPr>
          <w:rFonts w:ascii="Times New Roman" w:hAnsi="Times New Roman"/>
          <w:i/>
          <w:iCs/>
          <w:noProof/>
        </w:rPr>
        <w:t>XXXVIII</w:t>
      </w:r>
      <w:r w:rsidRPr="0052539D">
        <w:rPr>
          <w:rFonts w:ascii="Times New Roman" w:hAnsi="Times New Roman"/>
          <w:noProof/>
        </w:rPr>
        <w:t>(May), 269–277.</w:t>
      </w:r>
    </w:p>
    <w:p w14:paraId="526466A3"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Dierickx, I., &amp; Cool, K. (1989). Asset Stock Accumulation and Sustainability of Competitive Advantage. </w:t>
      </w:r>
      <w:r w:rsidRPr="0052539D">
        <w:rPr>
          <w:rFonts w:ascii="Times New Roman" w:hAnsi="Times New Roman"/>
          <w:i/>
          <w:iCs/>
          <w:noProof/>
        </w:rPr>
        <w:t>Management Science</w:t>
      </w:r>
      <w:r w:rsidRPr="0052539D">
        <w:rPr>
          <w:rFonts w:ascii="Times New Roman" w:hAnsi="Times New Roman"/>
          <w:noProof/>
        </w:rPr>
        <w:t xml:space="preserve">, </w:t>
      </w:r>
      <w:r w:rsidRPr="0052539D">
        <w:rPr>
          <w:rFonts w:ascii="Times New Roman" w:hAnsi="Times New Roman"/>
          <w:i/>
          <w:iCs/>
          <w:noProof/>
        </w:rPr>
        <w:t>35</w:t>
      </w:r>
      <w:r w:rsidRPr="0052539D">
        <w:rPr>
          <w:rFonts w:ascii="Times New Roman" w:hAnsi="Times New Roman"/>
          <w:noProof/>
        </w:rPr>
        <w:t>(12), 1504–1511.</w:t>
      </w:r>
    </w:p>
    <w:p w14:paraId="70C25C18"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Dillman, D. A. (2007). </w:t>
      </w:r>
      <w:r w:rsidRPr="0052539D">
        <w:rPr>
          <w:rFonts w:ascii="Times New Roman" w:hAnsi="Times New Roman"/>
          <w:i/>
          <w:iCs/>
          <w:noProof/>
        </w:rPr>
        <w:t>Mail and Internet Surveys: The Tailored Design Method</w:t>
      </w:r>
      <w:r w:rsidRPr="0052539D">
        <w:rPr>
          <w:rFonts w:ascii="Times New Roman" w:hAnsi="Times New Roman"/>
          <w:noProof/>
        </w:rPr>
        <w:t xml:space="preserve"> (Second Edi). Hoboken, NJ: John Wiley &amp; Sons.</w:t>
      </w:r>
    </w:p>
    <w:p w14:paraId="6B53FF9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Droge, C., Calantone, R., &amp; Harmancioglu, N. (2008). New product success: Is it really controllable by managers in highly turbulent environments?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25</w:t>
      </w:r>
      <w:r w:rsidRPr="0052539D">
        <w:rPr>
          <w:rFonts w:ascii="Times New Roman" w:hAnsi="Times New Roman"/>
          <w:noProof/>
        </w:rPr>
        <w:t xml:space="preserve">(3), 272–286. </w:t>
      </w:r>
      <w:r>
        <w:rPr>
          <w:rFonts w:ascii="Times New Roman" w:hAnsi="Times New Roman"/>
          <w:noProof/>
        </w:rPr>
        <w:t xml:space="preserve"> </w:t>
      </w:r>
    </w:p>
    <w:p w14:paraId="10818C97"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Eisenhardt, K. M., &amp; Martin, J. A. (2000). Dynamic Capabilities: What Are They?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21</w:t>
      </w:r>
      <w:r w:rsidRPr="0052539D">
        <w:rPr>
          <w:rFonts w:ascii="Times New Roman" w:hAnsi="Times New Roman"/>
          <w:noProof/>
        </w:rPr>
        <w:t>, 1105–1121.</w:t>
      </w:r>
    </w:p>
    <w:p w14:paraId="54FB480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Emden, Z., Calantone, R. J., &amp; Droge, C. (2006). Collaborating for New Product Development: Selecting the Partner with Maximum Potential to Create Value.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23</w:t>
      </w:r>
      <w:r w:rsidRPr="0052539D">
        <w:rPr>
          <w:rFonts w:ascii="Times New Roman" w:hAnsi="Times New Roman"/>
          <w:noProof/>
        </w:rPr>
        <w:t xml:space="preserve">(4), 330–341. </w:t>
      </w:r>
      <w:r>
        <w:rPr>
          <w:rFonts w:ascii="Times New Roman" w:hAnsi="Times New Roman"/>
          <w:noProof/>
        </w:rPr>
        <w:t xml:space="preserve"> </w:t>
      </w:r>
    </w:p>
    <w:p w14:paraId="470655AF"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Engelen, A., &amp; Brettel, M. (2012). A Coalitional Perspective on the Role of the R &amp; D Department Within the Organization.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29</w:t>
      </w:r>
      <w:r w:rsidRPr="0052539D">
        <w:rPr>
          <w:rFonts w:ascii="Times New Roman" w:hAnsi="Times New Roman"/>
          <w:noProof/>
        </w:rPr>
        <w:t>(3), 489–505.</w:t>
      </w:r>
    </w:p>
    <w:p w14:paraId="5911F60F"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Enkel, E., Gassmann, O., &amp; Chesbrough, H. (2009). Open R &amp; D and open innovation : </w:t>
      </w:r>
      <w:r w:rsidRPr="0052539D">
        <w:rPr>
          <w:rFonts w:ascii="Times New Roman" w:hAnsi="Times New Roman"/>
          <w:noProof/>
        </w:rPr>
        <w:lastRenderedPageBreak/>
        <w:t xml:space="preserve">exploring the phenomenon. </w:t>
      </w:r>
      <w:r w:rsidRPr="0052539D">
        <w:rPr>
          <w:rFonts w:ascii="Times New Roman" w:hAnsi="Times New Roman"/>
          <w:i/>
          <w:iCs/>
          <w:noProof/>
        </w:rPr>
        <w:t>R&amp;D Management</w:t>
      </w:r>
      <w:r w:rsidRPr="0052539D">
        <w:rPr>
          <w:rFonts w:ascii="Times New Roman" w:hAnsi="Times New Roman"/>
          <w:noProof/>
        </w:rPr>
        <w:t xml:space="preserve">, </w:t>
      </w:r>
      <w:r w:rsidRPr="0052539D">
        <w:rPr>
          <w:rFonts w:ascii="Times New Roman" w:hAnsi="Times New Roman"/>
          <w:i/>
          <w:iCs/>
          <w:noProof/>
        </w:rPr>
        <w:t>39</w:t>
      </w:r>
      <w:r w:rsidRPr="0052539D">
        <w:rPr>
          <w:rFonts w:ascii="Times New Roman" w:hAnsi="Times New Roman"/>
          <w:noProof/>
        </w:rPr>
        <w:t>(4), 311–316.</w:t>
      </w:r>
    </w:p>
    <w:p w14:paraId="2119955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Fornell, C., &amp; Larcker, D. F. (1981). Evaluating Structural Equation Models with Unobservale Variables and Measurement Error. </w:t>
      </w:r>
      <w:r w:rsidRPr="0052539D">
        <w:rPr>
          <w:rFonts w:ascii="Times New Roman" w:hAnsi="Times New Roman"/>
          <w:i/>
          <w:iCs/>
          <w:noProof/>
        </w:rPr>
        <w:t>Journal of Marketing Research</w:t>
      </w:r>
      <w:r w:rsidRPr="0052539D">
        <w:rPr>
          <w:rFonts w:ascii="Times New Roman" w:hAnsi="Times New Roman"/>
          <w:noProof/>
        </w:rPr>
        <w:t xml:space="preserve">, </w:t>
      </w:r>
      <w:r w:rsidRPr="0052539D">
        <w:rPr>
          <w:rFonts w:ascii="Times New Roman" w:hAnsi="Times New Roman"/>
          <w:i/>
          <w:iCs/>
          <w:noProof/>
        </w:rPr>
        <w:t>XVIII</w:t>
      </w:r>
      <w:r w:rsidRPr="0052539D">
        <w:rPr>
          <w:rFonts w:ascii="Times New Roman" w:hAnsi="Times New Roman"/>
          <w:noProof/>
        </w:rPr>
        <w:t>, 39–50.</w:t>
      </w:r>
    </w:p>
    <w:p w14:paraId="6D82CFB1"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Gassmann, O., &amp; Enkel, E. (2004). Towards a Theory of Open Innovation: Three Core Process Archetypes. In </w:t>
      </w:r>
      <w:r w:rsidRPr="0052539D">
        <w:rPr>
          <w:rFonts w:ascii="Times New Roman" w:hAnsi="Times New Roman"/>
          <w:i/>
          <w:iCs/>
          <w:noProof/>
        </w:rPr>
        <w:t>Proceedings of The R&amp;D Management Conference, Lisbon, Portugal, July 6–9.</w:t>
      </w:r>
      <w:r w:rsidRPr="0052539D">
        <w:rPr>
          <w:rFonts w:ascii="Times New Roman" w:hAnsi="Times New Roman"/>
          <w:noProof/>
        </w:rPr>
        <w:t xml:space="preserve"> (pp. 1–18).</w:t>
      </w:r>
    </w:p>
    <w:p w14:paraId="4E66B621"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Gassmann, O., Enkel, E., &amp; Chesbrough, H. (2010). The future of open innovation. </w:t>
      </w:r>
      <w:r w:rsidRPr="0052539D">
        <w:rPr>
          <w:rFonts w:ascii="Times New Roman" w:hAnsi="Times New Roman"/>
          <w:i/>
          <w:iCs/>
          <w:noProof/>
        </w:rPr>
        <w:t>R&amp;D Management</w:t>
      </w:r>
      <w:r w:rsidRPr="0052539D">
        <w:rPr>
          <w:rFonts w:ascii="Times New Roman" w:hAnsi="Times New Roman"/>
          <w:noProof/>
        </w:rPr>
        <w:t>, 1–9.</w:t>
      </w:r>
    </w:p>
    <w:p w14:paraId="55660181"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George, B. A., &amp; Marino, L. (2011). The Epistemology of Entrepreneurial Orientation: Conceptual Formation, Modeling, and Operationalization. </w:t>
      </w:r>
      <w:r w:rsidRPr="0052539D">
        <w:rPr>
          <w:rFonts w:ascii="Times New Roman" w:hAnsi="Times New Roman"/>
          <w:i/>
          <w:iCs/>
          <w:noProof/>
        </w:rPr>
        <w:t>Entrepreneurship Theory and Practice</w:t>
      </w:r>
      <w:r w:rsidRPr="0052539D">
        <w:rPr>
          <w:rFonts w:ascii="Times New Roman" w:hAnsi="Times New Roman"/>
          <w:noProof/>
        </w:rPr>
        <w:t xml:space="preserve">, </w:t>
      </w:r>
      <w:r w:rsidRPr="0052539D">
        <w:rPr>
          <w:rFonts w:ascii="Times New Roman" w:hAnsi="Times New Roman"/>
          <w:i/>
          <w:iCs/>
          <w:noProof/>
        </w:rPr>
        <w:t>35</w:t>
      </w:r>
      <w:r w:rsidRPr="0052539D">
        <w:rPr>
          <w:rFonts w:ascii="Times New Roman" w:hAnsi="Times New Roman"/>
          <w:noProof/>
        </w:rPr>
        <w:t xml:space="preserve">(5), 989–1025. </w:t>
      </w:r>
      <w:r>
        <w:rPr>
          <w:rFonts w:ascii="Times New Roman" w:hAnsi="Times New Roman"/>
          <w:noProof/>
        </w:rPr>
        <w:t xml:space="preserve"> </w:t>
      </w:r>
    </w:p>
    <w:p w14:paraId="455492D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Gupta, A. K., Raj, S. P., &amp; Wilemon, D. (1986). A model for studying R&amp;D--marketing interface in the product innovation process. </w:t>
      </w:r>
      <w:r w:rsidRPr="0052539D">
        <w:rPr>
          <w:rFonts w:ascii="Times New Roman" w:hAnsi="Times New Roman"/>
          <w:i/>
          <w:iCs/>
          <w:noProof/>
        </w:rPr>
        <w:t>Journal of Marketing</w:t>
      </w:r>
      <w:r w:rsidRPr="0052539D">
        <w:rPr>
          <w:rFonts w:ascii="Times New Roman" w:hAnsi="Times New Roman"/>
          <w:noProof/>
        </w:rPr>
        <w:t xml:space="preserve">, </w:t>
      </w:r>
      <w:r w:rsidRPr="0052539D">
        <w:rPr>
          <w:rFonts w:ascii="Times New Roman" w:hAnsi="Times New Roman"/>
          <w:i/>
          <w:iCs/>
          <w:noProof/>
        </w:rPr>
        <w:t>50</w:t>
      </w:r>
      <w:r w:rsidRPr="0052539D">
        <w:rPr>
          <w:rFonts w:ascii="Times New Roman" w:hAnsi="Times New Roman"/>
          <w:noProof/>
        </w:rPr>
        <w:t xml:space="preserve">(2), 7–17. </w:t>
      </w:r>
      <w:r>
        <w:rPr>
          <w:rFonts w:ascii="Times New Roman" w:hAnsi="Times New Roman"/>
          <w:noProof/>
        </w:rPr>
        <w:t xml:space="preserve"> </w:t>
      </w:r>
    </w:p>
    <w:p w14:paraId="58915DC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Hair, J. F., Black, W. C., Babin, B. J., &amp; Anderson, R. E. (2010). </w:t>
      </w:r>
      <w:r w:rsidRPr="0052539D">
        <w:rPr>
          <w:rFonts w:ascii="Times New Roman" w:hAnsi="Times New Roman"/>
          <w:i/>
          <w:iCs/>
          <w:noProof/>
        </w:rPr>
        <w:t>Multivariate Data Analysis</w:t>
      </w:r>
      <w:r w:rsidRPr="0052539D">
        <w:rPr>
          <w:rFonts w:ascii="Times New Roman" w:hAnsi="Times New Roman"/>
          <w:noProof/>
        </w:rPr>
        <w:t xml:space="preserve"> (7th ed.). Upper Saddle River, NJ: Pearson Education.</w:t>
      </w:r>
    </w:p>
    <w:p w14:paraId="5BC76CD0"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Hansen, M. H., Perry, L. T., &amp; Reese, C. S. (2004). A bayesian operationalization of the resource-based view.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25</w:t>
      </w:r>
      <w:r w:rsidRPr="0052539D">
        <w:rPr>
          <w:rFonts w:ascii="Times New Roman" w:hAnsi="Times New Roman"/>
          <w:noProof/>
        </w:rPr>
        <w:t xml:space="preserve">(13), 1279–1295. </w:t>
      </w:r>
      <w:r>
        <w:rPr>
          <w:rFonts w:ascii="Times New Roman" w:hAnsi="Times New Roman"/>
          <w:noProof/>
        </w:rPr>
        <w:t xml:space="preserve"> </w:t>
      </w:r>
    </w:p>
    <w:p w14:paraId="0CA6596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Heidenreich, S., &amp; Kraemer, T. (2016). Innovations - Doomed to Fail? Investigating Strategies to Overcome Passive Innovation Resistance.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33</w:t>
      </w:r>
      <w:r w:rsidRPr="0052539D">
        <w:rPr>
          <w:rFonts w:ascii="Times New Roman" w:hAnsi="Times New Roman"/>
          <w:noProof/>
        </w:rPr>
        <w:t xml:space="preserve">(3), 277–297. </w:t>
      </w:r>
      <w:r>
        <w:rPr>
          <w:rFonts w:ascii="Times New Roman" w:hAnsi="Times New Roman"/>
          <w:noProof/>
        </w:rPr>
        <w:t xml:space="preserve"> </w:t>
      </w:r>
    </w:p>
    <w:p w14:paraId="64BFB4B4"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Hinkin, T. (1995). A Review of Scale Development Practices in the Study of Organizations. </w:t>
      </w:r>
      <w:r w:rsidRPr="0052539D">
        <w:rPr>
          <w:rFonts w:ascii="Times New Roman" w:hAnsi="Times New Roman"/>
          <w:i/>
          <w:iCs/>
          <w:noProof/>
        </w:rPr>
        <w:t>Journal of Management</w:t>
      </w:r>
      <w:r w:rsidRPr="0052539D">
        <w:rPr>
          <w:rFonts w:ascii="Times New Roman" w:hAnsi="Times New Roman"/>
          <w:noProof/>
        </w:rPr>
        <w:t xml:space="preserve">, </w:t>
      </w:r>
      <w:r w:rsidRPr="0052539D">
        <w:rPr>
          <w:rFonts w:ascii="Times New Roman" w:hAnsi="Times New Roman"/>
          <w:i/>
          <w:iCs/>
          <w:noProof/>
        </w:rPr>
        <w:t>21</w:t>
      </w:r>
      <w:r w:rsidRPr="0052539D">
        <w:rPr>
          <w:rFonts w:ascii="Times New Roman" w:hAnsi="Times New Roman"/>
          <w:noProof/>
        </w:rPr>
        <w:t>, 967–988.</w:t>
      </w:r>
    </w:p>
    <w:p w14:paraId="29844EC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Hitt, M. A. (2011). Relevance of strategic management theory and research for supply chain management. </w:t>
      </w:r>
      <w:r w:rsidRPr="0052539D">
        <w:rPr>
          <w:rFonts w:ascii="Times New Roman" w:hAnsi="Times New Roman"/>
          <w:i/>
          <w:iCs/>
          <w:noProof/>
        </w:rPr>
        <w:t>Journal of Supply Chain Management</w:t>
      </w:r>
      <w:r w:rsidRPr="0052539D">
        <w:rPr>
          <w:rFonts w:ascii="Times New Roman" w:hAnsi="Times New Roman"/>
          <w:noProof/>
        </w:rPr>
        <w:t xml:space="preserve">, </w:t>
      </w:r>
      <w:r w:rsidRPr="0052539D">
        <w:rPr>
          <w:rFonts w:ascii="Times New Roman" w:hAnsi="Times New Roman"/>
          <w:i/>
          <w:iCs/>
          <w:noProof/>
        </w:rPr>
        <w:t>47</w:t>
      </w:r>
      <w:r w:rsidRPr="0052539D">
        <w:rPr>
          <w:rFonts w:ascii="Times New Roman" w:hAnsi="Times New Roman"/>
          <w:noProof/>
        </w:rPr>
        <w:t xml:space="preserve">(1), 9–13. </w:t>
      </w:r>
      <w:r>
        <w:rPr>
          <w:rFonts w:ascii="Times New Roman" w:hAnsi="Times New Roman"/>
          <w:noProof/>
        </w:rPr>
        <w:t xml:space="preserve"> </w:t>
      </w:r>
    </w:p>
    <w:p w14:paraId="53CE3B7F"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Hitt, M. A., Ireland, R. D., Sirmon, D. G., &amp; Trahms, C. A. (2011). Strategic Entrepreneurship: Creating Value for Individuals, Organizations, and Society. </w:t>
      </w:r>
      <w:r w:rsidRPr="0052539D">
        <w:rPr>
          <w:rFonts w:ascii="Times New Roman" w:hAnsi="Times New Roman"/>
          <w:i/>
          <w:iCs/>
          <w:noProof/>
        </w:rPr>
        <w:t>Academy of Management Perspectives</w:t>
      </w:r>
      <w:r w:rsidRPr="0052539D">
        <w:rPr>
          <w:rFonts w:ascii="Times New Roman" w:hAnsi="Times New Roman"/>
          <w:noProof/>
        </w:rPr>
        <w:t>, (May), 57–75.</w:t>
      </w:r>
    </w:p>
    <w:p w14:paraId="29CD5AD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Hoopes, D., &amp; Postrel, S. (1999). Shared knowledge,“glitches,” and product development performance.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865</w:t>
      </w:r>
      <w:r w:rsidRPr="0052539D">
        <w:rPr>
          <w:rFonts w:ascii="Times New Roman" w:hAnsi="Times New Roman"/>
          <w:noProof/>
        </w:rPr>
        <w:t xml:space="preserve">(March 1997), 837–865. </w:t>
      </w:r>
      <w:r>
        <w:rPr>
          <w:rFonts w:ascii="Times New Roman" w:hAnsi="Times New Roman"/>
          <w:noProof/>
        </w:rPr>
        <w:t xml:space="preserve"> </w:t>
      </w:r>
    </w:p>
    <w:p w14:paraId="4623C76C"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Hoyer, W. D., Chandy, R., Dorotic, M., Krafft, M., &amp; Singh, S. S. (2010). Consumer Cocreation in New Product Development. </w:t>
      </w:r>
      <w:r w:rsidRPr="0052539D">
        <w:rPr>
          <w:rFonts w:ascii="Times New Roman" w:hAnsi="Times New Roman"/>
          <w:i/>
          <w:iCs/>
          <w:noProof/>
        </w:rPr>
        <w:t>Journal of Service Research</w:t>
      </w:r>
      <w:r w:rsidRPr="0052539D">
        <w:rPr>
          <w:rFonts w:ascii="Times New Roman" w:hAnsi="Times New Roman"/>
          <w:noProof/>
        </w:rPr>
        <w:t xml:space="preserve">, </w:t>
      </w:r>
      <w:r w:rsidRPr="0052539D">
        <w:rPr>
          <w:rFonts w:ascii="Times New Roman" w:hAnsi="Times New Roman"/>
          <w:i/>
          <w:iCs/>
          <w:noProof/>
        </w:rPr>
        <w:t>13</w:t>
      </w:r>
      <w:r w:rsidRPr="0052539D">
        <w:rPr>
          <w:rFonts w:ascii="Times New Roman" w:hAnsi="Times New Roman"/>
          <w:noProof/>
        </w:rPr>
        <w:t>(3), 283–296.</w:t>
      </w:r>
    </w:p>
    <w:p w14:paraId="65A64CBA"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Hu, Y., McNamara, P., &amp; Piaskowska, D. (2017). Project Suspensions and Failures in New Product Development: Returns for Entrepreneurial Firms in Co-Development Alliances.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34</w:t>
      </w:r>
      <w:r w:rsidRPr="0052539D">
        <w:rPr>
          <w:rFonts w:ascii="Times New Roman" w:hAnsi="Times New Roman"/>
          <w:noProof/>
        </w:rPr>
        <w:t xml:space="preserve">(1), 35–59. </w:t>
      </w:r>
      <w:r>
        <w:rPr>
          <w:rFonts w:ascii="Times New Roman" w:hAnsi="Times New Roman"/>
          <w:noProof/>
        </w:rPr>
        <w:t xml:space="preserve"> </w:t>
      </w:r>
    </w:p>
    <w:p w14:paraId="37DA7B40"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Hurley, R. F., &amp; Hult, G. T. M. (1998). Innovation, Market Orientation, and Organizational Learning: An Integration and Empirical Examination. </w:t>
      </w:r>
      <w:r w:rsidRPr="0052539D">
        <w:rPr>
          <w:rFonts w:ascii="Times New Roman" w:hAnsi="Times New Roman"/>
          <w:i/>
          <w:iCs/>
          <w:noProof/>
        </w:rPr>
        <w:t>Journal of Marketing</w:t>
      </w:r>
      <w:r w:rsidRPr="0052539D">
        <w:rPr>
          <w:rFonts w:ascii="Times New Roman" w:hAnsi="Times New Roman"/>
          <w:noProof/>
        </w:rPr>
        <w:t xml:space="preserve">, </w:t>
      </w:r>
      <w:r w:rsidRPr="0052539D">
        <w:rPr>
          <w:rFonts w:ascii="Times New Roman" w:hAnsi="Times New Roman"/>
          <w:i/>
          <w:iCs/>
          <w:noProof/>
        </w:rPr>
        <w:t>62</w:t>
      </w:r>
      <w:r w:rsidRPr="0052539D">
        <w:rPr>
          <w:rFonts w:ascii="Times New Roman" w:hAnsi="Times New Roman"/>
          <w:noProof/>
        </w:rPr>
        <w:t>(3), 42–54.</w:t>
      </w:r>
    </w:p>
    <w:p w14:paraId="53B70D8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Iansiti, M. (1995). Shooting the Rapids: Managing Product Development In Turbulent Environments. </w:t>
      </w:r>
      <w:r w:rsidRPr="0052539D">
        <w:rPr>
          <w:rFonts w:ascii="Times New Roman" w:hAnsi="Times New Roman"/>
          <w:i/>
          <w:iCs/>
          <w:noProof/>
        </w:rPr>
        <w:t>California Management Review</w:t>
      </w:r>
      <w:r w:rsidRPr="0052539D">
        <w:rPr>
          <w:rFonts w:ascii="Times New Roman" w:hAnsi="Times New Roman"/>
          <w:noProof/>
        </w:rPr>
        <w:t xml:space="preserve">, </w:t>
      </w:r>
      <w:r w:rsidRPr="0052539D">
        <w:rPr>
          <w:rFonts w:ascii="Times New Roman" w:hAnsi="Times New Roman"/>
          <w:i/>
          <w:iCs/>
          <w:noProof/>
        </w:rPr>
        <w:t>38</w:t>
      </w:r>
      <w:r w:rsidRPr="0052539D">
        <w:rPr>
          <w:rFonts w:ascii="Times New Roman" w:hAnsi="Times New Roman"/>
          <w:noProof/>
        </w:rPr>
        <w:t xml:space="preserve">(1), 37–58. </w:t>
      </w:r>
      <w:r>
        <w:rPr>
          <w:rFonts w:ascii="Times New Roman" w:hAnsi="Times New Roman"/>
          <w:noProof/>
        </w:rPr>
        <w:t xml:space="preserve"> </w:t>
      </w:r>
    </w:p>
    <w:p w14:paraId="308E041A"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Katz, R., &amp; Allen, T. J. (1985). Project Performance and the Locus of Influence in the R&amp;D Matrix. </w:t>
      </w:r>
      <w:r w:rsidRPr="0052539D">
        <w:rPr>
          <w:rFonts w:ascii="Times New Roman" w:hAnsi="Times New Roman"/>
          <w:i/>
          <w:iCs/>
          <w:noProof/>
        </w:rPr>
        <w:t>Academy of Management Journal</w:t>
      </w:r>
      <w:r w:rsidRPr="0052539D">
        <w:rPr>
          <w:rFonts w:ascii="Times New Roman" w:hAnsi="Times New Roman"/>
          <w:noProof/>
        </w:rPr>
        <w:t xml:space="preserve">, </w:t>
      </w:r>
      <w:r w:rsidRPr="0052539D">
        <w:rPr>
          <w:rFonts w:ascii="Times New Roman" w:hAnsi="Times New Roman"/>
          <w:i/>
          <w:iCs/>
          <w:noProof/>
        </w:rPr>
        <w:t>28</w:t>
      </w:r>
      <w:r w:rsidRPr="0052539D">
        <w:rPr>
          <w:rFonts w:ascii="Times New Roman" w:hAnsi="Times New Roman"/>
          <w:noProof/>
        </w:rPr>
        <w:t>(1), 67–87.</w:t>
      </w:r>
    </w:p>
    <w:p w14:paraId="5340250C"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Ketchen, D. J., Wowak, K. D., &amp; Craighead, C. W. (2014). Resource Gaps and Resource Orchestration Shortfalls in Supply Chain Management: The Case of Product Recalls. </w:t>
      </w:r>
      <w:r w:rsidRPr="0052539D">
        <w:rPr>
          <w:rFonts w:ascii="Times New Roman" w:hAnsi="Times New Roman"/>
          <w:i/>
          <w:iCs/>
          <w:noProof/>
        </w:rPr>
        <w:t>Journal of Supply Chain Management</w:t>
      </w:r>
      <w:r w:rsidRPr="0052539D">
        <w:rPr>
          <w:rFonts w:ascii="Times New Roman" w:hAnsi="Times New Roman"/>
          <w:noProof/>
        </w:rPr>
        <w:t xml:space="preserve">, </w:t>
      </w:r>
      <w:r w:rsidRPr="0052539D">
        <w:rPr>
          <w:rFonts w:ascii="Times New Roman" w:hAnsi="Times New Roman"/>
          <w:i/>
          <w:iCs/>
          <w:noProof/>
        </w:rPr>
        <w:t>50</w:t>
      </w:r>
      <w:r w:rsidRPr="0052539D">
        <w:rPr>
          <w:rFonts w:ascii="Times New Roman" w:hAnsi="Times New Roman"/>
          <w:noProof/>
        </w:rPr>
        <w:t>(3), 6–15.</w:t>
      </w:r>
    </w:p>
    <w:p w14:paraId="5EDA21C3"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Kortmann, S., Gelhard, C., Zimmermann, C., &amp; Piller, F. T. (2014). Linking strategic flexibility and operational efficiency: The mediating role of ambidextrous operational capabilities.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32</w:t>
      </w:r>
      <w:r w:rsidRPr="0052539D">
        <w:rPr>
          <w:rFonts w:ascii="Times New Roman" w:hAnsi="Times New Roman"/>
          <w:noProof/>
        </w:rPr>
        <w:t>(7–8), 475–490.</w:t>
      </w:r>
    </w:p>
    <w:p w14:paraId="714E1EF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lastRenderedPageBreak/>
        <w:t xml:space="preserve">Koufteros, X., Verghese, A., &amp; Lucianetti, L. (2014). The effect of performance measurement systems on firm performance: A cross-sectional and a longitudinal study.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32</w:t>
      </w:r>
      <w:r w:rsidRPr="0052539D">
        <w:rPr>
          <w:rFonts w:ascii="Times New Roman" w:hAnsi="Times New Roman"/>
          <w:noProof/>
        </w:rPr>
        <w:t xml:space="preserve">(6), 313–336. </w:t>
      </w:r>
      <w:r>
        <w:rPr>
          <w:rFonts w:ascii="Times New Roman" w:hAnsi="Times New Roman"/>
          <w:noProof/>
        </w:rPr>
        <w:t xml:space="preserve"> </w:t>
      </w:r>
    </w:p>
    <w:p w14:paraId="5D06BD80"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Kozlenkova, I. V., Samaha, S. A., &amp; Palmatier, R. W. (2014). Resource-based theory in marketing. </w:t>
      </w:r>
      <w:r w:rsidRPr="0052539D">
        <w:rPr>
          <w:rFonts w:ascii="Times New Roman" w:hAnsi="Times New Roman"/>
          <w:i/>
          <w:iCs/>
          <w:noProof/>
        </w:rPr>
        <w:t>Journal of the Academy of Marketing Science</w:t>
      </w:r>
      <w:r w:rsidRPr="0052539D">
        <w:rPr>
          <w:rFonts w:ascii="Times New Roman" w:hAnsi="Times New Roman"/>
          <w:noProof/>
        </w:rPr>
        <w:t xml:space="preserve">, </w:t>
      </w:r>
      <w:r w:rsidRPr="0052539D">
        <w:rPr>
          <w:rFonts w:ascii="Times New Roman" w:hAnsi="Times New Roman"/>
          <w:i/>
          <w:iCs/>
          <w:noProof/>
        </w:rPr>
        <w:t>42</w:t>
      </w:r>
      <w:r w:rsidRPr="0052539D">
        <w:rPr>
          <w:rFonts w:ascii="Times New Roman" w:hAnsi="Times New Roman"/>
          <w:noProof/>
        </w:rPr>
        <w:t xml:space="preserve">(1), 1–21. </w:t>
      </w:r>
      <w:r>
        <w:rPr>
          <w:rFonts w:ascii="Times New Roman" w:hAnsi="Times New Roman"/>
          <w:noProof/>
        </w:rPr>
        <w:t xml:space="preserve"> </w:t>
      </w:r>
    </w:p>
    <w:p w14:paraId="66A0B45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Krause, D. R., Pagell, M., &amp; Curkovic, S. (2001). Toward a measure of competitive priorities for purchasing.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19</w:t>
      </w:r>
      <w:r w:rsidRPr="0052539D">
        <w:rPr>
          <w:rFonts w:ascii="Times New Roman" w:hAnsi="Times New Roman"/>
          <w:noProof/>
        </w:rPr>
        <w:t xml:space="preserve">, 497–512. </w:t>
      </w:r>
      <w:r>
        <w:rPr>
          <w:rFonts w:ascii="Times New Roman" w:hAnsi="Times New Roman"/>
          <w:noProof/>
        </w:rPr>
        <w:t xml:space="preserve"> </w:t>
      </w:r>
    </w:p>
    <w:p w14:paraId="3E33231B"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Kumar, N., Stern, L. W., &amp; Anderson, J. C. (1993). Conducting interorganizational research using key informants. </w:t>
      </w:r>
      <w:r w:rsidRPr="0052539D">
        <w:rPr>
          <w:rFonts w:ascii="Times New Roman" w:hAnsi="Times New Roman"/>
          <w:i/>
          <w:iCs/>
          <w:noProof/>
        </w:rPr>
        <w:t>Academy of Management Journal</w:t>
      </w:r>
      <w:r w:rsidRPr="0052539D">
        <w:rPr>
          <w:rFonts w:ascii="Times New Roman" w:hAnsi="Times New Roman"/>
          <w:noProof/>
        </w:rPr>
        <w:t xml:space="preserve">, </w:t>
      </w:r>
      <w:r w:rsidRPr="0052539D">
        <w:rPr>
          <w:rFonts w:ascii="Times New Roman" w:hAnsi="Times New Roman"/>
          <w:i/>
          <w:iCs/>
          <w:noProof/>
        </w:rPr>
        <w:t>36</w:t>
      </w:r>
      <w:r w:rsidRPr="0052539D">
        <w:rPr>
          <w:rFonts w:ascii="Times New Roman" w:hAnsi="Times New Roman"/>
          <w:noProof/>
        </w:rPr>
        <w:t>(6), 1633–1651.</w:t>
      </w:r>
    </w:p>
    <w:p w14:paraId="4AD690CF"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Lawson, B., Petersen, K. J., Cousins, P. D., &amp; Handfield, R. B. (2009). Knowledge sharing in interorganizational product development teams: The effect of formal and informal socialization mechanisms.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26</w:t>
      </w:r>
      <w:r w:rsidRPr="0052539D">
        <w:rPr>
          <w:rFonts w:ascii="Times New Roman" w:hAnsi="Times New Roman"/>
          <w:noProof/>
        </w:rPr>
        <w:t xml:space="preserve">(2), 156–172. </w:t>
      </w:r>
      <w:r>
        <w:rPr>
          <w:rFonts w:ascii="Times New Roman" w:hAnsi="Times New Roman"/>
          <w:noProof/>
        </w:rPr>
        <w:t xml:space="preserve"> </w:t>
      </w:r>
    </w:p>
    <w:p w14:paraId="247E326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Leuschner, R., Carter, C. R., Goldsby, T. J., &amp; Rogers, Z. S. (2014). THIRD-PARTY LOGISTICS: A META-ANALYTIC REVIEW AND INVESTIGATION OF ITS IMPACT ON PERFORMANCE. </w:t>
      </w:r>
      <w:r w:rsidRPr="0052539D">
        <w:rPr>
          <w:rFonts w:ascii="Times New Roman" w:hAnsi="Times New Roman"/>
          <w:i/>
          <w:iCs/>
          <w:noProof/>
        </w:rPr>
        <w:t>Journal of Supply Chain Management</w:t>
      </w:r>
      <w:r w:rsidRPr="0052539D">
        <w:rPr>
          <w:rFonts w:ascii="Times New Roman" w:hAnsi="Times New Roman"/>
          <w:noProof/>
        </w:rPr>
        <w:t xml:space="preserve">, </w:t>
      </w:r>
      <w:r w:rsidRPr="0052539D">
        <w:rPr>
          <w:rFonts w:ascii="Times New Roman" w:hAnsi="Times New Roman"/>
          <w:i/>
          <w:iCs/>
          <w:noProof/>
        </w:rPr>
        <w:t>50</w:t>
      </w:r>
      <w:r w:rsidRPr="0052539D">
        <w:rPr>
          <w:rFonts w:ascii="Times New Roman" w:hAnsi="Times New Roman"/>
          <w:noProof/>
        </w:rPr>
        <w:t>(1), 21–43.</w:t>
      </w:r>
    </w:p>
    <w:p w14:paraId="1860BE7D"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Li, S., Rao, S. S., Ragu-Nathan, T. S., &amp; Ragu-Nathan, B. (2005). Development and validation of a measurement instrument for studying supply chain management practices.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23</w:t>
      </w:r>
      <w:r w:rsidRPr="0052539D">
        <w:rPr>
          <w:rFonts w:ascii="Times New Roman" w:hAnsi="Times New Roman"/>
          <w:noProof/>
        </w:rPr>
        <w:t xml:space="preserve">, 618–641. </w:t>
      </w:r>
      <w:r>
        <w:rPr>
          <w:rFonts w:ascii="Times New Roman" w:hAnsi="Times New Roman"/>
          <w:noProof/>
        </w:rPr>
        <w:t xml:space="preserve"> </w:t>
      </w:r>
    </w:p>
    <w:p w14:paraId="52787AC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Lindell, M. K., &amp; Whitney, D. J. (2001). Accounting for Common Method Variance in Cross-Sectional Research Design. </w:t>
      </w:r>
      <w:r w:rsidRPr="0052539D">
        <w:rPr>
          <w:rFonts w:ascii="Times New Roman" w:hAnsi="Times New Roman"/>
          <w:i/>
          <w:iCs/>
          <w:noProof/>
        </w:rPr>
        <w:t>Journal of Applied Psychology</w:t>
      </w:r>
      <w:r w:rsidRPr="0052539D">
        <w:rPr>
          <w:rFonts w:ascii="Times New Roman" w:hAnsi="Times New Roman"/>
          <w:noProof/>
        </w:rPr>
        <w:t xml:space="preserve">, </w:t>
      </w:r>
      <w:r w:rsidRPr="0052539D">
        <w:rPr>
          <w:rFonts w:ascii="Times New Roman" w:hAnsi="Times New Roman"/>
          <w:i/>
          <w:iCs/>
          <w:noProof/>
        </w:rPr>
        <w:t>86</w:t>
      </w:r>
      <w:r w:rsidRPr="0052539D">
        <w:rPr>
          <w:rFonts w:ascii="Times New Roman" w:hAnsi="Times New Roman"/>
          <w:noProof/>
        </w:rPr>
        <w:t xml:space="preserve">(1), 114–121. </w:t>
      </w:r>
      <w:r>
        <w:rPr>
          <w:rFonts w:ascii="Times New Roman" w:hAnsi="Times New Roman"/>
          <w:noProof/>
        </w:rPr>
        <w:t xml:space="preserve"> </w:t>
      </w:r>
    </w:p>
    <w:p w14:paraId="730C0FEB"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Linder, J. C., Jarvenpaa, S., &amp; Davenport, T. H. (2003). Toward an Innovation Sourcing Strategy. </w:t>
      </w:r>
      <w:r w:rsidRPr="0052539D">
        <w:rPr>
          <w:rFonts w:ascii="Times New Roman" w:hAnsi="Times New Roman"/>
          <w:i/>
          <w:iCs/>
          <w:noProof/>
        </w:rPr>
        <w:t>MIT Sloan Management Review</w:t>
      </w:r>
      <w:r w:rsidRPr="0052539D">
        <w:rPr>
          <w:rFonts w:ascii="Times New Roman" w:hAnsi="Times New Roman"/>
          <w:noProof/>
        </w:rPr>
        <w:t xml:space="preserve">, </w:t>
      </w:r>
      <w:r w:rsidRPr="0052539D">
        <w:rPr>
          <w:rFonts w:ascii="Times New Roman" w:hAnsi="Times New Roman"/>
          <w:i/>
          <w:iCs/>
          <w:noProof/>
        </w:rPr>
        <w:t>44</w:t>
      </w:r>
      <w:r w:rsidRPr="0052539D">
        <w:rPr>
          <w:rFonts w:ascii="Times New Roman" w:hAnsi="Times New Roman"/>
          <w:noProof/>
        </w:rPr>
        <w:t>(4), 43–49.</w:t>
      </w:r>
    </w:p>
    <w:p w14:paraId="30CB9778"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Lonial, S. C., &amp; Carter, R. E. (2015). The Impact of Organizational Orientations on Medium and Small Firm Performance: A Resource-Based Perspective. </w:t>
      </w:r>
      <w:r w:rsidRPr="0052539D">
        <w:rPr>
          <w:rFonts w:ascii="Times New Roman" w:hAnsi="Times New Roman"/>
          <w:i/>
          <w:iCs/>
          <w:noProof/>
        </w:rPr>
        <w:t>Journal of Small Business Management</w:t>
      </w:r>
      <w:r w:rsidRPr="0052539D">
        <w:rPr>
          <w:rFonts w:ascii="Times New Roman" w:hAnsi="Times New Roman"/>
          <w:noProof/>
        </w:rPr>
        <w:t xml:space="preserve">, </w:t>
      </w:r>
      <w:r w:rsidRPr="0052539D">
        <w:rPr>
          <w:rFonts w:ascii="Times New Roman" w:hAnsi="Times New Roman"/>
          <w:i/>
          <w:iCs/>
          <w:noProof/>
        </w:rPr>
        <w:t>53</w:t>
      </w:r>
      <w:r w:rsidRPr="0052539D">
        <w:rPr>
          <w:rFonts w:ascii="Times New Roman" w:hAnsi="Times New Roman"/>
          <w:noProof/>
        </w:rPr>
        <w:t>(1), 94–113.</w:t>
      </w:r>
    </w:p>
    <w:p w14:paraId="0D7E9C0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Luca, L. M. De, &amp; Atuahene-Gima, K. (2007). Market Knowledge Dimensions and Cross-Functional Collaboration: Examining the Different Routes to Product Innovation Performance. </w:t>
      </w:r>
      <w:r w:rsidRPr="0052539D">
        <w:rPr>
          <w:rFonts w:ascii="Times New Roman" w:hAnsi="Times New Roman"/>
          <w:i/>
          <w:iCs/>
          <w:noProof/>
        </w:rPr>
        <w:t>Journal of Marketing</w:t>
      </w:r>
      <w:r w:rsidRPr="0052539D">
        <w:rPr>
          <w:rFonts w:ascii="Times New Roman" w:hAnsi="Times New Roman"/>
          <w:noProof/>
        </w:rPr>
        <w:t xml:space="preserve">, </w:t>
      </w:r>
      <w:r w:rsidRPr="0052539D">
        <w:rPr>
          <w:rFonts w:ascii="Times New Roman" w:hAnsi="Times New Roman"/>
          <w:i/>
          <w:iCs/>
          <w:noProof/>
        </w:rPr>
        <w:t>71</w:t>
      </w:r>
      <w:r w:rsidRPr="0052539D">
        <w:rPr>
          <w:rFonts w:ascii="Times New Roman" w:hAnsi="Times New Roman"/>
          <w:noProof/>
        </w:rPr>
        <w:t>(1), 95–112.</w:t>
      </w:r>
    </w:p>
    <w:p w14:paraId="4D35872C"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Lumpkin, G. T., &amp; Dess, G. G. (1996). Clarifying the Entrepreneurial Orientation Construct and Linking it to Performance. </w:t>
      </w:r>
      <w:r w:rsidRPr="0052539D">
        <w:rPr>
          <w:rFonts w:ascii="Times New Roman" w:hAnsi="Times New Roman"/>
          <w:i/>
          <w:iCs/>
          <w:noProof/>
        </w:rPr>
        <w:t>Academy of Management Review</w:t>
      </w:r>
      <w:r w:rsidRPr="0052539D">
        <w:rPr>
          <w:rFonts w:ascii="Times New Roman" w:hAnsi="Times New Roman"/>
          <w:noProof/>
        </w:rPr>
        <w:t xml:space="preserve">, </w:t>
      </w:r>
      <w:r w:rsidRPr="0052539D">
        <w:rPr>
          <w:rFonts w:ascii="Times New Roman" w:hAnsi="Times New Roman"/>
          <w:i/>
          <w:iCs/>
          <w:noProof/>
        </w:rPr>
        <w:t>21</w:t>
      </w:r>
      <w:r w:rsidRPr="0052539D">
        <w:rPr>
          <w:rFonts w:ascii="Times New Roman" w:hAnsi="Times New Roman"/>
          <w:noProof/>
        </w:rPr>
        <w:t>(1), 135–172.</w:t>
      </w:r>
    </w:p>
    <w:p w14:paraId="198F84C5"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Marsh, S. J., &amp; Stock, G. N. (2006). Creating dynamic capability: The role of intertemporal integration, knowledge retention, and interpretation.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23</w:t>
      </w:r>
      <w:r w:rsidRPr="0052539D">
        <w:rPr>
          <w:rFonts w:ascii="Times New Roman" w:hAnsi="Times New Roman"/>
          <w:noProof/>
        </w:rPr>
        <w:t xml:space="preserve">(5), 422–436. </w:t>
      </w:r>
      <w:r>
        <w:rPr>
          <w:rFonts w:ascii="Times New Roman" w:hAnsi="Times New Roman"/>
          <w:noProof/>
        </w:rPr>
        <w:t xml:space="preserve"> </w:t>
      </w:r>
    </w:p>
    <w:p w14:paraId="31E52E9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McGrath, J. E. (1981). Dilemmatics: The Study of Research Choices and Dilemmas. </w:t>
      </w:r>
      <w:r w:rsidRPr="0052539D">
        <w:rPr>
          <w:rFonts w:ascii="Times New Roman" w:hAnsi="Times New Roman"/>
          <w:i/>
          <w:iCs/>
          <w:noProof/>
        </w:rPr>
        <w:t>American Behavioral Scientist</w:t>
      </w:r>
      <w:r w:rsidRPr="0052539D">
        <w:rPr>
          <w:rFonts w:ascii="Times New Roman" w:hAnsi="Times New Roman"/>
          <w:noProof/>
        </w:rPr>
        <w:t xml:space="preserve">, </w:t>
      </w:r>
      <w:r w:rsidRPr="0052539D">
        <w:rPr>
          <w:rFonts w:ascii="Times New Roman" w:hAnsi="Times New Roman"/>
          <w:i/>
          <w:iCs/>
          <w:noProof/>
        </w:rPr>
        <w:t>25</w:t>
      </w:r>
      <w:r w:rsidRPr="0052539D">
        <w:rPr>
          <w:rFonts w:ascii="Times New Roman" w:hAnsi="Times New Roman"/>
          <w:noProof/>
        </w:rPr>
        <w:t>(2), 179–210.</w:t>
      </w:r>
    </w:p>
    <w:p w14:paraId="403A2DF4"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McNally, R. C., Akdeniz, M. B., &amp; Calantone, R. J. (2011). New Product Development Processes and New Product Profitability: Exploring the Mediating Role of Speed to Market and Product Quality.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28</w:t>
      </w:r>
      <w:r w:rsidRPr="0052539D">
        <w:rPr>
          <w:rFonts w:ascii="Times New Roman" w:hAnsi="Times New Roman"/>
          <w:noProof/>
        </w:rPr>
        <w:t>(S1), 63–77.</w:t>
      </w:r>
    </w:p>
    <w:p w14:paraId="1301B938"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Miller, D. (1993). The Architecture of Simplicity. </w:t>
      </w:r>
      <w:r w:rsidRPr="0052539D">
        <w:rPr>
          <w:rFonts w:ascii="Times New Roman" w:hAnsi="Times New Roman"/>
          <w:i/>
          <w:iCs/>
          <w:noProof/>
        </w:rPr>
        <w:t>Academy of Management Review</w:t>
      </w:r>
      <w:r w:rsidRPr="0052539D">
        <w:rPr>
          <w:rFonts w:ascii="Times New Roman" w:hAnsi="Times New Roman"/>
          <w:noProof/>
        </w:rPr>
        <w:t xml:space="preserve">, </w:t>
      </w:r>
      <w:r w:rsidRPr="0052539D">
        <w:rPr>
          <w:rFonts w:ascii="Times New Roman" w:hAnsi="Times New Roman"/>
          <w:i/>
          <w:iCs/>
          <w:noProof/>
        </w:rPr>
        <w:t>18</w:t>
      </w:r>
      <w:r w:rsidRPr="0052539D">
        <w:rPr>
          <w:rFonts w:ascii="Times New Roman" w:hAnsi="Times New Roman"/>
          <w:noProof/>
        </w:rPr>
        <w:t xml:space="preserve">(1), 116–138. </w:t>
      </w:r>
      <w:r>
        <w:rPr>
          <w:rFonts w:ascii="Times New Roman" w:hAnsi="Times New Roman"/>
          <w:noProof/>
        </w:rPr>
        <w:t xml:space="preserve"> </w:t>
      </w:r>
    </w:p>
    <w:p w14:paraId="442B4913"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Nakata, C., &amp; Im, S. (2010). Spurring Cross-Functional Integration for Higher New Product Performance: A Group Effectiveness Perspective.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27</w:t>
      </w:r>
      <w:r w:rsidRPr="0052539D">
        <w:rPr>
          <w:rFonts w:ascii="Times New Roman" w:hAnsi="Times New Roman"/>
          <w:noProof/>
        </w:rPr>
        <w:t>, 554–571.</w:t>
      </w:r>
    </w:p>
    <w:p w14:paraId="4B9F2C6D"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Nambisan, S. (2002). DESIGNING VIRTUAL CUSTOMER ENVIRONMENTS FOR NEW PRODUCT DEVELOPMENT: TOWARD A THEORY. </w:t>
      </w:r>
      <w:r w:rsidRPr="0052539D">
        <w:rPr>
          <w:rFonts w:ascii="Times New Roman" w:hAnsi="Times New Roman"/>
          <w:i/>
          <w:iCs/>
          <w:noProof/>
        </w:rPr>
        <w:t xml:space="preserve">Academy of </w:t>
      </w:r>
      <w:r w:rsidRPr="0052539D">
        <w:rPr>
          <w:rFonts w:ascii="Times New Roman" w:hAnsi="Times New Roman"/>
          <w:i/>
          <w:iCs/>
          <w:noProof/>
        </w:rPr>
        <w:lastRenderedPageBreak/>
        <w:t>Management Review</w:t>
      </w:r>
      <w:r w:rsidRPr="0052539D">
        <w:rPr>
          <w:rFonts w:ascii="Times New Roman" w:hAnsi="Times New Roman"/>
          <w:noProof/>
        </w:rPr>
        <w:t xml:space="preserve">, </w:t>
      </w:r>
      <w:r w:rsidRPr="0052539D">
        <w:rPr>
          <w:rFonts w:ascii="Times New Roman" w:hAnsi="Times New Roman"/>
          <w:i/>
          <w:iCs/>
          <w:noProof/>
        </w:rPr>
        <w:t>27</w:t>
      </w:r>
      <w:r w:rsidRPr="0052539D">
        <w:rPr>
          <w:rFonts w:ascii="Times New Roman" w:hAnsi="Times New Roman"/>
          <w:noProof/>
        </w:rPr>
        <w:t>(3), 392–413.</w:t>
      </w:r>
    </w:p>
    <w:p w14:paraId="3478393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Narasimhan, R., &amp; Narayanan, S. (2013). Perspectives on Supply Network–Enabled Innovations. </w:t>
      </w:r>
      <w:r w:rsidRPr="0052539D">
        <w:rPr>
          <w:rFonts w:ascii="Times New Roman" w:hAnsi="Times New Roman"/>
          <w:i/>
          <w:iCs/>
          <w:noProof/>
        </w:rPr>
        <w:t>Journal of Supply Chain Management</w:t>
      </w:r>
      <w:r w:rsidRPr="0052539D">
        <w:rPr>
          <w:rFonts w:ascii="Times New Roman" w:hAnsi="Times New Roman"/>
          <w:noProof/>
        </w:rPr>
        <w:t xml:space="preserve">, </w:t>
      </w:r>
      <w:r w:rsidRPr="0052539D">
        <w:rPr>
          <w:rFonts w:ascii="Times New Roman" w:hAnsi="Times New Roman"/>
          <w:i/>
          <w:iCs/>
          <w:noProof/>
        </w:rPr>
        <w:t>49</w:t>
      </w:r>
      <w:r w:rsidRPr="0052539D">
        <w:rPr>
          <w:rFonts w:ascii="Times New Roman" w:hAnsi="Times New Roman"/>
          <w:noProof/>
        </w:rPr>
        <w:t>(4), 27–42.</w:t>
      </w:r>
    </w:p>
    <w:p w14:paraId="03382191"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Ndofor, H. A., Sirmon, D. G., &amp; He, X. (2011). FIRM RESOURCES, COMPETITIVE ACTIONS AND PERFORMANCE : INVESTIGATING A MEDIATED MODEL WITH EVIDENCE FROM THE IN-VITRO DIAGNOSTICS INDUSTRY.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32</w:t>
      </w:r>
      <w:r w:rsidRPr="0052539D">
        <w:rPr>
          <w:rFonts w:ascii="Times New Roman" w:hAnsi="Times New Roman"/>
          <w:noProof/>
        </w:rPr>
        <w:t xml:space="preserve">, 640–657. </w:t>
      </w:r>
      <w:r>
        <w:rPr>
          <w:rFonts w:ascii="Times New Roman" w:hAnsi="Times New Roman"/>
          <w:noProof/>
        </w:rPr>
        <w:t xml:space="preserve"> </w:t>
      </w:r>
    </w:p>
    <w:p w14:paraId="1B6C73B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Nunnally, J. C. (1978). </w:t>
      </w:r>
      <w:r w:rsidRPr="0052539D">
        <w:rPr>
          <w:rFonts w:ascii="Times New Roman" w:hAnsi="Times New Roman"/>
          <w:i/>
          <w:iCs/>
          <w:noProof/>
        </w:rPr>
        <w:t>Psychometric Theory</w:t>
      </w:r>
      <w:r w:rsidRPr="0052539D">
        <w:rPr>
          <w:rFonts w:ascii="Times New Roman" w:hAnsi="Times New Roman"/>
          <w:noProof/>
        </w:rPr>
        <w:t xml:space="preserve"> (2nd ed.). New York, NY: McGraw-Hill.</w:t>
      </w:r>
    </w:p>
    <w:p w14:paraId="2A9F3A1A"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Oke, A., &amp; Kach, A. (2012). Linking sourcing and collaborative strategies to financial performance: The role of operational innovation. </w:t>
      </w:r>
      <w:r w:rsidRPr="0052539D">
        <w:rPr>
          <w:rFonts w:ascii="Times New Roman" w:hAnsi="Times New Roman"/>
          <w:i/>
          <w:iCs/>
          <w:noProof/>
        </w:rPr>
        <w:t>Journal of Purchasing and Supply Management</w:t>
      </w:r>
      <w:r w:rsidRPr="0052539D">
        <w:rPr>
          <w:rFonts w:ascii="Times New Roman" w:hAnsi="Times New Roman"/>
          <w:noProof/>
        </w:rPr>
        <w:t xml:space="preserve">, </w:t>
      </w:r>
      <w:r w:rsidRPr="0052539D">
        <w:rPr>
          <w:rFonts w:ascii="Times New Roman" w:hAnsi="Times New Roman"/>
          <w:i/>
          <w:iCs/>
          <w:noProof/>
        </w:rPr>
        <w:t>18</w:t>
      </w:r>
      <w:r w:rsidRPr="0052539D">
        <w:rPr>
          <w:rFonts w:ascii="Times New Roman" w:hAnsi="Times New Roman"/>
          <w:noProof/>
        </w:rPr>
        <w:t xml:space="preserve">(1), 46–59. </w:t>
      </w:r>
      <w:r>
        <w:rPr>
          <w:rFonts w:ascii="Times New Roman" w:hAnsi="Times New Roman"/>
          <w:noProof/>
        </w:rPr>
        <w:t xml:space="preserve"> </w:t>
      </w:r>
    </w:p>
    <w:p w14:paraId="3984B80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Oke, A., Prajogo, D. I., &amp; Yayaram, J. (2013). STRENGTHENING THE INNOVATION CHAIN: THE ROLE OF INTERNAL INNOVATION CLIMATE AND STRATEGIC RELATIONSHIPS WITH SUPPLY CHAIN PARTNERS. </w:t>
      </w:r>
      <w:r w:rsidRPr="0052539D">
        <w:rPr>
          <w:rFonts w:ascii="Times New Roman" w:hAnsi="Times New Roman"/>
          <w:i/>
          <w:iCs/>
          <w:noProof/>
        </w:rPr>
        <w:t>Journal of Supply Chain Management</w:t>
      </w:r>
      <w:r w:rsidRPr="0052539D">
        <w:rPr>
          <w:rFonts w:ascii="Times New Roman" w:hAnsi="Times New Roman"/>
          <w:noProof/>
        </w:rPr>
        <w:t xml:space="preserve">, </w:t>
      </w:r>
      <w:r w:rsidRPr="0052539D">
        <w:rPr>
          <w:rFonts w:ascii="Times New Roman" w:hAnsi="Times New Roman"/>
          <w:i/>
          <w:iCs/>
          <w:noProof/>
        </w:rPr>
        <w:t>49</w:t>
      </w:r>
      <w:r w:rsidRPr="0052539D">
        <w:rPr>
          <w:rFonts w:ascii="Times New Roman" w:hAnsi="Times New Roman"/>
          <w:noProof/>
        </w:rPr>
        <w:t>(4), 43–58.</w:t>
      </w:r>
    </w:p>
    <w:p w14:paraId="3394FAC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Parmigiani, A., &amp; Rivera-Santos, M. (2011). Clearing a Path Through the Forest: A Meta-Review of Interorganizational Relationships. </w:t>
      </w:r>
      <w:r w:rsidRPr="0052539D">
        <w:rPr>
          <w:rFonts w:ascii="Times New Roman" w:hAnsi="Times New Roman"/>
          <w:i/>
          <w:iCs/>
          <w:noProof/>
        </w:rPr>
        <w:t>Journal of Management</w:t>
      </w:r>
      <w:r w:rsidRPr="0052539D">
        <w:rPr>
          <w:rFonts w:ascii="Times New Roman" w:hAnsi="Times New Roman"/>
          <w:noProof/>
        </w:rPr>
        <w:t xml:space="preserve">, </w:t>
      </w:r>
      <w:r w:rsidRPr="0052539D">
        <w:rPr>
          <w:rFonts w:ascii="Times New Roman" w:hAnsi="Times New Roman"/>
          <w:i/>
          <w:iCs/>
          <w:noProof/>
        </w:rPr>
        <w:t>37</w:t>
      </w:r>
      <w:r w:rsidRPr="0052539D">
        <w:rPr>
          <w:rFonts w:ascii="Times New Roman" w:hAnsi="Times New Roman"/>
          <w:noProof/>
        </w:rPr>
        <w:t xml:space="preserve">(4), 1108–1136. </w:t>
      </w:r>
      <w:r>
        <w:rPr>
          <w:rFonts w:ascii="Times New Roman" w:hAnsi="Times New Roman"/>
          <w:noProof/>
        </w:rPr>
        <w:t xml:space="preserve"> </w:t>
      </w:r>
    </w:p>
    <w:p w14:paraId="75655F0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Patel, P. C., Kohtamakl, M., Parida, V., &amp; Wincent, J. (2015). Orientation-As-Experimentation and Firm Performance: The Enabling Role of Absorptive Capacity.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36</w:t>
      </w:r>
      <w:r w:rsidRPr="0052539D">
        <w:rPr>
          <w:rFonts w:ascii="Times New Roman" w:hAnsi="Times New Roman"/>
          <w:noProof/>
        </w:rPr>
        <w:t xml:space="preserve">, 1739–1749. </w:t>
      </w:r>
      <w:r>
        <w:rPr>
          <w:rFonts w:ascii="Times New Roman" w:hAnsi="Times New Roman"/>
          <w:noProof/>
        </w:rPr>
        <w:t xml:space="preserve"> </w:t>
      </w:r>
    </w:p>
    <w:p w14:paraId="4CFBC5B1"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Peter, J. P. (1981). Construct Validity: A Review of Basic Issues and Marketing Practices. </w:t>
      </w:r>
      <w:r w:rsidRPr="0052539D">
        <w:rPr>
          <w:rFonts w:ascii="Times New Roman" w:hAnsi="Times New Roman"/>
          <w:i/>
          <w:iCs/>
          <w:noProof/>
        </w:rPr>
        <w:t>Journal of Marketing Research</w:t>
      </w:r>
      <w:r w:rsidRPr="0052539D">
        <w:rPr>
          <w:rFonts w:ascii="Times New Roman" w:hAnsi="Times New Roman"/>
          <w:noProof/>
        </w:rPr>
        <w:t xml:space="preserve">, </w:t>
      </w:r>
      <w:r w:rsidRPr="0052539D">
        <w:rPr>
          <w:rFonts w:ascii="Times New Roman" w:hAnsi="Times New Roman"/>
          <w:i/>
          <w:iCs/>
          <w:noProof/>
        </w:rPr>
        <w:t>XVIII</w:t>
      </w:r>
      <w:r w:rsidRPr="0052539D">
        <w:rPr>
          <w:rFonts w:ascii="Times New Roman" w:hAnsi="Times New Roman"/>
          <w:noProof/>
        </w:rPr>
        <w:t>, 133–145.</w:t>
      </w:r>
    </w:p>
    <w:p w14:paraId="71DC0704"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Podsakoff, P. M., MacKenzie, S. B., Lee, J.-Y., &amp; Podsakoff, N. P. (2003). Common method biases in behavioral research: a critical review of the literature and recommended remedies. </w:t>
      </w:r>
      <w:r w:rsidRPr="0052539D">
        <w:rPr>
          <w:rFonts w:ascii="Times New Roman" w:hAnsi="Times New Roman"/>
          <w:i/>
          <w:iCs/>
          <w:noProof/>
        </w:rPr>
        <w:t>The Journal of Applied Psychology</w:t>
      </w:r>
      <w:r w:rsidRPr="0052539D">
        <w:rPr>
          <w:rFonts w:ascii="Times New Roman" w:hAnsi="Times New Roman"/>
          <w:noProof/>
        </w:rPr>
        <w:t xml:space="preserve">, </w:t>
      </w:r>
      <w:r w:rsidRPr="0052539D">
        <w:rPr>
          <w:rFonts w:ascii="Times New Roman" w:hAnsi="Times New Roman"/>
          <w:i/>
          <w:iCs/>
          <w:noProof/>
        </w:rPr>
        <w:t>88</w:t>
      </w:r>
      <w:r w:rsidRPr="0052539D">
        <w:rPr>
          <w:rFonts w:ascii="Times New Roman" w:hAnsi="Times New Roman"/>
          <w:noProof/>
        </w:rPr>
        <w:t xml:space="preserve">(5), 879–903. </w:t>
      </w:r>
      <w:r>
        <w:rPr>
          <w:rFonts w:ascii="Times New Roman" w:hAnsi="Times New Roman"/>
          <w:noProof/>
        </w:rPr>
        <w:t xml:space="preserve"> </w:t>
      </w:r>
    </w:p>
    <w:p w14:paraId="21061DFD"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Powell, W. W., Koput, K. W., &amp; Smith-Doerr, L. (1996). Interorganizational Collaboration and the Locus of Innovation: Networks of Learning in Biotechnology. </w:t>
      </w:r>
      <w:r w:rsidRPr="0052539D">
        <w:rPr>
          <w:rFonts w:ascii="Times New Roman" w:hAnsi="Times New Roman"/>
          <w:i/>
          <w:iCs/>
          <w:noProof/>
        </w:rPr>
        <w:t>Administrative Science Quarterly</w:t>
      </w:r>
      <w:r w:rsidRPr="0052539D">
        <w:rPr>
          <w:rFonts w:ascii="Times New Roman" w:hAnsi="Times New Roman"/>
          <w:noProof/>
        </w:rPr>
        <w:t xml:space="preserve">, </w:t>
      </w:r>
      <w:r w:rsidRPr="0052539D">
        <w:rPr>
          <w:rFonts w:ascii="Times New Roman" w:hAnsi="Times New Roman"/>
          <w:i/>
          <w:iCs/>
          <w:noProof/>
        </w:rPr>
        <w:t>41</w:t>
      </w:r>
      <w:r w:rsidRPr="0052539D">
        <w:rPr>
          <w:rFonts w:ascii="Times New Roman" w:hAnsi="Times New Roman"/>
          <w:noProof/>
        </w:rPr>
        <w:t xml:space="preserve">(1), 116–145. </w:t>
      </w:r>
      <w:r>
        <w:rPr>
          <w:rFonts w:ascii="Times New Roman" w:hAnsi="Times New Roman"/>
          <w:noProof/>
        </w:rPr>
        <w:t xml:space="preserve"> </w:t>
      </w:r>
    </w:p>
    <w:p w14:paraId="02B93E5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Rauch, A., Wiklund, J., &amp; Frese, M. (2009). Entrepreneurial Orientation and Business Performance: An Assessment of Past Research and Suggestions for the Future. </w:t>
      </w:r>
      <w:r w:rsidRPr="0052539D">
        <w:rPr>
          <w:rFonts w:ascii="Times New Roman" w:hAnsi="Times New Roman"/>
          <w:i/>
          <w:iCs/>
          <w:noProof/>
        </w:rPr>
        <w:t>Entrepreneurship Theory and Practice</w:t>
      </w:r>
      <w:r w:rsidRPr="0052539D">
        <w:rPr>
          <w:rFonts w:ascii="Times New Roman" w:hAnsi="Times New Roman"/>
          <w:noProof/>
        </w:rPr>
        <w:t xml:space="preserve">, (May), 761–787. </w:t>
      </w:r>
      <w:r>
        <w:rPr>
          <w:rFonts w:ascii="Times New Roman" w:hAnsi="Times New Roman"/>
          <w:noProof/>
        </w:rPr>
        <w:t xml:space="preserve"> </w:t>
      </w:r>
    </w:p>
    <w:p w14:paraId="179A4C41"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Richard, P. J., Devinney, T. M., Yip, G., &amp; Johnson, G. (2009). Measuring Organizational Performance: Towards Methodological Best Practice. </w:t>
      </w:r>
      <w:r w:rsidRPr="0052539D">
        <w:rPr>
          <w:rFonts w:ascii="Times New Roman" w:hAnsi="Times New Roman"/>
          <w:i/>
          <w:iCs/>
          <w:noProof/>
        </w:rPr>
        <w:t>Journal of Management</w:t>
      </w:r>
      <w:r w:rsidRPr="0052539D">
        <w:rPr>
          <w:rFonts w:ascii="Times New Roman" w:hAnsi="Times New Roman"/>
          <w:noProof/>
        </w:rPr>
        <w:t xml:space="preserve">, </w:t>
      </w:r>
      <w:r w:rsidRPr="0052539D">
        <w:rPr>
          <w:rFonts w:ascii="Times New Roman" w:hAnsi="Times New Roman"/>
          <w:i/>
          <w:iCs/>
          <w:noProof/>
        </w:rPr>
        <w:t>35</w:t>
      </w:r>
      <w:r w:rsidRPr="0052539D">
        <w:rPr>
          <w:rFonts w:ascii="Times New Roman" w:hAnsi="Times New Roman"/>
          <w:noProof/>
        </w:rPr>
        <w:t xml:space="preserve">(3), 718–804. </w:t>
      </w:r>
      <w:r>
        <w:rPr>
          <w:rFonts w:ascii="Times New Roman" w:hAnsi="Times New Roman"/>
          <w:noProof/>
        </w:rPr>
        <w:t xml:space="preserve"> </w:t>
      </w:r>
    </w:p>
    <w:p w14:paraId="156C249F"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Riley, J. M., Klein, R., Miller, J., &amp; Sridharan, V. (2016). How internal integration, information sharing, and training affect supply chain risk management capabilities. </w:t>
      </w:r>
      <w:r w:rsidRPr="0052539D">
        <w:rPr>
          <w:rFonts w:ascii="Times New Roman" w:hAnsi="Times New Roman"/>
          <w:i/>
          <w:iCs/>
          <w:noProof/>
        </w:rPr>
        <w:t>International Journal of Physical Distribution &amp; Logistics Management</w:t>
      </w:r>
      <w:r w:rsidRPr="0052539D">
        <w:rPr>
          <w:rFonts w:ascii="Times New Roman" w:hAnsi="Times New Roman"/>
          <w:noProof/>
        </w:rPr>
        <w:t xml:space="preserve">, </w:t>
      </w:r>
      <w:r w:rsidRPr="0052539D">
        <w:rPr>
          <w:rFonts w:ascii="Times New Roman" w:hAnsi="Times New Roman"/>
          <w:i/>
          <w:iCs/>
          <w:noProof/>
        </w:rPr>
        <w:t>46</w:t>
      </w:r>
      <w:r w:rsidRPr="0052539D">
        <w:rPr>
          <w:rFonts w:ascii="Times New Roman" w:hAnsi="Times New Roman"/>
          <w:noProof/>
        </w:rPr>
        <w:t xml:space="preserve">(10), 953–980. </w:t>
      </w:r>
      <w:r>
        <w:rPr>
          <w:rFonts w:ascii="Times New Roman" w:hAnsi="Times New Roman"/>
          <w:noProof/>
        </w:rPr>
        <w:t xml:space="preserve"> </w:t>
      </w:r>
    </w:p>
    <w:p w14:paraId="70C5AB6B"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Rosenbusch, N., Rauch, A., &amp; Bausch, A. (2013). The Mediating Role of Entrepreneurial Orientation in the Task Environment – Performance Relationship : A Meta-Analysis. </w:t>
      </w:r>
      <w:r w:rsidRPr="0052539D">
        <w:rPr>
          <w:rFonts w:ascii="Times New Roman" w:hAnsi="Times New Roman"/>
          <w:i/>
          <w:iCs/>
          <w:noProof/>
        </w:rPr>
        <w:t>Journal of Management</w:t>
      </w:r>
      <w:r w:rsidRPr="0052539D">
        <w:rPr>
          <w:rFonts w:ascii="Times New Roman" w:hAnsi="Times New Roman"/>
          <w:noProof/>
        </w:rPr>
        <w:t xml:space="preserve">, </w:t>
      </w:r>
      <w:r w:rsidRPr="0052539D">
        <w:rPr>
          <w:rFonts w:ascii="Times New Roman" w:hAnsi="Times New Roman"/>
          <w:i/>
          <w:iCs/>
          <w:noProof/>
        </w:rPr>
        <w:t>39</w:t>
      </w:r>
      <w:r w:rsidRPr="0052539D">
        <w:rPr>
          <w:rFonts w:ascii="Times New Roman" w:hAnsi="Times New Roman"/>
          <w:noProof/>
        </w:rPr>
        <w:t xml:space="preserve">(3), 633–659. </w:t>
      </w:r>
      <w:r>
        <w:rPr>
          <w:rFonts w:ascii="Times New Roman" w:hAnsi="Times New Roman"/>
          <w:noProof/>
        </w:rPr>
        <w:t xml:space="preserve"> </w:t>
      </w:r>
    </w:p>
    <w:p w14:paraId="6A4E28E5"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Rothaermel, F. T., &amp; Alexandre, M. T. (2009). Ambidexterity in Technology Sourcing: The Moderating Role of Absorptive Capacity. </w:t>
      </w:r>
      <w:r w:rsidRPr="0052539D">
        <w:rPr>
          <w:rFonts w:ascii="Times New Roman" w:hAnsi="Times New Roman"/>
          <w:i/>
          <w:iCs/>
          <w:noProof/>
        </w:rPr>
        <w:t>Organization Science</w:t>
      </w:r>
      <w:r w:rsidRPr="0052539D">
        <w:rPr>
          <w:rFonts w:ascii="Times New Roman" w:hAnsi="Times New Roman"/>
          <w:noProof/>
        </w:rPr>
        <w:t xml:space="preserve">, </w:t>
      </w:r>
      <w:r w:rsidRPr="0052539D">
        <w:rPr>
          <w:rFonts w:ascii="Times New Roman" w:hAnsi="Times New Roman"/>
          <w:i/>
          <w:iCs/>
          <w:noProof/>
        </w:rPr>
        <w:t>20</w:t>
      </w:r>
      <w:r w:rsidRPr="0052539D">
        <w:rPr>
          <w:rFonts w:ascii="Times New Roman" w:hAnsi="Times New Roman"/>
          <w:noProof/>
        </w:rPr>
        <w:t xml:space="preserve">(4), 759–780. </w:t>
      </w:r>
      <w:r>
        <w:rPr>
          <w:rFonts w:ascii="Times New Roman" w:hAnsi="Times New Roman"/>
          <w:noProof/>
        </w:rPr>
        <w:t xml:space="preserve"> </w:t>
      </w:r>
    </w:p>
    <w:p w14:paraId="5383D14D"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Schilling, M. A., &amp; Hill, C. W. L. (1998). Managing the new product development process: Strategic imperatives. </w:t>
      </w:r>
      <w:r w:rsidRPr="0052539D">
        <w:rPr>
          <w:rFonts w:ascii="Times New Roman" w:hAnsi="Times New Roman"/>
          <w:i/>
          <w:iCs/>
          <w:noProof/>
        </w:rPr>
        <w:t>Academy of Management Executive</w:t>
      </w:r>
      <w:r w:rsidRPr="0052539D">
        <w:rPr>
          <w:rFonts w:ascii="Times New Roman" w:hAnsi="Times New Roman"/>
          <w:noProof/>
        </w:rPr>
        <w:t xml:space="preserve">, </w:t>
      </w:r>
      <w:r w:rsidRPr="0052539D">
        <w:rPr>
          <w:rFonts w:ascii="Times New Roman" w:hAnsi="Times New Roman"/>
          <w:i/>
          <w:iCs/>
          <w:noProof/>
        </w:rPr>
        <w:t>12</w:t>
      </w:r>
      <w:r w:rsidRPr="0052539D">
        <w:rPr>
          <w:rFonts w:ascii="Times New Roman" w:hAnsi="Times New Roman"/>
          <w:noProof/>
        </w:rPr>
        <w:t>(3), 67–81.</w:t>
      </w:r>
    </w:p>
    <w:p w14:paraId="0301575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Schoenherr, T., Modi, S. B., Benton, W. C., Carter, C. R., Choi, T. Y., Larson, P. D., … Wagner, S. M. (2012). Research opportunities in purchasing and supply </w:t>
      </w:r>
      <w:r w:rsidRPr="0052539D">
        <w:rPr>
          <w:rFonts w:ascii="Times New Roman" w:hAnsi="Times New Roman"/>
          <w:noProof/>
        </w:rPr>
        <w:lastRenderedPageBreak/>
        <w:t xml:space="preserve">management. </w:t>
      </w:r>
      <w:r w:rsidRPr="0052539D">
        <w:rPr>
          <w:rFonts w:ascii="Times New Roman" w:hAnsi="Times New Roman"/>
          <w:i/>
          <w:iCs/>
          <w:noProof/>
        </w:rPr>
        <w:t>International Journal of Production Research</w:t>
      </w:r>
      <w:r w:rsidRPr="0052539D">
        <w:rPr>
          <w:rFonts w:ascii="Times New Roman" w:hAnsi="Times New Roman"/>
          <w:noProof/>
        </w:rPr>
        <w:t xml:space="preserve">, </w:t>
      </w:r>
      <w:r w:rsidRPr="0052539D">
        <w:rPr>
          <w:rFonts w:ascii="Times New Roman" w:hAnsi="Times New Roman"/>
          <w:i/>
          <w:iCs/>
          <w:noProof/>
        </w:rPr>
        <w:t>50</w:t>
      </w:r>
      <w:r w:rsidRPr="0052539D">
        <w:rPr>
          <w:rFonts w:ascii="Times New Roman" w:hAnsi="Times New Roman"/>
          <w:noProof/>
        </w:rPr>
        <w:t>(16), 4556–4579.</w:t>
      </w:r>
    </w:p>
    <w:p w14:paraId="658021FB"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Schoenherr, T., &amp; Swink, M. (2012). Revisiting the arcs of integration: Cross-validations and extensions.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30</w:t>
      </w:r>
      <w:r w:rsidRPr="0052539D">
        <w:rPr>
          <w:rFonts w:ascii="Times New Roman" w:hAnsi="Times New Roman"/>
          <w:noProof/>
        </w:rPr>
        <w:t xml:space="preserve">(1–2), 99–115. </w:t>
      </w:r>
      <w:r>
        <w:rPr>
          <w:rFonts w:ascii="Times New Roman" w:hAnsi="Times New Roman"/>
          <w:noProof/>
        </w:rPr>
        <w:t xml:space="preserve"> </w:t>
      </w:r>
    </w:p>
    <w:p w14:paraId="7FA48CAC"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Schwarz, N. (1999). Self-Reports: How the Questions Shape the Answers. </w:t>
      </w:r>
      <w:r w:rsidRPr="0052539D">
        <w:rPr>
          <w:rFonts w:ascii="Times New Roman" w:hAnsi="Times New Roman"/>
          <w:i/>
          <w:iCs/>
          <w:noProof/>
        </w:rPr>
        <w:t>American Psychologist</w:t>
      </w:r>
      <w:r w:rsidRPr="0052539D">
        <w:rPr>
          <w:rFonts w:ascii="Times New Roman" w:hAnsi="Times New Roman"/>
          <w:noProof/>
        </w:rPr>
        <w:t xml:space="preserve">, </w:t>
      </w:r>
      <w:r w:rsidRPr="0052539D">
        <w:rPr>
          <w:rFonts w:ascii="Times New Roman" w:hAnsi="Times New Roman"/>
          <w:i/>
          <w:iCs/>
          <w:noProof/>
        </w:rPr>
        <w:t>54</w:t>
      </w:r>
      <w:r w:rsidRPr="0052539D">
        <w:rPr>
          <w:rFonts w:ascii="Times New Roman" w:hAnsi="Times New Roman"/>
          <w:noProof/>
        </w:rPr>
        <w:t>(2), 93–105.</w:t>
      </w:r>
    </w:p>
    <w:p w14:paraId="66B5A84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Sirmon, D. G., Hitt, M. A., &amp; Ireland, R. D. (2007). Managing Firm Resources in Dynamic Environments to Create Value: Looking Inside the Black Box. </w:t>
      </w:r>
      <w:r w:rsidRPr="0052539D">
        <w:rPr>
          <w:rFonts w:ascii="Times New Roman" w:hAnsi="Times New Roman"/>
          <w:i/>
          <w:iCs/>
          <w:noProof/>
        </w:rPr>
        <w:t>Academy of Management Review</w:t>
      </w:r>
      <w:r w:rsidRPr="0052539D">
        <w:rPr>
          <w:rFonts w:ascii="Times New Roman" w:hAnsi="Times New Roman"/>
          <w:noProof/>
        </w:rPr>
        <w:t xml:space="preserve">, </w:t>
      </w:r>
      <w:r w:rsidRPr="0052539D">
        <w:rPr>
          <w:rFonts w:ascii="Times New Roman" w:hAnsi="Times New Roman"/>
          <w:i/>
          <w:iCs/>
          <w:noProof/>
        </w:rPr>
        <w:t>32</w:t>
      </w:r>
      <w:r w:rsidRPr="0052539D">
        <w:rPr>
          <w:rFonts w:ascii="Times New Roman" w:hAnsi="Times New Roman"/>
          <w:noProof/>
        </w:rPr>
        <w:t>(1), 273–292.</w:t>
      </w:r>
    </w:p>
    <w:p w14:paraId="6206A20F"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Sirmon, D. G., Hitt, M. A., Ireland, R. D., &amp; Gilbert, B. A. (2011). Resource Orchestration to Create Competitive Advantage : Breadth , Depth , and Life Cycle Effects. </w:t>
      </w:r>
      <w:r w:rsidRPr="0052539D">
        <w:rPr>
          <w:rFonts w:ascii="Times New Roman" w:hAnsi="Times New Roman"/>
          <w:i/>
          <w:iCs/>
          <w:noProof/>
        </w:rPr>
        <w:t>Journal of Management</w:t>
      </w:r>
      <w:r w:rsidRPr="0052539D">
        <w:rPr>
          <w:rFonts w:ascii="Times New Roman" w:hAnsi="Times New Roman"/>
          <w:noProof/>
        </w:rPr>
        <w:t xml:space="preserve">, </w:t>
      </w:r>
      <w:r w:rsidRPr="0052539D">
        <w:rPr>
          <w:rFonts w:ascii="Times New Roman" w:hAnsi="Times New Roman"/>
          <w:i/>
          <w:iCs/>
          <w:noProof/>
        </w:rPr>
        <w:t>37</w:t>
      </w:r>
      <w:r w:rsidRPr="0052539D">
        <w:rPr>
          <w:rFonts w:ascii="Times New Roman" w:hAnsi="Times New Roman"/>
          <w:noProof/>
        </w:rPr>
        <w:t xml:space="preserve">(5), 1390–1412. </w:t>
      </w:r>
      <w:r>
        <w:rPr>
          <w:rFonts w:ascii="Times New Roman" w:hAnsi="Times New Roman"/>
          <w:noProof/>
        </w:rPr>
        <w:t xml:space="preserve"> </w:t>
      </w:r>
    </w:p>
    <w:p w14:paraId="3383FE9A"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Song, M., &amp; Montoya-Weiss, M. M. (2001). The Effect of Perceived Technological Uncertainty on Japanese New Product Development. </w:t>
      </w:r>
      <w:r w:rsidRPr="0052539D">
        <w:rPr>
          <w:rFonts w:ascii="Times New Roman" w:hAnsi="Times New Roman"/>
          <w:i/>
          <w:iCs/>
          <w:noProof/>
        </w:rPr>
        <w:t>Academy of Management Journal</w:t>
      </w:r>
      <w:r w:rsidRPr="0052539D">
        <w:rPr>
          <w:rFonts w:ascii="Times New Roman" w:hAnsi="Times New Roman"/>
          <w:noProof/>
        </w:rPr>
        <w:t xml:space="preserve">, </w:t>
      </w:r>
      <w:r w:rsidRPr="0052539D">
        <w:rPr>
          <w:rFonts w:ascii="Times New Roman" w:hAnsi="Times New Roman"/>
          <w:i/>
          <w:iCs/>
          <w:noProof/>
        </w:rPr>
        <w:t>44</w:t>
      </w:r>
      <w:r w:rsidRPr="0052539D">
        <w:rPr>
          <w:rFonts w:ascii="Times New Roman" w:hAnsi="Times New Roman"/>
          <w:noProof/>
        </w:rPr>
        <w:t>(1), 61–80.</w:t>
      </w:r>
    </w:p>
    <w:p w14:paraId="69CB3C06"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Stock, J. R., Boyer, S. L., &amp; Harmon, T. (2010). Research opportunities in supply chain management. </w:t>
      </w:r>
      <w:r w:rsidRPr="0052539D">
        <w:rPr>
          <w:rFonts w:ascii="Times New Roman" w:hAnsi="Times New Roman"/>
          <w:i/>
          <w:iCs/>
          <w:noProof/>
        </w:rPr>
        <w:t>Journal of the Academy of Marketing Science</w:t>
      </w:r>
      <w:r w:rsidRPr="0052539D">
        <w:rPr>
          <w:rFonts w:ascii="Times New Roman" w:hAnsi="Times New Roman"/>
          <w:noProof/>
        </w:rPr>
        <w:t xml:space="preserve">, </w:t>
      </w:r>
      <w:r w:rsidRPr="0052539D">
        <w:rPr>
          <w:rFonts w:ascii="Times New Roman" w:hAnsi="Times New Roman"/>
          <w:i/>
          <w:iCs/>
          <w:noProof/>
        </w:rPr>
        <w:t>38</w:t>
      </w:r>
      <w:r w:rsidRPr="0052539D">
        <w:rPr>
          <w:rFonts w:ascii="Times New Roman" w:hAnsi="Times New Roman"/>
          <w:noProof/>
        </w:rPr>
        <w:t>, 32–41.</w:t>
      </w:r>
    </w:p>
    <w:p w14:paraId="34CAA977"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Swink, M., &amp; Song, M. (2007). Effects of marketing-manufacturing integration on new product development time and competitive advantage.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25</w:t>
      </w:r>
      <w:r w:rsidRPr="0052539D">
        <w:rPr>
          <w:rFonts w:ascii="Times New Roman" w:hAnsi="Times New Roman"/>
          <w:noProof/>
        </w:rPr>
        <w:t xml:space="preserve">(1), 203–217. </w:t>
      </w:r>
      <w:r>
        <w:rPr>
          <w:rFonts w:ascii="Times New Roman" w:hAnsi="Times New Roman"/>
          <w:noProof/>
        </w:rPr>
        <w:t xml:space="preserve"> </w:t>
      </w:r>
    </w:p>
    <w:p w14:paraId="5DD41AA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Swink, M., Talluri, S., &amp; Pandejpong, T. (2006). Faster , better , cheaper: A study of NPD project efficiency and performance tradeoffs.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24</w:t>
      </w:r>
      <w:r w:rsidRPr="0052539D">
        <w:rPr>
          <w:rFonts w:ascii="Times New Roman" w:hAnsi="Times New Roman"/>
          <w:noProof/>
        </w:rPr>
        <w:t>, 542–562.</w:t>
      </w:r>
    </w:p>
    <w:p w14:paraId="2D0FBCD5"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Takeishi, A. (2001). Bridging Inter- and Intra-Firm Boundaries: Management of Supplier Involvement in Automobile Product Development.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22</w:t>
      </w:r>
      <w:r w:rsidRPr="0052539D">
        <w:rPr>
          <w:rFonts w:ascii="Times New Roman" w:hAnsi="Times New Roman"/>
          <w:noProof/>
        </w:rPr>
        <w:t>(5), 403–433.</w:t>
      </w:r>
    </w:p>
    <w:p w14:paraId="4FCBFF6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Teece, D. J. (2007). Explicating Dynamic Capabilities: The Nature and Microfoundations of (Sustainable) Enterprise Performance.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28</w:t>
      </w:r>
      <w:r w:rsidRPr="0052539D">
        <w:rPr>
          <w:rFonts w:ascii="Times New Roman" w:hAnsi="Times New Roman"/>
          <w:noProof/>
        </w:rPr>
        <w:t xml:space="preserve">, 1319–1350. </w:t>
      </w:r>
      <w:r>
        <w:rPr>
          <w:rFonts w:ascii="Times New Roman" w:hAnsi="Times New Roman"/>
          <w:noProof/>
        </w:rPr>
        <w:t xml:space="preserve"> </w:t>
      </w:r>
    </w:p>
    <w:p w14:paraId="601141CB"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Teece, D. J., Pisano, G., &amp; Shuen, A. (1997). Dynamic capabilities and strategic management.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18</w:t>
      </w:r>
      <w:r w:rsidRPr="0052539D">
        <w:rPr>
          <w:rFonts w:ascii="Times New Roman" w:hAnsi="Times New Roman"/>
          <w:noProof/>
        </w:rPr>
        <w:t xml:space="preserve">(7), 509–533. </w:t>
      </w:r>
      <w:r>
        <w:rPr>
          <w:rFonts w:ascii="Times New Roman" w:hAnsi="Times New Roman"/>
          <w:noProof/>
        </w:rPr>
        <w:t xml:space="preserve">  </w:t>
      </w:r>
    </w:p>
    <w:p w14:paraId="1115F7D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Tether, B. S., &amp; Tajar, A. (2008). Beyond industry-university links: Sourcing knowledge for innovation from consultants, private research organisations and the public science-base. </w:t>
      </w:r>
      <w:r w:rsidRPr="0052539D">
        <w:rPr>
          <w:rFonts w:ascii="Times New Roman" w:hAnsi="Times New Roman"/>
          <w:i/>
          <w:iCs/>
          <w:noProof/>
        </w:rPr>
        <w:t>Research Policy</w:t>
      </w:r>
      <w:r w:rsidRPr="0052539D">
        <w:rPr>
          <w:rFonts w:ascii="Times New Roman" w:hAnsi="Times New Roman"/>
          <w:noProof/>
        </w:rPr>
        <w:t xml:space="preserve">, </w:t>
      </w:r>
      <w:r w:rsidRPr="0052539D">
        <w:rPr>
          <w:rFonts w:ascii="Times New Roman" w:hAnsi="Times New Roman"/>
          <w:i/>
          <w:iCs/>
          <w:noProof/>
        </w:rPr>
        <w:t>37</w:t>
      </w:r>
      <w:r w:rsidRPr="0052539D">
        <w:rPr>
          <w:rFonts w:ascii="Times New Roman" w:hAnsi="Times New Roman"/>
          <w:noProof/>
        </w:rPr>
        <w:t xml:space="preserve">(6–7), 1079–1095. </w:t>
      </w:r>
      <w:r>
        <w:rPr>
          <w:rFonts w:ascii="Times New Roman" w:hAnsi="Times New Roman"/>
          <w:noProof/>
        </w:rPr>
        <w:t xml:space="preserve"> </w:t>
      </w:r>
    </w:p>
    <w:p w14:paraId="12D2C170"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Vanpoucke, E., Vereecke, A., &amp; Wetzels, M. (2014). Developing supplier integration capabilities for sustainable competitive advantage: A dynamic capabilities approach. </w:t>
      </w:r>
      <w:r w:rsidRPr="0052539D">
        <w:rPr>
          <w:rFonts w:ascii="Times New Roman" w:hAnsi="Times New Roman"/>
          <w:i/>
          <w:iCs/>
          <w:noProof/>
        </w:rPr>
        <w:t>Journal of Operations Management</w:t>
      </w:r>
      <w:r w:rsidRPr="0052539D">
        <w:rPr>
          <w:rFonts w:ascii="Times New Roman" w:hAnsi="Times New Roman"/>
          <w:noProof/>
        </w:rPr>
        <w:t xml:space="preserve">, </w:t>
      </w:r>
      <w:r w:rsidRPr="0052539D">
        <w:rPr>
          <w:rFonts w:ascii="Times New Roman" w:hAnsi="Times New Roman"/>
          <w:i/>
          <w:iCs/>
          <w:noProof/>
        </w:rPr>
        <w:t>32</w:t>
      </w:r>
      <w:r w:rsidRPr="0052539D">
        <w:rPr>
          <w:rFonts w:ascii="Times New Roman" w:hAnsi="Times New Roman"/>
          <w:noProof/>
        </w:rPr>
        <w:t xml:space="preserve">(7–8), 446–461. </w:t>
      </w:r>
      <w:r>
        <w:rPr>
          <w:rFonts w:ascii="Times New Roman" w:hAnsi="Times New Roman"/>
          <w:noProof/>
        </w:rPr>
        <w:t xml:space="preserve"> </w:t>
      </w:r>
    </w:p>
    <w:p w14:paraId="3A53AB9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Visser, M. De, Weerd-Nederhof, P. De, Faems, D., Song, M., Looy, B. Van, &amp; Visscher, K. (2010). Structural ambidexterity in NPD processes: A firm-level assessment of the impact of differentiated structures on innovation performance. </w:t>
      </w:r>
      <w:r w:rsidRPr="0052539D">
        <w:rPr>
          <w:rFonts w:ascii="Times New Roman" w:hAnsi="Times New Roman"/>
          <w:i/>
          <w:iCs/>
          <w:noProof/>
        </w:rPr>
        <w:t>Technovation</w:t>
      </w:r>
      <w:r w:rsidRPr="0052539D">
        <w:rPr>
          <w:rFonts w:ascii="Times New Roman" w:hAnsi="Times New Roman"/>
          <w:noProof/>
        </w:rPr>
        <w:t xml:space="preserve">, </w:t>
      </w:r>
      <w:r w:rsidRPr="0052539D">
        <w:rPr>
          <w:rFonts w:ascii="Times New Roman" w:hAnsi="Times New Roman"/>
          <w:i/>
          <w:iCs/>
          <w:noProof/>
        </w:rPr>
        <w:t>30</w:t>
      </w:r>
      <w:r w:rsidRPr="0052539D">
        <w:rPr>
          <w:rFonts w:ascii="Times New Roman" w:hAnsi="Times New Roman"/>
          <w:noProof/>
        </w:rPr>
        <w:t xml:space="preserve">(5–6), 291–299. </w:t>
      </w:r>
      <w:r>
        <w:rPr>
          <w:rFonts w:ascii="Times New Roman" w:hAnsi="Times New Roman"/>
          <w:noProof/>
        </w:rPr>
        <w:t xml:space="preserve">  </w:t>
      </w:r>
    </w:p>
    <w:p w14:paraId="36EAD21E"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Vogt, W. P., Vogt, Elaine, R., Gardner, D. C., &amp; Haeffele, L. M. (2014). </w:t>
      </w:r>
      <w:r w:rsidRPr="0052539D">
        <w:rPr>
          <w:rFonts w:ascii="Times New Roman" w:hAnsi="Times New Roman"/>
          <w:i/>
          <w:iCs/>
          <w:noProof/>
        </w:rPr>
        <w:t>Selecting the Right Analyses for Your Data: Quantitative, Qualitative, and Mixed Methods</w:t>
      </w:r>
      <w:r w:rsidRPr="0052539D">
        <w:rPr>
          <w:rFonts w:ascii="Times New Roman" w:hAnsi="Times New Roman"/>
          <w:noProof/>
        </w:rPr>
        <w:t>. New York, NY: The Guilford Press.</w:t>
      </w:r>
    </w:p>
    <w:p w14:paraId="698B91F4"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Wagner, S. M. (2010). Supplier traits for better customer firm innovation performance. </w:t>
      </w:r>
      <w:r w:rsidRPr="0052539D">
        <w:rPr>
          <w:rFonts w:ascii="Times New Roman" w:hAnsi="Times New Roman"/>
          <w:i/>
          <w:iCs/>
          <w:noProof/>
        </w:rPr>
        <w:t>Industrial Marketing Management</w:t>
      </w:r>
      <w:r w:rsidRPr="0052539D">
        <w:rPr>
          <w:rFonts w:ascii="Times New Roman" w:hAnsi="Times New Roman"/>
          <w:noProof/>
        </w:rPr>
        <w:t xml:space="preserve">, </w:t>
      </w:r>
      <w:r w:rsidRPr="0052539D">
        <w:rPr>
          <w:rFonts w:ascii="Times New Roman" w:hAnsi="Times New Roman"/>
          <w:i/>
          <w:iCs/>
          <w:noProof/>
        </w:rPr>
        <w:t>39</w:t>
      </w:r>
      <w:r w:rsidRPr="0052539D">
        <w:rPr>
          <w:rFonts w:ascii="Times New Roman" w:hAnsi="Times New Roman"/>
          <w:noProof/>
        </w:rPr>
        <w:t xml:space="preserve">(7), 1139–1149. </w:t>
      </w:r>
      <w:r>
        <w:rPr>
          <w:rFonts w:ascii="Times New Roman" w:hAnsi="Times New Roman"/>
          <w:noProof/>
        </w:rPr>
        <w:t xml:space="preserve"> </w:t>
      </w:r>
    </w:p>
    <w:p w14:paraId="2A6B1B4D"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Wang, L., &amp; Zajac, E. J. (2007). Alliance Or Acquisition? A Dyadic Perspective On Interfirm Resource Combinations.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28</w:t>
      </w:r>
      <w:r w:rsidRPr="0052539D">
        <w:rPr>
          <w:rFonts w:ascii="Times New Roman" w:hAnsi="Times New Roman"/>
          <w:noProof/>
        </w:rPr>
        <w:t xml:space="preserve">, 1291–1317. </w:t>
      </w:r>
      <w:r>
        <w:rPr>
          <w:rFonts w:ascii="Times New Roman" w:hAnsi="Times New Roman"/>
          <w:noProof/>
        </w:rPr>
        <w:t xml:space="preserve"> </w:t>
      </w:r>
    </w:p>
    <w:p w14:paraId="6A0334C2"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West, J., &amp; Bogers, M. (2014). Leveraging External Sources of Innovation: A Review of Research on Open Innovation. </w:t>
      </w:r>
      <w:r w:rsidRPr="0052539D">
        <w:rPr>
          <w:rFonts w:ascii="Times New Roman" w:hAnsi="Times New Roman"/>
          <w:i/>
          <w:iCs/>
          <w:noProof/>
        </w:rPr>
        <w:t>Journal of Product Innovation Management</w:t>
      </w:r>
      <w:r w:rsidRPr="0052539D">
        <w:rPr>
          <w:rFonts w:ascii="Times New Roman" w:hAnsi="Times New Roman"/>
          <w:noProof/>
        </w:rPr>
        <w:t xml:space="preserve">, </w:t>
      </w:r>
      <w:r w:rsidRPr="0052539D">
        <w:rPr>
          <w:rFonts w:ascii="Times New Roman" w:hAnsi="Times New Roman"/>
          <w:i/>
          <w:iCs/>
          <w:noProof/>
        </w:rPr>
        <w:t>31</w:t>
      </w:r>
      <w:r w:rsidRPr="0052539D">
        <w:rPr>
          <w:rFonts w:ascii="Times New Roman" w:hAnsi="Times New Roman"/>
          <w:noProof/>
        </w:rPr>
        <w:t xml:space="preserve">(4), </w:t>
      </w:r>
      <w:r w:rsidRPr="0052539D">
        <w:rPr>
          <w:rFonts w:ascii="Times New Roman" w:hAnsi="Times New Roman"/>
          <w:noProof/>
        </w:rPr>
        <w:lastRenderedPageBreak/>
        <w:t xml:space="preserve">814–831. </w:t>
      </w:r>
      <w:r>
        <w:rPr>
          <w:rFonts w:ascii="Times New Roman" w:hAnsi="Times New Roman"/>
          <w:noProof/>
        </w:rPr>
        <w:t xml:space="preserve"> </w:t>
      </w:r>
    </w:p>
    <w:p w14:paraId="180BE3E0"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Wiklund, J., Davidsson, P., Audretsch, D. B., &amp; Karlsson, C. (2011). The Future of Entrepreneurship Research. </w:t>
      </w:r>
      <w:r w:rsidRPr="0052539D">
        <w:rPr>
          <w:rFonts w:ascii="Times New Roman" w:hAnsi="Times New Roman"/>
          <w:i/>
          <w:iCs/>
          <w:noProof/>
        </w:rPr>
        <w:t>Entrepreneurship Theory and Practice</w:t>
      </w:r>
      <w:r w:rsidRPr="0052539D">
        <w:rPr>
          <w:rFonts w:ascii="Times New Roman" w:hAnsi="Times New Roman"/>
          <w:noProof/>
        </w:rPr>
        <w:t xml:space="preserve">, (January), 1–9. </w:t>
      </w:r>
    </w:p>
    <w:p w14:paraId="1B31C359"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Wiklund, J., &amp; Shepherd, D. (2003). Knowledge-Based Resources, Entrepreneurial Orientation, and the Performance of Small and Medium-Sized Businesses.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24</w:t>
      </w:r>
      <w:r w:rsidRPr="0052539D">
        <w:rPr>
          <w:rFonts w:ascii="Times New Roman" w:hAnsi="Times New Roman"/>
          <w:noProof/>
        </w:rPr>
        <w:t>, 1307–1314.</w:t>
      </w:r>
    </w:p>
    <w:p w14:paraId="5F1FDEEF"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Williams, L. J., Hartman, N., &amp; Cavazotte, F. (2010). Method Variance and Marker Variables: A Review and Comprehensive CFA Marker Technique. </w:t>
      </w:r>
      <w:r w:rsidRPr="0052539D">
        <w:rPr>
          <w:rFonts w:ascii="Times New Roman" w:hAnsi="Times New Roman"/>
          <w:i/>
          <w:iCs/>
          <w:noProof/>
        </w:rPr>
        <w:t>Organizational Research Methods</w:t>
      </w:r>
      <w:r w:rsidRPr="0052539D">
        <w:rPr>
          <w:rFonts w:ascii="Times New Roman" w:hAnsi="Times New Roman"/>
          <w:noProof/>
        </w:rPr>
        <w:t xml:space="preserve">, </w:t>
      </w:r>
      <w:r w:rsidRPr="0052539D">
        <w:rPr>
          <w:rFonts w:ascii="Times New Roman" w:hAnsi="Times New Roman"/>
          <w:i/>
          <w:iCs/>
          <w:noProof/>
        </w:rPr>
        <w:t>13</w:t>
      </w:r>
      <w:r w:rsidRPr="0052539D">
        <w:rPr>
          <w:rFonts w:ascii="Times New Roman" w:hAnsi="Times New Roman"/>
          <w:noProof/>
        </w:rPr>
        <w:t xml:space="preserve">(3), 477–514. </w:t>
      </w:r>
    </w:p>
    <w:p w14:paraId="64B85A1A"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Winter, S. G. (2003). Understanding dynamic capabilities. </w:t>
      </w:r>
      <w:r w:rsidRPr="0052539D">
        <w:rPr>
          <w:rFonts w:ascii="Times New Roman" w:hAnsi="Times New Roman"/>
          <w:i/>
          <w:iCs/>
          <w:noProof/>
        </w:rPr>
        <w:t>Strategic Management Journal</w:t>
      </w:r>
      <w:r w:rsidRPr="0052539D">
        <w:rPr>
          <w:rFonts w:ascii="Times New Roman" w:hAnsi="Times New Roman"/>
          <w:noProof/>
        </w:rPr>
        <w:t xml:space="preserve">, </w:t>
      </w:r>
      <w:r w:rsidRPr="0052539D">
        <w:rPr>
          <w:rFonts w:ascii="Times New Roman" w:hAnsi="Times New Roman"/>
          <w:i/>
          <w:iCs/>
          <w:noProof/>
        </w:rPr>
        <w:t>24</w:t>
      </w:r>
      <w:r w:rsidRPr="0052539D">
        <w:rPr>
          <w:rFonts w:ascii="Times New Roman" w:hAnsi="Times New Roman"/>
          <w:noProof/>
        </w:rPr>
        <w:t>(10), 991–995.</w:t>
      </w:r>
    </w:p>
    <w:p w14:paraId="0F658B23"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Wowak, K. D., Craighead, C. W., Ketchen, D. J., &amp; Hult, G. T. M. (2016). Toward a “theoretical toolbox” for the supplier-enabled fuzzy front end of the new product development process. </w:t>
      </w:r>
      <w:r w:rsidRPr="0052539D">
        <w:rPr>
          <w:rFonts w:ascii="Times New Roman" w:hAnsi="Times New Roman"/>
          <w:i/>
          <w:iCs/>
          <w:noProof/>
        </w:rPr>
        <w:t>Journal of Supply Chain Management</w:t>
      </w:r>
      <w:r w:rsidRPr="0052539D">
        <w:rPr>
          <w:rFonts w:ascii="Times New Roman" w:hAnsi="Times New Roman"/>
          <w:noProof/>
        </w:rPr>
        <w:t xml:space="preserve">, </w:t>
      </w:r>
      <w:r w:rsidRPr="0052539D">
        <w:rPr>
          <w:rFonts w:ascii="Times New Roman" w:hAnsi="Times New Roman"/>
          <w:i/>
          <w:iCs/>
          <w:noProof/>
        </w:rPr>
        <w:t>52</w:t>
      </w:r>
      <w:r w:rsidRPr="0052539D">
        <w:rPr>
          <w:rFonts w:ascii="Times New Roman" w:hAnsi="Times New Roman"/>
          <w:noProof/>
        </w:rPr>
        <w:t>(1), 66–81.</w:t>
      </w:r>
    </w:p>
    <w:p w14:paraId="45978293" w14:textId="77777777" w:rsidR="001806AE" w:rsidRPr="0052539D" w:rsidRDefault="001806AE" w:rsidP="001806AE">
      <w:pPr>
        <w:widowControl w:val="0"/>
        <w:autoSpaceDE w:val="0"/>
        <w:autoSpaceDN w:val="0"/>
        <w:adjustRightInd w:val="0"/>
        <w:ind w:left="480" w:hanging="480"/>
        <w:rPr>
          <w:rFonts w:ascii="Times New Roman" w:hAnsi="Times New Roman"/>
          <w:noProof/>
        </w:rPr>
      </w:pPr>
      <w:r w:rsidRPr="0052539D">
        <w:rPr>
          <w:rFonts w:ascii="Times New Roman" w:hAnsi="Times New Roman"/>
          <w:noProof/>
        </w:rPr>
        <w:t xml:space="preserve">Zimmermann, F., &amp; Foerstl, K. (2014). A Meta-Analysis of the “Purchasing and Supply Management Practice-Performance Link.” </w:t>
      </w:r>
      <w:r w:rsidRPr="0052539D">
        <w:rPr>
          <w:rFonts w:ascii="Times New Roman" w:hAnsi="Times New Roman"/>
          <w:i/>
          <w:iCs/>
          <w:noProof/>
        </w:rPr>
        <w:t>Journal of Supply Chain Management</w:t>
      </w:r>
      <w:r w:rsidRPr="0052539D">
        <w:rPr>
          <w:rFonts w:ascii="Times New Roman" w:hAnsi="Times New Roman"/>
          <w:noProof/>
        </w:rPr>
        <w:t xml:space="preserve">, </w:t>
      </w:r>
      <w:r w:rsidRPr="0052539D">
        <w:rPr>
          <w:rFonts w:ascii="Times New Roman" w:hAnsi="Times New Roman"/>
          <w:i/>
          <w:iCs/>
          <w:noProof/>
        </w:rPr>
        <w:t>50</w:t>
      </w:r>
      <w:r w:rsidRPr="0052539D">
        <w:rPr>
          <w:rFonts w:ascii="Times New Roman" w:hAnsi="Times New Roman"/>
          <w:noProof/>
        </w:rPr>
        <w:t xml:space="preserve">(3), 37–54. </w:t>
      </w:r>
      <w:r>
        <w:rPr>
          <w:rFonts w:ascii="Times New Roman" w:hAnsi="Times New Roman"/>
          <w:noProof/>
        </w:rPr>
        <w:t xml:space="preserve"> </w:t>
      </w:r>
    </w:p>
    <w:p w14:paraId="352F6D1B" w14:textId="60791878" w:rsidR="00A51D65" w:rsidRPr="00C879F8" w:rsidRDefault="001806AE" w:rsidP="001806AE">
      <w:pPr>
        <w:widowControl w:val="0"/>
        <w:autoSpaceDE w:val="0"/>
        <w:autoSpaceDN w:val="0"/>
        <w:adjustRightInd w:val="0"/>
        <w:rPr>
          <w:rFonts w:ascii="Times New Roman" w:hAnsi="Times New Roman" w:cs="Times New Roman"/>
        </w:rPr>
      </w:pPr>
      <w:r>
        <w:rPr>
          <w:rFonts w:ascii="Times New Roman" w:hAnsi="Times New Roman" w:cs="Times New Roman"/>
        </w:rPr>
        <w:fldChar w:fldCharType="end"/>
      </w:r>
    </w:p>
    <w:p w14:paraId="1F245E49" w14:textId="77777777" w:rsidR="00C5743A" w:rsidRPr="00C879F8" w:rsidRDefault="00C5743A" w:rsidP="00C879F8">
      <w:pPr>
        <w:widowControl w:val="0"/>
        <w:autoSpaceDE w:val="0"/>
        <w:autoSpaceDN w:val="0"/>
        <w:adjustRightInd w:val="0"/>
        <w:rPr>
          <w:rFonts w:ascii="Times New Roman" w:hAnsi="Times New Roman" w:cs="Times New Roman"/>
        </w:rPr>
      </w:pPr>
    </w:p>
    <w:p w14:paraId="2E8A445B" w14:textId="77777777" w:rsidR="00A51D65" w:rsidRPr="00C879F8" w:rsidRDefault="00A51D65" w:rsidP="00C879F8">
      <w:pPr>
        <w:widowControl w:val="0"/>
        <w:autoSpaceDE w:val="0"/>
        <w:autoSpaceDN w:val="0"/>
        <w:adjustRightInd w:val="0"/>
        <w:rPr>
          <w:rFonts w:ascii="Times New Roman" w:hAnsi="Times New Roman" w:cs="Times New Roman"/>
        </w:rPr>
      </w:pPr>
    </w:p>
    <w:p w14:paraId="096D29EF" w14:textId="77777777" w:rsidR="00A51D65" w:rsidRPr="00C879F8" w:rsidRDefault="00A51D65" w:rsidP="00C879F8">
      <w:pPr>
        <w:widowControl w:val="0"/>
        <w:autoSpaceDE w:val="0"/>
        <w:autoSpaceDN w:val="0"/>
        <w:adjustRightInd w:val="0"/>
        <w:rPr>
          <w:rFonts w:ascii="Times New Roman" w:hAnsi="Times New Roman" w:cs="Times New Roman"/>
        </w:rPr>
      </w:pPr>
    </w:p>
    <w:p w14:paraId="3BEE6541" w14:textId="1C88D3A3" w:rsidR="00A51D65" w:rsidRPr="001A550A" w:rsidRDefault="00A51D65" w:rsidP="001A550A">
      <w:pPr>
        <w:pStyle w:val="Heading2"/>
      </w:pPr>
      <w:bookmarkStart w:id="186" w:name="_Toc357382429"/>
      <w:bookmarkStart w:id="187" w:name="_Toc357383275"/>
      <w:bookmarkStart w:id="188" w:name="_Toc358326757"/>
      <w:r w:rsidRPr="001A550A">
        <w:t>Chapter Five: References</w:t>
      </w:r>
      <w:bookmarkEnd w:id="186"/>
      <w:bookmarkEnd w:id="187"/>
      <w:bookmarkEnd w:id="188"/>
    </w:p>
    <w:p w14:paraId="020FBB67" w14:textId="77777777" w:rsidR="007220A8" w:rsidRPr="007220A8" w:rsidRDefault="007220A8" w:rsidP="00560277">
      <w:pPr>
        <w:widowControl w:val="0"/>
        <w:autoSpaceDE w:val="0"/>
        <w:autoSpaceDN w:val="0"/>
        <w:adjustRightInd w:val="0"/>
        <w:ind w:left="480" w:hanging="480"/>
        <w:rPr>
          <w:rFonts w:ascii="Times New Roman" w:hAnsi="Times New Roman" w:cs="Times New Roman"/>
        </w:rPr>
      </w:pPr>
      <w:r w:rsidRPr="007220A8">
        <w:rPr>
          <w:rFonts w:ascii="Times New Roman" w:hAnsi="Times New Roman" w:cs="Times New Roman"/>
        </w:rPr>
        <w:fldChar w:fldCharType="begin" w:fldLock="1"/>
      </w:r>
      <w:r w:rsidRPr="007220A8">
        <w:rPr>
          <w:rFonts w:ascii="Times New Roman" w:hAnsi="Times New Roman" w:cs="Times New Roman"/>
        </w:rPr>
        <w:instrText xml:space="preserve">ADDIN Mendeley Bibliography CSL_BIBLIOGRAPHY </w:instrText>
      </w:r>
      <w:r w:rsidRPr="007220A8">
        <w:rPr>
          <w:rFonts w:ascii="Times New Roman" w:hAnsi="Times New Roman" w:cs="Times New Roman"/>
        </w:rPr>
        <w:fldChar w:fldCharType="separate"/>
      </w:r>
      <w:r w:rsidRPr="007220A8">
        <w:rPr>
          <w:rFonts w:ascii="Times New Roman" w:hAnsi="Times New Roman" w:cs="Times New Roman"/>
        </w:rPr>
        <w:t xml:space="preserve">Crook, T. Russell, and Terry L. Esper. 2014. “Do Resources Aid in Supply Chain Functioning and Management? Yes, But More (and More Precise) Research Is Needed.” </w:t>
      </w:r>
      <w:r w:rsidRPr="00560277">
        <w:rPr>
          <w:rFonts w:ascii="Times New Roman" w:hAnsi="Times New Roman" w:cs="Times New Roman"/>
        </w:rPr>
        <w:t>Journal of Supply Chain Management</w:t>
      </w:r>
      <w:r w:rsidRPr="007220A8">
        <w:rPr>
          <w:rFonts w:ascii="Times New Roman" w:hAnsi="Times New Roman" w:cs="Times New Roman"/>
        </w:rPr>
        <w:t xml:space="preserve"> 50 (3): 94–97. </w:t>
      </w:r>
    </w:p>
    <w:p w14:paraId="30951A96" w14:textId="77777777" w:rsidR="007220A8" w:rsidRPr="007220A8" w:rsidRDefault="007220A8" w:rsidP="00560277">
      <w:pPr>
        <w:widowControl w:val="0"/>
        <w:autoSpaceDE w:val="0"/>
        <w:autoSpaceDN w:val="0"/>
        <w:adjustRightInd w:val="0"/>
        <w:ind w:left="480" w:hanging="480"/>
        <w:rPr>
          <w:rFonts w:ascii="Times New Roman" w:hAnsi="Times New Roman" w:cs="Times New Roman"/>
        </w:rPr>
      </w:pPr>
      <w:r w:rsidRPr="007220A8">
        <w:rPr>
          <w:rFonts w:ascii="Times New Roman" w:hAnsi="Times New Roman" w:cs="Times New Roman"/>
        </w:rPr>
        <w:t xml:space="preserve">Ketokivi, Mikko, and Thomas Choi. 2014. “Renaissance of Case Research as a Scientific Method.” </w:t>
      </w:r>
      <w:r w:rsidRPr="00560277">
        <w:rPr>
          <w:rFonts w:ascii="Times New Roman" w:hAnsi="Times New Roman" w:cs="Times New Roman"/>
        </w:rPr>
        <w:t>Journal of Operations Management</w:t>
      </w:r>
      <w:r w:rsidRPr="007220A8">
        <w:rPr>
          <w:rFonts w:ascii="Times New Roman" w:hAnsi="Times New Roman" w:cs="Times New Roman"/>
        </w:rPr>
        <w:t xml:space="preserve"> 32 (5). Elsevier B.V.: 232–40. </w:t>
      </w:r>
    </w:p>
    <w:p w14:paraId="6329C0DD" w14:textId="77777777" w:rsidR="007220A8" w:rsidRPr="007220A8" w:rsidRDefault="007220A8" w:rsidP="00560277">
      <w:pPr>
        <w:widowControl w:val="0"/>
        <w:autoSpaceDE w:val="0"/>
        <w:autoSpaceDN w:val="0"/>
        <w:adjustRightInd w:val="0"/>
        <w:ind w:left="480" w:hanging="480"/>
        <w:rPr>
          <w:rFonts w:ascii="Times New Roman" w:hAnsi="Times New Roman" w:cs="Times New Roman"/>
        </w:rPr>
      </w:pPr>
      <w:r w:rsidRPr="007220A8">
        <w:rPr>
          <w:rFonts w:ascii="Times New Roman" w:hAnsi="Times New Roman" w:cs="Times New Roman"/>
        </w:rPr>
        <w:t xml:space="preserve">McGrath, Joseph E. 1981. “Dilemmatics: The Study of Research Choices and Dilemmas.” </w:t>
      </w:r>
      <w:r w:rsidRPr="00560277">
        <w:rPr>
          <w:rFonts w:ascii="Times New Roman" w:hAnsi="Times New Roman" w:cs="Times New Roman"/>
        </w:rPr>
        <w:t>American Behavioral Scientist</w:t>
      </w:r>
      <w:r w:rsidRPr="007220A8">
        <w:rPr>
          <w:rFonts w:ascii="Times New Roman" w:hAnsi="Times New Roman" w:cs="Times New Roman"/>
        </w:rPr>
        <w:t xml:space="preserve"> 25 (2): 179–210.</w:t>
      </w:r>
    </w:p>
    <w:p w14:paraId="53D8BCFE" w14:textId="77777777" w:rsidR="007220A8" w:rsidRPr="007220A8" w:rsidRDefault="007220A8" w:rsidP="00560277">
      <w:pPr>
        <w:widowControl w:val="0"/>
        <w:autoSpaceDE w:val="0"/>
        <w:autoSpaceDN w:val="0"/>
        <w:adjustRightInd w:val="0"/>
        <w:ind w:left="480" w:hanging="480"/>
        <w:rPr>
          <w:rFonts w:ascii="Times New Roman" w:hAnsi="Times New Roman" w:cs="Times New Roman"/>
        </w:rPr>
      </w:pPr>
      <w:r w:rsidRPr="007220A8">
        <w:rPr>
          <w:rFonts w:ascii="Times New Roman" w:hAnsi="Times New Roman" w:cs="Times New Roman"/>
        </w:rPr>
        <w:t xml:space="preserve">Schoenherr, Tobias, Lisa M Ellram, and Wendy L Tate. 2015. “A Note on the Use of Survey Research Firms to Enable Empirical Data Collection.” </w:t>
      </w:r>
      <w:r w:rsidRPr="00560277">
        <w:rPr>
          <w:rFonts w:ascii="Times New Roman" w:hAnsi="Times New Roman" w:cs="Times New Roman"/>
        </w:rPr>
        <w:t>Journal of Business Logistics</w:t>
      </w:r>
      <w:r w:rsidRPr="007220A8">
        <w:rPr>
          <w:rFonts w:ascii="Times New Roman" w:hAnsi="Times New Roman" w:cs="Times New Roman"/>
        </w:rPr>
        <w:t xml:space="preserve"> 36 (3): 288–300.  </w:t>
      </w:r>
    </w:p>
    <w:p w14:paraId="1A9ADF49" w14:textId="3CD74CE4" w:rsidR="00A51D65" w:rsidRPr="007220A8" w:rsidRDefault="007220A8" w:rsidP="00560277">
      <w:pPr>
        <w:widowControl w:val="0"/>
        <w:autoSpaceDE w:val="0"/>
        <w:autoSpaceDN w:val="0"/>
        <w:adjustRightInd w:val="0"/>
        <w:ind w:left="480" w:hanging="480"/>
        <w:rPr>
          <w:rFonts w:ascii="Times New Roman" w:hAnsi="Times New Roman" w:cs="Times New Roman"/>
        </w:rPr>
      </w:pPr>
      <w:r w:rsidRPr="007220A8">
        <w:rPr>
          <w:rFonts w:ascii="Times New Roman" w:hAnsi="Times New Roman" w:cs="Times New Roman"/>
        </w:rPr>
        <w:fldChar w:fldCharType="end"/>
      </w:r>
    </w:p>
    <w:p w14:paraId="4274B6F5" w14:textId="77777777" w:rsidR="00A51D65" w:rsidRDefault="00A51D65" w:rsidP="00A51D65">
      <w:pPr>
        <w:spacing w:line="480" w:lineRule="auto"/>
        <w:rPr>
          <w:rFonts w:ascii="Times New Roman" w:hAnsi="Times New Roman" w:cs="Times New Roman"/>
          <w:b/>
        </w:rPr>
      </w:pPr>
    </w:p>
    <w:p w14:paraId="129B9AC4" w14:textId="77777777" w:rsidR="00A51D65" w:rsidRPr="00A51D65" w:rsidRDefault="00A51D65" w:rsidP="00A51D65">
      <w:pPr>
        <w:spacing w:line="480" w:lineRule="auto"/>
        <w:rPr>
          <w:rFonts w:ascii="Times New Roman" w:hAnsi="Times New Roman" w:cs="Times New Roman"/>
          <w:b/>
        </w:rPr>
        <w:sectPr w:rsidR="00A51D65" w:rsidRPr="00A51D65" w:rsidSect="001511DD">
          <w:pgSz w:w="12240" w:h="15840"/>
          <w:pgMar w:top="1224" w:right="1800" w:bottom="1008" w:left="1800" w:header="576" w:footer="720" w:gutter="0"/>
          <w:cols w:space="720"/>
          <w:titlePg/>
          <w:docGrid w:linePitch="360"/>
        </w:sectPr>
      </w:pPr>
    </w:p>
    <w:p w14:paraId="5E489307" w14:textId="17DFB1C7" w:rsidR="00417DFE" w:rsidRDefault="000F5CFE" w:rsidP="00C5743A">
      <w:pPr>
        <w:pStyle w:val="Heading1"/>
      </w:pPr>
      <w:bookmarkStart w:id="189" w:name="_Toc357382430"/>
      <w:bookmarkStart w:id="190" w:name="_Toc357383276"/>
      <w:bookmarkStart w:id="191" w:name="_Toc358326758"/>
      <w:r>
        <w:lastRenderedPageBreak/>
        <w:t>APPENDIX</w:t>
      </w:r>
      <w:bookmarkEnd w:id="189"/>
      <w:bookmarkEnd w:id="190"/>
      <w:bookmarkEnd w:id="191"/>
    </w:p>
    <w:p w14:paraId="6775A3D2" w14:textId="271A9365" w:rsidR="005D2CC8" w:rsidRDefault="005D2CC8">
      <w:pPr>
        <w:rPr>
          <w:rFonts w:ascii="Times New Roman" w:hAnsi="Times New Roman" w:cs="Times New Roman"/>
          <w:b/>
        </w:rPr>
      </w:pPr>
      <w:r>
        <w:rPr>
          <w:rFonts w:ascii="Times New Roman" w:hAnsi="Times New Roman" w:cs="Times New Roman"/>
          <w:b/>
        </w:rPr>
        <w:br w:type="page"/>
      </w:r>
    </w:p>
    <w:p w14:paraId="419556F1" w14:textId="77777777" w:rsidR="005D2CC8" w:rsidRDefault="005D2CC8" w:rsidP="00417DFE">
      <w:pPr>
        <w:spacing w:line="480" w:lineRule="auto"/>
        <w:rPr>
          <w:rFonts w:ascii="Times New Roman" w:hAnsi="Times New Roman" w:cs="Times New Roman"/>
          <w:b/>
        </w:rPr>
      </w:pPr>
    </w:p>
    <w:p w14:paraId="45CEA75B" w14:textId="67EE0F2E" w:rsidR="000402C8" w:rsidRDefault="000402C8" w:rsidP="000402C8">
      <w:pPr>
        <w:pStyle w:val="Caption"/>
      </w:pPr>
      <w:bookmarkStart w:id="192" w:name="_Ref357415108"/>
      <w:r>
        <w:t xml:space="preserve">Appendix </w:t>
      </w:r>
      <w:fldSimple w:instr=" SEQ Appendix \* ARABIC ">
        <w:r w:rsidR="00C2793E">
          <w:rPr>
            <w:noProof/>
          </w:rPr>
          <w:t>1</w:t>
        </w:r>
      </w:fldSimple>
      <w:bookmarkEnd w:id="192"/>
      <w:r w:rsidRPr="000402C8">
        <w:rPr>
          <w:rFonts w:cs="Times New Roman"/>
        </w:rPr>
        <w:t xml:space="preserve"> </w:t>
      </w:r>
      <w:r>
        <w:rPr>
          <w:rFonts w:cs="Times New Roman"/>
        </w:rPr>
        <w:t xml:space="preserve">- </w:t>
      </w:r>
      <w:r w:rsidRPr="00BA7968">
        <w:rPr>
          <w:rFonts w:cs="Times New Roman"/>
        </w:rPr>
        <w:t>Exc</w:t>
      </w:r>
      <w:r>
        <w:rPr>
          <w:rFonts w:cs="Times New Roman"/>
        </w:rPr>
        <w:t>lusion and Inclusion</w:t>
      </w:r>
      <w:r w:rsidRPr="007A3FEF">
        <w:rPr>
          <w:rFonts w:cs="Times New Roman"/>
        </w:rPr>
        <w:t xml:space="preserve"> </w:t>
      </w:r>
      <w:r>
        <w:rPr>
          <w:rFonts w:cs="Times New Roman"/>
        </w:rPr>
        <w:t>Decisions</w:t>
      </w:r>
    </w:p>
    <w:p w14:paraId="0D77F99A" w14:textId="77777777" w:rsidR="005D2CC8" w:rsidRPr="00BA7968" w:rsidRDefault="005D2CC8" w:rsidP="005D2CC8">
      <w:pPr>
        <w:spacing w:line="360" w:lineRule="auto"/>
        <w:rPr>
          <w:rFonts w:ascii="Times New Roman" w:hAnsi="Times New Roman" w:cs="Times New Roman"/>
          <w:i/>
          <w:sz w:val="16"/>
          <w:szCs w:val="16"/>
        </w:rPr>
      </w:pPr>
      <w:r w:rsidRPr="00BA7968">
        <w:rPr>
          <w:rFonts w:ascii="Times New Roman" w:hAnsi="Times New Roman" w:cs="Times New Roman"/>
          <w:i/>
          <w:sz w:val="16"/>
          <w:szCs w:val="16"/>
        </w:rPr>
        <w:t xml:space="preserve">The following systematic inclusion and exclusion </w:t>
      </w:r>
      <w:r>
        <w:rPr>
          <w:rFonts w:ascii="Times New Roman" w:hAnsi="Times New Roman" w:cs="Times New Roman"/>
          <w:i/>
          <w:sz w:val="16"/>
          <w:szCs w:val="16"/>
        </w:rPr>
        <w:t>decisions</w:t>
      </w:r>
      <w:r w:rsidRPr="00BA7968">
        <w:rPr>
          <w:rFonts w:ascii="Times New Roman" w:hAnsi="Times New Roman" w:cs="Times New Roman"/>
          <w:i/>
          <w:sz w:val="16"/>
          <w:szCs w:val="16"/>
        </w:rPr>
        <w:t xml:space="preserve"> were </w:t>
      </w:r>
      <w:r>
        <w:rPr>
          <w:rFonts w:ascii="Times New Roman" w:hAnsi="Times New Roman" w:cs="Times New Roman"/>
          <w:i/>
          <w:sz w:val="16"/>
          <w:szCs w:val="16"/>
        </w:rPr>
        <w:t>taken</w:t>
      </w:r>
      <w:r w:rsidRPr="00BA7968">
        <w:rPr>
          <w:rFonts w:ascii="Times New Roman" w:hAnsi="Times New Roman" w:cs="Times New Roman"/>
          <w:i/>
          <w:sz w:val="16"/>
          <w:szCs w:val="16"/>
        </w:rPr>
        <w:t xml:space="preserve"> during the article screening (following Newbert</w:t>
      </w:r>
      <w:r>
        <w:rPr>
          <w:rFonts w:ascii="Times New Roman" w:hAnsi="Times New Roman" w:cs="Times New Roman"/>
          <w:i/>
          <w:sz w:val="16"/>
          <w:szCs w:val="16"/>
        </w:rPr>
        <w:t>,</w:t>
      </w:r>
      <w:r w:rsidRPr="00BA7968">
        <w:rPr>
          <w:rFonts w:ascii="Times New Roman" w:hAnsi="Times New Roman" w:cs="Times New Roman"/>
          <w:i/>
          <w:sz w:val="16"/>
          <w:szCs w:val="16"/>
        </w:rPr>
        <w:t xml:space="preserve"> 2007)</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658"/>
      </w:tblGrid>
      <w:tr w:rsidR="005D2CC8" w:rsidRPr="00BA7968" w14:paraId="375B6834" w14:textId="77777777" w:rsidTr="00FF7DB0">
        <w:tc>
          <w:tcPr>
            <w:tcW w:w="8658" w:type="dxa"/>
          </w:tcPr>
          <w:p w14:paraId="4EAF402B" w14:textId="77777777" w:rsidR="005D2CC8" w:rsidRDefault="005D2CC8" w:rsidP="00FF7DB0">
            <w:pPr>
              <w:tabs>
                <w:tab w:val="left" w:pos="987"/>
              </w:tabs>
              <w:spacing w:line="360" w:lineRule="auto"/>
              <w:rPr>
                <w:rFonts w:ascii="Times New Roman" w:hAnsi="Times New Roman" w:cs="Times New Roman"/>
                <w:b/>
                <w:color w:val="000000" w:themeColor="text1"/>
              </w:rPr>
            </w:pPr>
          </w:p>
          <w:p w14:paraId="343D8671" w14:textId="77777777" w:rsidR="005D2CC8" w:rsidRPr="006B1953" w:rsidRDefault="005D2CC8" w:rsidP="00FF7DB0">
            <w:pPr>
              <w:tabs>
                <w:tab w:val="left" w:pos="987"/>
              </w:tabs>
              <w:spacing w:line="360" w:lineRule="auto"/>
              <w:rPr>
                <w:rFonts w:ascii="Times New Roman" w:hAnsi="Times New Roman" w:cs="Times New Roman"/>
                <w:b/>
                <w:color w:val="000000" w:themeColor="text1"/>
              </w:rPr>
            </w:pPr>
            <w:r w:rsidRPr="006B1953">
              <w:rPr>
                <w:rFonts w:ascii="Times New Roman" w:hAnsi="Times New Roman" w:cs="Times New Roman"/>
                <w:b/>
                <w:color w:val="000000" w:themeColor="text1"/>
              </w:rPr>
              <w:t xml:space="preserve">Exclusion and </w:t>
            </w:r>
            <w:r>
              <w:rPr>
                <w:rFonts w:ascii="Times New Roman" w:hAnsi="Times New Roman" w:cs="Times New Roman"/>
                <w:b/>
                <w:color w:val="000000" w:themeColor="text1"/>
              </w:rPr>
              <w:t>I</w:t>
            </w:r>
            <w:r w:rsidRPr="006B1953">
              <w:rPr>
                <w:rFonts w:ascii="Times New Roman" w:hAnsi="Times New Roman" w:cs="Times New Roman"/>
                <w:b/>
                <w:color w:val="000000" w:themeColor="text1"/>
              </w:rPr>
              <w:t xml:space="preserve">nclusion </w:t>
            </w:r>
            <w:r>
              <w:rPr>
                <w:rFonts w:ascii="Times New Roman" w:hAnsi="Times New Roman" w:cs="Times New Roman"/>
                <w:b/>
                <w:color w:val="000000" w:themeColor="text1"/>
              </w:rPr>
              <w:t>Decisions</w:t>
            </w:r>
          </w:p>
        </w:tc>
      </w:tr>
      <w:tr w:rsidR="005D2CC8" w:rsidRPr="00BA7968" w14:paraId="0D9E2753" w14:textId="77777777" w:rsidTr="00FF7DB0">
        <w:tc>
          <w:tcPr>
            <w:tcW w:w="8658" w:type="dxa"/>
          </w:tcPr>
          <w:p w14:paraId="48B973D9" w14:textId="77777777" w:rsidR="005D2CC8" w:rsidRPr="006B1953" w:rsidRDefault="005D2CC8" w:rsidP="00FF7DB0">
            <w:pPr>
              <w:pStyle w:val="ListParagraph"/>
              <w:numPr>
                <w:ilvl w:val="0"/>
                <w:numId w:val="13"/>
              </w:numPr>
              <w:spacing w:line="360" w:lineRule="auto"/>
              <w:rPr>
                <w:rFonts w:ascii="Times New Roman" w:hAnsi="Times New Roman" w:cs="Times New Roman"/>
              </w:rPr>
            </w:pPr>
            <w:r w:rsidRPr="006B1953">
              <w:rPr>
                <w:rFonts w:ascii="Times New Roman" w:hAnsi="Times New Roman" w:cs="Times New Roman"/>
                <w:color w:val="000000" w:themeColor="text1"/>
              </w:rPr>
              <w:t>Include papers published in peer-reviewed academic journals in English language</w:t>
            </w:r>
          </w:p>
        </w:tc>
      </w:tr>
      <w:tr w:rsidR="005D2CC8" w:rsidRPr="00BA7968" w14:paraId="3A313684" w14:textId="77777777" w:rsidTr="00FF7DB0">
        <w:tc>
          <w:tcPr>
            <w:tcW w:w="8658" w:type="dxa"/>
          </w:tcPr>
          <w:p w14:paraId="07574651" w14:textId="77777777" w:rsidR="005D2CC8" w:rsidRPr="006B1953" w:rsidRDefault="005D2CC8" w:rsidP="00FF7DB0">
            <w:pPr>
              <w:pStyle w:val="ListParagraph"/>
              <w:numPr>
                <w:ilvl w:val="0"/>
                <w:numId w:val="13"/>
              </w:numPr>
              <w:spacing w:line="360" w:lineRule="auto"/>
              <w:rPr>
                <w:rFonts w:ascii="Times New Roman" w:hAnsi="Times New Roman" w:cs="Times New Roman"/>
              </w:rPr>
            </w:pPr>
            <w:r w:rsidRPr="006B1953">
              <w:rPr>
                <w:rFonts w:ascii="Times New Roman" w:hAnsi="Times New Roman" w:cs="Times New Roman"/>
                <w:color w:val="000000" w:themeColor="text1"/>
              </w:rPr>
              <w:t>Limit papers to the 2000-2015 time frame</w:t>
            </w:r>
          </w:p>
        </w:tc>
      </w:tr>
      <w:tr w:rsidR="005D2CC8" w:rsidRPr="00BA7968" w14:paraId="1CEBC63D" w14:textId="77777777" w:rsidTr="00FF7DB0">
        <w:tc>
          <w:tcPr>
            <w:tcW w:w="8658" w:type="dxa"/>
          </w:tcPr>
          <w:p w14:paraId="0D053C6C" w14:textId="77777777" w:rsidR="005D2CC8" w:rsidRPr="006B1953" w:rsidRDefault="005D2CC8" w:rsidP="00FF7DB0">
            <w:pPr>
              <w:pStyle w:val="ListParagraph"/>
              <w:numPr>
                <w:ilvl w:val="0"/>
                <w:numId w:val="13"/>
              </w:numPr>
              <w:spacing w:line="360" w:lineRule="auto"/>
              <w:rPr>
                <w:rFonts w:ascii="Times New Roman" w:hAnsi="Times New Roman" w:cs="Times New Roman"/>
                <w:color w:val="000000" w:themeColor="text1"/>
              </w:rPr>
            </w:pPr>
            <w:r w:rsidRPr="006B1953">
              <w:rPr>
                <w:rFonts w:ascii="Times New Roman" w:hAnsi="Times New Roman" w:cs="Times New Roman"/>
                <w:color w:val="000000" w:themeColor="text1"/>
              </w:rPr>
              <w:t>Limit papers to research papers and exclude editorials, book reviews; commentaries, special issue introductions, and similar non-relevant papers</w:t>
            </w:r>
          </w:p>
        </w:tc>
      </w:tr>
      <w:tr w:rsidR="005D2CC8" w:rsidRPr="00BA7968" w14:paraId="3504F971" w14:textId="77777777" w:rsidTr="00FF7DB0">
        <w:tc>
          <w:tcPr>
            <w:tcW w:w="8658" w:type="dxa"/>
          </w:tcPr>
          <w:p w14:paraId="1C20E52F" w14:textId="77777777" w:rsidR="005D2CC8" w:rsidRPr="006B1953" w:rsidRDefault="005D2CC8" w:rsidP="00FF7DB0">
            <w:pPr>
              <w:pStyle w:val="ListParagraph"/>
              <w:numPr>
                <w:ilvl w:val="0"/>
                <w:numId w:val="13"/>
              </w:numPr>
              <w:spacing w:line="360" w:lineRule="auto"/>
              <w:rPr>
                <w:rFonts w:ascii="Times New Roman" w:hAnsi="Times New Roman" w:cs="Times New Roman"/>
                <w:color w:val="000000" w:themeColor="text1"/>
              </w:rPr>
            </w:pPr>
            <w:r w:rsidRPr="006B1953">
              <w:rPr>
                <w:rFonts w:ascii="Times New Roman" w:hAnsi="Times New Roman" w:cs="Times New Roman"/>
                <w:color w:val="000000" w:themeColor="text1"/>
              </w:rPr>
              <w:t>Exclude all papers that do not have at least one corresponding keyword hit in either title or abstract or keyword list</w:t>
            </w:r>
          </w:p>
        </w:tc>
      </w:tr>
      <w:tr w:rsidR="005D2CC8" w:rsidRPr="00BA7968" w14:paraId="73115525" w14:textId="77777777" w:rsidTr="00FF7DB0">
        <w:tc>
          <w:tcPr>
            <w:tcW w:w="8658" w:type="dxa"/>
          </w:tcPr>
          <w:p w14:paraId="1AE234D3" w14:textId="75ADCF60" w:rsidR="005D2CC8" w:rsidRPr="006B1953" w:rsidRDefault="005D2CC8" w:rsidP="008550C3">
            <w:pPr>
              <w:pStyle w:val="ListParagraph"/>
              <w:numPr>
                <w:ilvl w:val="0"/>
                <w:numId w:val="13"/>
              </w:numPr>
              <w:spacing w:line="360" w:lineRule="auto"/>
              <w:rPr>
                <w:rFonts w:ascii="Times New Roman" w:hAnsi="Times New Roman" w:cs="Times New Roman"/>
                <w:color w:val="000000" w:themeColor="text1"/>
              </w:rPr>
            </w:pPr>
            <w:r w:rsidRPr="006B1953">
              <w:rPr>
                <w:rFonts w:ascii="Times New Roman" w:hAnsi="Times New Roman" w:cs="Times New Roman"/>
                <w:color w:val="000000" w:themeColor="text1"/>
              </w:rPr>
              <w:t xml:space="preserve">Exclude all papers, after reading the abstract, that are not relevant to the research questions (include only papers with a clear research focus (orientation) related to the research topic) (refer to </w:t>
            </w:r>
            <w:r w:rsidR="008550C3">
              <w:rPr>
                <w:rFonts w:ascii="Times New Roman" w:hAnsi="Times New Roman" w:cs="Times New Roman"/>
                <w:color w:val="000000" w:themeColor="text1"/>
              </w:rPr>
              <w:fldChar w:fldCharType="begin"/>
            </w:r>
            <w:r w:rsidR="008550C3">
              <w:rPr>
                <w:rFonts w:ascii="Times New Roman" w:hAnsi="Times New Roman" w:cs="Times New Roman"/>
                <w:color w:val="000000" w:themeColor="text1"/>
              </w:rPr>
              <w:instrText xml:space="preserve"> REF _Ref357415127 \h </w:instrText>
            </w:r>
            <w:r w:rsidR="008550C3">
              <w:rPr>
                <w:rFonts w:ascii="Times New Roman" w:hAnsi="Times New Roman" w:cs="Times New Roman"/>
                <w:color w:val="000000" w:themeColor="text1"/>
              </w:rPr>
            </w:r>
            <w:r w:rsidR="008550C3">
              <w:rPr>
                <w:rFonts w:ascii="Times New Roman" w:hAnsi="Times New Roman" w:cs="Times New Roman"/>
                <w:color w:val="000000" w:themeColor="text1"/>
              </w:rPr>
              <w:fldChar w:fldCharType="separate"/>
            </w:r>
            <w:r w:rsidR="00C2793E">
              <w:t xml:space="preserve">Appendix </w:t>
            </w:r>
            <w:r w:rsidR="00C2793E">
              <w:rPr>
                <w:noProof/>
              </w:rPr>
              <w:t>2</w:t>
            </w:r>
            <w:r w:rsidR="008550C3">
              <w:rPr>
                <w:rFonts w:ascii="Times New Roman" w:hAnsi="Times New Roman" w:cs="Times New Roman"/>
                <w:color w:val="000000" w:themeColor="text1"/>
              </w:rPr>
              <w:fldChar w:fldCharType="end"/>
            </w:r>
            <w:r w:rsidRPr="006B1953">
              <w:rPr>
                <w:rFonts w:ascii="Times New Roman" w:hAnsi="Times New Roman" w:cs="Times New Roman"/>
                <w:color w:val="000000" w:themeColor="text1"/>
              </w:rPr>
              <w:t>)</w:t>
            </w:r>
          </w:p>
        </w:tc>
      </w:tr>
      <w:tr w:rsidR="005D2CC8" w:rsidRPr="00BA7968" w14:paraId="40CCA885" w14:textId="77777777" w:rsidTr="00FF7DB0">
        <w:tc>
          <w:tcPr>
            <w:tcW w:w="8658" w:type="dxa"/>
          </w:tcPr>
          <w:p w14:paraId="7AFC6C1E" w14:textId="77777777" w:rsidR="005D2CC8" w:rsidRPr="00237DAB" w:rsidRDefault="005D2CC8" w:rsidP="00FF7DB0">
            <w:pPr>
              <w:pStyle w:val="ListParagraph"/>
              <w:numPr>
                <w:ilvl w:val="0"/>
                <w:numId w:val="13"/>
              </w:numPr>
              <w:spacing w:line="360" w:lineRule="auto"/>
              <w:rPr>
                <w:rFonts w:ascii="Times New Roman" w:hAnsi="Times New Roman" w:cs="Times New Roman"/>
              </w:rPr>
            </w:pPr>
            <w:r w:rsidRPr="000524D0">
              <w:rPr>
                <w:rFonts w:ascii="Times New Roman" w:hAnsi="Times New Roman" w:cs="Times New Roman"/>
                <w:color w:val="000000" w:themeColor="text1"/>
              </w:rPr>
              <w:t>Exclude conceptual papers and literature reviews (</w:t>
            </w:r>
            <w:r w:rsidRPr="00237DAB">
              <w:rPr>
                <w:rFonts w:ascii="Times New Roman" w:hAnsi="Times New Roman" w:cs="Times New Roman"/>
                <w:color w:val="000000" w:themeColor="text1"/>
              </w:rPr>
              <w:t>step</w:t>
            </w:r>
            <w:r w:rsidRPr="000524D0">
              <w:rPr>
                <w:rFonts w:ascii="Times New Roman" w:hAnsi="Times New Roman" w:cs="Times New Roman"/>
                <w:color w:val="000000" w:themeColor="text1"/>
              </w:rPr>
              <w:t xml:space="preserve"> 4)</w:t>
            </w:r>
          </w:p>
        </w:tc>
      </w:tr>
    </w:tbl>
    <w:p w14:paraId="0669C645" w14:textId="77777777" w:rsidR="005D2CC8" w:rsidRDefault="005D2CC8" w:rsidP="005D2CC8">
      <w:pPr>
        <w:spacing w:line="360" w:lineRule="auto"/>
        <w:rPr>
          <w:rFonts w:ascii="Times New Roman" w:hAnsi="Times New Roman" w:cs="Times New Roman"/>
        </w:rPr>
      </w:pPr>
    </w:p>
    <w:p w14:paraId="22E7F147" w14:textId="77777777" w:rsidR="005D2CC8" w:rsidRPr="00BA7968" w:rsidRDefault="005D2CC8" w:rsidP="005D2CC8">
      <w:pPr>
        <w:spacing w:line="360" w:lineRule="auto"/>
        <w:rPr>
          <w:rFonts w:ascii="Times New Roman" w:hAnsi="Times New Roman" w:cs="Times New Roman"/>
        </w:rPr>
      </w:pPr>
    </w:p>
    <w:p w14:paraId="371FEAB7" w14:textId="77777777" w:rsidR="005D2CC8" w:rsidRDefault="005D2CC8" w:rsidP="005D2CC8">
      <w:pPr>
        <w:rPr>
          <w:rFonts w:ascii="Times New Roman" w:hAnsi="Times New Roman" w:cs="Times New Roman"/>
          <w:b/>
        </w:rPr>
      </w:pPr>
      <w:r>
        <w:rPr>
          <w:rFonts w:ascii="Times New Roman" w:hAnsi="Times New Roman" w:cs="Times New Roman"/>
          <w:b/>
        </w:rPr>
        <w:br w:type="page"/>
      </w:r>
    </w:p>
    <w:p w14:paraId="5E7C319D" w14:textId="57A842FA" w:rsidR="005D2CC8" w:rsidRPr="000402C8" w:rsidRDefault="000402C8" w:rsidP="000402C8">
      <w:pPr>
        <w:pStyle w:val="Caption"/>
      </w:pPr>
      <w:bookmarkStart w:id="193" w:name="_Ref357415127"/>
      <w:r>
        <w:lastRenderedPageBreak/>
        <w:t xml:space="preserve">Appendix </w:t>
      </w:r>
      <w:fldSimple w:instr=" SEQ Appendix \* ARABIC ">
        <w:r w:rsidR="00C2793E">
          <w:rPr>
            <w:noProof/>
          </w:rPr>
          <w:t>2</w:t>
        </w:r>
      </w:fldSimple>
      <w:bookmarkEnd w:id="193"/>
      <w:r>
        <w:t xml:space="preserve"> - </w:t>
      </w:r>
      <w:r w:rsidR="005D2CC8" w:rsidRPr="00BA7968">
        <w:rPr>
          <w:rFonts w:cs="Times New Roman"/>
        </w:rPr>
        <w:t xml:space="preserve">Exclusion and Inclusion </w:t>
      </w:r>
      <w:r w:rsidR="005D2CC8">
        <w:rPr>
          <w:rFonts w:cs="Times New Roman"/>
        </w:rPr>
        <w:t>Decisions</w:t>
      </w:r>
      <w:r w:rsidR="005D2CC8" w:rsidRPr="00BA7968">
        <w:rPr>
          <w:rFonts w:cs="Times New Roman"/>
        </w:rPr>
        <w:t xml:space="preserve"> (detailed content evaluation)</w:t>
      </w:r>
    </w:p>
    <w:tbl>
      <w:tblPr>
        <w:tblStyle w:val="TableGrid"/>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8"/>
      </w:tblGrid>
      <w:tr w:rsidR="005D2CC8" w:rsidRPr="00BA7968" w14:paraId="50A48A63" w14:textId="77777777" w:rsidTr="00FF7DB0">
        <w:trPr>
          <w:trHeight w:val="288"/>
        </w:trPr>
        <w:tc>
          <w:tcPr>
            <w:tcW w:w="8748" w:type="dxa"/>
            <w:tcBorders>
              <w:top w:val="single" w:sz="4" w:space="0" w:color="auto"/>
              <w:left w:val="single" w:sz="4" w:space="0" w:color="auto"/>
              <w:right w:val="single" w:sz="4" w:space="0" w:color="auto"/>
            </w:tcBorders>
          </w:tcPr>
          <w:p w14:paraId="5D884AA5" w14:textId="77777777" w:rsidR="005D2CC8" w:rsidRPr="00BA7968" w:rsidRDefault="005D2CC8" w:rsidP="00FF7DB0">
            <w:pPr>
              <w:keepNext/>
              <w:keepLines/>
              <w:spacing w:before="200" w:line="360" w:lineRule="auto"/>
              <w:outlineLvl w:val="6"/>
              <w:rPr>
                <w:rFonts w:ascii="Times New Roman" w:hAnsi="Times New Roman" w:cs="Times New Roman"/>
                <w:b/>
              </w:rPr>
            </w:pPr>
            <w:r>
              <w:rPr>
                <w:rFonts w:ascii="Times New Roman" w:hAnsi="Times New Roman" w:cs="Times New Roman"/>
                <w:b/>
              </w:rPr>
              <w:t xml:space="preserve">Exclusion </w:t>
            </w:r>
            <w:r w:rsidRPr="00BA7968">
              <w:rPr>
                <w:rFonts w:ascii="Times New Roman" w:hAnsi="Times New Roman" w:cs="Times New Roman"/>
                <w:b/>
              </w:rPr>
              <w:t xml:space="preserve">Criteria </w:t>
            </w:r>
            <w:r w:rsidRPr="00BA7968">
              <w:rPr>
                <w:rFonts w:ascii="Times New Roman" w:hAnsi="Times New Roman" w:cs="Times New Roman"/>
                <w:b/>
                <w:vertAlign w:val="superscript"/>
              </w:rPr>
              <w:t>(*)</w:t>
            </w:r>
          </w:p>
        </w:tc>
      </w:tr>
      <w:tr w:rsidR="005D2CC8" w:rsidRPr="00BA7968" w14:paraId="4FC56ED6" w14:textId="77777777" w:rsidTr="00FF7DB0">
        <w:tc>
          <w:tcPr>
            <w:tcW w:w="8748" w:type="dxa"/>
            <w:tcBorders>
              <w:left w:val="single" w:sz="4" w:space="0" w:color="auto"/>
              <w:right w:val="single" w:sz="4" w:space="0" w:color="auto"/>
            </w:tcBorders>
          </w:tcPr>
          <w:p w14:paraId="535DC7C3" w14:textId="77777777" w:rsidR="005D2CC8" w:rsidRPr="006B1953" w:rsidRDefault="005D2CC8" w:rsidP="00FF7DB0">
            <w:pPr>
              <w:pStyle w:val="ListParagraph"/>
              <w:numPr>
                <w:ilvl w:val="0"/>
                <w:numId w:val="14"/>
              </w:numPr>
              <w:spacing w:line="360" w:lineRule="auto"/>
              <w:rPr>
                <w:rFonts w:ascii="Times New Roman" w:hAnsi="Times New Roman" w:cs="Times New Roman"/>
              </w:rPr>
            </w:pPr>
            <w:r w:rsidRPr="006B1953">
              <w:rPr>
                <w:rFonts w:ascii="Times New Roman" w:hAnsi="Times New Roman" w:cs="Times New Roman"/>
              </w:rPr>
              <w:t>Focus on financial ownership perspective (e.g., M&amp;A of technology organizations)</w:t>
            </w:r>
          </w:p>
        </w:tc>
      </w:tr>
      <w:tr w:rsidR="005D2CC8" w:rsidRPr="00BA7968" w14:paraId="1DC34975" w14:textId="77777777" w:rsidTr="00FF7DB0">
        <w:tc>
          <w:tcPr>
            <w:tcW w:w="8748" w:type="dxa"/>
            <w:tcBorders>
              <w:left w:val="single" w:sz="4" w:space="0" w:color="auto"/>
              <w:right w:val="single" w:sz="4" w:space="0" w:color="auto"/>
            </w:tcBorders>
          </w:tcPr>
          <w:p w14:paraId="6439F044" w14:textId="77777777" w:rsidR="005D2CC8" w:rsidRPr="006B1953" w:rsidRDefault="005D2CC8" w:rsidP="00FF7DB0">
            <w:pPr>
              <w:pStyle w:val="ListParagraph"/>
              <w:numPr>
                <w:ilvl w:val="0"/>
                <w:numId w:val="14"/>
              </w:numPr>
              <w:spacing w:line="360" w:lineRule="auto"/>
              <w:rPr>
                <w:rFonts w:ascii="Times New Roman" w:hAnsi="Times New Roman" w:cs="Times New Roman"/>
              </w:rPr>
            </w:pPr>
            <w:r w:rsidRPr="006B1953">
              <w:rPr>
                <w:rFonts w:ascii="Times New Roman" w:hAnsi="Times New Roman" w:cs="Times New Roman"/>
              </w:rPr>
              <w:t>Focus on customers only / pure user involvement</w:t>
            </w:r>
          </w:p>
        </w:tc>
      </w:tr>
      <w:tr w:rsidR="005D2CC8" w:rsidRPr="00BA7968" w14:paraId="73C77340" w14:textId="77777777" w:rsidTr="00FF7DB0">
        <w:tc>
          <w:tcPr>
            <w:tcW w:w="8748" w:type="dxa"/>
            <w:tcBorders>
              <w:left w:val="single" w:sz="4" w:space="0" w:color="auto"/>
              <w:right w:val="single" w:sz="4" w:space="0" w:color="auto"/>
            </w:tcBorders>
          </w:tcPr>
          <w:p w14:paraId="67E5BE6E" w14:textId="77777777" w:rsidR="005D2CC8" w:rsidRPr="006B1953" w:rsidRDefault="005D2CC8" w:rsidP="00FF7DB0">
            <w:pPr>
              <w:pStyle w:val="ListParagraph"/>
              <w:numPr>
                <w:ilvl w:val="0"/>
                <w:numId w:val="14"/>
              </w:numPr>
              <w:spacing w:line="360" w:lineRule="auto"/>
              <w:rPr>
                <w:rFonts w:ascii="Times New Roman" w:hAnsi="Times New Roman" w:cs="Times New Roman"/>
              </w:rPr>
            </w:pPr>
            <w:r w:rsidRPr="006B1953">
              <w:rPr>
                <w:rFonts w:ascii="Times New Roman" w:hAnsi="Times New Roman" w:cs="Times New Roman"/>
              </w:rPr>
              <w:t>Crowdsourcing with pure user-input</w:t>
            </w:r>
          </w:p>
        </w:tc>
      </w:tr>
      <w:tr w:rsidR="005D2CC8" w:rsidRPr="00BA7968" w14:paraId="3F2C71AF" w14:textId="77777777" w:rsidTr="00FF7DB0">
        <w:tc>
          <w:tcPr>
            <w:tcW w:w="8748" w:type="dxa"/>
            <w:tcBorders>
              <w:left w:val="single" w:sz="4" w:space="0" w:color="auto"/>
              <w:right w:val="single" w:sz="4" w:space="0" w:color="auto"/>
            </w:tcBorders>
          </w:tcPr>
          <w:p w14:paraId="459D50AA" w14:textId="77777777" w:rsidR="005D2CC8" w:rsidRPr="006B1953" w:rsidRDefault="005D2CC8" w:rsidP="00FF7DB0">
            <w:pPr>
              <w:pStyle w:val="ListParagraph"/>
              <w:numPr>
                <w:ilvl w:val="0"/>
                <w:numId w:val="14"/>
              </w:numPr>
              <w:spacing w:line="360" w:lineRule="auto"/>
              <w:rPr>
                <w:rFonts w:ascii="Times New Roman" w:hAnsi="Times New Roman" w:cs="Times New Roman"/>
              </w:rPr>
            </w:pPr>
            <w:r w:rsidRPr="006B1953">
              <w:rPr>
                <w:rFonts w:ascii="Times New Roman" w:hAnsi="Times New Roman" w:cs="Times New Roman"/>
              </w:rPr>
              <w:t>Pure Software development (open source)</w:t>
            </w:r>
          </w:p>
        </w:tc>
      </w:tr>
      <w:tr w:rsidR="005D2CC8" w:rsidRPr="00BA7968" w14:paraId="7D137872" w14:textId="77777777" w:rsidTr="00FF7DB0">
        <w:tc>
          <w:tcPr>
            <w:tcW w:w="8748" w:type="dxa"/>
            <w:tcBorders>
              <w:left w:val="single" w:sz="4" w:space="0" w:color="auto"/>
              <w:right w:val="single" w:sz="4" w:space="0" w:color="auto"/>
            </w:tcBorders>
          </w:tcPr>
          <w:p w14:paraId="27121DF1" w14:textId="77777777" w:rsidR="005D2CC8" w:rsidRPr="006B1953" w:rsidRDefault="005D2CC8" w:rsidP="00FF7DB0">
            <w:pPr>
              <w:pStyle w:val="ListParagraph"/>
              <w:numPr>
                <w:ilvl w:val="0"/>
                <w:numId w:val="14"/>
              </w:numPr>
              <w:spacing w:line="360" w:lineRule="auto"/>
              <w:rPr>
                <w:rFonts w:ascii="Times New Roman" w:hAnsi="Times New Roman" w:cs="Times New Roman"/>
              </w:rPr>
            </w:pPr>
            <w:r w:rsidRPr="006B1953">
              <w:rPr>
                <w:rFonts w:ascii="Times New Roman" w:hAnsi="Times New Roman" w:cs="Times New Roman"/>
              </w:rPr>
              <w:t>Focus on macroeconomic aspects (e.g., specific nations, or inter-country aspects)</w:t>
            </w:r>
          </w:p>
        </w:tc>
      </w:tr>
      <w:tr w:rsidR="005D2CC8" w:rsidRPr="00BA7968" w14:paraId="28AFA823" w14:textId="77777777" w:rsidTr="00FF7DB0">
        <w:tc>
          <w:tcPr>
            <w:tcW w:w="8748" w:type="dxa"/>
            <w:tcBorders>
              <w:left w:val="single" w:sz="4" w:space="0" w:color="auto"/>
              <w:bottom w:val="single" w:sz="4" w:space="0" w:color="auto"/>
              <w:right w:val="single" w:sz="4" w:space="0" w:color="auto"/>
            </w:tcBorders>
          </w:tcPr>
          <w:p w14:paraId="6F009BB5" w14:textId="77777777" w:rsidR="005D2CC8" w:rsidRDefault="005D2CC8" w:rsidP="00FF7DB0">
            <w:pPr>
              <w:pStyle w:val="ListParagraph"/>
              <w:numPr>
                <w:ilvl w:val="0"/>
                <w:numId w:val="14"/>
              </w:numPr>
              <w:spacing w:line="360" w:lineRule="auto"/>
              <w:rPr>
                <w:rFonts w:ascii="Times New Roman" w:hAnsi="Times New Roman" w:cs="Times New Roman"/>
                <w:sz w:val="18"/>
                <w:szCs w:val="18"/>
              </w:rPr>
            </w:pPr>
            <w:r w:rsidRPr="006B1953">
              <w:rPr>
                <w:rFonts w:ascii="Times New Roman" w:hAnsi="Times New Roman" w:cs="Times New Roman"/>
              </w:rPr>
              <w:t>Focus on intellectual property aspects (legal or financial revenue, patent revenue emphasis)</w:t>
            </w:r>
          </w:p>
          <w:p w14:paraId="056256FC" w14:textId="77777777" w:rsidR="005D2CC8" w:rsidRPr="006B1953" w:rsidRDefault="005D2CC8" w:rsidP="00FF7DB0">
            <w:pPr>
              <w:spacing w:line="360" w:lineRule="auto"/>
              <w:rPr>
                <w:rFonts w:ascii="Times New Roman" w:hAnsi="Times New Roman" w:cs="Times New Roman"/>
              </w:rPr>
            </w:pPr>
          </w:p>
        </w:tc>
      </w:tr>
      <w:tr w:rsidR="005D2CC8" w:rsidRPr="00BA7968" w14:paraId="2BB491EB" w14:textId="77777777" w:rsidTr="00FF7DB0">
        <w:tc>
          <w:tcPr>
            <w:tcW w:w="8748" w:type="dxa"/>
            <w:tcBorders>
              <w:top w:val="single" w:sz="4" w:space="0" w:color="auto"/>
              <w:left w:val="single" w:sz="4" w:space="0" w:color="auto"/>
              <w:right w:val="single" w:sz="4" w:space="0" w:color="auto"/>
            </w:tcBorders>
          </w:tcPr>
          <w:p w14:paraId="75D20F18" w14:textId="77777777" w:rsidR="005D2CC8" w:rsidRDefault="005D2CC8" w:rsidP="00FF7DB0">
            <w:pPr>
              <w:spacing w:line="360" w:lineRule="auto"/>
              <w:rPr>
                <w:rFonts w:ascii="Times New Roman" w:hAnsi="Times New Roman" w:cs="Times New Roman"/>
                <w:b/>
              </w:rPr>
            </w:pPr>
          </w:p>
          <w:p w14:paraId="1699F765" w14:textId="77777777" w:rsidR="005D2CC8" w:rsidRPr="00BA7968" w:rsidRDefault="005D2CC8" w:rsidP="00FF7DB0">
            <w:pPr>
              <w:spacing w:line="360" w:lineRule="auto"/>
              <w:rPr>
                <w:rFonts w:ascii="Times New Roman" w:hAnsi="Times New Roman" w:cs="Times New Roman"/>
              </w:rPr>
            </w:pPr>
            <w:r w:rsidRPr="00F77066">
              <w:rPr>
                <w:rFonts w:ascii="Times New Roman" w:hAnsi="Times New Roman" w:cs="Times New Roman"/>
                <w:b/>
              </w:rPr>
              <w:t xml:space="preserve">Inclusion </w:t>
            </w:r>
            <w:r w:rsidRPr="006B1953">
              <w:rPr>
                <w:rFonts w:ascii="Times New Roman" w:hAnsi="Times New Roman" w:cs="Times New Roman"/>
                <w:b/>
              </w:rPr>
              <w:t xml:space="preserve">Criteria </w:t>
            </w:r>
            <w:r w:rsidRPr="006B1953">
              <w:rPr>
                <w:rFonts w:ascii="Times New Roman" w:hAnsi="Times New Roman" w:cs="Times New Roman"/>
                <w:b/>
                <w:vertAlign w:val="superscript"/>
              </w:rPr>
              <w:t>(*)</w:t>
            </w:r>
          </w:p>
        </w:tc>
      </w:tr>
      <w:tr w:rsidR="005D2CC8" w:rsidRPr="00BA7968" w14:paraId="6A9C698A" w14:textId="77777777" w:rsidTr="00FF7DB0">
        <w:tc>
          <w:tcPr>
            <w:tcW w:w="8748" w:type="dxa"/>
            <w:tcBorders>
              <w:left w:val="single" w:sz="4" w:space="0" w:color="auto"/>
              <w:right w:val="single" w:sz="4" w:space="0" w:color="auto"/>
            </w:tcBorders>
          </w:tcPr>
          <w:p w14:paraId="494EAF00" w14:textId="77777777" w:rsidR="005D2CC8" w:rsidRPr="006B1953" w:rsidRDefault="005D2CC8" w:rsidP="00FF7DB0">
            <w:pPr>
              <w:pStyle w:val="ListParagraph"/>
              <w:numPr>
                <w:ilvl w:val="0"/>
                <w:numId w:val="15"/>
              </w:numPr>
              <w:spacing w:line="360" w:lineRule="auto"/>
              <w:rPr>
                <w:rFonts w:ascii="Times New Roman" w:hAnsi="Times New Roman" w:cs="Times New Roman"/>
              </w:rPr>
            </w:pPr>
            <w:r w:rsidRPr="006B1953">
              <w:rPr>
                <w:rFonts w:ascii="Times New Roman" w:hAnsi="Times New Roman" w:cs="Times New Roman"/>
              </w:rPr>
              <w:t>Involvement of external entities (e.g., suppliers, universities, private (research) institutions, governmental institutions) for joint innovation</w:t>
            </w:r>
          </w:p>
        </w:tc>
      </w:tr>
      <w:tr w:rsidR="005D2CC8" w:rsidRPr="00BA7968" w14:paraId="7A4F897D" w14:textId="77777777" w:rsidTr="00FF7DB0">
        <w:tc>
          <w:tcPr>
            <w:tcW w:w="8748" w:type="dxa"/>
            <w:tcBorders>
              <w:left w:val="single" w:sz="4" w:space="0" w:color="auto"/>
              <w:right w:val="single" w:sz="4" w:space="0" w:color="auto"/>
            </w:tcBorders>
          </w:tcPr>
          <w:p w14:paraId="0D89CB79" w14:textId="77777777" w:rsidR="005D2CC8" w:rsidRPr="006B1953" w:rsidRDefault="005D2CC8" w:rsidP="00FF7DB0">
            <w:pPr>
              <w:pStyle w:val="ListParagraph"/>
              <w:numPr>
                <w:ilvl w:val="0"/>
                <w:numId w:val="15"/>
              </w:numPr>
              <w:spacing w:line="360" w:lineRule="auto"/>
              <w:rPr>
                <w:rFonts w:ascii="Times New Roman" w:hAnsi="Times New Roman" w:cs="Times New Roman"/>
              </w:rPr>
            </w:pPr>
            <w:r w:rsidRPr="006B1953">
              <w:rPr>
                <w:rFonts w:ascii="Times New Roman" w:hAnsi="Times New Roman" w:cs="Times New Roman"/>
              </w:rPr>
              <w:t>All aspects of procurement and sourcing of technology, incl. sourcing strategy development</w:t>
            </w:r>
          </w:p>
        </w:tc>
      </w:tr>
      <w:tr w:rsidR="005D2CC8" w:rsidRPr="00BA7968" w14:paraId="248EA6FE" w14:textId="77777777" w:rsidTr="00FF7DB0">
        <w:tc>
          <w:tcPr>
            <w:tcW w:w="8748" w:type="dxa"/>
            <w:tcBorders>
              <w:left w:val="single" w:sz="4" w:space="0" w:color="auto"/>
              <w:right w:val="single" w:sz="4" w:space="0" w:color="auto"/>
            </w:tcBorders>
          </w:tcPr>
          <w:p w14:paraId="585A8AE0" w14:textId="77777777" w:rsidR="005D2CC8" w:rsidRPr="006B1953" w:rsidRDefault="005D2CC8" w:rsidP="00FF7DB0">
            <w:pPr>
              <w:pStyle w:val="ListParagraph"/>
              <w:numPr>
                <w:ilvl w:val="0"/>
                <w:numId w:val="15"/>
              </w:numPr>
              <w:spacing w:line="360" w:lineRule="auto"/>
              <w:rPr>
                <w:rFonts w:ascii="Times New Roman" w:hAnsi="Times New Roman" w:cs="Times New Roman"/>
              </w:rPr>
            </w:pPr>
            <w:r w:rsidRPr="006B1953">
              <w:rPr>
                <w:rFonts w:ascii="Times New Roman" w:hAnsi="Times New Roman" w:cs="Times New Roman"/>
              </w:rPr>
              <w:t>Research focusing on resource (asset) and capability development based on external input or joint innovation activities</w:t>
            </w:r>
          </w:p>
        </w:tc>
      </w:tr>
      <w:tr w:rsidR="005D2CC8" w:rsidRPr="00BA7968" w14:paraId="65AA5272" w14:textId="77777777" w:rsidTr="00FF7DB0">
        <w:tc>
          <w:tcPr>
            <w:tcW w:w="8748" w:type="dxa"/>
            <w:tcBorders>
              <w:left w:val="single" w:sz="4" w:space="0" w:color="auto"/>
              <w:right w:val="single" w:sz="4" w:space="0" w:color="auto"/>
            </w:tcBorders>
          </w:tcPr>
          <w:p w14:paraId="0FA91C2B" w14:textId="77777777" w:rsidR="005D2CC8" w:rsidRPr="006B1953" w:rsidRDefault="005D2CC8" w:rsidP="00FF7DB0">
            <w:pPr>
              <w:pStyle w:val="ListParagraph"/>
              <w:numPr>
                <w:ilvl w:val="0"/>
                <w:numId w:val="15"/>
              </w:numPr>
              <w:spacing w:line="360" w:lineRule="auto"/>
              <w:rPr>
                <w:rFonts w:ascii="Times New Roman" w:hAnsi="Times New Roman" w:cs="Times New Roman"/>
              </w:rPr>
            </w:pPr>
            <w:r w:rsidRPr="006B1953">
              <w:rPr>
                <w:rFonts w:ascii="Times New Roman" w:hAnsi="Times New Roman" w:cs="Times New Roman"/>
              </w:rPr>
              <w:t>Structure and governmental mechanisms of co-development (joint innovation)</w:t>
            </w:r>
          </w:p>
        </w:tc>
      </w:tr>
      <w:tr w:rsidR="005D2CC8" w:rsidRPr="00BA7968" w14:paraId="26082089" w14:textId="77777777" w:rsidTr="00FF7DB0">
        <w:tc>
          <w:tcPr>
            <w:tcW w:w="8748" w:type="dxa"/>
            <w:tcBorders>
              <w:left w:val="single" w:sz="4" w:space="0" w:color="auto"/>
              <w:right w:val="single" w:sz="4" w:space="0" w:color="auto"/>
            </w:tcBorders>
          </w:tcPr>
          <w:p w14:paraId="5229BB6D" w14:textId="77777777" w:rsidR="005D2CC8" w:rsidRPr="006B1953" w:rsidRDefault="005D2CC8" w:rsidP="00FF7DB0">
            <w:pPr>
              <w:pStyle w:val="ListParagraph"/>
              <w:numPr>
                <w:ilvl w:val="0"/>
                <w:numId w:val="15"/>
              </w:numPr>
              <w:spacing w:line="360" w:lineRule="auto"/>
              <w:rPr>
                <w:rFonts w:ascii="Times New Roman" w:hAnsi="Times New Roman" w:cs="Times New Roman"/>
              </w:rPr>
            </w:pPr>
            <w:r w:rsidRPr="006B1953">
              <w:rPr>
                <w:rFonts w:ascii="Times New Roman" w:hAnsi="Times New Roman" w:cs="Times New Roman"/>
              </w:rPr>
              <w:t>Cultural and social capital aspects of joint innovation</w:t>
            </w:r>
          </w:p>
        </w:tc>
      </w:tr>
      <w:tr w:rsidR="005D2CC8" w:rsidRPr="00BA7968" w14:paraId="25F0B7C0" w14:textId="77777777" w:rsidTr="00FF7DB0">
        <w:tc>
          <w:tcPr>
            <w:tcW w:w="8748" w:type="dxa"/>
            <w:tcBorders>
              <w:left w:val="single" w:sz="4" w:space="0" w:color="auto"/>
              <w:bottom w:val="single" w:sz="4" w:space="0" w:color="auto"/>
              <w:right w:val="single" w:sz="4" w:space="0" w:color="auto"/>
            </w:tcBorders>
          </w:tcPr>
          <w:p w14:paraId="20D4FCBE" w14:textId="77777777" w:rsidR="005D2CC8" w:rsidRPr="006B1953" w:rsidRDefault="005D2CC8" w:rsidP="00FF7DB0">
            <w:pPr>
              <w:pStyle w:val="ListParagraph"/>
              <w:numPr>
                <w:ilvl w:val="0"/>
                <w:numId w:val="15"/>
              </w:numPr>
              <w:spacing w:line="360" w:lineRule="auto"/>
              <w:rPr>
                <w:rFonts w:ascii="Times New Roman" w:hAnsi="Times New Roman" w:cs="Times New Roman"/>
              </w:rPr>
            </w:pPr>
            <w:r w:rsidRPr="006B1953">
              <w:rPr>
                <w:rFonts w:ascii="Times New Roman" w:hAnsi="Times New Roman" w:cs="Times New Roman"/>
              </w:rPr>
              <w:t>Development and use of knowledge exchange mechanisms for co-development (joint innovation)</w:t>
            </w:r>
          </w:p>
        </w:tc>
      </w:tr>
    </w:tbl>
    <w:p w14:paraId="1EC61978" w14:textId="77777777" w:rsidR="005D2CC8" w:rsidRDefault="005D2CC8" w:rsidP="005D2CC8">
      <w:pPr>
        <w:spacing w:line="360" w:lineRule="auto"/>
        <w:rPr>
          <w:rFonts w:ascii="Times New Roman" w:hAnsi="Times New Roman" w:cs="Times New Roman"/>
          <w:i/>
          <w:sz w:val="16"/>
          <w:szCs w:val="16"/>
        </w:rPr>
      </w:pPr>
      <w:r w:rsidRPr="00BA7968">
        <w:rPr>
          <w:rFonts w:ascii="Times New Roman" w:hAnsi="Times New Roman" w:cs="Times New Roman"/>
          <w:b/>
          <w:sz w:val="16"/>
          <w:szCs w:val="16"/>
          <w:vertAlign w:val="superscript"/>
        </w:rPr>
        <w:t xml:space="preserve">(*) </w:t>
      </w:r>
      <w:r w:rsidRPr="00BA7968">
        <w:rPr>
          <w:rFonts w:ascii="Times New Roman" w:hAnsi="Times New Roman" w:cs="Times New Roman"/>
          <w:i/>
          <w:sz w:val="16"/>
          <w:szCs w:val="16"/>
        </w:rPr>
        <w:t>Criteria utilized for exclusion and inclusion decision-making during the initial screening phase (title, key word, and abstract screening)</w:t>
      </w:r>
    </w:p>
    <w:p w14:paraId="30CBC678" w14:textId="77777777" w:rsidR="005D2CC8" w:rsidRDefault="005D2CC8" w:rsidP="005D2CC8">
      <w:pPr>
        <w:spacing w:line="360" w:lineRule="auto"/>
        <w:rPr>
          <w:rFonts w:ascii="Times New Roman" w:hAnsi="Times New Roman" w:cs="Times New Roman"/>
          <w:i/>
          <w:sz w:val="16"/>
          <w:szCs w:val="16"/>
        </w:rPr>
      </w:pPr>
    </w:p>
    <w:p w14:paraId="1489B413" w14:textId="77777777" w:rsidR="005D2CC8" w:rsidRDefault="005D2CC8" w:rsidP="005D2CC8">
      <w:pPr>
        <w:spacing w:line="360" w:lineRule="auto"/>
        <w:rPr>
          <w:rFonts w:ascii="Times New Roman" w:hAnsi="Times New Roman" w:cs="Times New Roman"/>
          <w:i/>
          <w:sz w:val="16"/>
          <w:szCs w:val="16"/>
        </w:rPr>
      </w:pPr>
    </w:p>
    <w:p w14:paraId="01CE0583" w14:textId="77777777" w:rsidR="005D2CC8" w:rsidRPr="006B1953" w:rsidRDefault="005D2CC8" w:rsidP="005D2CC8">
      <w:pPr>
        <w:spacing w:line="360" w:lineRule="auto"/>
        <w:rPr>
          <w:rFonts w:ascii="Times New Roman" w:hAnsi="Times New Roman" w:cs="Times New Roman"/>
          <w:sz w:val="16"/>
          <w:szCs w:val="16"/>
        </w:rPr>
      </w:pPr>
    </w:p>
    <w:p w14:paraId="6D088E2D" w14:textId="77777777" w:rsidR="000402C8" w:rsidRDefault="000402C8" w:rsidP="000402C8">
      <w:pPr>
        <w:keepNext/>
        <w:rPr>
          <w:rFonts w:ascii="Times New Roman" w:hAnsi="Times New Roman" w:cs="Times New Roman"/>
          <w:b/>
        </w:rPr>
      </w:pPr>
    </w:p>
    <w:p w14:paraId="7C433899" w14:textId="77777777" w:rsidR="000402C8" w:rsidRDefault="000402C8" w:rsidP="000402C8">
      <w:pPr>
        <w:keepNext/>
        <w:rPr>
          <w:rFonts w:ascii="Times New Roman" w:hAnsi="Times New Roman" w:cs="Times New Roman"/>
          <w:b/>
        </w:rPr>
      </w:pPr>
    </w:p>
    <w:p w14:paraId="6D1E687A" w14:textId="32C93BD1" w:rsidR="000402C8" w:rsidRDefault="005D2CC8" w:rsidP="000402C8">
      <w:pPr>
        <w:keepNext/>
        <w:rPr>
          <w:rFonts w:ascii="Times New Roman" w:hAnsi="Times New Roman" w:cs="Times New Roman"/>
        </w:rPr>
      </w:pPr>
      <w:r>
        <w:rPr>
          <w:rFonts w:ascii="Times New Roman" w:hAnsi="Times New Roman" w:cs="Times New Roman"/>
        </w:rPr>
        <w:t xml:space="preserve"> </w:t>
      </w:r>
    </w:p>
    <w:p w14:paraId="39DF4749" w14:textId="77777777" w:rsidR="000402C8" w:rsidRDefault="000402C8" w:rsidP="000402C8">
      <w:pPr>
        <w:pStyle w:val="Caption"/>
      </w:pPr>
    </w:p>
    <w:p w14:paraId="45BE7F2E" w14:textId="77777777" w:rsidR="000402C8" w:rsidRDefault="000402C8" w:rsidP="000402C8">
      <w:pPr>
        <w:pStyle w:val="Caption"/>
      </w:pPr>
    </w:p>
    <w:p w14:paraId="3821E260" w14:textId="77777777" w:rsidR="000402C8" w:rsidRDefault="000402C8" w:rsidP="000402C8">
      <w:pPr>
        <w:pStyle w:val="Caption"/>
      </w:pPr>
    </w:p>
    <w:p w14:paraId="57B62670" w14:textId="5F58ACE7" w:rsidR="005D2CC8" w:rsidRPr="000402C8" w:rsidRDefault="000402C8" w:rsidP="000402C8">
      <w:pPr>
        <w:pStyle w:val="Caption"/>
      </w:pPr>
      <w:bookmarkStart w:id="194" w:name="_Ref357415049"/>
      <w:r>
        <w:lastRenderedPageBreak/>
        <w:t xml:space="preserve">Appendix </w:t>
      </w:r>
      <w:fldSimple w:instr=" SEQ Appendix \* ARABIC ">
        <w:r w:rsidR="00C2793E">
          <w:rPr>
            <w:noProof/>
          </w:rPr>
          <w:t>3</w:t>
        </w:r>
      </w:fldSimple>
      <w:bookmarkEnd w:id="194"/>
      <w:r>
        <w:t xml:space="preserve"> - </w:t>
      </w:r>
      <w:r w:rsidR="005D2CC8">
        <w:rPr>
          <w:rFonts w:cs="Times New Roman"/>
        </w:rPr>
        <w:t xml:space="preserve">Operationalization of </w:t>
      </w:r>
      <w:r w:rsidR="005D2CC8" w:rsidRPr="00BA7968">
        <w:rPr>
          <w:rFonts w:cs="Times New Roman"/>
        </w:rPr>
        <w:t xml:space="preserve">Innovation Performance </w:t>
      </w:r>
    </w:p>
    <w:p w14:paraId="01ED8B35" w14:textId="425C1FE7" w:rsidR="005D2CC8" w:rsidRPr="00BA7968" w:rsidRDefault="002F7BD3" w:rsidP="005D2CC8">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463C8789" wp14:editId="7A017DCE">
            <wp:extent cx="5246662" cy="7429500"/>
            <wp:effectExtent l="0" t="0" r="1143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46727" cy="7429593"/>
                    </a:xfrm>
                    <a:prstGeom prst="rect">
                      <a:avLst/>
                    </a:prstGeom>
                    <a:noFill/>
                    <a:ln>
                      <a:noFill/>
                    </a:ln>
                  </pic:spPr>
                </pic:pic>
              </a:graphicData>
            </a:graphic>
          </wp:inline>
        </w:drawing>
      </w:r>
    </w:p>
    <w:p w14:paraId="3D97A9A9" w14:textId="42CB6A01" w:rsidR="005D2CC8" w:rsidRPr="00FD5C2C" w:rsidRDefault="00383ED0" w:rsidP="00FD5C2C">
      <w:pPr>
        <w:rPr>
          <w:rFonts w:ascii="Times New Roman" w:hAnsi="Times New Roman" w:cs="Times New Roman"/>
          <w:sz w:val="16"/>
          <w:szCs w:val="16"/>
        </w:rPr>
        <w:sectPr w:rsidR="005D2CC8" w:rsidRPr="00FD5C2C" w:rsidSect="00B27280">
          <w:footerReference w:type="even" r:id="rId51"/>
          <w:footerReference w:type="default" r:id="rId52"/>
          <w:headerReference w:type="first" r:id="rId53"/>
          <w:pgSz w:w="12240" w:h="15840"/>
          <w:pgMar w:top="1440" w:right="1440" w:bottom="1800" w:left="1440" w:header="576" w:footer="720" w:gutter="0"/>
          <w:cols w:space="720"/>
          <w:titlePg/>
          <w:docGrid w:linePitch="360"/>
        </w:sectPr>
      </w:pPr>
      <w:r w:rsidRPr="00383ED0">
        <w:rPr>
          <w:rFonts w:ascii="Times New Roman" w:hAnsi="Times New Roman" w:cs="Times New Roman"/>
          <w:i/>
          <w:sz w:val="14"/>
          <w:szCs w:val="14"/>
        </w:rPr>
        <w:t>M = Market Performance (e.g., sales, sales growth, product introductions, customer satisfaction); F = Financial Performance (e.g., profitability, return on investment, return on assets); PS = Product and Service Performance (Characteristics) (e.g., functionality, quality, technology); Pr = Process Performance (e.g., development cycle time, effectiveness of workflows, routines, and practices)</w:t>
      </w:r>
      <w:r w:rsidR="005D2CC8" w:rsidRPr="00BA7968">
        <w:rPr>
          <w:rFonts w:ascii="Times New Roman" w:hAnsi="Times New Roman" w:cs="Times New Roman"/>
          <w:i/>
          <w:sz w:val="14"/>
          <w:szCs w:val="14"/>
        </w:rPr>
        <w:t xml:space="preserve"> </w:t>
      </w:r>
      <w:r w:rsidR="005D2CC8">
        <w:rPr>
          <w:rFonts w:ascii="Times New Roman" w:hAnsi="Times New Roman" w:cs="Times New Roman"/>
          <w:i/>
          <w:sz w:val="14"/>
          <w:szCs w:val="16"/>
        </w:rPr>
        <w:t>(Schmelzle and Tate, forthcoming)</w:t>
      </w:r>
    </w:p>
    <w:p w14:paraId="24067BBB" w14:textId="5CAEA192" w:rsidR="00417DFE" w:rsidRDefault="00417DFE" w:rsidP="00C5743A">
      <w:pPr>
        <w:pStyle w:val="Heading1"/>
      </w:pPr>
      <w:bookmarkStart w:id="195" w:name="_Toc357382431"/>
      <w:bookmarkStart w:id="196" w:name="_Toc357383277"/>
      <w:bookmarkStart w:id="197" w:name="_Toc358326759"/>
      <w:r>
        <w:lastRenderedPageBreak/>
        <w:t>VI</w:t>
      </w:r>
      <w:bookmarkEnd w:id="195"/>
      <w:bookmarkEnd w:id="196"/>
      <w:r w:rsidR="00BF1E48">
        <w:t>TA</w:t>
      </w:r>
      <w:bookmarkEnd w:id="197"/>
    </w:p>
    <w:p w14:paraId="6A1287CC" w14:textId="77777777" w:rsidR="00BF1E48" w:rsidRDefault="00BF1E48" w:rsidP="00BF1E48"/>
    <w:p w14:paraId="63F092BF" w14:textId="77777777" w:rsidR="00BF1E48" w:rsidRDefault="00BF1E48" w:rsidP="00BF1E48"/>
    <w:p w14:paraId="1F3A89F9" w14:textId="77777777" w:rsidR="00BF1E48" w:rsidRDefault="00BF1E48" w:rsidP="00BF1E48"/>
    <w:p w14:paraId="23CBCE1B" w14:textId="77777777" w:rsidR="00BF1E48" w:rsidRPr="00BF1E48" w:rsidRDefault="00BF1E48" w:rsidP="00BF1E48">
      <w:pPr>
        <w:sectPr w:rsidR="00BF1E48" w:rsidRPr="00BF1E48" w:rsidSect="00B27280">
          <w:pgSz w:w="12240" w:h="15840"/>
          <w:pgMar w:top="1440" w:right="1440" w:bottom="1800" w:left="1440" w:header="576" w:footer="720" w:gutter="0"/>
          <w:cols w:space="720"/>
          <w:titlePg/>
          <w:docGrid w:linePitch="360"/>
        </w:sectPr>
      </w:pPr>
    </w:p>
    <w:p w14:paraId="4FEF8363" w14:textId="32903A38" w:rsidR="00417DFE" w:rsidRPr="0068584C" w:rsidRDefault="00417DFE" w:rsidP="00BF1E48">
      <w:pPr>
        <w:widowControl w:val="0"/>
        <w:autoSpaceDE w:val="0"/>
        <w:autoSpaceDN w:val="0"/>
        <w:adjustRightInd w:val="0"/>
        <w:rPr>
          <w:rFonts w:ascii="Times New Roman" w:hAnsi="Times New Roman" w:cs="Times New Roman"/>
        </w:rPr>
      </w:pPr>
    </w:p>
    <w:sectPr w:rsidR="00417DFE" w:rsidRPr="0068584C" w:rsidSect="001511DD">
      <w:pgSz w:w="12240" w:h="15840"/>
      <w:pgMar w:top="1224" w:right="1800" w:bottom="1008" w:left="1800" w:header="576"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32DAC2" w15:done="0"/>
  <w15:commentEx w15:paraId="69FB250B" w15:done="0"/>
  <w15:commentEx w15:paraId="2F757460" w15:done="0"/>
  <w15:commentEx w15:paraId="7D94ECB3" w15:done="0"/>
  <w15:commentEx w15:paraId="39360B45" w15:done="0"/>
  <w15:commentEx w15:paraId="4EFCBCF8" w15:done="0"/>
  <w15:commentEx w15:paraId="72D53159" w15:done="0"/>
  <w15:commentEx w15:paraId="7530692F" w15:done="0"/>
  <w15:commentEx w15:paraId="65F84156" w15:done="0"/>
  <w15:commentEx w15:paraId="7F076C40" w15:done="0"/>
  <w15:commentEx w15:paraId="0D4BC804" w15:done="0"/>
  <w15:commentEx w15:paraId="4EC81802" w15:done="0"/>
  <w15:commentEx w15:paraId="2E4F9618" w15:done="0"/>
  <w15:commentEx w15:paraId="055D7C8E" w15:done="0"/>
  <w15:commentEx w15:paraId="42D40ED1" w15:done="0"/>
  <w15:commentEx w15:paraId="5F520384" w15:done="0"/>
  <w15:commentEx w15:paraId="211FBF87" w15:done="0"/>
  <w15:commentEx w15:paraId="1E2D72B4" w15:done="0"/>
  <w15:commentEx w15:paraId="25CD971E" w15:done="0"/>
  <w15:commentEx w15:paraId="00C41127" w15:done="0"/>
  <w15:commentEx w15:paraId="783AD52A" w15:done="0"/>
  <w15:commentEx w15:paraId="1BE7C223" w15:done="0"/>
  <w15:commentEx w15:paraId="17E0AE57" w15:done="0"/>
  <w15:commentEx w15:paraId="23A410CD" w15:done="0"/>
  <w15:commentEx w15:paraId="6B24942C" w15:done="0"/>
  <w15:commentEx w15:paraId="131526AE" w15:done="0"/>
  <w15:commentEx w15:paraId="78E9E558" w15:done="0"/>
  <w15:commentEx w15:paraId="5F35E861" w15:done="0"/>
  <w15:commentEx w15:paraId="3E5E64A6" w15:done="0"/>
  <w15:commentEx w15:paraId="067D228C" w15:done="0"/>
  <w15:commentEx w15:paraId="3758E4E9" w15:done="0"/>
  <w15:commentEx w15:paraId="725ED5C6" w15:done="0"/>
  <w15:commentEx w15:paraId="3BAF9BE4" w15:done="0"/>
  <w15:commentEx w15:paraId="129C16D3" w15:done="0"/>
  <w15:commentEx w15:paraId="544A00E4" w15:done="0"/>
  <w15:commentEx w15:paraId="11E9233A" w15:done="0"/>
  <w15:commentEx w15:paraId="5F1B8638" w15:done="0"/>
  <w15:commentEx w15:paraId="69960167" w15:done="0"/>
  <w15:commentEx w15:paraId="691973D0" w15:done="0"/>
  <w15:commentEx w15:paraId="433DC7DF" w15:done="0"/>
  <w15:commentEx w15:paraId="2A01DE70" w15:done="0"/>
  <w15:commentEx w15:paraId="0A8F6488" w15:done="0"/>
  <w15:commentEx w15:paraId="60CEA361" w15:done="0"/>
  <w15:commentEx w15:paraId="0A4C290C" w15:done="0"/>
  <w15:commentEx w15:paraId="06051719" w15:done="0"/>
  <w15:commentEx w15:paraId="403D1FF1" w15:done="0"/>
  <w15:commentEx w15:paraId="7963625D" w15:done="0"/>
  <w15:commentEx w15:paraId="21821312" w15:done="0"/>
  <w15:commentEx w15:paraId="00562A12" w15:done="0"/>
  <w15:commentEx w15:paraId="2C6E1638" w15:done="0"/>
  <w15:commentEx w15:paraId="0AB0DF2D" w15:done="0"/>
  <w15:commentEx w15:paraId="08F494EB"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49560" w14:textId="77777777" w:rsidR="0044147A" w:rsidRDefault="0044147A" w:rsidP="00E46EAB">
      <w:r>
        <w:separator/>
      </w:r>
    </w:p>
  </w:endnote>
  <w:endnote w:type="continuationSeparator" w:id="0">
    <w:p w14:paraId="4C85D488" w14:textId="77777777" w:rsidR="0044147A" w:rsidRDefault="0044147A" w:rsidP="00E4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0A537" w14:textId="77777777" w:rsidR="0044147A" w:rsidRDefault="0044147A" w:rsidP="00CF07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078D">
      <w:rPr>
        <w:rStyle w:val="PageNumber"/>
        <w:noProof/>
      </w:rPr>
      <w:t>ii</w:t>
    </w:r>
    <w:r>
      <w:rPr>
        <w:rStyle w:val="PageNumber"/>
      </w:rPr>
      <w:fldChar w:fldCharType="end"/>
    </w:r>
  </w:p>
  <w:p w14:paraId="790FB2B5" w14:textId="77777777" w:rsidR="0044147A" w:rsidRDefault="0044147A" w:rsidP="0044147A">
    <w:pPr>
      <w:pStyle w:val="Footer"/>
      <w:ind w:right="360" w:firstLine="360"/>
      <w:jc w:val="righ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92A13" w14:textId="77777777" w:rsidR="002E6593" w:rsidRDefault="002E6593" w:rsidP="00CF07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2793E">
      <w:rPr>
        <w:rStyle w:val="PageNumber"/>
        <w:noProof/>
      </w:rPr>
      <w:t>vi</w:t>
    </w:r>
    <w:r>
      <w:rPr>
        <w:rStyle w:val="PageNumber"/>
      </w:rPr>
      <w:fldChar w:fldCharType="end"/>
    </w:r>
  </w:p>
  <w:p w14:paraId="6C2BBCE1" w14:textId="77777777" w:rsidR="0044147A" w:rsidRDefault="0044147A" w:rsidP="002E6593">
    <w:pPr>
      <w:pStyle w:val="Footer"/>
      <w:ind w:right="360" w:firstLine="360"/>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097F4" w14:textId="66A23844" w:rsidR="0044147A" w:rsidRDefault="0044147A" w:rsidP="0044147A">
    <w:pPr>
      <w:pStyle w:val="Footer"/>
      <w:framePr w:wrap="around" w:vAnchor="text" w:hAnchor="margin" w:xAlign="outside" w:y="1"/>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E908B" w14:textId="77777777" w:rsidR="0044147A" w:rsidRDefault="0044147A" w:rsidP="00FF7D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130</w:t>
    </w:r>
    <w:r>
      <w:rPr>
        <w:rStyle w:val="PageNumber"/>
      </w:rPr>
      <w:fldChar w:fldCharType="end"/>
    </w:r>
  </w:p>
  <w:p w14:paraId="30DC0B39" w14:textId="77777777" w:rsidR="0044147A" w:rsidRDefault="0044147A" w:rsidP="00FF7DB0">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0C177" w14:textId="77777777" w:rsidR="0044147A" w:rsidRDefault="0044147A" w:rsidP="00FF7D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0390">
      <w:rPr>
        <w:rStyle w:val="PageNumber"/>
        <w:noProof/>
      </w:rPr>
      <w:t>122</w:t>
    </w:r>
    <w:r>
      <w:rPr>
        <w:rStyle w:val="PageNumber"/>
      </w:rPr>
      <w:fldChar w:fldCharType="end"/>
    </w:r>
  </w:p>
  <w:p w14:paraId="779AB00B" w14:textId="77777777" w:rsidR="0044147A" w:rsidRDefault="0044147A" w:rsidP="00FF7DB0">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20804" w14:textId="77777777" w:rsidR="0044147A" w:rsidRDefault="0044147A" w:rsidP="005619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222</w:t>
    </w:r>
    <w:r>
      <w:rPr>
        <w:rStyle w:val="PageNumber"/>
      </w:rPr>
      <w:fldChar w:fldCharType="end"/>
    </w:r>
  </w:p>
  <w:p w14:paraId="0FCA4FD5" w14:textId="77777777" w:rsidR="0044147A" w:rsidRDefault="0044147A" w:rsidP="001511DD">
    <w:pPr>
      <w:pStyle w:val="Footer"/>
      <w:ind w:right="360"/>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58CA3" w14:textId="77777777" w:rsidR="0044147A" w:rsidRDefault="0044147A" w:rsidP="005619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078D">
      <w:rPr>
        <w:rStyle w:val="PageNumber"/>
        <w:noProof/>
      </w:rPr>
      <w:t>222</w:t>
    </w:r>
    <w:r>
      <w:rPr>
        <w:rStyle w:val="PageNumber"/>
      </w:rPr>
      <w:fldChar w:fldCharType="end"/>
    </w:r>
  </w:p>
  <w:p w14:paraId="25E12B39" w14:textId="77777777" w:rsidR="0044147A" w:rsidRDefault="0044147A" w:rsidP="001511D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4FF75" w14:textId="77777777" w:rsidR="0044147A" w:rsidRDefault="0044147A" w:rsidP="00E46EAB">
      <w:r>
        <w:separator/>
      </w:r>
    </w:p>
  </w:footnote>
  <w:footnote w:type="continuationSeparator" w:id="0">
    <w:p w14:paraId="7D6DBAAC" w14:textId="77777777" w:rsidR="0044147A" w:rsidRDefault="0044147A" w:rsidP="00E46EA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FC2EA" w14:textId="3FD433E3" w:rsidR="0044147A" w:rsidRPr="00A415DD" w:rsidRDefault="0044147A" w:rsidP="00A415DD">
    <w:pPr>
      <w:pStyle w:val="Header"/>
      <w:jc w:val="right"/>
    </w:pPr>
    <w:r>
      <w:tab/>
    </w: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8C75E" w14:textId="77777777" w:rsidR="0044147A" w:rsidRDefault="0044147A">
    <w:pPr>
      <w:pStyle w:val="Header"/>
    </w:pPr>
  </w:p>
  <w:p w14:paraId="2C2511DA" w14:textId="77777777" w:rsidR="0044147A" w:rsidRDefault="0044147A">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77EF3" w14:textId="77777777" w:rsidR="0044147A" w:rsidRPr="00A415DD" w:rsidRDefault="0044147A" w:rsidP="00A415DD">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BA3028"/>
    <w:multiLevelType w:val="hybridMultilevel"/>
    <w:tmpl w:val="4672E7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58E59D9"/>
    <w:multiLevelType w:val="hybridMultilevel"/>
    <w:tmpl w:val="66A4370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
    <w:nsid w:val="06034496"/>
    <w:multiLevelType w:val="hybridMultilevel"/>
    <w:tmpl w:val="E8E0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02825"/>
    <w:multiLevelType w:val="hybridMultilevel"/>
    <w:tmpl w:val="9DC414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CE85333"/>
    <w:multiLevelType w:val="hybridMultilevel"/>
    <w:tmpl w:val="30E42A24"/>
    <w:lvl w:ilvl="0" w:tplc="C8A2A7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726E7"/>
    <w:multiLevelType w:val="hybridMultilevel"/>
    <w:tmpl w:val="6BD64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552D4F"/>
    <w:multiLevelType w:val="hybridMultilevel"/>
    <w:tmpl w:val="B6E871D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8">
    <w:nsid w:val="119417CF"/>
    <w:multiLevelType w:val="hybridMultilevel"/>
    <w:tmpl w:val="43F0AB60"/>
    <w:lvl w:ilvl="0" w:tplc="2E585918">
      <w:start w:val="1"/>
      <w:numFmt w:val="bullet"/>
      <w:lvlText w:val="•"/>
      <w:lvlJc w:val="left"/>
      <w:pPr>
        <w:tabs>
          <w:tab w:val="num" w:pos="720"/>
        </w:tabs>
        <w:ind w:left="720" w:hanging="360"/>
      </w:pPr>
      <w:rPr>
        <w:rFonts w:ascii="Times" w:hAnsi="Times" w:hint="default"/>
      </w:rPr>
    </w:lvl>
    <w:lvl w:ilvl="1" w:tplc="885002F2" w:tentative="1">
      <w:start w:val="1"/>
      <w:numFmt w:val="bullet"/>
      <w:lvlText w:val="•"/>
      <w:lvlJc w:val="left"/>
      <w:pPr>
        <w:tabs>
          <w:tab w:val="num" w:pos="1440"/>
        </w:tabs>
        <w:ind w:left="1440" w:hanging="360"/>
      </w:pPr>
      <w:rPr>
        <w:rFonts w:ascii="Times" w:hAnsi="Times" w:hint="default"/>
      </w:rPr>
    </w:lvl>
    <w:lvl w:ilvl="2" w:tplc="417A5038" w:tentative="1">
      <w:start w:val="1"/>
      <w:numFmt w:val="bullet"/>
      <w:lvlText w:val="•"/>
      <w:lvlJc w:val="left"/>
      <w:pPr>
        <w:tabs>
          <w:tab w:val="num" w:pos="2160"/>
        </w:tabs>
        <w:ind w:left="2160" w:hanging="360"/>
      </w:pPr>
      <w:rPr>
        <w:rFonts w:ascii="Times" w:hAnsi="Times" w:hint="default"/>
      </w:rPr>
    </w:lvl>
    <w:lvl w:ilvl="3" w:tplc="DD163D92" w:tentative="1">
      <w:start w:val="1"/>
      <w:numFmt w:val="bullet"/>
      <w:lvlText w:val="•"/>
      <w:lvlJc w:val="left"/>
      <w:pPr>
        <w:tabs>
          <w:tab w:val="num" w:pos="2880"/>
        </w:tabs>
        <w:ind w:left="2880" w:hanging="360"/>
      </w:pPr>
      <w:rPr>
        <w:rFonts w:ascii="Times" w:hAnsi="Times" w:hint="default"/>
      </w:rPr>
    </w:lvl>
    <w:lvl w:ilvl="4" w:tplc="58F413C2" w:tentative="1">
      <w:start w:val="1"/>
      <w:numFmt w:val="bullet"/>
      <w:lvlText w:val="•"/>
      <w:lvlJc w:val="left"/>
      <w:pPr>
        <w:tabs>
          <w:tab w:val="num" w:pos="3600"/>
        </w:tabs>
        <w:ind w:left="3600" w:hanging="360"/>
      </w:pPr>
      <w:rPr>
        <w:rFonts w:ascii="Times" w:hAnsi="Times" w:hint="default"/>
      </w:rPr>
    </w:lvl>
    <w:lvl w:ilvl="5" w:tplc="647413EE" w:tentative="1">
      <w:start w:val="1"/>
      <w:numFmt w:val="bullet"/>
      <w:lvlText w:val="•"/>
      <w:lvlJc w:val="left"/>
      <w:pPr>
        <w:tabs>
          <w:tab w:val="num" w:pos="4320"/>
        </w:tabs>
        <w:ind w:left="4320" w:hanging="360"/>
      </w:pPr>
      <w:rPr>
        <w:rFonts w:ascii="Times" w:hAnsi="Times" w:hint="default"/>
      </w:rPr>
    </w:lvl>
    <w:lvl w:ilvl="6" w:tplc="FC02820A" w:tentative="1">
      <w:start w:val="1"/>
      <w:numFmt w:val="bullet"/>
      <w:lvlText w:val="•"/>
      <w:lvlJc w:val="left"/>
      <w:pPr>
        <w:tabs>
          <w:tab w:val="num" w:pos="5040"/>
        </w:tabs>
        <w:ind w:left="5040" w:hanging="360"/>
      </w:pPr>
      <w:rPr>
        <w:rFonts w:ascii="Times" w:hAnsi="Times" w:hint="default"/>
      </w:rPr>
    </w:lvl>
    <w:lvl w:ilvl="7" w:tplc="22B629B2" w:tentative="1">
      <w:start w:val="1"/>
      <w:numFmt w:val="bullet"/>
      <w:lvlText w:val="•"/>
      <w:lvlJc w:val="left"/>
      <w:pPr>
        <w:tabs>
          <w:tab w:val="num" w:pos="5760"/>
        </w:tabs>
        <w:ind w:left="5760" w:hanging="360"/>
      </w:pPr>
      <w:rPr>
        <w:rFonts w:ascii="Times" w:hAnsi="Times" w:hint="default"/>
      </w:rPr>
    </w:lvl>
    <w:lvl w:ilvl="8" w:tplc="F6FA9DE4" w:tentative="1">
      <w:start w:val="1"/>
      <w:numFmt w:val="bullet"/>
      <w:lvlText w:val="•"/>
      <w:lvlJc w:val="left"/>
      <w:pPr>
        <w:tabs>
          <w:tab w:val="num" w:pos="6480"/>
        </w:tabs>
        <w:ind w:left="6480" w:hanging="360"/>
      </w:pPr>
      <w:rPr>
        <w:rFonts w:ascii="Times" w:hAnsi="Times" w:hint="default"/>
      </w:rPr>
    </w:lvl>
  </w:abstractNum>
  <w:abstractNum w:abstractNumId="9">
    <w:nsid w:val="154C2971"/>
    <w:multiLevelType w:val="hybridMultilevel"/>
    <w:tmpl w:val="38301B50"/>
    <w:lvl w:ilvl="0" w:tplc="34BEB642">
      <w:start w:val="1"/>
      <w:numFmt w:val="bullet"/>
      <w:lvlText w:val="•"/>
      <w:lvlJc w:val="left"/>
      <w:pPr>
        <w:tabs>
          <w:tab w:val="num" w:pos="720"/>
        </w:tabs>
        <w:ind w:left="720" w:hanging="360"/>
      </w:pPr>
      <w:rPr>
        <w:rFonts w:ascii="Times" w:hAnsi="Times" w:hint="default"/>
      </w:rPr>
    </w:lvl>
    <w:lvl w:ilvl="1" w:tplc="B31CBF60">
      <w:start w:val="1"/>
      <w:numFmt w:val="bullet"/>
      <w:lvlText w:val="•"/>
      <w:lvlJc w:val="left"/>
      <w:pPr>
        <w:tabs>
          <w:tab w:val="num" w:pos="1440"/>
        </w:tabs>
        <w:ind w:left="1440" w:hanging="360"/>
      </w:pPr>
      <w:rPr>
        <w:rFonts w:ascii="Times" w:hAnsi="Times" w:hint="default"/>
      </w:rPr>
    </w:lvl>
    <w:lvl w:ilvl="2" w:tplc="6C1AB468">
      <w:start w:val="1"/>
      <w:numFmt w:val="bullet"/>
      <w:lvlText w:val="•"/>
      <w:lvlJc w:val="left"/>
      <w:pPr>
        <w:tabs>
          <w:tab w:val="num" w:pos="2160"/>
        </w:tabs>
        <w:ind w:left="2160" w:hanging="360"/>
      </w:pPr>
      <w:rPr>
        <w:rFonts w:ascii="Times" w:hAnsi="Times" w:hint="default"/>
      </w:rPr>
    </w:lvl>
    <w:lvl w:ilvl="3" w:tplc="9C5C1E00" w:tentative="1">
      <w:start w:val="1"/>
      <w:numFmt w:val="bullet"/>
      <w:lvlText w:val="•"/>
      <w:lvlJc w:val="left"/>
      <w:pPr>
        <w:tabs>
          <w:tab w:val="num" w:pos="2880"/>
        </w:tabs>
        <w:ind w:left="2880" w:hanging="360"/>
      </w:pPr>
      <w:rPr>
        <w:rFonts w:ascii="Times" w:hAnsi="Times" w:hint="default"/>
      </w:rPr>
    </w:lvl>
    <w:lvl w:ilvl="4" w:tplc="53288ACE" w:tentative="1">
      <w:start w:val="1"/>
      <w:numFmt w:val="bullet"/>
      <w:lvlText w:val="•"/>
      <w:lvlJc w:val="left"/>
      <w:pPr>
        <w:tabs>
          <w:tab w:val="num" w:pos="3600"/>
        </w:tabs>
        <w:ind w:left="3600" w:hanging="360"/>
      </w:pPr>
      <w:rPr>
        <w:rFonts w:ascii="Times" w:hAnsi="Times" w:hint="default"/>
      </w:rPr>
    </w:lvl>
    <w:lvl w:ilvl="5" w:tplc="9D8EBFD0" w:tentative="1">
      <w:start w:val="1"/>
      <w:numFmt w:val="bullet"/>
      <w:lvlText w:val="•"/>
      <w:lvlJc w:val="left"/>
      <w:pPr>
        <w:tabs>
          <w:tab w:val="num" w:pos="4320"/>
        </w:tabs>
        <w:ind w:left="4320" w:hanging="360"/>
      </w:pPr>
      <w:rPr>
        <w:rFonts w:ascii="Times" w:hAnsi="Times" w:hint="default"/>
      </w:rPr>
    </w:lvl>
    <w:lvl w:ilvl="6" w:tplc="11B6B4DE" w:tentative="1">
      <w:start w:val="1"/>
      <w:numFmt w:val="bullet"/>
      <w:lvlText w:val="•"/>
      <w:lvlJc w:val="left"/>
      <w:pPr>
        <w:tabs>
          <w:tab w:val="num" w:pos="5040"/>
        </w:tabs>
        <w:ind w:left="5040" w:hanging="360"/>
      </w:pPr>
      <w:rPr>
        <w:rFonts w:ascii="Times" w:hAnsi="Times" w:hint="default"/>
      </w:rPr>
    </w:lvl>
    <w:lvl w:ilvl="7" w:tplc="286406EE" w:tentative="1">
      <w:start w:val="1"/>
      <w:numFmt w:val="bullet"/>
      <w:lvlText w:val="•"/>
      <w:lvlJc w:val="left"/>
      <w:pPr>
        <w:tabs>
          <w:tab w:val="num" w:pos="5760"/>
        </w:tabs>
        <w:ind w:left="5760" w:hanging="360"/>
      </w:pPr>
      <w:rPr>
        <w:rFonts w:ascii="Times" w:hAnsi="Times" w:hint="default"/>
      </w:rPr>
    </w:lvl>
    <w:lvl w:ilvl="8" w:tplc="4ACA8896" w:tentative="1">
      <w:start w:val="1"/>
      <w:numFmt w:val="bullet"/>
      <w:lvlText w:val="•"/>
      <w:lvlJc w:val="left"/>
      <w:pPr>
        <w:tabs>
          <w:tab w:val="num" w:pos="6480"/>
        </w:tabs>
        <w:ind w:left="6480" w:hanging="360"/>
      </w:pPr>
      <w:rPr>
        <w:rFonts w:ascii="Times" w:hAnsi="Times" w:hint="default"/>
      </w:rPr>
    </w:lvl>
  </w:abstractNum>
  <w:abstractNum w:abstractNumId="10">
    <w:nsid w:val="17BF3A76"/>
    <w:multiLevelType w:val="hybridMultilevel"/>
    <w:tmpl w:val="2708A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82871E9"/>
    <w:multiLevelType w:val="hybridMultilevel"/>
    <w:tmpl w:val="A0FE9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F64422"/>
    <w:multiLevelType w:val="hybridMultilevel"/>
    <w:tmpl w:val="1F0E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E01034"/>
    <w:multiLevelType w:val="hybridMultilevel"/>
    <w:tmpl w:val="BAE22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A2095C"/>
    <w:multiLevelType w:val="hybridMultilevel"/>
    <w:tmpl w:val="9E1C343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4CF41B6"/>
    <w:multiLevelType w:val="hybridMultilevel"/>
    <w:tmpl w:val="19CE72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4EF1871"/>
    <w:multiLevelType w:val="hybridMultilevel"/>
    <w:tmpl w:val="B0240526"/>
    <w:lvl w:ilvl="0" w:tplc="C8A2A7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E976B6"/>
    <w:multiLevelType w:val="hybridMultilevel"/>
    <w:tmpl w:val="D9029A74"/>
    <w:lvl w:ilvl="0" w:tplc="C0EA5B20">
      <w:start w:val="1"/>
      <w:numFmt w:val="bullet"/>
      <w:lvlText w:val="•"/>
      <w:lvlJc w:val="left"/>
      <w:pPr>
        <w:tabs>
          <w:tab w:val="num" w:pos="720"/>
        </w:tabs>
        <w:ind w:left="720" w:hanging="360"/>
      </w:pPr>
      <w:rPr>
        <w:rFonts w:ascii="Times" w:hAnsi="Times" w:hint="default"/>
      </w:rPr>
    </w:lvl>
    <w:lvl w:ilvl="1" w:tplc="4702A70C" w:tentative="1">
      <w:start w:val="1"/>
      <w:numFmt w:val="bullet"/>
      <w:lvlText w:val="•"/>
      <w:lvlJc w:val="left"/>
      <w:pPr>
        <w:tabs>
          <w:tab w:val="num" w:pos="1440"/>
        </w:tabs>
        <w:ind w:left="1440" w:hanging="360"/>
      </w:pPr>
      <w:rPr>
        <w:rFonts w:ascii="Times" w:hAnsi="Times" w:hint="default"/>
      </w:rPr>
    </w:lvl>
    <w:lvl w:ilvl="2" w:tplc="2B4C755C" w:tentative="1">
      <w:start w:val="1"/>
      <w:numFmt w:val="bullet"/>
      <w:lvlText w:val="•"/>
      <w:lvlJc w:val="left"/>
      <w:pPr>
        <w:tabs>
          <w:tab w:val="num" w:pos="2160"/>
        </w:tabs>
        <w:ind w:left="2160" w:hanging="360"/>
      </w:pPr>
      <w:rPr>
        <w:rFonts w:ascii="Times" w:hAnsi="Times" w:hint="default"/>
      </w:rPr>
    </w:lvl>
    <w:lvl w:ilvl="3" w:tplc="B1C4408C" w:tentative="1">
      <w:start w:val="1"/>
      <w:numFmt w:val="bullet"/>
      <w:lvlText w:val="•"/>
      <w:lvlJc w:val="left"/>
      <w:pPr>
        <w:tabs>
          <w:tab w:val="num" w:pos="2880"/>
        </w:tabs>
        <w:ind w:left="2880" w:hanging="360"/>
      </w:pPr>
      <w:rPr>
        <w:rFonts w:ascii="Times" w:hAnsi="Times" w:hint="default"/>
      </w:rPr>
    </w:lvl>
    <w:lvl w:ilvl="4" w:tplc="878A2C7C" w:tentative="1">
      <w:start w:val="1"/>
      <w:numFmt w:val="bullet"/>
      <w:lvlText w:val="•"/>
      <w:lvlJc w:val="left"/>
      <w:pPr>
        <w:tabs>
          <w:tab w:val="num" w:pos="3600"/>
        </w:tabs>
        <w:ind w:left="3600" w:hanging="360"/>
      </w:pPr>
      <w:rPr>
        <w:rFonts w:ascii="Times" w:hAnsi="Times" w:hint="default"/>
      </w:rPr>
    </w:lvl>
    <w:lvl w:ilvl="5" w:tplc="F5D23FF8" w:tentative="1">
      <w:start w:val="1"/>
      <w:numFmt w:val="bullet"/>
      <w:lvlText w:val="•"/>
      <w:lvlJc w:val="left"/>
      <w:pPr>
        <w:tabs>
          <w:tab w:val="num" w:pos="4320"/>
        </w:tabs>
        <w:ind w:left="4320" w:hanging="360"/>
      </w:pPr>
      <w:rPr>
        <w:rFonts w:ascii="Times" w:hAnsi="Times" w:hint="default"/>
      </w:rPr>
    </w:lvl>
    <w:lvl w:ilvl="6" w:tplc="6AA84B3A" w:tentative="1">
      <w:start w:val="1"/>
      <w:numFmt w:val="bullet"/>
      <w:lvlText w:val="•"/>
      <w:lvlJc w:val="left"/>
      <w:pPr>
        <w:tabs>
          <w:tab w:val="num" w:pos="5040"/>
        </w:tabs>
        <w:ind w:left="5040" w:hanging="360"/>
      </w:pPr>
      <w:rPr>
        <w:rFonts w:ascii="Times" w:hAnsi="Times" w:hint="default"/>
      </w:rPr>
    </w:lvl>
    <w:lvl w:ilvl="7" w:tplc="3E407138" w:tentative="1">
      <w:start w:val="1"/>
      <w:numFmt w:val="bullet"/>
      <w:lvlText w:val="•"/>
      <w:lvlJc w:val="left"/>
      <w:pPr>
        <w:tabs>
          <w:tab w:val="num" w:pos="5760"/>
        </w:tabs>
        <w:ind w:left="5760" w:hanging="360"/>
      </w:pPr>
      <w:rPr>
        <w:rFonts w:ascii="Times" w:hAnsi="Times" w:hint="default"/>
      </w:rPr>
    </w:lvl>
    <w:lvl w:ilvl="8" w:tplc="01766700" w:tentative="1">
      <w:start w:val="1"/>
      <w:numFmt w:val="bullet"/>
      <w:lvlText w:val="•"/>
      <w:lvlJc w:val="left"/>
      <w:pPr>
        <w:tabs>
          <w:tab w:val="num" w:pos="6480"/>
        </w:tabs>
        <w:ind w:left="6480" w:hanging="360"/>
      </w:pPr>
      <w:rPr>
        <w:rFonts w:ascii="Times" w:hAnsi="Times" w:hint="default"/>
      </w:rPr>
    </w:lvl>
  </w:abstractNum>
  <w:abstractNum w:abstractNumId="18">
    <w:nsid w:val="2C94734A"/>
    <w:multiLevelType w:val="hybridMultilevel"/>
    <w:tmpl w:val="477A715E"/>
    <w:lvl w:ilvl="0" w:tplc="9CFE6B30">
      <w:start w:val="1"/>
      <w:numFmt w:val="bullet"/>
      <w:lvlText w:val="•"/>
      <w:lvlJc w:val="left"/>
      <w:pPr>
        <w:tabs>
          <w:tab w:val="num" w:pos="720"/>
        </w:tabs>
        <w:ind w:left="720" w:hanging="360"/>
      </w:pPr>
      <w:rPr>
        <w:rFonts w:ascii="Times" w:hAnsi="Times" w:hint="default"/>
      </w:rPr>
    </w:lvl>
    <w:lvl w:ilvl="1" w:tplc="8CB47E04" w:tentative="1">
      <w:start w:val="1"/>
      <w:numFmt w:val="bullet"/>
      <w:lvlText w:val="•"/>
      <w:lvlJc w:val="left"/>
      <w:pPr>
        <w:tabs>
          <w:tab w:val="num" w:pos="1440"/>
        </w:tabs>
        <w:ind w:left="1440" w:hanging="360"/>
      </w:pPr>
      <w:rPr>
        <w:rFonts w:ascii="Times" w:hAnsi="Times" w:hint="default"/>
      </w:rPr>
    </w:lvl>
    <w:lvl w:ilvl="2" w:tplc="CEE819D2">
      <w:start w:val="1"/>
      <w:numFmt w:val="bullet"/>
      <w:lvlText w:val="•"/>
      <w:lvlJc w:val="left"/>
      <w:pPr>
        <w:tabs>
          <w:tab w:val="num" w:pos="2160"/>
        </w:tabs>
        <w:ind w:left="2160" w:hanging="360"/>
      </w:pPr>
      <w:rPr>
        <w:rFonts w:ascii="Times" w:hAnsi="Times" w:hint="default"/>
      </w:rPr>
    </w:lvl>
    <w:lvl w:ilvl="3" w:tplc="1444B930" w:tentative="1">
      <w:start w:val="1"/>
      <w:numFmt w:val="bullet"/>
      <w:lvlText w:val="•"/>
      <w:lvlJc w:val="left"/>
      <w:pPr>
        <w:tabs>
          <w:tab w:val="num" w:pos="2880"/>
        </w:tabs>
        <w:ind w:left="2880" w:hanging="360"/>
      </w:pPr>
      <w:rPr>
        <w:rFonts w:ascii="Times" w:hAnsi="Times" w:hint="default"/>
      </w:rPr>
    </w:lvl>
    <w:lvl w:ilvl="4" w:tplc="F594DBF6" w:tentative="1">
      <w:start w:val="1"/>
      <w:numFmt w:val="bullet"/>
      <w:lvlText w:val="•"/>
      <w:lvlJc w:val="left"/>
      <w:pPr>
        <w:tabs>
          <w:tab w:val="num" w:pos="3600"/>
        </w:tabs>
        <w:ind w:left="3600" w:hanging="360"/>
      </w:pPr>
      <w:rPr>
        <w:rFonts w:ascii="Times" w:hAnsi="Times" w:hint="default"/>
      </w:rPr>
    </w:lvl>
    <w:lvl w:ilvl="5" w:tplc="E6C0EA16" w:tentative="1">
      <w:start w:val="1"/>
      <w:numFmt w:val="bullet"/>
      <w:lvlText w:val="•"/>
      <w:lvlJc w:val="left"/>
      <w:pPr>
        <w:tabs>
          <w:tab w:val="num" w:pos="4320"/>
        </w:tabs>
        <w:ind w:left="4320" w:hanging="360"/>
      </w:pPr>
      <w:rPr>
        <w:rFonts w:ascii="Times" w:hAnsi="Times" w:hint="default"/>
      </w:rPr>
    </w:lvl>
    <w:lvl w:ilvl="6" w:tplc="D0BEA50A" w:tentative="1">
      <w:start w:val="1"/>
      <w:numFmt w:val="bullet"/>
      <w:lvlText w:val="•"/>
      <w:lvlJc w:val="left"/>
      <w:pPr>
        <w:tabs>
          <w:tab w:val="num" w:pos="5040"/>
        </w:tabs>
        <w:ind w:left="5040" w:hanging="360"/>
      </w:pPr>
      <w:rPr>
        <w:rFonts w:ascii="Times" w:hAnsi="Times" w:hint="default"/>
      </w:rPr>
    </w:lvl>
    <w:lvl w:ilvl="7" w:tplc="0CCC6DB4" w:tentative="1">
      <w:start w:val="1"/>
      <w:numFmt w:val="bullet"/>
      <w:lvlText w:val="•"/>
      <w:lvlJc w:val="left"/>
      <w:pPr>
        <w:tabs>
          <w:tab w:val="num" w:pos="5760"/>
        </w:tabs>
        <w:ind w:left="5760" w:hanging="360"/>
      </w:pPr>
      <w:rPr>
        <w:rFonts w:ascii="Times" w:hAnsi="Times" w:hint="default"/>
      </w:rPr>
    </w:lvl>
    <w:lvl w:ilvl="8" w:tplc="E99CA976" w:tentative="1">
      <w:start w:val="1"/>
      <w:numFmt w:val="bullet"/>
      <w:lvlText w:val="•"/>
      <w:lvlJc w:val="left"/>
      <w:pPr>
        <w:tabs>
          <w:tab w:val="num" w:pos="6480"/>
        </w:tabs>
        <w:ind w:left="6480" w:hanging="360"/>
      </w:pPr>
      <w:rPr>
        <w:rFonts w:ascii="Times" w:hAnsi="Times" w:hint="default"/>
      </w:rPr>
    </w:lvl>
  </w:abstractNum>
  <w:abstractNum w:abstractNumId="19">
    <w:nsid w:val="38624286"/>
    <w:multiLevelType w:val="hybridMultilevel"/>
    <w:tmpl w:val="6ADE370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C75F83"/>
    <w:multiLevelType w:val="hybridMultilevel"/>
    <w:tmpl w:val="04F4803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1">
    <w:nsid w:val="40D15FDA"/>
    <w:multiLevelType w:val="hybridMultilevel"/>
    <w:tmpl w:val="0B4C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067CE2"/>
    <w:multiLevelType w:val="hybridMultilevel"/>
    <w:tmpl w:val="5A7E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2B1D32"/>
    <w:multiLevelType w:val="hybridMultilevel"/>
    <w:tmpl w:val="719625F0"/>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4">
    <w:nsid w:val="4F4F594E"/>
    <w:multiLevelType w:val="hybridMultilevel"/>
    <w:tmpl w:val="87401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514C9C"/>
    <w:multiLevelType w:val="hybridMultilevel"/>
    <w:tmpl w:val="96BAF542"/>
    <w:lvl w:ilvl="0" w:tplc="0409000F">
      <w:start w:val="1"/>
      <w:numFmt w:val="decimal"/>
      <w:lvlText w:val="%1."/>
      <w:lvlJc w:val="left"/>
      <w:pPr>
        <w:ind w:left="720" w:hanging="360"/>
      </w:pPr>
      <w:rPr>
        <w:rFonts w:hint="default"/>
      </w:rPr>
    </w:lvl>
    <w:lvl w:ilvl="1" w:tplc="C8A2A78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D8107E"/>
    <w:multiLevelType w:val="hybridMultilevel"/>
    <w:tmpl w:val="C27CB82E"/>
    <w:lvl w:ilvl="0" w:tplc="179CFC3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9737AC"/>
    <w:multiLevelType w:val="hybridMultilevel"/>
    <w:tmpl w:val="0024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705730"/>
    <w:multiLevelType w:val="hybridMultilevel"/>
    <w:tmpl w:val="1FFED886"/>
    <w:lvl w:ilvl="0" w:tplc="C8A2A7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393710"/>
    <w:multiLevelType w:val="hybridMultilevel"/>
    <w:tmpl w:val="212C074E"/>
    <w:lvl w:ilvl="0" w:tplc="C8A2A7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460D66"/>
    <w:multiLevelType w:val="hybridMultilevel"/>
    <w:tmpl w:val="85BC22BC"/>
    <w:lvl w:ilvl="0" w:tplc="0BEA8C4A">
      <w:start w:val="1"/>
      <w:numFmt w:val="bullet"/>
      <w:lvlText w:val="•"/>
      <w:lvlJc w:val="left"/>
      <w:pPr>
        <w:tabs>
          <w:tab w:val="num" w:pos="720"/>
        </w:tabs>
        <w:ind w:left="720" w:hanging="360"/>
      </w:pPr>
      <w:rPr>
        <w:rFonts w:ascii="Times" w:hAnsi="Times" w:hint="default"/>
      </w:rPr>
    </w:lvl>
    <w:lvl w:ilvl="1" w:tplc="60E479A4" w:tentative="1">
      <w:start w:val="1"/>
      <w:numFmt w:val="bullet"/>
      <w:lvlText w:val="•"/>
      <w:lvlJc w:val="left"/>
      <w:pPr>
        <w:tabs>
          <w:tab w:val="num" w:pos="1440"/>
        </w:tabs>
        <w:ind w:left="1440" w:hanging="360"/>
      </w:pPr>
      <w:rPr>
        <w:rFonts w:ascii="Times" w:hAnsi="Times" w:hint="default"/>
      </w:rPr>
    </w:lvl>
    <w:lvl w:ilvl="2" w:tplc="F76A26F6">
      <w:start w:val="1"/>
      <w:numFmt w:val="bullet"/>
      <w:lvlText w:val="•"/>
      <w:lvlJc w:val="left"/>
      <w:pPr>
        <w:tabs>
          <w:tab w:val="num" w:pos="2160"/>
        </w:tabs>
        <w:ind w:left="2160" w:hanging="360"/>
      </w:pPr>
      <w:rPr>
        <w:rFonts w:ascii="Times" w:hAnsi="Times" w:hint="default"/>
      </w:rPr>
    </w:lvl>
    <w:lvl w:ilvl="3" w:tplc="292E4178" w:tentative="1">
      <w:start w:val="1"/>
      <w:numFmt w:val="bullet"/>
      <w:lvlText w:val="•"/>
      <w:lvlJc w:val="left"/>
      <w:pPr>
        <w:tabs>
          <w:tab w:val="num" w:pos="2880"/>
        </w:tabs>
        <w:ind w:left="2880" w:hanging="360"/>
      </w:pPr>
      <w:rPr>
        <w:rFonts w:ascii="Times" w:hAnsi="Times" w:hint="default"/>
      </w:rPr>
    </w:lvl>
    <w:lvl w:ilvl="4" w:tplc="2CA8A110" w:tentative="1">
      <w:start w:val="1"/>
      <w:numFmt w:val="bullet"/>
      <w:lvlText w:val="•"/>
      <w:lvlJc w:val="left"/>
      <w:pPr>
        <w:tabs>
          <w:tab w:val="num" w:pos="3600"/>
        </w:tabs>
        <w:ind w:left="3600" w:hanging="360"/>
      </w:pPr>
      <w:rPr>
        <w:rFonts w:ascii="Times" w:hAnsi="Times" w:hint="default"/>
      </w:rPr>
    </w:lvl>
    <w:lvl w:ilvl="5" w:tplc="7F403DEE" w:tentative="1">
      <w:start w:val="1"/>
      <w:numFmt w:val="bullet"/>
      <w:lvlText w:val="•"/>
      <w:lvlJc w:val="left"/>
      <w:pPr>
        <w:tabs>
          <w:tab w:val="num" w:pos="4320"/>
        </w:tabs>
        <w:ind w:left="4320" w:hanging="360"/>
      </w:pPr>
      <w:rPr>
        <w:rFonts w:ascii="Times" w:hAnsi="Times" w:hint="default"/>
      </w:rPr>
    </w:lvl>
    <w:lvl w:ilvl="6" w:tplc="3424B0C6" w:tentative="1">
      <w:start w:val="1"/>
      <w:numFmt w:val="bullet"/>
      <w:lvlText w:val="•"/>
      <w:lvlJc w:val="left"/>
      <w:pPr>
        <w:tabs>
          <w:tab w:val="num" w:pos="5040"/>
        </w:tabs>
        <w:ind w:left="5040" w:hanging="360"/>
      </w:pPr>
      <w:rPr>
        <w:rFonts w:ascii="Times" w:hAnsi="Times" w:hint="default"/>
      </w:rPr>
    </w:lvl>
    <w:lvl w:ilvl="7" w:tplc="2452E204" w:tentative="1">
      <w:start w:val="1"/>
      <w:numFmt w:val="bullet"/>
      <w:lvlText w:val="•"/>
      <w:lvlJc w:val="left"/>
      <w:pPr>
        <w:tabs>
          <w:tab w:val="num" w:pos="5760"/>
        </w:tabs>
        <w:ind w:left="5760" w:hanging="360"/>
      </w:pPr>
      <w:rPr>
        <w:rFonts w:ascii="Times" w:hAnsi="Times" w:hint="default"/>
      </w:rPr>
    </w:lvl>
    <w:lvl w:ilvl="8" w:tplc="322E76BE" w:tentative="1">
      <w:start w:val="1"/>
      <w:numFmt w:val="bullet"/>
      <w:lvlText w:val="•"/>
      <w:lvlJc w:val="left"/>
      <w:pPr>
        <w:tabs>
          <w:tab w:val="num" w:pos="6480"/>
        </w:tabs>
        <w:ind w:left="6480" w:hanging="360"/>
      </w:pPr>
      <w:rPr>
        <w:rFonts w:ascii="Times" w:hAnsi="Times" w:hint="default"/>
      </w:rPr>
    </w:lvl>
  </w:abstractNum>
  <w:abstractNum w:abstractNumId="31">
    <w:nsid w:val="648F006A"/>
    <w:multiLevelType w:val="hybridMultilevel"/>
    <w:tmpl w:val="072696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5E7218A"/>
    <w:multiLevelType w:val="hybridMultilevel"/>
    <w:tmpl w:val="DD4C38D8"/>
    <w:lvl w:ilvl="0" w:tplc="C8A2A7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EF0445"/>
    <w:multiLevelType w:val="hybridMultilevel"/>
    <w:tmpl w:val="F78EB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681E3F"/>
    <w:multiLevelType w:val="hybridMultilevel"/>
    <w:tmpl w:val="3FCE5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FC51DA"/>
    <w:multiLevelType w:val="hybridMultilevel"/>
    <w:tmpl w:val="98544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0528F0"/>
    <w:multiLevelType w:val="hybridMultilevel"/>
    <w:tmpl w:val="8C366D8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nsid w:val="73485381"/>
    <w:multiLevelType w:val="hybridMultilevel"/>
    <w:tmpl w:val="1DF245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6A0465"/>
    <w:multiLevelType w:val="hybridMultilevel"/>
    <w:tmpl w:val="88AE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8035AB"/>
    <w:multiLevelType w:val="hybridMultilevel"/>
    <w:tmpl w:val="60B0AD1A"/>
    <w:lvl w:ilvl="0" w:tplc="6622C55E">
      <w:start w:val="1"/>
      <w:numFmt w:val="bullet"/>
      <w:lvlText w:val="–"/>
      <w:lvlJc w:val="left"/>
      <w:pPr>
        <w:tabs>
          <w:tab w:val="num" w:pos="720"/>
        </w:tabs>
        <w:ind w:left="720" w:hanging="360"/>
      </w:pPr>
      <w:rPr>
        <w:rFonts w:ascii="Times" w:hAnsi="Times" w:hint="default"/>
      </w:rPr>
    </w:lvl>
    <w:lvl w:ilvl="1" w:tplc="3DAA200A">
      <w:start w:val="1"/>
      <w:numFmt w:val="bullet"/>
      <w:lvlText w:val="–"/>
      <w:lvlJc w:val="left"/>
      <w:pPr>
        <w:tabs>
          <w:tab w:val="num" w:pos="1440"/>
        </w:tabs>
        <w:ind w:left="1440" w:hanging="360"/>
      </w:pPr>
      <w:rPr>
        <w:rFonts w:ascii="Times" w:hAnsi="Times" w:hint="default"/>
      </w:rPr>
    </w:lvl>
    <w:lvl w:ilvl="2" w:tplc="7C5AFE24" w:tentative="1">
      <w:start w:val="1"/>
      <w:numFmt w:val="bullet"/>
      <w:lvlText w:val="–"/>
      <w:lvlJc w:val="left"/>
      <w:pPr>
        <w:tabs>
          <w:tab w:val="num" w:pos="2160"/>
        </w:tabs>
        <w:ind w:left="2160" w:hanging="360"/>
      </w:pPr>
      <w:rPr>
        <w:rFonts w:ascii="Times" w:hAnsi="Times" w:hint="default"/>
      </w:rPr>
    </w:lvl>
    <w:lvl w:ilvl="3" w:tplc="48368CBC" w:tentative="1">
      <w:start w:val="1"/>
      <w:numFmt w:val="bullet"/>
      <w:lvlText w:val="–"/>
      <w:lvlJc w:val="left"/>
      <w:pPr>
        <w:tabs>
          <w:tab w:val="num" w:pos="2880"/>
        </w:tabs>
        <w:ind w:left="2880" w:hanging="360"/>
      </w:pPr>
      <w:rPr>
        <w:rFonts w:ascii="Times" w:hAnsi="Times" w:hint="default"/>
      </w:rPr>
    </w:lvl>
    <w:lvl w:ilvl="4" w:tplc="9816F876" w:tentative="1">
      <w:start w:val="1"/>
      <w:numFmt w:val="bullet"/>
      <w:lvlText w:val="–"/>
      <w:lvlJc w:val="left"/>
      <w:pPr>
        <w:tabs>
          <w:tab w:val="num" w:pos="3600"/>
        </w:tabs>
        <w:ind w:left="3600" w:hanging="360"/>
      </w:pPr>
      <w:rPr>
        <w:rFonts w:ascii="Times" w:hAnsi="Times" w:hint="default"/>
      </w:rPr>
    </w:lvl>
    <w:lvl w:ilvl="5" w:tplc="6906A5E2" w:tentative="1">
      <w:start w:val="1"/>
      <w:numFmt w:val="bullet"/>
      <w:lvlText w:val="–"/>
      <w:lvlJc w:val="left"/>
      <w:pPr>
        <w:tabs>
          <w:tab w:val="num" w:pos="4320"/>
        </w:tabs>
        <w:ind w:left="4320" w:hanging="360"/>
      </w:pPr>
      <w:rPr>
        <w:rFonts w:ascii="Times" w:hAnsi="Times" w:hint="default"/>
      </w:rPr>
    </w:lvl>
    <w:lvl w:ilvl="6" w:tplc="770203B8" w:tentative="1">
      <w:start w:val="1"/>
      <w:numFmt w:val="bullet"/>
      <w:lvlText w:val="–"/>
      <w:lvlJc w:val="left"/>
      <w:pPr>
        <w:tabs>
          <w:tab w:val="num" w:pos="5040"/>
        </w:tabs>
        <w:ind w:left="5040" w:hanging="360"/>
      </w:pPr>
      <w:rPr>
        <w:rFonts w:ascii="Times" w:hAnsi="Times" w:hint="default"/>
      </w:rPr>
    </w:lvl>
    <w:lvl w:ilvl="7" w:tplc="0D5A727E" w:tentative="1">
      <w:start w:val="1"/>
      <w:numFmt w:val="bullet"/>
      <w:lvlText w:val="–"/>
      <w:lvlJc w:val="left"/>
      <w:pPr>
        <w:tabs>
          <w:tab w:val="num" w:pos="5760"/>
        </w:tabs>
        <w:ind w:left="5760" w:hanging="360"/>
      </w:pPr>
      <w:rPr>
        <w:rFonts w:ascii="Times" w:hAnsi="Times" w:hint="default"/>
      </w:rPr>
    </w:lvl>
    <w:lvl w:ilvl="8" w:tplc="C3448EA2" w:tentative="1">
      <w:start w:val="1"/>
      <w:numFmt w:val="bullet"/>
      <w:lvlText w:val="–"/>
      <w:lvlJc w:val="left"/>
      <w:pPr>
        <w:tabs>
          <w:tab w:val="num" w:pos="6480"/>
        </w:tabs>
        <w:ind w:left="6480" w:hanging="360"/>
      </w:pPr>
      <w:rPr>
        <w:rFonts w:ascii="Times" w:hAnsi="Times" w:hint="default"/>
      </w:rPr>
    </w:lvl>
  </w:abstractNum>
  <w:abstractNum w:abstractNumId="40">
    <w:nsid w:val="7D3953F5"/>
    <w:multiLevelType w:val="hybridMultilevel"/>
    <w:tmpl w:val="4B7E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0F3F9C"/>
    <w:multiLevelType w:val="hybridMultilevel"/>
    <w:tmpl w:val="03B223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1"/>
  </w:num>
  <w:num w:numId="2">
    <w:abstractNumId w:val="34"/>
  </w:num>
  <w:num w:numId="3">
    <w:abstractNumId w:val="40"/>
  </w:num>
  <w:num w:numId="4">
    <w:abstractNumId w:val="27"/>
  </w:num>
  <w:num w:numId="5">
    <w:abstractNumId w:val="2"/>
  </w:num>
  <w:num w:numId="6">
    <w:abstractNumId w:val="20"/>
  </w:num>
  <w:num w:numId="7">
    <w:abstractNumId w:val="7"/>
  </w:num>
  <w:num w:numId="8">
    <w:abstractNumId w:val="21"/>
  </w:num>
  <w:num w:numId="9">
    <w:abstractNumId w:val="33"/>
  </w:num>
  <w:num w:numId="10">
    <w:abstractNumId w:val="24"/>
  </w:num>
  <w:num w:numId="11">
    <w:abstractNumId w:val="26"/>
  </w:num>
  <w:num w:numId="12">
    <w:abstractNumId w:val="35"/>
  </w:num>
  <w:num w:numId="13">
    <w:abstractNumId w:val="38"/>
  </w:num>
  <w:num w:numId="14">
    <w:abstractNumId w:val="3"/>
  </w:num>
  <w:num w:numId="15">
    <w:abstractNumId w:val="6"/>
  </w:num>
  <w:num w:numId="16">
    <w:abstractNumId w:val="12"/>
  </w:num>
  <w:num w:numId="17">
    <w:abstractNumId w:val="13"/>
  </w:num>
  <w:num w:numId="18">
    <w:abstractNumId w:val="37"/>
  </w:num>
  <w:num w:numId="19">
    <w:abstractNumId w:val="23"/>
  </w:num>
  <w:num w:numId="20">
    <w:abstractNumId w:val="41"/>
  </w:num>
  <w:num w:numId="21">
    <w:abstractNumId w:val="36"/>
  </w:num>
  <w:num w:numId="22">
    <w:abstractNumId w:val="0"/>
  </w:num>
  <w:num w:numId="23">
    <w:abstractNumId w:val="31"/>
  </w:num>
  <w:num w:numId="24">
    <w:abstractNumId w:val="22"/>
  </w:num>
  <w:num w:numId="25">
    <w:abstractNumId w:val="9"/>
  </w:num>
  <w:num w:numId="26">
    <w:abstractNumId w:val="18"/>
  </w:num>
  <w:num w:numId="27">
    <w:abstractNumId w:val="30"/>
  </w:num>
  <w:num w:numId="28">
    <w:abstractNumId w:val="39"/>
  </w:num>
  <w:num w:numId="29">
    <w:abstractNumId w:val="8"/>
  </w:num>
  <w:num w:numId="30">
    <w:abstractNumId w:val="17"/>
  </w:num>
  <w:num w:numId="31">
    <w:abstractNumId w:val="29"/>
  </w:num>
  <w:num w:numId="32">
    <w:abstractNumId w:val="28"/>
  </w:num>
  <w:num w:numId="33">
    <w:abstractNumId w:val="16"/>
  </w:num>
  <w:num w:numId="34">
    <w:abstractNumId w:val="32"/>
  </w:num>
  <w:num w:numId="35">
    <w:abstractNumId w:val="5"/>
  </w:num>
  <w:num w:numId="36">
    <w:abstractNumId w:val="25"/>
  </w:num>
  <w:num w:numId="37">
    <w:abstractNumId w:val="4"/>
  </w:num>
  <w:num w:numId="38">
    <w:abstractNumId w:val="14"/>
  </w:num>
  <w:num w:numId="39">
    <w:abstractNumId w:val="1"/>
  </w:num>
  <w:num w:numId="40">
    <w:abstractNumId w:val="19"/>
  </w:num>
  <w:num w:numId="41">
    <w:abstractNumId w:val="10"/>
  </w:num>
  <w:num w:numId="42">
    <w:abstractNumId w:val="15"/>
  </w:num>
  <w:numIdMacAtCleanup w:val="16"/>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te, Wendy">
    <w15:presenceInfo w15:providerId="None" w15:userId="Tate, Wend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oNotTrackMov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526"/>
    <w:rsid w:val="000002CC"/>
    <w:rsid w:val="00000721"/>
    <w:rsid w:val="00000881"/>
    <w:rsid w:val="00000A2C"/>
    <w:rsid w:val="00000C4C"/>
    <w:rsid w:val="00000E99"/>
    <w:rsid w:val="00002F2A"/>
    <w:rsid w:val="00003094"/>
    <w:rsid w:val="00003AAB"/>
    <w:rsid w:val="0000427E"/>
    <w:rsid w:val="00005D27"/>
    <w:rsid w:val="00006135"/>
    <w:rsid w:val="000066BF"/>
    <w:rsid w:val="00006DFC"/>
    <w:rsid w:val="00006E4B"/>
    <w:rsid w:val="00006E7E"/>
    <w:rsid w:val="00006F37"/>
    <w:rsid w:val="000071DF"/>
    <w:rsid w:val="000100EE"/>
    <w:rsid w:val="00011527"/>
    <w:rsid w:val="00011BCF"/>
    <w:rsid w:val="00012104"/>
    <w:rsid w:val="00012E89"/>
    <w:rsid w:val="000137C5"/>
    <w:rsid w:val="000156AA"/>
    <w:rsid w:val="00015CA0"/>
    <w:rsid w:val="00015D43"/>
    <w:rsid w:val="00015DE7"/>
    <w:rsid w:val="000200E8"/>
    <w:rsid w:val="000214CB"/>
    <w:rsid w:val="0002170D"/>
    <w:rsid w:val="0002219A"/>
    <w:rsid w:val="00022E38"/>
    <w:rsid w:val="000233F0"/>
    <w:rsid w:val="00023816"/>
    <w:rsid w:val="0002452F"/>
    <w:rsid w:val="0002486F"/>
    <w:rsid w:val="00024CE4"/>
    <w:rsid w:val="00024E9A"/>
    <w:rsid w:val="000250FF"/>
    <w:rsid w:val="000251EC"/>
    <w:rsid w:val="00025720"/>
    <w:rsid w:val="000257EB"/>
    <w:rsid w:val="000265EF"/>
    <w:rsid w:val="0002689B"/>
    <w:rsid w:val="000272E4"/>
    <w:rsid w:val="000275DF"/>
    <w:rsid w:val="00027E66"/>
    <w:rsid w:val="00027F6E"/>
    <w:rsid w:val="00031516"/>
    <w:rsid w:val="00031981"/>
    <w:rsid w:val="00032FA7"/>
    <w:rsid w:val="00033311"/>
    <w:rsid w:val="00033DF1"/>
    <w:rsid w:val="00034743"/>
    <w:rsid w:val="00034953"/>
    <w:rsid w:val="00034A06"/>
    <w:rsid w:val="000359ED"/>
    <w:rsid w:val="00035F6F"/>
    <w:rsid w:val="0003751D"/>
    <w:rsid w:val="000402C8"/>
    <w:rsid w:val="000403BD"/>
    <w:rsid w:val="000410EB"/>
    <w:rsid w:val="00043308"/>
    <w:rsid w:val="0004359A"/>
    <w:rsid w:val="0004436D"/>
    <w:rsid w:val="00045A64"/>
    <w:rsid w:val="00045CCD"/>
    <w:rsid w:val="000468CE"/>
    <w:rsid w:val="00046D2A"/>
    <w:rsid w:val="0004718D"/>
    <w:rsid w:val="00047984"/>
    <w:rsid w:val="000504CC"/>
    <w:rsid w:val="00050854"/>
    <w:rsid w:val="000515CF"/>
    <w:rsid w:val="00052189"/>
    <w:rsid w:val="000526BD"/>
    <w:rsid w:val="00052C98"/>
    <w:rsid w:val="00052CDE"/>
    <w:rsid w:val="00052E6B"/>
    <w:rsid w:val="00052FB5"/>
    <w:rsid w:val="00053461"/>
    <w:rsid w:val="00053719"/>
    <w:rsid w:val="0005373E"/>
    <w:rsid w:val="00053F01"/>
    <w:rsid w:val="0005477D"/>
    <w:rsid w:val="00054A61"/>
    <w:rsid w:val="00055062"/>
    <w:rsid w:val="000556D1"/>
    <w:rsid w:val="00056857"/>
    <w:rsid w:val="00056A3A"/>
    <w:rsid w:val="00056BFA"/>
    <w:rsid w:val="00057012"/>
    <w:rsid w:val="0005766F"/>
    <w:rsid w:val="00057FAA"/>
    <w:rsid w:val="00060B67"/>
    <w:rsid w:val="00060ED5"/>
    <w:rsid w:val="000617A6"/>
    <w:rsid w:val="00061995"/>
    <w:rsid w:val="00061AAC"/>
    <w:rsid w:val="00061BD6"/>
    <w:rsid w:val="00061C1E"/>
    <w:rsid w:val="00062099"/>
    <w:rsid w:val="000621D7"/>
    <w:rsid w:val="0006223E"/>
    <w:rsid w:val="00062345"/>
    <w:rsid w:val="0006249B"/>
    <w:rsid w:val="00062508"/>
    <w:rsid w:val="0006269F"/>
    <w:rsid w:val="00062A1F"/>
    <w:rsid w:val="00063D41"/>
    <w:rsid w:val="00063F09"/>
    <w:rsid w:val="000645B6"/>
    <w:rsid w:val="00065B6B"/>
    <w:rsid w:val="000666EF"/>
    <w:rsid w:val="00066A28"/>
    <w:rsid w:val="00066F15"/>
    <w:rsid w:val="00067715"/>
    <w:rsid w:val="00067C5F"/>
    <w:rsid w:val="00070AF2"/>
    <w:rsid w:val="00071362"/>
    <w:rsid w:val="00071A74"/>
    <w:rsid w:val="00072F74"/>
    <w:rsid w:val="00073317"/>
    <w:rsid w:val="00073824"/>
    <w:rsid w:val="00073F06"/>
    <w:rsid w:val="00074D62"/>
    <w:rsid w:val="000753AC"/>
    <w:rsid w:val="000763D2"/>
    <w:rsid w:val="000766AC"/>
    <w:rsid w:val="00076B38"/>
    <w:rsid w:val="00077CB9"/>
    <w:rsid w:val="0008075A"/>
    <w:rsid w:val="00080C3D"/>
    <w:rsid w:val="00080F94"/>
    <w:rsid w:val="00083516"/>
    <w:rsid w:val="00084355"/>
    <w:rsid w:val="000848A2"/>
    <w:rsid w:val="00085F44"/>
    <w:rsid w:val="00086E79"/>
    <w:rsid w:val="000870B7"/>
    <w:rsid w:val="00087699"/>
    <w:rsid w:val="00087920"/>
    <w:rsid w:val="00087988"/>
    <w:rsid w:val="00092AF2"/>
    <w:rsid w:val="00092C02"/>
    <w:rsid w:val="000933C3"/>
    <w:rsid w:val="000940A2"/>
    <w:rsid w:val="000944CA"/>
    <w:rsid w:val="00094FE7"/>
    <w:rsid w:val="000956A7"/>
    <w:rsid w:val="000957CE"/>
    <w:rsid w:val="00095F50"/>
    <w:rsid w:val="00096AC1"/>
    <w:rsid w:val="0009715B"/>
    <w:rsid w:val="00097F23"/>
    <w:rsid w:val="000A185A"/>
    <w:rsid w:val="000A3CF2"/>
    <w:rsid w:val="000A45E9"/>
    <w:rsid w:val="000A4EEA"/>
    <w:rsid w:val="000A5314"/>
    <w:rsid w:val="000A5D27"/>
    <w:rsid w:val="000A681D"/>
    <w:rsid w:val="000A686D"/>
    <w:rsid w:val="000A6E2C"/>
    <w:rsid w:val="000A7A38"/>
    <w:rsid w:val="000A7B59"/>
    <w:rsid w:val="000A7D67"/>
    <w:rsid w:val="000B08C4"/>
    <w:rsid w:val="000B0D23"/>
    <w:rsid w:val="000B107E"/>
    <w:rsid w:val="000B11F3"/>
    <w:rsid w:val="000B16C1"/>
    <w:rsid w:val="000B1F14"/>
    <w:rsid w:val="000B202F"/>
    <w:rsid w:val="000B2419"/>
    <w:rsid w:val="000B30EB"/>
    <w:rsid w:val="000B3E45"/>
    <w:rsid w:val="000B408B"/>
    <w:rsid w:val="000B457B"/>
    <w:rsid w:val="000B458A"/>
    <w:rsid w:val="000B49EB"/>
    <w:rsid w:val="000B4DB4"/>
    <w:rsid w:val="000B63EF"/>
    <w:rsid w:val="000B6DCE"/>
    <w:rsid w:val="000B6F4B"/>
    <w:rsid w:val="000B6F8C"/>
    <w:rsid w:val="000B7823"/>
    <w:rsid w:val="000C12FA"/>
    <w:rsid w:val="000C1E95"/>
    <w:rsid w:val="000C1FE0"/>
    <w:rsid w:val="000C388E"/>
    <w:rsid w:val="000C3FC8"/>
    <w:rsid w:val="000C628D"/>
    <w:rsid w:val="000C734D"/>
    <w:rsid w:val="000C756A"/>
    <w:rsid w:val="000C7E04"/>
    <w:rsid w:val="000D02C1"/>
    <w:rsid w:val="000D1ECA"/>
    <w:rsid w:val="000D33B6"/>
    <w:rsid w:val="000D350A"/>
    <w:rsid w:val="000D3B25"/>
    <w:rsid w:val="000D404F"/>
    <w:rsid w:val="000D4388"/>
    <w:rsid w:val="000D56C3"/>
    <w:rsid w:val="000D5CF1"/>
    <w:rsid w:val="000D5EA4"/>
    <w:rsid w:val="000D604D"/>
    <w:rsid w:val="000D69AA"/>
    <w:rsid w:val="000D7310"/>
    <w:rsid w:val="000D7A49"/>
    <w:rsid w:val="000E17DC"/>
    <w:rsid w:val="000E1DB7"/>
    <w:rsid w:val="000E248B"/>
    <w:rsid w:val="000E2973"/>
    <w:rsid w:val="000E2C9F"/>
    <w:rsid w:val="000E2ED1"/>
    <w:rsid w:val="000E3092"/>
    <w:rsid w:val="000E346E"/>
    <w:rsid w:val="000E3E1C"/>
    <w:rsid w:val="000E4AC3"/>
    <w:rsid w:val="000E4D4E"/>
    <w:rsid w:val="000E4F73"/>
    <w:rsid w:val="000E6B3B"/>
    <w:rsid w:val="000E6ECE"/>
    <w:rsid w:val="000E7DED"/>
    <w:rsid w:val="000E7EDC"/>
    <w:rsid w:val="000F043D"/>
    <w:rsid w:val="000F0E0D"/>
    <w:rsid w:val="000F1C93"/>
    <w:rsid w:val="000F2592"/>
    <w:rsid w:val="000F27BB"/>
    <w:rsid w:val="000F324B"/>
    <w:rsid w:val="000F410C"/>
    <w:rsid w:val="000F413E"/>
    <w:rsid w:val="000F450D"/>
    <w:rsid w:val="000F5CFE"/>
    <w:rsid w:val="000F7AB4"/>
    <w:rsid w:val="000F7D3A"/>
    <w:rsid w:val="000F7F4D"/>
    <w:rsid w:val="0010058E"/>
    <w:rsid w:val="0010061B"/>
    <w:rsid w:val="00101B32"/>
    <w:rsid w:val="00102320"/>
    <w:rsid w:val="00102A76"/>
    <w:rsid w:val="00104627"/>
    <w:rsid w:val="0010599E"/>
    <w:rsid w:val="00105AE7"/>
    <w:rsid w:val="0010668A"/>
    <w:rsid w:val="00106964"/>
    <w:rsid w:val="00106CF1"/>
    <w:rsid w:val="00107FF2"/>
    <w:rsid w:val="0011057A"/>
    <w:rsid w:val="0011098E"/>
    <w:rsid w:val="00114946"/>
    <w:rsid w:val="00114C21"/>
    <w:rsid w:val="00115F1D"/>
    <w:rsid w:val="001169D1"/>
    <w:rsid w:val="00117C4A"/>
    <w:rsid w:val="00120598"/>
    <w:rsid w:val="00121435"/>
    <w:rsid w:val="00122CAD"/>
    <w:rsid w:val="001238A4"/>
    <w:rsid w:val="00126C92"/>
    <w:rsid w:val="00126CCB"/>
    <w:rsid w:val="00126D9F"/>
    <w:rsid w:val="00126E07"/>
    <w:rsid w:val="00130231"/>
    <w:rsid w:val="00130851"/>
    <w:rsid w:val="00130D3B"/>
    <w:rsid w:val="00130F26"/>
    <w:rsid w:val="00131887"/>
    <w:rsid w:val="00132D4E"/>
    <w:rsid w:val="001346DF"/>
    <w:rsid w:val="00134A21"/>
    <w:rsid w:val="00134A36"/>
    <w:rsid w:val="00135453"/>
    <w:rsid w:val="00136055"/>
    <w:rsid w:val="00136726"/>
    <w:rsid w:val="00136D00"/>
    <w:rsid w:val="00136D23"/>
    <w:rsid w:val="00137B63"/>
    <w:rsid w:val="00137D55"/>
    <w:rsid w:val="001400E8"/>
    <w:rsid w:val="00140D62"/>
    <w:rsid w:val="00141B13"/>
    <w:rsid w:val="001423C6"/>
    <w:rsid w:val="0014248C"/>
    <w:rsid w:val="0014266C"/>
    <w:rsid w:val="00143799"/>
    <w:rsid w:val="00144520"/>
    <w:rsid w:val="001445EA"/>
    <w:rsid w:val="0014461E"/>
    <w:rsid w:val="001460CA"/>
    <w:rsid w:val="001466FE"/>
    <w:rsid w:val="00147287"/>
    <w:rsid w:val="001479EA"/>
    <w:rsid w:val="00147BE9"/>
    <w:rsid w:val="00147DF2"/>
    <w:rsid w:val="00150E95"/>
    <w:rsid w:val="001511DD"/>
    <w:rsid w:val="001512A3"/>
    <w:rsid w:val="00151CEB"/>
    <w:rsid w:val="00151D55"/>
    <w:rsid w:val="00152257"/>
    <w:rsid w:val="001531D5"/>
    <w:rsid w:val="00153446"/>
    <w:rsid w:val="0015369A"/>
    <w:rsid w:val="00153D6B"/>
    <w:rsid w:val="00153FC7"/>
    <w:rsid w:val="0015400C"/>
    <w:rsid w:val="00154E5D"/>
    <w:rsid w:val="00154EF7"/>
    <w:rsid w:val="001550F6"/>
    <w:rsid w:val="0015575B"/>
    <w:rsid w:val="0015703E"/>
    <w:rsid w:val="001601E0"/>
    <w:rsid w:val="00162151"/>
    <w:rsid w:val="00162918"/>
    <w:rsid w:val="00163B41"/>
    <w:rsid w:val="00163B59"/>
    <w:rsid w:val="00163D08"/>
    <w:rsid w:val="001640D2"/>
    <w:rsid w:val="001644EF"/>
    <w:rsid w:val="001648F7"/>
    <w:rsid w:val="00165122"/>
    <w:rsid w:val="001657D7"/>
    <w:rsid w:val="001658AC"/>
    <w:rsid w:val="00166A0F"/>
    <w:rsid w:val="00166A6A"/>
    <w:rsid w:val="001679DD"/>
    <w:rsid w:val="001706B4"/>
    <w:rsid w:val="001710AF"/>
    <w:rsid w:val="001711CF"/>
    <w:rsid w:val="00171763"/>
    <w:rsid w:val="00171885"/>
    <w:rsid w:val="00171EDC"/>
    <w:rsid w:val="001730EB"/>
    <w:rsid w:val="00174866"/>
    <w:rsid w:val="00174DC1"/>
    <w:rsid w:val="0017521C"/>
    <w:rsid w:val="001755ED"/>
    <w:rsid w:val="001773D2"/>
    <w:rsid w:val="0017779D"/>
    <w:rsid w:val="00177C88"/>
    <w:rsid w:val="00177D76"/>
    <w:rsid w:val="001806AE"/>
    <w:rsid w:val="001808E2"/>
    <w:rsid w:val="00180F22"/>
    <w:rsid w:val="001811BA"/>
    <w:rsid w:val="0018163E"/>
    <w:rsid w:val="001826F3"/>
    <w:rsid w:val="00182749"/>
    <w:rsid w:val="00183B56"/>
    <w:rsid w:val="00184253"/>
    <w:rsid w:val="00184449"/>
    <w:rsid w:val="00185B96"/>
    <w:rsid w:val="00186706"/>
    <w:rsid w:val="001902F1"/>
    <w:rsid w:val="001911D2"/>
    <w:rsid w:val="00193388"/>
    <w:rsid w:val="00193D51"/>
    <w:rsid w:val="001952C4"/>
    <w:rsid w:val="00195E88"/>
    <w:rsid w:val="0019698B"/>
    <w:rsid w:val="00196E38"/>
    <w:rsid w:val="001972A7"/>
    <w:rsid w:val="00197523"/>
    <w:rsid w:val="001A0683"/>
    <w:rsid w:val="001A068E"/>
    <w:rsid w:val="001A2759"/>
    <w:rsid w:val="001A39E2"/>
    <w:rsid w:val="001A4BA7"/>
    <w:rsid w:val="001A550A"/>
    <w:rsid w:val="001A56A1"/>
    <w:rsid w:val="001A5A90"/>
    <w:rsid w:val="001A603C"/>
    <w:rsid w:val="001A6669"/>
    <w:rsid w:val="001A6EAA"/>
    <w:rsid w:val="001A7374"/>
    <w:rsid w:val="001A74F4"/>
    <w:rsid w:val="001A7516"/>
    <w:rsid w:val="001A7741"/>
    <w:rsid w:val="001A778C"/>
    <w:rsid w:val="001A7956"/>
    <w:rsid w:val="001A79F5"/>
    <w:rsid w:val="001B085C"/>
    <w:rsid w:val="001B1956"/>
    <w:rsid w:val="001B3115"/>
    <w:rsid w:val="001B46A4"/>
    <w:rsid w:val="001B5636"/>
    <w:rsid w:val="001B56EF"/>
    <w:rsid w:val="001B5EDC"/>
    <w:rsid w:val="001B6152"/>
    <w:rsid w:val="001B6FF7"/>
    <w:rsid w:val="001B7267"/>
    <w:rsid w:val="001B7747"/>
    <w:rsid w:val="001B7D65"/>
    <w:rsid w:val="001B7EBF"/>
    <w:rsid w:val="001B7EFF"/>
    <w:rsid w:val="001C12AA"/>
    <w:rsid w:val="001C1D68"/>
    <w:rsid w:val="001C1F58"/>
    <w:rsid w:val="001C3980"/>
    <w:rsid w:val="001C39C4"/>
    <w:rsid w:val="001C61B3"/>
    <w:rsid w:val="001C62DC"/>
    <w:rsid w:val="001C63D2"/>
    <w:rsid w:val="001C74C7"/>
    <w:rsid w:val="001C7C1C"/>
    <w:rsid w:val="001C7F7F"/>
    <w:rsid w:val="001D0331"/>
    <w:rsid w:val="001D08C0"/>
    <w:rsid w:val="001D2406"/>
    <w:rsid w:val="001D2440"/>
    <w:rsid w:val="001D28D9"/>
    <w:rsid w:val="001D3168"/>
    <w:rsid w:val="001D3392"/>
    <w:rsid w:val="001D36FF"/>
    <w:rsid w:val="001D391F"/>
    <w:rsid w:val="001D433E"/>
    <w:rsid w:val="001D5180"/>
    <w:rsid w:val="001D5323"/>
    <w:rsid w:val="001D578D"/>
    <w:rsid w:val="001D57A0"/>
    <w:rsid w:val="001D5BC9"/>
    <w:rsid w:val="001D6359"/>
    <w:rsid w:val="001D671D"/>
    <w:rsid w:val="001D7868"/>
    <w:rsid w:val="001D7C76"/>
    <w:rsid w:val="001E0320"/>
    <w:rsid w:val="001E09C9"/>
    <w:rsid w:val="001E1CFF"/>
    <w:rsid w:val="001E1DC1"/>
    <w:rsid w:val="001E23F1"/>
    <w:rsid w:val="001E39E4"/>
    <w:rsid w:val="001E3AE8"/>
    <w:rsid w:val="001E4CD4"/>
    <w:rsid w:val="001E641D"/>
    <w:rsid w:val="001E6BEF"/>
    <w:rsid w:val="001E7678"/>
    <w:rsid w:val="001E7B61"/>
    <w:rsid w:val="001E7CF3"/>
    <w:rsid w:val="001E7D2A"/>
    <w:rsid w:val="001F0317"/>
    <w:rsid w:val="001F1194"/>
    <w:rsid w:val="001F1BA2"/>
    <w:rsid w:val="001F1E19"/>
    <w:rsid w:val="001F22C7"/>
    <w:rsid w:val="001F2CC2"/>
    <w:rsid w:val="001F2D95"/>
    <w:rsid w:val="001F3290"/>
    <w:rsid w:val="001F33F5"/>
    <w:rsid w:val="001F36D8"/>
    <w:rsid w:val="001F4917"/>
    <w:rsid w:val="001F4D26"/>
    <w:rsid w:val="001F554F"/>
    <w:rsid w:val="001F5E72"/>
    <w:rsid w:val="001F5F15"/>
    <w:rsid w:val="001F641E"/>
    <w:rsid w:val="001F6D55"/>
    <w:rsid w:val="001F6F49"/>
    <w:rsid w:val="001F7614"/>
    <w:rsid w:val="001F7BD0"/>
    <w:rsid w:val="002002D9"/>
    <w:rsid w:val="00200EE6"/>
    <w:rsid w:val="00201805"/>
    <w:rsid w:val="00201C5F"/>
    <w:rsid w:val="002035CF"/>
    <w:rsid w:val="00203782"/>
    <w:rsid w:val="0020395C"/>
    <w:rsid w:val="00204C62"/>
    <w:rsid w:val="002059BF"/>
    <w:rsid w:val="00205C75"/>
    <w:rsid w:val="00207126"/>
    <w:rsid w:val="002103DF"/>
    <w:rsid w:val="00210733"/>
    <w:rsid w:val="00211598"/>
    <w:rsid w:val="00211FD0"/>
    <w:rsid w:val="0021227A"/>
    <w:rsid w:val="00213EE8"/>
    <w:rsid w:val="002142A0"/>
    <w:rsid w:val="002146F8"/>
    <w:rsid w:val="00214A46"/>
    <w:rsid w:val="00214C4B"/>
    <w:rsid w:val="00214C8B"/>
    <w:rsid w:val="00215245"/>
    <w:rsid w:val="0021581B"/>
    <w:rsid w:val="00216EC9"/>
    <w:rsid w:val="0021701B"/>
    <w:rsid w:val="00217D6B"/>
    <w:rsid w:val="00220251"/>
    <w:rsid w:val="0022119F"/>
    <w:rsid w:val="00222FBF"/>
    <w:rsid w:val="002238F0"/>
    <w:rsid w:val="00223FC5"/>
    <w:rsid w:val="002248B5"/>
    <w:rsid w:val="00224A4E"/>
    <w:rsid w:val="00224D1C"/>
    <w:rsid w:val="00225954"/>
    <w:rsid w:val="00225AB5"/>
    <w:rsid w:val="00225C0F"/>
    <w:rsid w:val="00225D0A"/>
    <w:rsid w:val="00225E65"/>
    <w:rsid w:val="002260BC"/>
    <w:rsid w:val="00226241"/>
    <w:rsid w:val="00230D2E"/>
    <w:rsid w:val="00231010"/>
    <w:rsid w:val="0023171C"/>
    <w:rsid w:val="00233B52"/>
    <w:rsid w:val="00233CD8"/>
    <w:rsid w:val="00233F87"/>
    <w:rsid w:val="002348F7"/>
    <w:rsid w:val="00236130"/>
    <w:rsid w:val="00237285"/>
    <w:rsid w:val="002376F4"/>
    <w:rsid w:val="002378C7"/>
    <w:rsid w:val="00237C4A"/>
    <w:rsid w:val="00240ABE"/>
    <w:rsid w:val="00240AC2"/>
    <w:rsid w:val="002412EC"/>
    <w:rsid w:val="00241449"/>
    <w:rsid w:val="00241B0D"/>
    <w:rsid w:val="00241CF4"/>
    <w:rsid w:val="00241EFD"/>
    <w:rsid w:val="00242061"/>
    <w:rsid w:val="0024397C"/>
    <w:rsid w:val="00243F49"/>
    <w:rsid w:val="002441EB"/>
    <w:rsid w:val="00244F84"/>
    <w:rsid w:val="0024540D"/>
    <w:rsid w:val="00245AC6"/>
    <w:rsid w:val="00247086"/>
    <w:rsid w:val="0024731D"/>
    <w:rsid w:val="00247C9A"/>
    <w:rsid w:val="00247E00"/>
    <w:rsid w:val="00247F96"/>
    <w:rsid w:val="00247FF8"/>
    <w:rsid w:val="00250F87"/>
    <w:rsid w:val="002511D8"/>
    <w:rsid w:val="002516FF"/>
    <w:rsid w:val="00251B8B"/>
    <w:rsid w:val="00253676"/>
    <w:rsid w:val="00254848"/>
    <w:rsid w:val="00254903"/>
    <w:rsid w:val="00254A8C"/>
    <w:rsid w:val="00254E37"/>
    <w:rsid w:val="00254F7B"/>
    <w:rsid w:val="002551E5"/>
    <w:rsid w:val="0025549C"/>
    <w:rsid w:val="002561C6"/>
    <w:rsid w:val="0025732C"/>
    <w:rsid w:val="00257591"/>
    <w:rsid w:val="00260872"/>
    <w:rsid w:val="002614DF"/>
    <w:rsid w:val="00261E9A"/>
    <w:rsid w:val="0026288C"/>
    <w:rsid w:val="00262969"/>
    <w:rsid w:val="00262D51"/>
    <w:rsid w:val="002636BA"/>
    <w:rsid w:val="0026381B"/>
    <w:rsid w:val="002640F2"/>
    <w:rsid w:val="00264250"/>
    <w:rsid w:val="00265486"/>
    <w:rsid w:val="002656EE"/>
    <w:rsid w:val="00265D3E"/>
    <w:rsid w:val="0026607A"/>
    <w:rsid w:val="0026675B"/>
    <w:rsid w:val="00266AE2"/>
    <w:rsid w:val="00266DAF"/>
    <w:rsid w:val="00267354"/>
    <w:rsid w:val="0026775B"/>
    <w:rsid w:val="00270774"/>
    <w:rsid w:val="00271630"/>
    <w:rsid w:val="002716EB"/>
    <w:rsid w:val="00271B6D"/>
    <w:rsid w:val="00273017"/>
    <w:rsid w:val="00273281"/>
    <w:rsid w:val="002738EE"/>
    <w:rsid w:val="00275419"/>
    <w:rsid w:val="00276AA1"/>
    <w:rsid w:val="00277D1F"/>
    <w:rsid w:val="002801C0"/>
    <w:rsid w:val="0028047D"/>
    <w:rsid w:val="002805C4"/>
    <w:rsid w:val="00280BD6"/>
    <w:rsid w:val="00280D1E"/>
    <w:rsid w:val="0028137F"/>
    <w:rsid w:val="00282844"/>
    <w:rsid w:val="00282ED9"/>
    <w:rsid w:val="0028341B"/>
    <w:rsid w:val="00286037"/>
    <w:rsid w:val="00286161"/>
    <w:rsid w:val="002866CB"/>
    <w:rsid w:val="002869B8"/>
    <w:rsid w:val="002869C2"/>
    <w:rsid w:val="0028775C"/>
    <w:rsid w:val="00287B59"/>
    <w:rsid w:val="00287F04"/>
    <w:rsid w:val="00290557"/>
    <w:rsid w:val="002905B5"/>
    <w:rsid w:val="00290DA1"/>
    <w:rsid w:val="0029191A"/>
    <w:rsid w:val="00292585"/>
    <w:rsid w:val="002927CD"/>
    <w:rsid w:val="00292D4B"/>
    <w:rsid w:val="0029307D"/>
    <w:rsid w:val="00293A31"/>
    <w:rsid w:val="00293DD3"/>
    <w:rsid w:val="002943E7"/>
    <w:rsid w:val="002957BA"/>
    <w:rsid w:val="0029586C"/>
    <w:rsid w:val="00295EA3"/>
    <w:rsid w:val="0029668A"/>
    <w:rsid w:val="002968F9"/>
    <w:rsid w:val="00296D98"/>
    <w:rsid w:val="0029784A"/>
    <w:rsid w:val="00297E74"/>
    <w:rsid w:val="002A0284"/>
    <w:rsid w:val="002A0D1C"/>
    <w:rsid w:val="002A1BC1"/>
    <w:rsid w:val="002A2AC7"/>
    <w:rsid w:val="002A37F8"/>
    <w:rsid w:val="002A3EF4"/>
    <w:rsid w:val="002A41C4"/>
    <w:rsid w:val="002A423C"/>
    <w:rsid w:val="002A4835"/>
    <w:rsid w:val="002A4FB2"/>
    <w:rsid w:val="002A7267"/>
    <w:rsid w:val="002B062F"/>
    <w:rsid w:val="002B2203"/>
    <w:rsid w:val="002B28CE"/>
    <w:rsid w:val="002B2991"/>
    <w:rsid w:val="002B2F2F"/>
    <w:rsid w:val="002B3317"/>
    <w:rsid w:val="002B3A29"/>
    <w:rsid w:val="002B3AA3"/>
    <w:rsid w:val="002B3E78"/>
    <w:rsid w:val="002B4560"/>
    <w:rsid w:val="002B4798"/>
    <w:rsid w:val="002B4AA3"/>
    <w:rsid w:val="002B4E7D"/>
    <w:rsid w:val="002B55B1"/>
    <w:rsid w:val="002B5837"/>
    <w:rsid w:val="002B5A8D"/>
    <w:rsid w:val="002B5FF5"/>
    <w:rsid w:val="002B6FF1"/>
    <w:rsid w:val="002B7106"/>
    <w:rsid w:val="002B7132"/>
    <w:rsid w:val="002C048B"/>
    <w:rsid w:val="002C07DE"/>
    <w:rsid w:val="002C1E79"/>
    <w:rsid w:val="002C30EF"/>
    <w:rsid w:val="002C3B4B"/>
    <w:rsid w:val="002C4017"/>
    <w:rsid w:val="002C431C"/>
    <w:rsid w:val="002C4FE3"/>
    <w:rsid w:val="002C560E"/>
    <w:rsid w:val="002C6096"/>
    <w:rsid w:val="002C6331"/>
    <w:rsid w:val="002C6FA8"/>
    <w:rsid w:val="002C7E7C"/>
    <w:rsid w:val="002D1B58"/>
    <w:rsid w:val="002D1CF0"/>
    <w:rsid w:val="002D200E"/>
    <w:rsid w:val="002D293C"/>
    <w:rsid w:val="002D2C68"/>
    <w:rsid w:val="002D30E3"/>
    <w:rsid w:val="002D31DF"/>
    <w:rsid w:val="002D33BC"/>
    <w:rsid w:val="002D5685"/>
    <w:rsid w:val="002D5CA2"/>
    <w:rsid w:val="002D7FF8"/>
    <w:rsid w:val="002E03B1"/>
    <w:rsid w:val="002E0F8E"/>
    <w:rsid w:val="002E121C"/>
    <w:rsid w:val="002E17EA"/>
    <w:rsid w:val="002E1966"/>
    <w:rsid w:val="002E22D9"/>
    <w:rsid w:val="002E2F26"/>
    <w:rsid w:val="002E37E5"/>
    <w:rsid w:val="002E3E53"/>
    <w:rsid w:val="002E3F41"/>
    <w:rsid w:val="002E4921"/>
    <w:rsid w:val="002E4FD0"/>
    <w:rsid w:val="002E5029"/>
    <w:rsid w:val="002E5CC2"/>
    <w:rsid w:val="002E6559"/>
    <w:rsid w:val="002E6593"/>
    <w:rsid w:val="002E6B20"/>
    <w:rsid w:val="002E6DF7"/>
    <w:rsid w:val="002F0756"/>
    <w:rsid w:val="002F081C"/>
    <w:rsid w:val="002F09F5"/>
    <w:rsid w:val="002F0DAF"/>
    <w:rsid w:val="002F1C42"/>
    <w:rsid w:val="002F2AAD"/>
    <w:rsid w:val="002F2DC0"/>
    <w:rsid w:val="002F3BC9"/>
    <w:rsid w:val="002F41DC"/>
    <w:rsid w:val="002F4BE8"/>
    <w:rsid w:val="002F6EEE"/>
    <w:rsid w:val="002F739E"/>
    <w:rsid w:val="002F7BD3"/>
    <w:rsid w:val="003003E3"/>
    <w:rsid w:val="003009C8"/>
    <w:rsid w:val="003009E0"/>
    <w:rsid w:val="00302BAA"/>
    <w:rsid w:val="003033C3"/>
    <w:rsid w:val="0030492F"/>
    <w:rsid w:val="003051F6"/>
    <w:rsid w:val="00305259"/>
    <w:rsid w:val="003053CB"/>
    <w:rsid w:val="0030559F"/>
    <w:rsid w:val="0030574D"/>
    <w:rsid w:val="00305984"/>
    <w:rsid w:val="0030676A"/>
    <w:rsid w:val="003072F9"/>
    <w:rsid w:val="003109FC"/>
    <w:rsid w:val="00311187"/>
    <w:rsid w:val="003114FB"/>
    <w:rsid w:val="003117DC"/>
    <w:rsid w:val="00311DEE"/>
    <w:rsid w:val="00311FAD"/>
    <w:rsid w:val="003123A5"/>
    <w:rsid w:val="003126D1"/>
    <w:rsid w:val="00312D9F"/>
    <w:rsid w:val="00313505"/>
    <w:rsid w:val="00313FA3"/>
    <w:rsid w:val="003140FD"/>
    <w:rsid w:val="00314CF4"/>
    <w:rsid w:val="00315272"/>
    <w:rsid w:val="00315650"/>
    <w:rsid w:val="003167B3"/>
    <w:rsid w:val="0031734F"/>
    <w:rsid w:val="00320B60"/>
    <w:rsid w:val="00320FFE"/>
    <w:rsid w:val="00321BE1"/>
    <w:rsid w:val="0032228C"/>
    <w:rsid w:val="00322A17"/>
    <w:rsid w:val="00322AFD"/>
    <w:rsid w:val="0032342F"/>
    <w:rsid w:val="003245FB"/>
    <w:rsid w:val="0032464F"/>
    <w:rsid w:val="00325261"/>
    <w:rsid w:val="00325308"/>
    <w:rsid w:val="003255D3"/>
    <w:rsid w:val="00325D2E"/>
    <w:rsid w:val="00325F1E"/>
    <w:rsid w:val="00326B6F"/>
    <w:rsid w:val="003272C0"/>
    <w:rsid w:val="00327565"/>
    <w:rsid w:val="00327D4E"/>
    <w:rsid w:val="00330526"/>
    <w:rsid w:val="00330BE8"/>
    <w:rsid w:val="003310D7"/>
    <w:rsid w:val="003311A2"/>
    <w:rsid w:val="00331803"/>
    <w:rsid w:val="00331C90"/>
    <w:rsid w:val="00332897"/>
    <w:rsid w:val="00332D11"/>
    <w:rsid w:val="00333023"/>
    <w:rsid w:val="003351AE"/>
    <w:rsid w:val="0033552D"/>
    <w:rsid w:val="00335B4C"/>
    <w:rsid w:val="003360B6"/>
    <w:rsid w:val="0033697A"/>
    <w:rsid w:val="00336AEA"/>
    <w:rsid w:val="00337EC2"/>
    <w:rsid w:val="00340450"/>
    <w:rsid w:val="00342B63"/>
    <w:rsid w:val="0034351A"/>
    <w:rsid w:val="003444F4"/>
    <w:rsid w:val="00344AC2"/>
    <w:rsid w:val="00344F00"/>
    <w:rsid w:val="00345660"/>
    <w:rsid w:val="00345801"/>
    <w:rsid w:val="003467E2"/>
    <w:rsid w:val="00346C7C"/>
    <w:rsid w:val="00346EAB"/>
    <w:rsid w:val="0034722D"/>
    <w:rsid w:val="003478CB"/>
    <w:rsid w:val="00350050"/>
    <w:rsid w:val="0035029E"/>
    <w:rsid w:val="0035086A"/>
    <w:rsid w:val="00351BFA"/>
    <w:rsid w:val="0035259B"/>
    <w:rsid w:val="00353BB9"/>
    <w:rsid w:val="0035460B"/>
    <w:rsid w:val="003548AC"/>
    <w:rsid w:val="00354E43"/>
    <w:rsid w:val="00354FD5"/>
    <w:rsid w:val="00355DAD"/>
    <w:rsid w:val="00355F12"/>
    <w:rsid w:val="00356873"/>
    <w:rsid w:val="003568C9"/>
    <w:rsid w:val="00356E51"/>
    <w:rsid w:val="0036004B"/>
    <w:rsid w:val="00360EFB"/>
    <w:rsid w:val="0036178B"/>
    <w:rsid w:val="00361D41"/>
    <w:rsid w:val="003620E5"/>
    <w:rsid w:val="00362664"/>
    <w:rsid w:val="0036373F"/>
    <w:rsid w:val="00363AFE"/>
    <w:rsid w:val="00363C55"/>
    <w:rsid w:val="003651AF"/>
    <w:rsid w:val="00365901"/>
    <w:rsid w:val="00365B33"/>
    <w:rsid w:val="00365EDD"/>
    <w:rsid w:val="00366837"/>
    <w:rsid w:val="00367C64"/>
    <w:rsid w:val="0037016B"/>
    <w:rsid w:val="0037021C"/>
    <w:rsid w:val="003704EF"/>
    <w:rsid w:val="003713D6"/>
    <w:rsid w:val="003718EF"/>
    <w:rsid w:val="00371C3B"/>
    <w:rsid w:val="003721A5"/>
    <w:rsid w:val="00372B09"/>
    <w:rsid w:val="00372D9C"/>
    <w:rsid w:val="00373818"/>
    <w:rsid w:val="0037445F"/>
    <w:rsid w:val="003749AD"/>
    <w:rsid w:val="00374F69"/>
    <w:rsid w:val="00376AC7"/>
    <w:rsid w:val="00376F32"/>
    <w:rsid w:val="00377160"/>
    <w:rsid w:val="00377F5F"/>
    <w:rsid w:val="00380955"/>
    <w:rsid w:val="0038097D"/>
    <w:rsid w:val="00380A3A"/>
    <w:rsid w:val="003811A6"/>
    <w:rsid w:val="00381476"/>
    <w:rsid w:val="0038150A"/>
    <w:rsid w:val="00381736"/>
    <w:rsid w:val="00381CC3"/>
    <w:rsid w:val="00383956"/>
    <w:rsid w:val="00383C66"/>
    <w:rsid w:val="00383ED0"/>
    <w:rsid w:val="003847E0"/>
    <w:rsid w:val="00384B93"/>
    <w:rsid w:val="0038658E"/>
    <w:rsid w:val="0038689B"/>
    <w:rsid w:val="003874D0"/>
    <w:rsid w:val="00390832"/>
    <w:rsid w:val="00390BBB"/>
    <w:rsid w:val="00390FC5"/>
    <w:rsid w:val="00392096"/>
    <w:rsid w:val="00392313"/>
    <w:rsid w:val="0039236A"/>
    <w:rsid w:val="00392614"/>
    <w:rsid w:val="00392B5F"/>
    <w:rsid w:val="003943ED"/>
    <w:rsid w:val="00394B5C"/>
    <w:rsid w:val="00395220"/>
    <w:rsid w:val="0039649F"/>
    <w:rsid w:val="00396BCD"/>
    <w:rsid w:val="003A03F1"/>
    <w:rsid w:val="003A20A5"/>
    <w:rsid w:val="003A23D6"/>
    <w:rsid w:val="003A313D"/>
    <w:rsid w:val="003A3A1D"/>
    <w:rsid w:val="003A4451"/>
    <w:rsid w:val="003A4EC1"/>
    <w:rsid w:val="003A5102"/>
    <w:rsid w:val="003A5531"/>
    <w:rsid w:val="003A578F"/>
    <w:rsid w:val="003A5B72"/>
    <w:rsid w:val="003A6A8C"/>
    <w:rsid w:val="003B0C20"/>
    <w:rsid w:val="003B1C55"/>
    <w:rsid w:val="003B2245"/>
    <w:rsid w:val="003B29D8"/>
    <w:rsid w:val="003B3594"/>
    <w:rsid w:val="003B3955"/>
    <w:rsid w:val="003B3C59"/>
    <w:rsid w:val="003B5165"/>
    <w:rsid w:val="003B5B28"/>
    <w:rsid w:val="003B5E6F"/>
    <w:rsid w:val="003B63E6"/>
    <w:rsid w:val="003B769C"/>
    <w:rsid w:val="003B7A53"/>
    <w:rsid w:val="003C0646"/>
    <w:rsid w:val="003C0697"/>
    <w:rsid w:val="003C2028"/>
    <w:rsid w:val="003C2051"/>
    <w:rsid w:val="003C25A8"/>
    <w:rsid w:val="003C2AC0"/>
    <w:rsid w:val="003C38AE"/>
    <w:rsid w:val="003C3A04"/>
    <w:rsid w:val="003C4A30"/>
    <w:rsid w:val="003C4BF0"/>
    <w:rsid w:val="003C510C"/>
    <w:rsid w:val="003C5171"/>
    <w:rsid w:val="003C51D1"/>
    <w:rsid w:val="003C58FC"/>
    <w:rsid w:val="003C60B5"/>
    <w:rsid w:val="003C650F"/>
    <w:rsid w:val="003C6834"/>
    <w:rsid w:val="003D021C"/>
    <w:rsid w:val="003D23E8"/>
    <w:rsid w:val="003D2680"/>
    <w:rsid w:val="003D2878"/>
    <w:rsid w:val="003D2C70"/>
    <w:rsid w:val="003D3B14"/>
    <w:rsid w:val="003D4523"/>
    <w:rsid w:val="003D61D0"/>
    <w:rsid w:val="003D6909"/>
    <w:rsid w:val="003D7AF2"/>
    <w:rsid w:val="003D7ED2"/>
    <w:rsid w:val="003E06C0"/>
    <w:rsid w:val="003E0939"/>
    <w:rsid w:val="003E1020"/>
    <w:rsid w:val="003E12CD"/>
    <w:rsid w:val="003E33E7"/>
    <w:rsid w:val="003E3441"/>
    <w:rsid w:val="003E3663"/>
    <w:rsid w:val="003E3C56"/>
    <w:rsid w:val="003E7457"/>
    <w:rsid w:val="003E7670"/>
    <w:rsid w:val="003E793E"/>
    <w:rsid w:val="003F01DD"/>
    <w:rsid w:val="003F0B98"/>
    <w:rsid w:val="003F0C14"/>
    <w:rsid w:val="003F0D08"/>
    <w:rsid w:val="003F4220"/>
    <w:rsid w:val="003F4289"/>
    <w:rsid w:val="003F4556"/>
    <w:rsid w:val="003F61FC"/>
    <w:rsid w:val="003F6C27"/>
    <w:rsid w:val="003F6E8D"/>
    <w:rsid w:val="003F7D1A"/>
    <w:rsid w:val="004005ED"/>
    <w:rsid w:val="00400D83"/>
    <w:rsid w:val="00402DAA"/>
    <w:rsid w:val="00402F06"/>
    <w:rsid w:val="00403E06"/>
    <w:rsid w:val="00403EDF"/>
    <w:rsid w:val="00403F7C"/>
    <w:rsid w:val="00404999"/>
    <w:rsid w:val="004051EC"/>
    <w:rsid w:val="00405C38"/>
    <w:rsid w:val="00406F01"/>
    <w:rsid w:val="00411297"/>
    <w:rsid w:val="004119C1"/>
    <w:rsid w:val="004126C8"/>
    <w:rsid w:val="00412719"/>
    <w:rsid w:val="0041299B"/>
    <w:rsid w:val="00412D5A"/>
    <w:rsid w:val="00413C4F"/>
    <w:rsid w:val="004144EC"/>
    <w:rsid w:val="004153A3"/>
    <w:rsid w:val="00415D5E"/>
    <w:rsid w:val="0041602E"/>
    <w:rsid w:val="004160CD"/>
    <w:rsid w:val="00417281"/>
    <w:rsid w:val="004175D4"/>
    <w:rsid w:val="00417CA2"/>
    <w:rsid w:val="00417DFE"/>
    <w:rsid w:val="004219D5"/>
    <w:rsid w:val="00422683"/>
    <w:rsid w:val="00422D2E"/>
    <w:rsid w:val="00424556"/>
    <w:rsid w:val="00424762"/>
    <w:rsid w:val="00424AD5"/>
    <w:rsid w:val="00424B7D"/>
    <w:rsid w:val="00424C1C"/>
    <w:rsid w:val="00425A0C"/>
    <w:rsid w:val="00426156"/>
    <w:rsid w:val="004266BD"/>
    <w:rsid w:val="00426B4A"/>
    <w:rsid w:val="00426E09"/>
    <w:rsid w:val="00427EF5"/>
    <w:rsid w:val="00430B78"/>
    <w:rsid w:val="004324AB"/>
    <w:rsid w:val="00432C3E"/>
    <w:rsid w:val="004333CA"/>
    <w:rsid w:val="0043378F"/>
    <w:rsid w:val="00434F9A"/>
    <w:rsid w:val="00435160"/>
    <w:rsid w:val="0043577E"/>
    <w:rsid w:val="00435BC1"/>
    <w:rsid w:val="00435C18"/>
    <w:rsid w:val="00436A7E"/>
    <w:rsid w:val="00437368"/>
    <w:rsid w:val="004373F9"/>
    <w:rsid w:val="0043787F"/>
    <w:rsid w:val="00437B6A"/>
    <w:rsid w:val="00440ACD"/>
    <w:rsid w:val="00440C9C"/>
    <w:rsid w:val="00441164"/>
    <w:rsid w:val="0044147A"/>
    <w:rsid w:val="004432EC"/>
    <w:rsid w:val="004435F7"/>
    <w:rsid w:val="004440E0"/>
    <w:rsid w:val="004446C7"/>
    <w:rsid w:val="00444877"/>
    <w:rsid w:val="00444B80"/>
    <w:rsid w:val="00445134"/>
    <w:rsid w:val="00445F36"/>
    <w:rsid w:val="00446E30"/>
    <w:rsid w:val="00446EFE"/>
    <w:rsid w:val="004471D7"/>
    <w:rsid w:val="004476A7"/>
    <w:rsid w:val="00447E78"/>
    <w:rsid w:val="0045140D"/>
    <w:rsid w:val="00451484"/>
    <w:rsid w:val="004515A3"/>
    <w:rsid w:val="00452518"/>
    <w:rsid w:val="00454206"/>
    <w:rsid w:val="00454D73"/>
    <w:rsid w:val="00455B33"/>
    <w:rsid w:val="00456D95"/>
    <w:rsid w:val="00457148"/>
    <w:rsid w:val="0046096F"/>
    <w:rsid w:val="00460CAB"/>
    <w:rsid w:val="0046227B"/>
    <w:rsid w:val="004640CD"/>
    <w:rsid w:val="0046541E"/>
    <w:rsid w:val="00465435"/>
    <w:rsid w:val="004658DB"/>
    <w:rsid w:val="00466222"/>
    <w:rsid w:val="004662F7"/>
    <w:rsid w:val="00466C31"/>
    <w:rsid w:val="00470E74"/>
    <w:rsid w:val="0047150E"/>
    <w:rsid w:val="004739C1"/>
    <w:rsid w:val="00473AF0"/>
    <w:rsid w:val="00473E92"/>
    <w:rsid w:val="00475C84"/>
    <w:rsid w:val="00475E3F"/>
    <w:rsid w:val="0047622A"/>
    <w:rsid w:val="00476644"/>
    <w:rsid w:val="00477AAA"/>
    <w:rsid w:val="00481415"/>
    <w:rsid w:val="00481FFA"/>
    <w:rsid w:val="00482DE8"/>
    <w:rsid w:val="00483728"/>
    <w:rsid w:val="0048433C"/>
    <w:rsid w:val="004846D5"/>
    <w:rsid w:val="00484BA3"/>
    <w:rsid w:val="00484D54"/>
    <w:rsid w:val="00484DDA"/>
    <w:rsid w:val="00484F75"/>
    <w:rsid w:val="0048532E"/>
    <w:rsid w:val="00485BD8"/>
    <w:rsid w:val="0048640C"/>
    <w:rsid w:val="00486C33"/>
    <w:rsid w:val="004870D9"/>
    <w:rsid w:val="0048789D"/>
    <w:rsid w:val="00487F84"/>
    <w:rsid w:val="0049047E"/>
    <w:rsid w:val="00490771"/>
    <w:rsid w:val="00491788"/>
    <w:rsid w:val="00491DF3"/>
    <w:rsid w:val="00492272"/>
    <w:rsid w:val="00492AA5"/>
    <w:rsid w:val="00493FE4"/>
    <w:rsid w:val="00494705"/>
    <w:rsid w:val="00494B46"/>
    <w:rsid w:val="00494D81"/>
    <w:rsid w:val="004958EA"/>
    <w:rsid w:val="00495A4D"/>
    <w:rsid w:val="00496187"/>
    <w:rsid w:val="004971EE"/>
    <w:rsid w:val="004971F2"/>
    <w:rsid w:val="004975C0"/>
    <w:rsid w:val="00497F69"/>
    <w:rsid w:val="004A06F4"/>
    <w:rsid w:val="004A0913"/>
    <w:rsid w:val="004A0F6A"/>
    <w:rsid w:val="004A1217"/>
    <w:rsid w:val="004A25F6"/>
    <w:rsid w:val="004A58ED"/>
    <w:rsid w:val="004A6A6F"/>
    <w:rsid w:val="004A7813"/>
    <w:rsid w:val="004B01FC"/>
    <w:rsid w:val="004B03D4"/>
    <w:rsid w:val="004B08A8"/>
    <w:rsid w:val="004B17D8"/>
    <w:rsid w:val="004B1E28"/>
    <w:rsid w:val="004B2D49"/>
    <w:rsid w:val="004B3290"/>
    <w:rsid w:val="004B3DC7"/>
    <w:rsid w:val="004B4229"/>
    <w:rsid w:val="004B4369"/>
    <w:rsid w:val="004B444D"/>
    <w:rsid w:val="004B54B3"/>
    <w:rsid w:val="004B57F5"/>
    <w:rsid w:val="004B6261"/>
    <w:rsid w:val="004B671C"/>
    <w:rsid w:val="004C0417"/>
    <w:rsid w:val="004C09C8"/>
    <w:rsid w:val="004C0F58"/>
    <w:rsid w:val="004C1C52"/>
    <w:rsid w:val="004C1E27"/>
    <w:rsid w:val="004C27F9"/>
    <w:rsid w:val="004C2994"/>
    <w:rsid w:val="004C3E81"/>
    <w:rsid w:val="004C5832"/>
    <w:rsid w:val="004C596F"/>
    <w:rsid w:val="004C5A56"/>
    <w:rsid w:val="004C5B24"/>
    <w:rsid w:val="004C6EF4"/>
    <w:rsid w:val="004C7568"/>
    <w:rsid w:val="004C7A11"/>
    <w:rsid w:val="004D0B61"/>
    <w:rsid w:val="004D1617"/>
    <w:rsid w:val="004D1C0F"/>
    <w:rsid w:val="004D1DDA"/>
    <w:rsid w:val="004D2063"/>
    <w:rsid w:val="004D2575"/>
    <w:rsid w:val="004D3812"/>
    <w:rsid w:val="004D4716"/>
    <w:rsid w:val="004D4EBC"/>
    <w:rsid w:val="004D5BCA"/>
    <w:rsid w:val="004D6AC1"/>
    <w:rsid w:val="004D6D25"/>
    <w:rsid w:val="004D70AC"/>
    <w:rsid w:val="004D7F1B"/>
    <w:rsid w:val="004E0210"/>
    <w:rsid w:val="004E058D"/>
    <w:rsid w:val="004E0A59"/>
    <w:rsid w:val="004E0F34"/>
    <w:rsid w:val="004E1644"/>
    <w:rsid w:val="004E174A"/>
    <w:rsid w:val="004E17E9"/>
    <w:rsid w:val="004E3539"/>
    <w:rsid w:val="004E3A56"/>
    <w:rsid w:val="004E3BF5"/>
    <w:rsid w:val="004E3E5D"/>
    <w:rsid w:val="004E41BE"/>
    <w:rsid w:val="004E4543"/>
    <w:rsid w:val="004E4723"/>
    <w:rsid w:val="004E49FA"/>
    <w:rsid w:val="004E5A87"/>
    <w:rsid w:val="004E77CB"/>
    <w:rsid w:val="004E7ED2"/>
    <w:rsid w:val="004F0E88"/>
    <w:rsid w:val="004F199D"/>
    <w:rsid w:val="004F1A73"/>
    <w:rsid w:val="004F24F0"/>
    <w:rsid w:val="004F26BA"/>
    <w:rsid w:val="004F3538"/>
    <w:rsid w:val="004F3B1E"/>
    <w:rsid w:val="004F4EA9"/>
    <w:rsid w:val="004F527E"/>
    <w:rsid w:val="004F5885"/>
    <w:rsid w:val="004F6133"/>
    <w:rsid w:val="004F64C5"/>
    <w:rsid w:val="004F6999"/>
    <w:rsid w:val="004F7831"/>
    <w:rsid w:val="004F7951"/>
    <w:rsid w:val="004F7976"/>
    <w:rsid w:val="00500F6F"/>
    <w:rsid w:val="00500FA2"/>
    <w:rsid w:val="0050139C"/>
    <w:rsid w:val="00501A8F"/>
    <w:rsid w:val="00501BBF"/>
    <w:rsid w:val="0050297F"/>
    <w:rsid w:val="00502C9C"/>
    <w:rsid w:val="00502CF1"/>
    <w:rsid w:val="0050384D"/>
    <w:rsid w:val="00504D8E"/>
    <w:rsid w:val="0050656A"/>
    <w:rsid w:val="00506F54"/>
    <w:rsid w:val="00507428"/>
    <w:rsid w:val="00510B52"/>
    <w:rsid w:val="00510E32"/>
    <w:rsid w:val="00512554"/>
    <w:rsid w:val="00512973"/>
    <w:rsid w:val="00512E4D"/>
    <w:rsid w:val="00513A2A"/>
    <w:rsid w:val="0051434B"/>
    <w:rsid w:val="00514929"/>
    <w:rsid w:val="00515AEE"/>
    <w:rsid w:val="00516264"/>
    <w:rsid w:val="00520A8D"/>
    <w:rsid w:val="00520CC1"/>
    <w:rsid w:val="0052368B"/>
    <w:rsid w:val="00523E41"/>
    <w:rsid w:val="00523EDE"/>
    <w:rsid w:val="005247FB"/>
    <w:rsid w:val="00524D23"/>
    <w:rsid w:val="00526273"/>
    <w:rsid w:val="005262C3"/>
    <w:rsid w:val="00527150"/>
    <w:rsid w:val="00527DED"/>
    <w:rsid w:val="0053063F"/>
    <w:rsid w:val="005313E0"/>
    <w:rsid w:val="00531677"/>
    <w:rsid w:val="0053288A"/>
    <w:rsid w:val="00532AF8"/>
    <w:rsid w:val="00532C07"/>
    <w:rsid w:val="00532FAF"/>
    <w:rsid w:val="00534CBF"/>
    <w:rsid w:val="00534CE1"/>
    <w:rsid w:val="005358B8"/>
    <w:rsid w:val="00537CBF"/>
    <w:rsid w:val="00537CE9"/>
    <w:rsid w:val="00540E21"/>
    <w:rsid w:val="00541312"/>
    <w:rsid w:val="00543A4E"/>
    <w:rsid w:val="00543DF4"/>
    <w:rsid w:val="00544344"/>
    <w:rsid w:val="00544420"/>
    <w:rsid w:val="005451AA"/>
    <w:rsid w:val="0054586E"/>
    <w:rsid w:val="00546442"/>
    <w:rsid w:val="005464EB"/>
    <w:rsid w:val="005465A3"/>
    <w:rsid w:val="00547116"/>
    <w:rsid w:val="0055004F"/>
    <w:rsid w:val="005504A5"/>
    <w:rsid w:val="00551612"/>
    <w:rsid w:val="0055269C"/>
    <w:rsid w:val="00552D3E"/>
    <w:rsid w:val="00553470"/>
    <w:rsid w:val="005538D1"/>
    <w:rsid w:val="0055414C"/>
    <w:rsid w:val="005559AF"/>
    <w:rsid w:val="00556271"/>
    <w:rsid w:val="005562DC"/>
    <w:rsid w:val="005569A7"/>
    <w:rsid w:val="005578C9"/>
    <w:rsid w:val="00557F44"/>
    <w:rsid w:val="00560129"/>
    <w:rsid w:val="00560277"/>
    <w:rsid w:val="00560616"/>
    <w:rsid w:val="0056105F"/>
    <w:rsid w:val="005619F8"/>
    <w:rsid w:val="00562078"/>
    <w:rsid w:val="00562C66"/>
    <w:rsid w:val="00563978"/>
    <w:rsid w:val="00563E76"/>
    <w:rsid w:val="005653BD"/>
    <w:rsid w:val="005655BB"/>
    <w:rsid w:val="0056568A"/>
    <w:rsid w:val="005665FA"/>
    <w:rsid w:val="00566904"/>
    <w:rsid w:val="00566A4B"/>
    <w:rsid w:val="0057020A"/>
    <w:rsid w:val="00570D2F"/>
    <w:rsid w:val="00570D6C"/>
    <w:rsid w:val="00571059"/>
    <w:rsid w:val="00572053"/>
    <w:rsid w:val="00572240"/>
    <w:rsid w:val="00572512"/>
    <w:rsid w:val="00573070"/>
    <w:rsid w:val="005740B3"/>
    <w:rsid w:val="005747EC"/>
    <w:rsid w:val="00574910"/>
    <w:rsid w:val="00574F21"/>
    <w:rsid w:val="0057519A"/>
    <w:rsid w:val="00575255"/>
    <w:rsid w:val="00576061"/>
    <w:rsid w:val="005764B7"/>
    <w:rsid w:val="00576747"/>
    <w:rsid w:val="00576E27"/>
    <w:rsid w:val="00580345"/>
    <w:rsid w:val="00580598"/>
    <w:rsid w:val="005805C8"/>
    <w:rsid w:val="00581246"/>
    <w:rsid w:val="005821F7"/>
    <w:rsid w:val="00582200"/>
    <w:rsid w:val="00582BA5"/>
    <w:rsid w:val="00582D1E"/>
    <w:rsid w:val="00583231"/>
    <w:rsid w:val="00583351"/>
    <w:rsid w:val="0058396E"/>
    <w:rsid w:val="00583D03"/>
    <w:rsid w:val="00584C74"/>
    <w:rsid w:val="00584D1B"/>
    <w:rsid w:val="00584EF1"/>
    <w:rsid w:val="00585689"/>
    <w:rsid w:val="00585D9B"/>
    <w:rsid w:val="005863CF"/>
    <w:rsid w:val="005869B8"/>
    <w:rsid w:val="00586C8A"/>
    <w:rsid w:val="005874FF"/>
    <w:rsid w:val="0059010F"/>
    <w:rsid w:val="005906F1"/>
    <w:rsid w:val="00590B5C"/>
    <w:rsid w:val="00590B96"/>
    <w:rsid w:val="005916CE"/>
    <w:rsid w:val="0059173F"/>
    <w:rsid w:val="005921FF"/>
    <w:rsid w:val="0059256B"/>
    <w:rsid w:val="00594C76"/>
    <w:rsid w:val="00594D00"/>
    <w:rsid w:val="00595058"/>
    <w:rsid w:val="0059732F"/>
    <w:rsid w:val="00597C32"/>
    <w:rsid w:val="00597CE4"/>
    <w:rsid w:val="005A1879"/>
    <w:rsid w:val="005A188F"/>
    <w:rsid w:val="005A1C51"/>
    <w:rsid w:val="005A1D93"/>
    <w:rsid w:val="005A2BA6"/>
    <w:rsid w:val="005A3157"/>
    <w:rsid w:val="005A3575"/>
    <w:rsid w:val="005A4231"/>
    <w:rsid w:val="005A47B2"/>
    <w:rsid w:val="005A4C4D"/>
    <w:rsid w:val="005A5DD6"/>
    <w:rsid w:val="005A60CD"/>
    <w:rsid w:val="005A74F5"/>
    <w:rsid w:val="005B162A"/>
    <w:rsid w:val="005B1E92"/>
    <w:rsid w:val="005B28D2"/>
    <w:rsid w:val="005B2BFE"/>
    <w:rsid w:val="005B330B"/>
    <w:rsid w:val="005B3D22"/>
    <w:rsid w:val="005B4526"/>
    <w:rsid w:val="005B573B"/>
    <w:rsid w:val="005B66FD"/>
    <w:rsid w:val="005B7E53"/>
    <w:rsid w:val="005C04BE"/>
    <w:rsid w:val="005C0881"/>
    <w:rsid w:val="005C1B6F"/>
    <w:rsid w:val="005C1C79"/>
    <w:rsid w:val="005C25D7"/>
    <w:rsid w:val="005C28F8"/>
    <w:rsid w:val="005C3562"/>
    <w:rsid w:val="005C4A2E"/>
    <w:rsid w:val="005C51FA"/>
    <w:rsid w:val="005C6168"/>
    <w:rsid w:val="005C6E67"/>
    <w:rsid w:val="005C6F47"/>
    <w:rsid w:val="005C7759"/>
    <w:rsid w:val="005C77A6"/>
    <w:rsid w:val="005D0373"/>
    <w:rsid w:val="005D0D1B"/>
    <w:rsid w:val="005D0E44"/>
    <w:rsid w:val="005D129C"/>
    <w:rsid w:val="005D1434"/>
    <w:rsid w:val="005D1A3B"/>
    <w:rsid w:val="005D23FF"/>
    <w:rsid w:val="005D2CC8"/>
    <w:rsid w:val="005D3631"/>
    <w:rsid w:val="005D3E81"/>
    <w:rsid w:val="005D4031"/>
    <w:rsid w:val="005D44E9"/>
    <w:rsid w:val="005D4D36"/>
    <w:rsid w:val="005D52EA"/>
    <w:rsid w:val="005D5816"/>
    <w:rsid w:val="005D68D3"/>
    <w:rsid w:val="005D7A41"/>
    <w:rsid w:val="005D7ACF"/>
    <w:rsid w:val="005E021F"/>
    <w:rsid w:val="005E0A65"/>
    <w:rsid w:val="005E12A8"/>
    <w:rsid w:val="005E1AFD"/>
    <w:rsid w:val="005E30D1"/>
    <w:rsid w:val="005E3FDD"/>
    <w:rsid w:val="005E45F4"/>
    <w:rsid w:val="005E47CA"/>
    <w:rsid w:val="005E51E3"/>
    <w:rsid w:val="005E60AF"/>
    <w:rsid w:val="005E705B"/>
    <w:rsid w:val="005E70C9"/>
    <w:rsid w:val="005E7177"/>
    <w:rsid w:val="005E7864"/>
    <w:rsid w:val="005F07A3"/>
    <w:rsid w:val="005F09F0"/>
    <w:rsid w:val="005F0FEC"/>
    <w:rsid w:val="005F1838"/>
    <w:rsid w:val="005F1B78"/>
    <w:rsid w:val="005F254D"/>
    <w:rsid w:val="005F2660"/>
    <w:rsid w:val="005F29E5"/>
    <w:rsid w:val="005F2BA9"/>
    <w:rsid w:val="005F2BDE"/>
    <w:rsid w:val="005F2D6E"/>
    <w:rsid w:val="005F3078"/>
    <w:rsid w:val="005F3895"/>
    <w:rsid w:val="005F45A2"/>
    <w:rsid w:val="005F4F35"/>
    <w:rsid w:val="005F5323"/>
    <w:rsid w:val="005F722A"/>
    <w:rsid w:val="005F7716"/>
    <w:rsid w:val="00600162"/>
    <w:rsid w:val="006009B3"/>
    <w:rsid w:val="00600B00"/>
    <w:rsid w:val="00600D51"/>
    <w:rsid w:val="00600FB8"/>
    <w:rsid w:val="0060101A"/>
    <w:rsid w:val="00602855"/>
    <w:rsid w:val="00602D04"/>
    <w:rsid w:val="00603892"/>
    <w:rsid w:val="0060396E"/>
    <w:rsid w:val="0060481B"/>
    <w:rsid w:val="00605B2D"/>
    <w:rsid w:val="00605B7D"/>
    <w:rsid w:val="00605F67"/>
    <w:rsid w:val="00607C98"/>
    <w:rsid w:val="00607D66"/>
    <w:rsid w:val="006105FD"/>
    <w:rsid w:val="00610C22"/>
    <w:rsid w:val="00610D65"/>
    <w:rsid w:val="00610D85"/>
    <w:rsid w:val="006117C1"/>
    <w:rsid w:val="00611B8F"/>
    <w:rsid w:val="006120C3"/>
    <w:rsid w:val="0061338C"/>
    <w:rsid w:val="00613E45"/>
    <w:rsid w:val="006140E0"/>
    <w:rsid w:val="00614520"/>
    <w:rsid w:val="00614BEB"/>
    <w:rsid w:val="00615233"/>
    <w:rsid w:val="0061541C"/>
    <w:rsid w:val="006154E1"/>
    <w:rsid w:val="00615A0D"/>
    <w:rsid w:val="0061603F"/>
    <w:rsid w:val="00616592"/>
    <w:rsid w:val="0061793A"/>
    <w:rsid w:val="00617D9F"/>
    <w:rsid w:val="006203CF"/>
    <w:rsid w:val="00620883"/>
    <w:rsid w:val="00620927"/>
    <w:rsid w:val="006211E4"/>
    <w:rsid w:val="00621E75"/>
    <w:rsid w:val="0062301E"/>
    <w:rsid w:val="00624B76"/>
    <w:rsid w:val="00624F56"/>
    <w:rsid w:val="00625198"/>
    <w:rsid w:val="0062619A"/>
    <w:rsid w:val="0062698A"/>
    <w:rsid w:val="0062721A"/>
    <w:rsid w:val="00627EA1"/>
    <w:rsid w:val="00627F6F"/>
    <w:rsid w:val="00630014"/>
    <w:rsid w:val="00630238"/>
    <w:rsid w:val="006309A2"/>
    <w:rsid w:val="00630CD8"/>
    <w:rsid w:val="00631015"/>
    <w:rsid w:val="006315BF"/>
    <w:rsid w:val="00631A2F"/>
    <w:rsid w:val="00632248"/>
    <w:rsid w:val="0063263B"/>
    <w:rsid w:val="00632F79"/>
    <w:rsid w:val="0063343F"/>
    <w:rsid w:val="0063512B"/>
    <w:rsid w:val="0063595A"/>
    <w:rsid w:val="006369CC"/>
    <w:rsid w:val="00636D10"/>
    <w:rsid w:val="00636F31"/>
    <w:rsid w:val="0063728E"/>
    <w:rsid w:val="0064076F"/>
    <w:rsid w:val="00640C02"/>
    <w:rsid w:val="0064171B"/>
    <w:rsid w:val="00641CDD"/>
    <w:rsid w:val="006421E5"/>
    <w:rsid w:val="006438B2"/>
    <w:rsid w:val="00643CAD"/>
    <w:rsid w:val="00643F27"/>
    <w:rsid w:val="006446BB"/>
    <w:rsid w:val="006452DA"/>
    <w:rsid w:val="00645CD2"/>
    <w:rsid w:val="00645EE8"/>
    <w:rsid w:val="00650895"/>
    <w:rsid w:val="00650D6E"/>
    <w:rsid w:val="00651E34"/>
    <w:rsid w:val="00651E5D"/>
    <w:rsid w:val="00651EA6"/>
    <w:rsid w:val="00652B11"/>
    <w:rsid w:val="006530E4"/>
    <w:rsid w:val="0065415D"/>
    <w:rsid w:val="006543FF"/>
    <w:rsid w:val="00655DB0"/>
    <w:rsid w:val="00655EC8"/>
    <w:rsid w:val="00656DD0"/>
    <w:rsid w:val="00657D9A"/>
    <w:rsid w:val="00660020"/>
    <w:rsid w:val="006603C8"/>
    <w:rsid w:val="006611C5"/>
    <w:rsid w:val="00661384"/>
    <w:rsid w:val="00661D90"/>
    <w:rsid w:val="006624E6"/>
    <w:rsid w:val="00662579"/>
    <w:rsid w:val="006637D8"/>
    <w:rsid w:val="00665245"/>
    <w:rsid w:val="00665858"/>
    <w:rsid w:val="00665C43"/>
    <w:rsid w:val="00666058"/>
    <w:rsid w:val="00666091"/>
    <w:rsid w:val="00666305"/>
    <w:rsid w:val="00666364"/>
    <w:rsid w:val="00666FFD"/>
    <w:rsid w:val="00667E22"/>
    <w:rsid w:val="00670361"/>
    <w:rsid w:val="00670455"/>
    <w:rsid w:val="00671580"/>
    <w:rsid w:val="00672820"/>
    <w:rsid w:val="00672B54"/>
    <w:rsid w:val="0067300A"/>
    <w:rsid w:val="0067547C"/>
    <w:rsid w:val="00675F5E"/>
    <w:rsid w:val="00676734"/>
    <w:rsid w:val="00676744"/>
    <w:rsid w:val="006774B3"/>
    <w:rsid w:val="006775ED"/>
    <w:rsid w:val="00677F18"/>
    <w:rsid w:val="00680818"/>
    <w:rsid w:val="00682632"/>
    <w:rsid w:val="00683821"/>
    <w:rsid w:val="00683F51"/>
    <w:rsid w:val="006843BD"/>
    <w:rsid w:val="006853E9"/>
    <w:rsid w:val="00685585"/>
    <w:rsid w:val="0068584C"/>
    <w:rsid w:val="0068621B"/>
    <w:rsid w:val="00686CFD"/>
    <w:rsid w:val="006875E4"/>
    <w:rsid w:val="00690355"/>
    <w:rsid w:val="00690766"/>
    <w:rsid w:val="006909D7"/>
    <w:rsid w:val="00691335"/>
    <w:rsid w:val="00691C78"/>
    <w:rsid w:val="00691FFA"/>
    <w:rsid w:val="0069202F"/>
    <w:rsid w:val="00692A80"/>
    <w:rsid w:val="00692A98"/>
    <w:rsid w:val="00693628"/>
    <w:rsid w:val="00693B6F"/>
    <w:rsid w:val="006947F8"/>
    <w:rsid w:val="00694F44"/>
    <w:rsid w:val="006953A2"/>
    <w:rsid w:val="0069727D"/>
    <w:rsid w:val="0069766C"/>
    <w:rsid w:val="00697957"/>
    <w:rsid w:val="006A1ED7"/>
    <w:rsid w:val="006A39D1"/>
    <w:rsid w:val="006A3F76"/>
    <w:rsid w:val="006A473A"/>
    <w:rsid w:val="006A57BB"/>
    <w:rsid w:val="006A586A"/>
    <w:rsid w:val="006A60C8"/>
    <w:rsid w:val="006A6EA1"/>
    <w:rsid w:val="006A7231"/>
    <w:rsid w:val="006B1299"/>
    <w:rsid w:val="006B14AE"/>
    <w:rsid w:val="006B1E20"/>
    <w:rsid w:val="006B243E"/>
    <w:rsid w:val="006B265C"/>
    <w:rsid w:val="006B44CC"/>
    <w:rsid w:val="006B4525"/>
    <w:rsid w:val="006B45AE"/>
    <w:rsid w:val="006B467A"/>
    <w:rsid w:val="006B567D"/>
    <w:rsid w:val="006B595C"/>
    <w:rsid w:val="006B603B"/>
    <w:rsid w:val="006B7CC6"/>
    <w:rsid w:val="006B7F66"/>
    <w:rsid w:val="006C0CF2"/>
    <w:rsid w:val="006C3160"/>
    <w:rsid w:val="006C328D"/>
    <w:rsid w:val="006C3D3E"/>
    <w:rsid w:val="006C470C"/>
    <w:rsid w:val="006C6A58"/>
    <w:rsid w:val="006C6A8B"/>
    <w:rsid w:val="006D050D"/>
    <w:rsid w:val="006D0571"/>
    <w:rsid w:val="006D09A7"/>
    <w:rsid w:val="006D0B19"/>
    <w:rsid w:val="006D1C2E"/>
    <w:rsid w:val="006D1D22"/>
    <w:rsid w:val="006D21EC"/>
    <w:rsid w:val="006D2D49"/>
    <w:rsid w:val="006D318D"/>
    <w:rsid w:val="006D450B"/>
    <w:rsid w:val="006D466D"/>
    <w:rsid w:val="006D52FC"/>
    <w:rsid w:val="006D5F1D"/>
    <w:rsid w:val="006D72DF"/>
    <w:rsid w:val="006D746F"/>
    <w:rsid w:val="006E034F"/>
    <w:rsid w:val="006E0390"/>
    <w:rsid w:val="006E05B6"/>
    <w:rsid w:val="006E1830"/>
    <w:rsid w:val="006E2A86"/>
    <w:rsid w:val="006E2CE3"/>
    <w:rsid w:val="006E32C8"/>
    <w:rsid w:val="006E3B2A"/>
    <w:rsid w:val="006E458D"/>
    <w:rsid w:val="006E47AC"/>
    <w:rsid w:val="006E49B4"/>
    <w:rsid w:val="006E4FF7"/>
    <w:rsid w:val="006E504C"/>
    <w:rsid w:val="006E6737"/>
    <w:rsid w:val="006E67D3"/>
    <w:rsid w:val="006E7718"/>
    <w:rsid w:val="006E7D3A"/>
    <w:rsid w:val="006F0665"/>
    <w:rsid w:val="006F0B0B"/>
    <w:rsid w:val="006F0CD6"/>
    <w:rsid w:val="006F110D"/>
    <w:rsid w:val="006F1A16"/>
    <w:rsid w:val="006F1A72"/>
    <w:rsid w:val="006F2A86"/>
    <w:rsid w:val="006F2D7C"/>
    <w:rsid w:val="006F384E"/>
    <w:rsid w:val="006F3CCB"/>
    <w:rsid w:val="006F43AC"/>
    <w:rsid w:val="006F44FE"/>
    <w:rsid w:val="006F5990"/>
    <w:rsid w:val="006F6091"/>
    <w:rsid w:val="006F68C0"/>
    <w:rsid w:val="00700226"/>
    <w:rsid w:val="007005D7"/>
    <w:rsid w:val="007006B8"/>
    <w:rsid w:val="00700E3D"/>
    <w:rsid w:val="007016CC"/>
    <w:rsid w:val="00701BDE"/>
    <w:rsid w:val="00701ED6"/>
    <w:rsid w:val="00701EEB"/>
    <w:rsid w:val="00704EA2"/>
    <w:rsid w:val="0070611B"/>
    <w:rsid w:val="00706382"/>
    <w:rsid w:val="0070646C"/>
    <w:rsid w:val="0070687D"/>
    <w:rsid w:val="00706B0F"/>
    <w:rsid w:val="0070712D"/>
    <w:rsid w:val="0071141D"/>
    <w:rsid w:val="0071188A"/>
    <w:rsid w:val="00711C44"/>
    <w:rsid w:val="00711FCD"/>
    <w:rsid w:val="0071232D"/>
    <w:rsid w:val="00712DAD"/>
    <w:rsid w:val="00714896"/>
    <w:rsid w:val="007153D5"/>
    <w:rsid w:val="0071556D"/>
    <w:rsid w:val="0071586D"/>
    <w:rsid w:val="00715CB6"/>
    <w:rsid w:val="00716DA2"/>
    <w:rsid w:val="00720757"/>
    <w:rsid w:val="00721718"/>
    <w:rsid w:val="00721883"/>
    <w:rsid w:val="00721C31"/>
    <w:rsid w:val="007220A8"/>
    <w:rsid w:val="0072269E"/>
    <w:rsid w:val="0072321C"/>
    <w:rsid w:val="007265B4"/>
    <w:rsid w:val="007269AC"/>
    <w:rsid w:val="00726ABF"/>
    <w:rsid w:val="00726C37"/>
    <w:rsid w:val="00726CAA"/>
    <w:rsid w:val="007271A5"/>
    <w:rsid w:val="0073089A"/>
    <w:rsid w:val="00730D62"/>
    <w:rsid w:val="00732412"/>
    <w:rsid w:val="00732588"/>
    <w:rsid w:val="00733033"/>
    <w:rsid w:val="007330F9"/>
    <w:rsid w:val="00734250"/>
    <w:rsid w:val="00734E63"/>
    <w:rsid w:val="00735490"/>
    <w:rsid w:val="007355E0"/>
    <w:rsid w:val="00736483"/>
    <w:rsid w:val="007366B8"/>
    <w:rsid w:val="00736F24"/>
    <w:rsid w:val="00736F82"/>
    <w:rsid w:val="0073736B"/>
    <w:rsid w:val="00740794"/>
    <w:rsid w:val="00740EF2"/>
    <w:rsid w:val="00741506"/>
    <w:rsid w:val="007415A2"/>
    <w:rsid w:val="007415CB"/>
    <w:rsid w:val="00741FAB"/>
    <w:rsid w:val="00742BED"/>
    <w:rsid w:val="007436E7"/>
    <w:rsid w:val="00743A90"/>
    <w:rsid w:val="007440CF"/>
    <w:rsid w:val="007441EF"/>
    <w:rsid w:val="007445E9"/>
    <w:rsid w:val="007446E8"/>
    <w:rsid w:val="0074519A"/>
    <w:rsid w:val="0074539B"/>
    <w:rsid w:val="007453C6"/>
    <w:rsid w:val="00745850"/>
    <w:rsid w:val="00745BE8"/>
    <w:rsid w:val="0074733C"/>
    <w:rsid w:val="007502D8"/>
    <w:rsid w:val="007511B1"/>
    <w:rsid w:val="00751445"/>
    <w:rsid w:val="00751BFF"/>
    <w:rsid w:val="00751EC4"/>
    <w:rsid w:val="007533C5"/>
    <w:rsid w:val="007534E6"/>
    <w:rsid w:val="00753605"/>
    <w:rsid w:val="00754171"/>
    <w:rsid w:val="00754450"/>
    <w:rsid w:val="00755C48"/>
    <w:rsid w:val="00755D92"/>
    <w:rsid w:val="00756426"/>
    <w:rsid w:val="00756507"/>
    <w:rsid w:val="00756684"/>
    <w:rsid w:val="00756AD6"/>
    <w:rsid w:val="0075701B"/>
    <w:rsid w:val="00757812"/>
    <w:rsid w:val="0075781A"/>
    <w:rsid w:val="007578F9"/>
    <w:rsid w:val="00760539"/>
    <w:rsid w:val="0076099D"/>
    <w:rsid w:val="00760ED8"/>
    <w:rsid w:val="00760EE5"/>
    <w:rsid w:val="007617BF"/>
    <w:rsid w:val="00761C48"/>
    <w:rsid w:val="00763A86"/>
    <w:rsid w:val="00764A6F"/>
    <w:rsid w:val="00764D2C"/>
    <w:rsid w:val="00766E3E"/>
    <w:rsid w:val="0076719E"/>
    <w:rsid w:val="007677CD"/>
    <w:rsid w:val="00767970"/>
    <w:rsid w:val="00767B61"/>
    <w:rsid w:val="00771D9E"/>
    <w:rsid w:val="00773A0C"/>
    <w:rsid w:val="007746EC"/>
    <w:rsid w:val="00774882"/>
    <w:rsid w:val="00776510"/>
    <w:rsid w:val="00776913"/>
    <w:rsid w:val="00777684"/>
    <w:rsid w:val="00777AEB"/>
    <w:rsid w:val="0078070A"/>
    <w:rsid w:val="00783206"/>
    <w:rsid w:val="00783544"/>
    <w:rsid w:val="0078377F"/>
    <w:rsid w:val="007838EE"/>
    <w:rsid w:val="00784BC7"/>
    <w:rsid w:val="00785C71"/>
    <w:rsid w:val="007864BB"/>
    <w:rsid w:val="007865D9"/>
    <w:rsid w:val="00786727"/>
    <w:rsid w:val="00787F11"/>
    <w:rsid w:val="00790207"/>
    <w:rsid w:val="007915CA"/>
    <w:rsid w:val="007916DB"/>
    <w:rsid w:val="00792019"/>
    <w:rsid w:val="0079221C"/>
    <w:rsid w:val="00794665"/>
    <w:rsid w:val="00794A8C"/>
    <w:rsid w:val="00795A36"/>
    <w:rsid w:val="00795B49"/>
    <w:rsid w:val="00795D7C"/>
    <w:rsid w:val="0079615C"/>
    <w:rsid w:val="00796933"/>
    <w:rsid w:val="00797449"/>
    <w:rsid w:val="007975E1"/>
    <w:rsid w:val="00797D51"/>
    <w:rsid w:val="007A03C0"/>
    <w:rsid w:val="007A0406"/>
    <w:rsid w:val="007A075D"/>
    <w:rsid w:val="007A095F"/>
    <w:rsid w:val="007A0A7F"/>
    <w:rsid w:val="007A0DAB"/>
    <w:rsid w:val="007A0FCC"/>
    <w:rsid w:val="007A1848"/>
    <w:rsid w:val="007A1C5E"/>
    <w:rsid w:val="007A36F3"/>
    <w:rsid w:val="007A3835"/>
    <w:rsid w:val="007A457A"/>
    <w:rsid w:val="007A7257"/>
    <w:rsid w:val="007A741E"/>
    <w:rsid w:val="007A7899"/>
    <w:rsid w:val="007B0059"/>
    <w:rsid w:val="007B0346"/>
    <w:rsid w:val="007B04A6"/>
    <w:rsid w:val="007B0664"/>
    <w:rsid w:val="007B23D6"/>
    <w:rsid w:val="007B2EA6"/>
    <w:rsid w:val="007B300E"/>
    <w:rsid w:val="007B305D"/>
    <w:rsid w:val="007B38BF"/>
    <w:rsid w:val="007B3EE2"/>
    <w:rsid w:val="007B5F1D"/>
    <w:rsid w:val="007B62BE"/>
    <w:rsid w:val="007B6344"/>
    <w:rsid w:val="007B6F9A"/>
    <w:rsid w:val="007B77D7"/>
    <w:rsid w:val="007B7B2D"/>
    <w:rsid w:val="007B7FC3"/>
    <w:rsid w:val="007B7FE1"/>
    <w:rsid w:val="007C126B"/>
    <w:rsid w:val="007C1806"/>
    <w:rsid w:val="007C19F8"/>
    <w:rsid w:val="007C2AC9"/>
    <w:rsid w:val="007C430E"/>
    <w:rsid w:val="007C4A04"/>
    <w:rsid w:val="007C4C88"/>
    <w:rsid w:val="007C506E"/>
    <w:rsid w:val="007C6675"/>
    <w:rsid w:val="007C6927"/>
    <w:rsid w:val="007C76A4"/>
    <w:rsid w:val="007C7EB8"/>
    <w:rsid w:val="007D08A4"/>
    <w:rsid w:val="007D0FAE"/>
    <w:rsid w:val="007D1A25"/>
    <w:rsid w:val="007D1E61"/>
    <w:rsid w:val="007D2472"/>
    <w:rsid w:val="007D34B9"/>
    <w:rsid w:val="007D3EA8"/>
    <w:rsid w:val="007D4575"/>
    <w:rsid w:val="007D4699"/>
    <w:rsid w:val="007D4A2C"/>
    <w:rsid w:val="007D4D9D"/>
    <w:rsid w:val="007D5182"/>
    <w:rsid w:val="007D5BF7"/>
    <w:rsid w:val="007D6167"/>
    <w:rsid w:val="007D7D68"/>
    <w:rsid w:val="007E0C63"/>
    <w:rsid w:val="007E2267"/>
    <w:rsid w:val="007E32B6"/>
    <w:rsid w:val="007E3417"/>
    <w:rsid w:val="007E3D12"/>
    <w:rsid w:val="007E4235"/>
    <w:rsid w:val="007E4D2D"/>
    <w:rsid w:val="007E65B3"/>
    <w:rsid w:val="007E7541"/>
    <w:rsid w:val="007E7DEF"/>
    <w:rsid w:val="007F0715"/>
    <w:rsid w:val="007F0D16"/>
    <w:rsid w:val="007F1267"/>
    <w:rsid w:val="007F1349"/>
    <w:rsid w:val="007F1DD5"/>
    <w:rsid w:val="007F292D"/>
    <w:rsid w:val="007F31C4"/>
    <w:rsid w:val="007F34FC"/>
    <w:rsid w:val="007F3751"/>
    <w:rsid w:val="007F50A4"/>
    <w:rsid w:val="007F5229"/>
    <w:rsid w:val="007F5245"/>
    <w:rsid w:val="007F6174"/>
    <w:rsid w:val="007F6C62"/>
    <w:rsid w:val="007F6DBF"/>
    <w:rsid w:val="007F6E36"/>
    <w:rsid w:val="007F7401"/>
    <w:rsid w:val="007F7613"/>
    <w:rsid w:val="008000FB"/>
    <w:rsid w:val="008005D8"/>
    <w:rsid w:val="008009FF"/>
    <w:rsid w:val="008018E5"/>
    <w:rsid w:val="0080287E"/>
    <w:rsid w:val="00802F3F"/>
    <w:rsid w:val="008032F4"/>
    <w:rsid w:val="0080365D"/>
    <w:rsid w:val="00804B00"/>
    <w:rsid w:val="00805157"/>
    <w:rsid w:val="0080660C"/>
    <w:rsid w:val="008069F2"/>
    <w:rsid w:val="00807CA5"/>
    <w:rsid w:val="00810139"/>
    <w:rsid w:val="00810943"/>
    <w:rsid w:val="00810A07"/>
    <w:rsid w:val="00810B60"/>
    <w:rsid w:val="00811AAF"/>
    <w:rsid w:val="008143D2"/>
    <w:rsid w:val="00814843"/>
    <w:rsid w:val="00814905"/>
    <w:rsid w:val="00814BCA"/>
    <w:rsid w:val="00814E4D"/>
    <w:rsid w:val="00815139"/>
    <w:rsid w:val="00815546"/>
    <w:rsid w:val="0081560F"/>
    <w:rsid w:val="00815AE1"/>
    <w:rsid w:val="00816E86"/>
    <w:rsid w:val="0082036E"/>
    <w:rsid w:val="0082206E"/>
    <w:rsid w:val="00822098"/>
    <w:rsid w:val="00822519"/>
    <w:rsid w:val="008228B2"/>
    <w:rsid w:val="008232BC"/>
    <w:rsid w:val="00824885"/>
    <w:rsid w:val="00826762"/>
    <w:rsid w:val="0082680A"/>
    <w:rsid w:val="0082700C"/>
    <w:rsid w:val="008301F4"/>
    <w:rsid w:val="0083046B"/>
    <w:rsid w:val="0083086C"/>
    <w:rsid w:val="0083102C"/>
    <w:rsid w:val="0083122B"/>
    <w:rsid w:val="008315CD"/>
    <w:rsid w:val="00831661"/>
    <w:rsid w:val="00832457"/>
    <w:rsid w:val="00832C65"/>
    <w:rsid w:val="00832D18"/>
    <w:rsid w:val="00832DB6"/>
    <w:rsid w:val="00833317"/>
    <w:rsid w:val="00834111"/>
    <w:rsid w:val="00835410"/>
    <w:rsid w:val="00835C16"/>
    <w:rsid w:val="00836618"/>
    <w:rsid w:val="008366CB"/>
    <w:rsid w:val="00836997"/>
    <w:rsid w:val="00836D5C"/>
    <w:rsid w:val="00837262"/>
    <w:rsid w:val="00840A8A"/>
    <w:rsid w:val="00840F0A"/>
    <w:rsid w:val="008410CD"/>
    <w:rsid w:val="00841420"/>
    <w:rsid w:val="00842137"/>
    <w:rsid w:val="008427DE"/>
    <w:rsid w:val="00842B25"/>
    <w:rsid w:val="0084430F"/>
    <w:rsid w:val="00844FC5"/>
    <w:rsid w:val="0084628C"/>
    <w:rsid w:val="008464BF"/>
    <w:rsid w:val="00846C8D"/>
    <w:rsid w:val="00846FD3"/>
    <w:rsid w:val="00847635"/>
    <w:rsid w:val="00847E96"/>
    <w:rsid w:val="00850548"/>
    <w:rsid w:val="00850C4C"/>
    <w:rsid w:val="00850CC8"/>
    <w:rsid w:val="00850F25"/>
    <w:rsid w:val="0085134D"/>
    <w:rsid w:val="00852120"/>
    <w:rsid w:val="008526BC"/>
    <w:rsid w:val="00852925"/>
    <w:rsid w:val="00852F7C"/>
    <w:rsid w:val="008545DC"/>
    <w:rsid w:val="008550C3"/>
    <w:rsid w:val="00855B33"/>
    <w:rsid w:val="00857986"/>
    <w:rsid w:val="00857A0B"/>
    <w:rsid w:val="00857B25"/>
    <w:rsid w:val="0086014A"/>
    <w:rsid w:val="008602E3"/>
    <w:rsid w:val="008603F2"/>
    <w:rsid w:val="008613FA"/>
    <w:rsid w:val="00861D73"/>
    <w:rsid w:val="008626F8"/>
    <w:rsid w:val="00862ED3"/>
    <w:rsid w:val="0086385D"/>
    <w:rsid w:val="008648D6"/>
    <w:rsid w:val="00865F49"/>
    <w:rsid w:val="0086603D"/>
    <w:rsid w:val="00867A90"/>
    <w:rsid w:val="008728F5"/>
    <w:rsid w:val="0087360C"/>
    <w:rsid w:val="00874042"/>
    <w:rsid w:val="00875271"/>
    <w:rsid w:val="00875558"/>
    <w:rsid w:val="00875958"/>
    <w:rsid w:val="00875A52"/>
    <w:rsid w:val="00875CBE"/>
    <w:rsid w:val="00875ED0"/>
    <w:rsid w:val="00876041"/>
    <w:rsid w:val="00876496"/>
    <w:rsid w:val="00876DE3"/>
    <w:rsid w:val="00880742"/>
    <w:rsid w:val="008813A3"/>
    <w:rsid w:val="008820FF"/>
    <w:rsid w:val="0088263A"/>
    <w:rsid w:val="00883481"/>
    <w:rsid w:val="008838E2"/>
    <w:rsid w:val="00883F42"/>
    <w:rsid w:val="00884880"/>
    <w:rsid w:val="00884A81"/>
    <w:rsid w:val="00884DFB"/>
    <w:rsid w:val="00884F87"/>
    <w:rsid w:val="00885028"/>
    <w:rsid w:val="00886076"/>
    <w:rsid w:val="00886088"/>
    <w:rsid w:val="0088688F"/>
    <w:rsid w:val="00887278"/>
    <w:rsid w:val="00890BCF"/>
    <w:rsid w:val="008915D3"/>
    <w:rsid w:val="00891AB9"/>
    <w:rsid w:val="0089286D"/>
    <w:rsid w:val="008929B2"/>
    <w:rsid w:val="00892D12"/>
    <w:rsid w:val="00894DAC"/>
    <w:rsid w:val="00895F97"/>
    <w:rsid w:val="008960BC"/>
    <w:rsid w:val="0089709A"/>
    <w:rsid w:val="008A015D"/>
    <w:rsid w:val="008A018B"/>
    <w:rsid w:val="008A0974"/>
    <w:rsid w:val="008A2350"/>
    <w:rsid w:val="008A25AF"/>
    <w:rsid w:val="008A5C63"/>
    <w:rsid w:val="008A63B1"/>
    <w:rsid w:val="008A6670"/>
    <w:rsid w:val="008A682E"/>
    <w:rsid w:val="008A72E9"/>
    <w:rsid w:val="008A7449"/>
    <w:rsid w:val="008A76DE"/>
    <w:rsid w:val="008A78A8"/>
    <w:rsid w:val="008A79C1"/>
    <w:rsid w:val="008B049F"/>
    <w:rsid w:val="008B0831"/>
    <w:rsid w:val="008B0DCC"/>
    <w:rsid w:val="008B0EC6"/>
    <w:rsid w:val="008B1580"/>
    <w:rsid w:val="008B19AD"/>
    <w:rsid w:val="008B2675"/>
    <w:rsid w:val="008B295E"/>
    <w:rsid w:val="008B396D"/>
    <w:rsid w:val="008B3AF4"/>
    <w:rsid w:val="008B3BC3"/>
    <w:rsid w:val="008B3DB4"/>
    <w:rsid w:val="008B4A6C"/>
    <w:rsid w:val="008B6C3B"/>
    <w:rsid w:val="008B75C9"/>
    <w:rsid w:val="008C0FF1"/>
    <w:rsid w:val="008C522B"/>
    <w:rsid w:val="008C5BA3"/>
    <w:rsid w:val="008C610F"/>
    <w:rsid w:val="008C6A34"/>
    <w:rsid w:val="008C6D82"/>
    <w:rsid w:val="008C700F"/>
    <w:rsid w:val="008C76D8"/>
    <w:rsid w:val="008C7B8D"/>
    <w:rsid w:val="008D0CB1"/>
    <w:rsid w:val="008D0EE1"/>
    <w:rsid w:val="008D133A"/>
    <w:rsid w:val="008D141D"/>
    <w:rsid w:val="008D1F9B"/>
    <w:rsid w:val="008D330E"/>
    <w:rsid w:val="008D36D4"/>
    <w:rsid w:val="008D3863"/>
    <w:rsid w:val="008D46D2"/>
    <w:rsid w:val="008D4BD8"/>
    <w:rsid w:val="008D5230"/>
    <w:rsid w:val="008D54B7"/>
    <w:rsid w:val="008D6065"/>
    <w:rsid w:val="008D60D7"/>
    <w:rsid w:val="008D66FD"/>
    <w:rsid w:val="008D7601"/>
    <w:rsid w:val="008E06DD"/>
    <w:rsid w:val="008E0E9A"/>
    <w:rsid w:val="008E0FC6"/>
    <w:rsid w:val="008E2175"/>
    <w:rsid w:val="008E2AB0"/>
    <w:rsid w:val="008E2C6A"/>
    <w:rsid w:val="008E4009"/>
    <w:rsid w:val="008E432E"/>
    <w:rsid w:val="008E4803"/>
    <w:rsid w:val="008E4904"/>
    <w:rsid w:val="008E5505"/>
    <w:rsid w:val="008E58F1"/>
    <w:rsid w:val="008E5A04"/>
    <w:rsid w:val="008E6289"/>
    <w:rsid w:val="008E66F7"/>
    <w:rsid w:val="008E7566"/>
    <w:rsid w:val="008E7C44"/>
    <w:rsid w:val="008F210F"/>
    <w:rsid w:val="008F2A60"/>
    <w:rsid w:val="008F2F7D"/>
    <w:rsid w:val="008F31F7"/>
    <w:rsid w:val="008F361C"/>
    <w:rsid w:val="008F4A31"/>
    <w:rsid w:val="008F5126"/>
    <w:rsid w:val="008F597B"/>
    <w:rsid w:val="008F5E16"/>
    <w:rsid w:val="00900114"/>
    <w:rsid w:val="00900389"/>
    <w:rsid w:val="00900D12"/>
    <w:rsid w:val="0090182F"/>
    <w:rsid w:val="009038C1"/>
    <w:rsid w:val="009044E3"/>
    <w:rsid w:val="0090669D"/>
    <w:rsid w:val="00906781"/>
    <w:rsid w:val="009068F6"/>
    <w:rsid w:val="0090694E"/>
    <w:rsid w:val="00906B53"/>
    <w:rsid w:val="00906D33"/>
    <w:rsid w:val="00906EEE"/>
    <w:rsid w:val="0091015A"/>
    <w:rsid w:val="009106A6"/>
    <w:rsid w:val="00910BA6"/>
    <w:rsid w:val="0091359F"/>
    <w:rsid w:val="00913F4B"/>
    <w:rsid w:val="0091419E"/>
    <w:rsid w:val="0091456B"/>
    <w:rsid w:val="00914753"/>
    <w:rsid w:val="00915A72"/>
    <w:rsid w:val="00915D43"/>
    <w:rsid w:val="0091677C"/>
    <w:rsid w:val="00916C35"/>
    <w:rsid w:val="00917B8D"/>
    <w:rsid w:val="0092013B"/>
    <w:rsid w:val="009209FC"/>
    <w:rsid w:val="00920D88"/>
    <w:rsid w:val="00920FA7"/>
    <w:rsid w:val="00921BCE"/>
    <w:rsid w:val="009227FF"/>
    <w:rsid w:val="00922EDA"/>
    <w:rsid w:val="009231C5"/>
    <w:rsid w:val="00923C0D"/>
    <w:rsid w:val="00924E99"/>
    <w:rsid w:val="00925743"/>
    <w:rsid w:val="00926004"/>
    <w:rsid w:val="0092685A"/>
    <w:rsid w:val="00927128"/>
    <w:rsid w:val="00927AD1"/>
    <w:rsid w:val="0093098B"/>
    <w:rsid w:val="009325E7"/>
    <w:rsid w:val="00932F40"/>
    <w:rsid w:val="00933E15"/>
    <w:rsid w:val="00933F72"/>
    <w:rsid w:val="009349CC"/>
    <w:rsid w:val="00934BE1"/>
    <w:rsid w:val="0093537A"/>
    <w:rsid w:val="00936292"/>
    <w:rsid w:val="00937123"/>
    <w:rsid w:val="00937241"/>
    <w:rsid w:val="00937293"/>
    <w:rsid w:val="0093766E"/>
    <w:rsid w:val="009376E4"/>
    <w:rsid w:val="00940AE1"/>
    <w:rsid w:val="00940B4B"/>
    <w:rsid w:val="00940FA2"/>
    <w:rsid w:val="009415A4"/>
    <w:rsid w:val="00941848"/>
    <w:rsid w:val="00942178"/>
    <w:rsid w:val="00942A85"/>
    <w:rsid w:val="00942F47"/>
    <w:rsid w:val="00944698"/>
    <w:rsid w:val="00945583"/>
    <w:rsid w:val="00946500"/>
    <w:rsid w:val="0094698E"/>
    <w:rsid w:val="00946CAD"/>
    <w:rsid w:val="00946E6F"/>
    <w:rsid w:val="00947174"/>
    <w:rsid w:val="0094720C"/>
    <w:rsid w:val="0095207D"/>
    <w:rsid w:val="009524B8"/>
    <w:rsid w:val="00952DA2"/>
    <w:rsid w:val="009531FD"/>
    <w:rsid w:val="00953476"/>
    <w:rsid w:val="009537D5"/>
    <w:rsid w:val="00954342"/>
    <w:rsid w:val="009557D9"/>
    <w:rsid w:val="0095610C"/>
    <w:rsid w:val="0095704C"/>
    <w:rsid w:val="0095712F"/>
    <w:rsid w:val="00957E93"/>
    <w:rsid w:val="00960AEB"/>
    <w:rsid w:val="0096111E"/>
    <w:rsid w:val="0096118A"/>
    <w:rsid w:val="00961210"/>
    <w:rsid w:val="00961352"/>
    <w:rsid w:val="00962F7E"/>
    <w:rsid w:val="0096329C"/>
    <w:rsid w:val="00963676"/>
    <w:rsid w:val="00963A99"/>
    <w:rsid w:val="0096442A"/>
    <w:rsid w:val="009656EB"/>
    <w:rsid w:val="00966279"/>
    <w:rsid w:val="009669E8"/>
    <w:rsid w:val="00966C2B"/>
    <w:rsid w:val="00966ED8"/>
    <w:rsid w:val="0096731D"/>
    <w:rsid w:val="009679E5"/>
    <w:rsid w:val="00967A7B"/>
    <w:rsid w:val="00970289"/>
    <w:rsid w:val="009707FC"/>
    <w:rsid w:val="00970CDE"/>
    <w:rsid w:val="00971AA8"/>
    <w:rsid w:val="009726A3"/>
    <w:rsid w:val="00972B46"/>
    <w:rsid w:val="009735A8"/>
    <w:rsid w:val="009735B0"/>
    <w:rsid w:val="00973E5C"/>
    <w:rsid w:val="00974339"/>
    <w:rsid w:val="00974906"/>
    <w:rsid w:val="00974982"/>
    <w:rsid w:val="00974D46"/>
    <w:rsid w:val="00974D7F"/>
    <w:rsid w:val="00974F0C"/>
    <w:rsid w:val="009757F1"/>
    <w:rsid w:val="00975C52"/>
    <w:rsid w:val="009765F1"/>
    <w:rsid w:val="00976BA2"/>
    <w:rsid w:val="009773CF"/>
    <w:rsid w:val="00977F02"/>
    <w:rsid w:val="00980420"/>
    <w:rsid w:val="009807B8"/>
    <w:rsid w:val="0098212B"/>
    <w:rsid w:val="00982698"/>
    <w:rsid w:val="00983848"/>
    <w:rsid w:val="00984A4A"/>
    <w:rsid w:val="00984C97"/>
    <w:rsid w:val="00984FC6"/>
    <w:rsid w:val="00985526"/>
    <w:rsid w:val="0098629C"/>
    <w:rsid w:val="009865A2"/>
    <w:rsid w:val="009866F6"/>
    <w:rsid w:val="0098768C"/>
    <w:rsid w:val="00987CCD"/>
    <w:rsid w:val="0099199D"/>
    <w:rsid w:val="00991A1B"/>
    <w:rsid w:val="00991B0F"/>
    <w:rsid w:val="00991F9D"/>
    <w:rsid w:val="0099244C"/>
    <w:rsid w:val="009928D4"/>
    <w:rsid w:val="0099370D"/>
    <w:rsid w:val="009938DA"/>
    <w:rsid w:val="00993E53"/>
    <w:rsid w:val="00994093"/>
    <w:rsid w:val="00996809"/>
    <w:rsid w:val="009977E3"/>
    <w:rsid w:val="009A0438"/>
    <w:rsid w:val="009A05AE"/>
    <w:rsid w:val="009A0909"/>
    <w:rsid w:val="009A0E4F"/>
    <w:rsid w:val="009A1A0D"/>
    <w:rsid w:val="009A2E39"/>
    <w:rsid w:val="009A2ECB"/>
    <w:rsid w:val="009A4779"/>
    <w:rsid w:val="009A5F4B"/>
    <w:rsid w:val="009A65F2"/>
    <w:rsid w:val="009A67A9"/>
    <w:rsid w:val="009A6C1C"/>
    <w:rsid w:val="009A6C3C"/>
    <w:rsid w:val="009A7194"/>
    <w:rsid w:val="009A7867"/>
    <w:rsid w:val="009B07A6"/>
    <w:rsid w:val="009B08C4"/>
    <w:rsid w:val="009B09AB"/>
    <w:rsid w:val="009B12FB"/>
    <w:rsid w:val="009B13DD"/>
    <w:rsid w:val="009B41E5"/>
    <w:rsid w:val="009B4D47"/>
    <w:rsid w:val="009B536A"/>
    <w:rsid w:val="009B54B0"/>
    <w:rsid w:val="009B6533"/>
    <w:rsid w:val="009B6854"/>
    <w:rsid w:val="009B6BC0"/>
    <w:rsid w:val="009B6D25"/>
    <w:rsid w:val="009B71FA"/>
    <w:rsid w:val="009B7DBF"/>
    <w:rsid w:val="009B7DDD"/>
    <w:rsid w:val="009C0676"/>
    <w:rsid w:val="009C0695"/>
    <w:rsid w:val="009C0A40"/>
    <w:rsid w:val="009C0DAD"/>
    <w:rsid w:val="009C136D"/>
    <w:rsid w:val="009C1FE5"/>
    <w:rsid w:val="009C2578"/>
    <w:rsid w:val="009C2CFE"/>
    <w:rsid w:val="009C324A"/>
    <w:rsid w:val="009C47D6"/>
    <w:rsid w:val="009C4ADB"/>
    <w:rsid w:val="009C65D8"/>
    <w:rsid w:val="009C698F"/>
    <w:rsid w:val="009C6DF6"/>
    <w:rsid w:val="009C70F1"/>
    <w:rsid w:val="009C7146"/>
    <w:rsid w:val="009C7B18"/>
    <w:rsid w:val="009C7F86"/>
    <w:rsid w:val="009D061B"/>
    <w:rsid w:val="009D1C34"/>
    <w:rsid w:val="009D267D"/>
    <w:rsid w:val="009D34B7"/>
    <w:rsid w:val="009D42C1"/>
    <w:rsid w:val="009D463D"/>
    <w:rsid w:val="009D4A23"/>
    <w:rsid w:val="009D58C6"/>
    <w:rsid w:val="009D5F3D"/>
    <w:rsid w:val="009D68A9"/>
    <w:rsid w:val="009E2D38"/>
    <w:rsid w:val="009E2DAD"/>
    <w:rsid w:val="009E30D4"/>
    <w:rsid w:val="009E340E"/>
    <w:rsid w:val="009E44C6"/>
    <w:rsid w:val="009E49EE"/>
    <w:rsid w:val="009E4B33"/>
    <w:rsid w:val="009E57BC"/>
    <w:rsid w:val="009E60F6"/>
    <w:rsid w:val="009E628D"/>
    <w:rsid w:val="009E6904"/>
    <w:rsid w:val="009E78C4"/>
    <w:rsid w:val="009E7D49"/>
    <w:rsid w:val="009E7EC2"/>
    <w:rsid w:val="009E7F7C"/>
    <w:rsid w:val="009F0CDA"/>
    <w:rsid w:val="009F12E4"/>
    <w:rsid w:val="009F152D"/>
    <w:rsid w:val="009F1BED"/>
    <w:rsid w:val="009F2591"/>
    <w:rsid w:val="009F283A"/>
    <w:rsid w:val="009F42B4"/>
    <w:rsid w:val="009F4A0A"/>
    <w:rsid w:val="009F7750"/>
    <w:rsid w:val="009F78C8"/>
    <w:rsid w:val="009F7932"/>
    <w:rsid w:val="009F79FF"/>
    <w:rsid w:val="009F7CBC"/>
    <w:rsid w:val="009F7FB3"/>
    <w:rsid w:val="00A0045F"/>
    <w:rsid w:val="00A00601"/>
    <w:rsid w:val="00A00950"/>
    <w:rsid w:val="00A01C19"/>
    <w:rsid w:val="00A01E5B"/>
    <w:rsid w:val="00A027F9"/>
    <w:rsid w:val="00A028B8"/>
    <w:rsid w:val="00A02CF5"/>
    <w:rsid w:val="00A03159"/>
    <w:rsid w:val="00A034CD"/>
    <w:rsid w:val="00A0360B"/>
    <w:rsid w:val="00A0398D"/>
    <w:rsid w:val="00A03C60"/>
    <w:rsid w:val="00A04056"/>
    <w:rsid w:val="00A042C9"/>
    <w:rsid w:val="00A050AE"/>
    <w:rsid w:val="00A05628"/>
    <w:rsid w:val="00A05D87"/>
    <w:rsid w:val="00A066F6"/>
    <w:rsid w:val="00A07482"/>
    <w:rsid w:val="00A10202"/>
    <w:rsid w:val="00A104DC"/>
    <w:rsid w:val="00A106A6"/>
    <w:rsid w:val="00A107AD"/>
    <w:rsid w:val="00A10C8C"/>
    <w:rsid w:val="00A10E6A"/>
    <w:rsid w:val="00A118ED"/>
    <w:rsid w:val="00A11BED"/>
    <w:rsid w:val="00A11CEA"/>
    <w:rsid w:val="00A12287"/>
    <w:rsid w:val="00A12329"/>
    <w:rsid w:val="00A13187"/>
    <w:rsid w:val="00A1331A"/>
    <w:rsid w:val="00A1399E"/>
    <w:rsid w:val="00A13D51"/>
    <w:rsid w:val="00A14304"/>
    <w:rsid w:val="00A162CA"/>
    <w:rsid w:val="00A16E3F"/>
    <w:rsid w:val="00A17287"/>
    <w:rsid w:val="00A17FF4"/>
    <w:rsid w:val="00A20937"/>
    <w:rsid w:val="00A219A5"/>
    <w:rsid w:val="00A21AEA"/>
    <w:rsid w:val="00A21FE5"/>
    <w:rsid w:val="00A224BB"/>
    <w:rsid w:val="00A22509"/>
    <w:rsid w:val="00A22539"/>
    <w:rsid w:val="00A23864"/>
    <w:rsid w:val="00A23BE3"/>
    <w:rsid w:val="00A24314"/>
    <w:rsid w:val="00A25BBC"/>
    <w:rsid w:val="00A261FF"/>
    <w:rsid w:val="00A26728"/>
    <w:rsid w:val="00A26978"/>
    <w:rsid w:val="00A26A17"/>
    <w:rsid w:val="00A270AC"/>
    <w:rsid w:val="00A275EC"/>
    <w:rsid w:val="00A27673"/>
    <w:rsid w:val="00A30D2D"/>
    <w:rsid w:val="00A32C13"/>
    <w:rsid w:val="00A3327E"/>
    <w:rsid w:val="00A35724"/>
    <w:rsid w:val="00A368DA"/>
    <w:rsid w:val="00A40F54"/>
    <w:rsid w:val="00A415DD"/>
    <w:rsid w:val="00A4252A"/>
    <w:rsid w:val="00A4256D"/>
    <w:rsid w:val="00A43C70"/>
    <w:rsid w:val="00A44150"/>
    <w:rsid w:val="00A45012"/>
    <w:rsid w:val="00A46CF9"/>
    <w:rsid w:val="00A46F73"/>
    <w:rsid w:val="00A47E99"/>
    <w:rsid w:val="00A50017"/>
    <w:rsid w:val="00A50159"/>
    <w:rsid w:val="00A502E7"/>
    <w:rsid w:val="00A506A6"/>
    <w:rsid w:val="00A508CE"/>
    <w:rsid w:val="00A5122C"/>
    <w:rsid w:val="00A51D65"/>
    <w:rsid w:val="00A530C0"/>
    <w:rsid w:val="00A54566"/>
    <w:rsid w:val="00A54892"/>
    <w:rsid w:val="00A54C3C"/>
    <w:rsid w:val="00A54E5E"/>
    <w:rsid w:val="00A561D7"/>
    <w:rsid w:val="00A56C0E"/>
    <w:rsid w:val="00A56D11"/>
    <w:rsid w:val="00A56F09"/>
    <w:rsid w:val="00A56F45"/>
    <w:rsid w:val="00A608F4"/>
    <w:rsid w:val="00A61B5F"/>
    <w:rsid w:val="00A62336"/>
    <w:rsid w:val="00A637E9"/>
    <w:rsid w:val="00A64337"/>
    <w:rsid w:val="00A6580E"/>
    <w:rsid w:val="00A65975"/>
    <w:rsid w:val="00A66271"/>
    <w:rsid w:val="00A662B3"/>
    <w:rsid w:val="00A704F1"/>
    <w:rsid w:val="00A713D2"/>
    <w:rsid w:val="00A71FCE"/>
    <w:rsid w:val="00A7217B"/>
    <w:rsid w:val="00A7266E"/>
    <w:rsid w:val="00A744F8"/>
    <w:rsid w:val="00A7494F"/>
    <w:rsid w:val="00A74BB8"/>
    <w:rsid w:val="00A75545"/>
    <w:rsid w:val="00A7566B"/>
    <w:rsid w:val="00A766EA"/>
    <w:rsid w:val="00A76B00"/>
    <w:rsid w:val="00A77C3A"/>
    <w:rsid w:val="00A80E9E"/>
    <w:rsid w:val="00A80FE4"/>
    <w:rsid w:val="00A817CA"/>
    <w:rsid w:val="00A818F2"/>
    <w:rsid w:val="00A826D2"/>
    <w:rsid w:val="00A8287A"/>
    <w:rsid w:val="00A828D8"/>
    <w:rsid w:val="00A8370B"/>
    <w:rsid w:val="00A8388E"/>
    <w:rsid w:val="00A83F96"/>
    <w:rsid w:val="00A841B7"/>
    <w:rsid w:val="00A84664"/>
    <w:rsid w:val="00A84771"/>
    <w:rsid w:val="00A84777"/>
    <w:rsid w:val="00A853CD"/>
    <w:rsid w:val="00A857E6"/>
    <w:rsid w:val="00A860C1"/>
    <w:rsid w:val="00A8624E"/>
    <w:rsid w:val="00A86340"/>
    <w:rsid w:val="00A86B54"/>
    <w:rsid w:val="00A87041"/>
    <w:rsid w:val="00A9001E"/>
    <w:rsid w:val="00A932DC"/>
    <w:rsid w:val="00A94B79"/>
    <w:rsid w:val="00A94BA5"/>
    <w:rsid w:val="00A95140"/>
    <w:rsid w:val="00A96147"/>
    <w:rsid w:val="00A9648D"/>
    <w:rsid w:val="00A966B8"/>
    <w:rsid w:val="00A97990"/>
    <w:rsid w:val="00AA0227"/>
    <w:rsid w:val="00AA2636"/>
    <w:rsid w:val="00AA2826"/>
    <w:rsid w:val="00AA2A98"/>
    <w:rsid w:val="00AA2C65"/>
    <w:rsid w:val="00AA2E78"/>
    <w:rsid w:val="00AA3EC3"/>
    <w:rsid w:val="00AA53B4"/>
    <w:rsid w:val="00AA55FA"/>
    <w:rsid w:val="00AA56C1"/>
    <w:rsid w:val="00AA6D71"/>
    <w:rsid w:val="00AA7175"/>
    <w:rsid w:val="00AA764F"/>
    <w:rsid w:val="00AB0640"/>
    <w:rsid w:val="00AB070D"/>
    <w:rsid w:val="00AB0EDE"/>
    <w:rsid w:val="00AB1FEB"/>
    <w:rsid w:val="00AB2097"/>
    <w:rsid w:val="00AB2212"/>
    <w:rsid w:val="00AB4353"/>
    <w:rsid w:val="00AB472D"/>
    <w:rsid w:val="00AB49BA"/>
    <w:rsid w:val="00AB51EA"/>
    <w:rsid w:val="00AB5251"/>
    <w:rsid w:val="00AB540C"/>
    <w:rsid w:val="00AB5D31"/>
    <w:rsid w:val="00AB661E"/>
    <w:rsid w:val="00AB6740"/>
    <w:rsid w:val="00AB6CDA"/>
    <w:rsid w:val="00AB7617"/>
    <w:rsid w:val="00AC0166"/>
    <w:rsid w:val="00AC09C3"/>
    <w:rsid w:val="00AC0A99"/>
    <w:rsid w:val="00AC1509"/>
    <w:rsid w:val="00AC209E"/>
    <w:rsid w:val="00AC3614"/>
    <w:rsid w:val="00AC45E2"/>
    <w:rsid w:val="00AC4E43"/>
    <w:rsid w:val="00AC6517"/>
    <w:rsid w:val="00AC6DCC"/>
    <w:rsid w:val="00AC71DA"/>
    <w:rsid w:val="00AC7DA6"/>
    <w:rsid w:val="00AD0277"/>
    <w:rsid w:val="00AD1140"/>
    <w:rsid w:val="00AD18F5"/>
    <w:rsid w:val="00AD3CE3"/>
    <w:rsid w:val="00AD4459"/>
    <w:rsid w:val="00AD4DD8"/>
    <w:rsid w:val="00AD5039"/>
    <w:rsid w:val="00AD5526"/>
    <w:rsid w:val="00AD589B"/>
    <w:rsid w:val="00AD6FEF"/>
    <w:rsid w:val="00AD7092"/>
    <w:rsid w:val="00AE10FA"/>
    <w:rsid w:val="00AE1FC5"/>
    <w:rsid w:val="00AE315B"/>
    <w:rsid w:val="00AE5E24"/>
    <w:rsid w:val="00AE7282"/>
    <w:rsid w:val="00AF0006"/>
    <w:rsid w:val="00AF09DC"/>
    <w:rsid w:val="00AF0B8D"/>
    <w:rsid w:val="00AF0C91"/>
    <w:rsid w:val="00AF1003"/>
    <w:rsid w:val="00AF2577"/>
    <w:rsid w:val="00AF32C1"/>
    <w:rsid w:val="00AF35DD"/>
    <w:rsid w:val="00AF3C9B"/>
    <w:rsid w:val="00AF4393"/>
    <w:rsid w:val="00AF476A"/>
    <w:rsid w:val="00AF4AA2"/>
    <w:rsid w:val="00AF6574"/>
    <w:rsid w:val="00AF6C49"/>
    <w:rsid w:val="00AF76ED"/>
    <w:rsid w:val="00AF7FF5"/>
    <w:rsid w:val="00B0038A"/>
    <w:rsid w:val="00B00649"/>
    <w:rsid w:val="00B00985"/>
    <w:rsid w:val="00B01568"/>
    <w:rsid w:val="00B0194A"/>
    <w:rsid w:val="00B01D11"/>
    <w:rsid w:val="00B01D94"/>
    <w:rsid w:val="00B01E22"/>
    <w:rsid w:val="00B021B8"/>
    <w:rsid w:val="00B0235A"/>
    <w:rsid w:val="00B02A33"/>
    <w:rsid w:val="00B02ED3"/>
    <w:rsid w:val="00B04542"/>
    <w:rsid w:val="00B04E7E"/>
    <w:rsid w:val="00B05913"/>
    <w:rsid w:val="00B05EA2"/>
    <w:rsid w:val="00B0705C"/>
    <w:rsid w:val="00B073B7"/>
    <w:rsid w:val="00B07477"/>
    <w:rsid w:val="00B078D2"/>
    <w:rsid w:val="00B07DB1"/>
    <w:rsid w:val="00B1004E"/>
    <w:rsid w:val="00B10396"/>
    <w:rsid w:val="00B10983"/>
    <w:rsid w:val="00B1139E"/>
    <w:rsid w:val="00B127BA"/>
    <w:rsid w:val="00B13159"/>
    <w:rsid w:val="00B13602"/>
    <w:rsid w:val="00B14A73"/>
    <w:rsid w:val="00B14F55"/>
    <w:rsid w:val="00B1507C"/>
    <w:rsid w:val="00B15775"/>
    <w:rsid w:val="00B15C2F"/>
    <w:rsid w:val="00B17FA8"/>
    <w:rsid w:val="00B2042C"/>
    <w:rsid w:val="00B20A90"/>
    <w:rsid w:val="00B214E1"/>
    <w:rsid w:val="00B21789"/>
    <w:rsid w:val="00B22A40"/>
    <w:rsid w:val="00B230A1"/>
    <w:rsid w:val="00B24158"/>
    <w:rsid w:val="00B259DF"/>
    <w:rsid w:val="00B26E77"/>
    <w:rsid w:val="00B27280"/>
    <w:rsid w:val="00B27565"/>
    <w:rsid w:val="00B3017F"/>
    <w:rsid w:val="00B301E0"/>
    <w:rsid w:val="00B308B2"/>
    <w:rsid w:val="00B30B8C"/>
    <w:rsid w:val="00B317A4"/>
    <w:rsid w:val="00B31F75"/>
    <w:rsid w:val="00B32588"/>
    <w:rsid w:val="00B328B1"/>
    <w:rsid w:val="00B3308E"/>
    <w:rsid w:val="00B337D6"/>
    <w:rsid w:val="00B340C9"/>
    <w:rsid w:val="00B341E2"/>
    <w:rsid w:val="00B34C0A"/>
    <w:rsid w:val="00B34C15"/>
    <w:rsid w:val="00B34D42"/>
    <w:rsid w:val="00B34F69"/>
    <w:rsid w:val="00B35154"/>
    <w:rsid w:val="00B35E3F"/>
    <w:rsid w:val="00B35E44"/>
    <w:rsid w:val="00B36C50"/>
    <w:rsid w:val="00B36FED"/>
    <w:rsid w:val="00B37A7E"/>
    <w:rsid w:val="00B4020F"/>
    <w:rsid w:val="00B40334"/>
    <w:rsid w:val="00B40480"/>
    <w:rsid w:val="00B4067C"/>
    <w:rsid w:val="00B40D0D"/>
    <w:rsid w:val="00B40E7A"/>
    <w:rsid w:val="00B422E6"/>
    <w:rsid w:val="00B422FE"/>
    <w:rsid w:val="00B426F1"/>
    <w:rsid w:val="00B42838"/>
    <w:rsid w:val="00B433DF"/>
    <w:rsid w:val="00B43ADC"/>
    <w:rsid w:val="00B44696"/>
    <w:rsid w:val="00B4478F"/>
    <w:rsid w:val="00B469B8"/>
    <w:rsid w:val="00B475DB"/>
    <w:rsid w:val="00B47BE6"/>
    <w:rsid w:val="00B5041D"/>
    <w:rsid w:val="00B50878"/>
    <w:rsid w:val="00B50D81"/>
    <w:rsid w:val="00B51D77"/>
    <w:rsid w:val="00B5256C"/>
    <w:rsid w:val="00B52BCB"/>
    <w:rsid w:val="00B52F02"/>
    <w:rsid w:val="00B538BE"/>
    <w:rsid w:val="00B54AF8"/>
    <w:rsid w:val="00B54FDB"/>
    <w:rsid w:val="00B5612E"/>
    <w:rsid w:val="00B562CD"/>
    <w:rsid w:val="00B568C3"/>
    <w:rsid w:val="00B56F56"/>
    <w:rsid w:val="00B578E7"/>
    <w:rsid w:val="00B600DD"/>
    <w:rsid w:val="00B604AC"/>
    <w:rsid w:val="00B607D2"/>
    <w:rsid w:val="00B60CB1"/>
    <w:rsid w:val="00B6372A"/>
    <w:rsid w:val="00B64724"/>
    <w:rsid w:val="00B648C0"/>
    <w:rsid w:val="00B659CB"/>
    <w:rsid w:val="00B6613E"/>
    <w:rsid w:val="00B66CE3"/>
    <w:rsid w:val="00B67C5B"/>
    <w:rsid w:val="00B70C4E"/>
    <w:rsid w:val="00B712B1"/>
    <w:rsid w:val="00B714EB"/>
    <w:rsid w:val="00B71FDA"/>
    <w:rsid w:val="00B723C5"/>
    <w:rsid w:val="00B72C98"/>
    <w:rsid w:val="00B73A3A"/>
    <w:rsid w:val="00B745A7"/>
    <w:rsid w:val="00B74DA9"/>
    <w:rsid w:val="00B75F0F"/>
    <w:rsid w:val="00B764D4"/>
    <w:rsid w:val="00B76642"/>
    <w:rsid w:val="00B7719B"/>
    <w:rsid w:val="00B77C28"/>
    <w:rsid w:val="00B77D22"/>
    <w:rsid w:val="00B81380"/>
    <w:rsid w:val="00B828EC"/>
    <w:rsid w:val="00B82D3E"/>
    <w:rsid w:val="00B831C0"/>
    <w:rsid w:val="00B83987"/>
    <w:rsid w:val="00B83EAC"/>
    <w:rsid w:val="00B84185"/>
    <w:rsid w:val="00B84D3F"/>
    <w:rsid w:val="00B85CE8"/>
    <w:rsid w:val="00B862CB"/>
    <w:rsid w:val="00B86AAE"/>
    <w:rsid w:val="00B86F5D"/>
    <w:rsid w:val="00B87AFB"/>
    <w:rsid w:val="00B90B0F"/>
    <w:rsid w:val="00B92299"/>
    <w:rsid w:val="00B92DAE"/>
    <w:rsid w:val="00B930E1"/>
    <w:rsid w:val="00B937FB"/>
    <w:rsid w:val="00B9451F"/>
    <w:rsid w:val="00B95384"/>
    <w:rsid w:val="00B96F08"/>
    <w:rsid w:val="00B97227"/>
    <w:rsid w:val="00B97684"/>
    <w:rsid w:val="00BA0B11"/>
    <w:rsid w:val="00BA1C72"/>
    <w:rsid w:val="00BA20F5"/>
    <w:rsid w:val="00BA2306"/>
    <w:rsid w:val="00BA25A3"/>
    <w:rsid w:val="00BA2DE2"/>
    <w:rsid w:val="00BA3C0F"/>
    <w:rsid w:val="00BA4B8D"/>
    <w:rsid w:val="00BA59A9"/>
    <w:rsid w:val="00BA7A43"/>
    <w:rsid w:val="00BA7B7E"/>
    <w:rsid w:val="00BB012F"/>
    <w:rsid w:val="00BB067D"/>
    <w:rsid w:val="00BB137B"/>
    <w:rsid w:val="00BB1434"/>
    <w:rsid w:val="00BB1D7A"/>
    <w:rsid w:val="00BB3DF9"/>
    <w:rsid w:val="00BB47F6"/>
    <w:rsid w:val="00BB52CC"/>
    <w:rsid w:val="00BB5381"/>
    <w:rsid w:val="00BB5C16"/>
    <w:rsid w:val="00BB5FB0"/>
    <w:rsid w:val="00BB6185"/>
    <w:rsid w:val="00BB63C8"/>
    <w:rsid w:val="00BB6D20"/>
    <w:rsid w:val="00BB7E9A"/>
    <w:rsid w:val="00BC0CFE"/>
    <w:rsid w:val="00BC1559"/>
    <w:rsid w:val="00BC1FF3"/>
    <w:rsid w:val="00BC2FBD"/>
    <w:rsid w:val="00BC3180"/>
    <w:rsid w:val="00BC3405"/>
    <w:rsid w:val="00BC3843"/>
    <w:rsid w:val="00BC4C99"/>
    <w:rsid w:val="00BC55D9"/>
    <w:rsid w:val="00BC586F"/>
    <w:rsid w:val="00BC5C8F"/>
    <w:rsid w:val="00BC63B8"/>
    <w:rsid w:val="00BC6980"/>
    <w:rsid w:val="00BC73E9"/>
    <w:rsid w:val="00BC7711"/>
    <w:rsid w:val="00BD20E9"/>
    <w:rsid w:val="00BD250B"/>
    <w:rsid w:val="00BD2D23"/>
    <w:rsid w:val="00BD327E"/>
    <w:rsid w:val="00BD37B3"/>
    <w:rsid w:val="00BD42F8"/>
    <w:rsid w:val="00BD442D"/>
    <w:rsid w:val="00BD4DD5"/>
    <w:rsid w:val="00BD4F93"/>
    <w:rsid w:val="00BD4FE4"/>
    <w:rsid w:val="00BD5C95"/>
    <w:rsid w:val="00BD5F68"/>
    <w:rsid w:val="00BD6BA5"/>
    <w:rsid w:val="00BD6D36"/>
    <w:rsid w:val="00BD7061"/>
    <w:rsid w:val="00BD71CF"/>
    <w:rsid w:val="00BD7D3F"/>
    <w:rsid w:val="00BE05C2"/>
    <w:rsid w:val="00BE0F80"/>
    <w:rsid w:val="00BE1769"/>
    <w:rsid w:val="00BE1FFB"/>
    <w:rsid w:val="00BE245B"/>
    <w:rsid w:val="00BE247C"/>
    <w:rsid w:val="00BE2993"/>
    <w:rsid w:val="00BE3ECA"/>
    <w:rsid w:val="00BE403F"/>
    <w:rsid w:val="00BE4486"/>
    <w:rsid w:val="00BE55BA"/>
    <w:rsid w:val="00BE5639"/>
    <w:rsid w:val="00BF001D"/>
    <w:rsid w:val="00BF01CD"/>
    <w:rsid w:val="00BF063A"/>
    <w:rsid w:val="00BF095F"/>
    <w:rsid w:val="00BF0B11"/>
    <w:rsid w:val="00BF10FD"/>
    <w:rsid w:val="00BF1E48"/>
    <w:rsid w:val="00BF223C"/>
    <w:rsid w:val="00BF245A"/>
    <w:rsid w:val="00BF250B"/>
    <w:rsid w:val="00BF2959"/>
    <w:rsid w:val="00BF3211"/>
    <w:rsid w:val="00BF323B"/>
    <w:rsid w:val="00BF33CB"/>
    <w:rsid w:val="00BF371A"/>
    <w:rsid w:val="00BF51C9"/>
    <w:rsid w:val="00BF559D"/>
    <w:rsid w:val="00BF55EF"/>
    <w:rsid w:val="00BF6138"/>
    <w:rsid w:val="00BF6264"/>
    <w:rsid w:val="00BF6436"/>
    <w:rsid w:val="00BF690D"/>
    <w:rsid w:val="00BF6D7C"/>
    <w:rsid w:val="00BF6D8D"/>
    <w:rsid w:val="00BF7C36"/>
    <w:rsid w:val="00C0016F"/>
    <w:rsid w:val="00C01116"/>
    <w:rsid w:val="00C03214"/>
    <w:rsid w:val="00C05830"/>
    <w:rsid w:val="00C05BDE"/>
    <w:rsid w:val="00C05F66"/>
    <w:rsid w:val="00C10751"/>
    <w:rsid w:val="00C10826"/>
    <w:rsid w:val="00C10E14"/>
    <w:rsid w:val="00C112D6"/>
    <w:rsid w:val="00C12048"/>
    <w:rsid w:val="00C122DD"/>
    <w:rsid w:val="00C12772"/>
    <w:rsid w:val="00C141C0"/>
    <w:rsid w:val="00C1496A"/>
    <w:rsid w:val="00C15AD6"/>
    <w:rsid w:val="00C1723D"/>
    <w:rsid w:val="00C17655"/>
    <w:rsid w:val="00C17D22"/>
    <w:rsid w:val="00C201B0"/>
    <w:rsid w:val="00C207F6"/>
    <w:rsid w:val="00C20D42"/>
    <w:rsid w:val="00C214FA"/>
    <w:rsid w:val="00C21C33"/>
    <w:rsid w:val="00C22D0D"/>
    <w:rsid w:val="00C2391B"/>
    <w:rsid w:val="00C247D5"/>
    <w:rsid w:val="00C2491D"/>
    <w:rsid w:val="00C24A0C"/>
    <w:rsid w:val="00C25ADB"/>
    <w:rsid w:val="00C2719A"/>
    <w:rsid w:val="00C27369"/>
    <w:rsid w:val="00C278B5"/>
    <w:rsid w:val="00C2793E"/>
    <w:rsid w:val="00C27B15"/>
    <w:rsid w:val="00C30D64"/>
    <w:rsid w:val="00C30E41"/>
    <w:rsid w:val="00C3116B"/>
    <w:rsid w:val="00C312D6"/>
    <w:rsid w:val="00C31CE2"/>
    <w:rsid w:val="00C34F36"/>
    <w:rsid w:val="00C35CC2"/>
    <w:rsid w:val="00C3602E"/>
    <w:rsid w:val="00C365F7"/>
    <w:rsid w:val="00C36839"/>
    <w:rsid w:val="00C36D9E"/>
    <w:rsid w:val="00C40B5C"/>
    <w:rsid w:val="00C42C08"/>
    <w:rsid w:val="00C431F2"/>
    <w:rsid w:val="00C43238"/>
    <w:rsid w:val="00C43D04"/>
    <w:rsid w:val="00C43F8C"/>
    <w:rsid w:val="00C445C4"/>
    <w:rsid w:val="00C460FB"/>
    <w:rsid w:val="00C46B95"/>
    <w:rsid w:val="00C474B2"/>
    <w:rsid w:val="00C477F0"/>
    <w:rsid w:val="00C47D97"/>
    <w:rsid w:val="00C47F93"/>
    <w:rsid w:val="00C47FCE"/>
    <w:rsid w:val="00C5006C"/>
    <w:rsid w:val="00C50360"/>
    <w:rsid w:val="00C50CD7"/>
    <w:rsid w:val="00C50DE7"/>
    <w:rsid w:val="00C50E69"/>
    <w:rsid w:val="00C5137F"/>
    <w:rsid w:val="00C5164C"/>
    <w:rsid w:val="00C51D73"/>
    <w:rsid w:val="00C5251D"/>
    <w:rsid w:val="00C52D0B"/>
    <w:rsid w:val="00C5307A"/>
    <w:rsid w:val="00C5333B"/>
    <w:rsid w:val="00C54343"/>
    <w:rsid w:val="00C54472"/>
    <w:rsid w:val="00C54F40"/>
    <w:rsid w:val="00C55037"/>
    <w:rsid w:val="00C55F67"/>
    <w:rsid w:val="00C56002"/>
    <w:rsid w:val="00C563D6"/>
    <w:rsid w:val="00C5743A"/>
    <w:rsid w:val="00C57571"/>
    <w:rsid w:val="00C57945"/>
    <w:rsid w:val="00C57CB4"/>
    <w:rsid w:val="00C6033F"/>
    <w:rsid w:val="00C60771"/>
    <w:rsid w:val="00C616D4"/>
    <w:rsid w:val="00C62B85"/>
    <w:rsid w:val="00C63F4A"/>
    <w:rsid w:val="00C63FF7"/>
    <w:rsid w:val="00C648C8"/>
    <w:rsid w:val="00C6490B"/>
    <w:rsid w:val="00C66678"/>
    <w:rsid w:val="00C70AA3"/>
    <w:rsid w:val="00C70AA7"/>
    <w:rsid w:val="00C7113C"/>
    <w:rsid w:val="00C725FB"/>
    <w:rsid w:val="00C72701"/>
    <w:rsid w:val="00C72B18"/>
    <w:rsid w:val="00C73E15"/>
    <w:rsid w:val="00C74570"/>
    <w:rsid w:val="00C751EB"/>
    <w:rsid w:val="00C753A7"/>
    <w:rsid w:val="00C7642D"/>
    <w:rsid w:val="00C76C67"/>
    <w:rsid w:val="00C772B2"/>
    <w:rsid w:val="00C7731B"/>
    <w:rsid w:val="00C773BC"/>
    <w:rsid w:val="00C77600"/>
    <w:rsid w:val="00C77D73"/>
    <w:rsid w:val="00C77DAB"/>
    <w:rsid w:val="00C80404"/>
    <w:rsid w:val="00C81DF6"/>
    <w:rsid w:val="00C8257D"/>
    <w:rsid w:val="00C82B47"/>
    <w:rsid w:val="00C83F61"/>
    <w:rsid w:val="00C848FE"/>
    <w:rsid w:val="00C84A7C"/>
    <w:rsid w:val="00C8517D"/>
    <w:rsid w:val="00C85201"/>
    <w:rsid w:val="00C856F2"/>
    <w:rsid w:val="00C857ED"/>
    <w:rsid w:val="00C85A58"/>
    <w:rsid w:val="00C85F90"/>
    <w:rsid w:val="00C862F9"/>
    <w:rsid w:val="00C879F8"/>
    <w:rsid w:val="00C87D83"/>
    <w:rsid w:val="00C90312"/>
    <w:rsid w:val="00C90BC3"/>
    <w:rsid w:val="00C90E96"/>
    <w:rsid w:val="00C910FE"/>
    <w:rsid w:val="00C9112A"/>
    <w:rsid w:val="00C91FC6"/>
    <w:rsid w:val="00C92A76"/>
    <w:rsid w:val="00C92DC4"/>
    <w:rsid w:val="00C92EFC"/>
    <w:rsid w:val="00C932B0"/>
    <w:rsid w:val="00C932D3"/>
    <w:rsid w:val="00C93906"/>
    <w:rsid w:val="00C948A9"/>
    <w:rsid w:val="00C96F6B"/>
    <w:rsid w:val="00C97B34"/>
    <w:rsid w:val="00C97F21"/>
    <w:rsid w:val="00CA0A50"/>
    <w:rsid w:val="00CA0CAA"/>
    <w:rsid w:val="00CA107D"/>
    <w:rsid w:val="00CA1684"/>
    <w:rsid w:val="00CA1E46"/>
    <w:rsid w:val="00CA3A50"/>
    <w:rsid w:val="00CA3E01"/>
    <w:rsid w:val="00CA6061"/>
    <w:rsid w:val="00CA68CC"/>
    <w:rsid w:val="00CB019C"/>
    <w:rsid w:val="00CB0529"/>
    <w:rsid w:val="00CB0A1D"/>
    <w:rsid w:val="00CB147C"/>
    <w:rsid w:val="00CB20AC"/>
    <w:rsid w:val="00CB2622"/>
    <w:rsid w:val="00CB3665"/>
    <w:rsid w:val="00CB4387"/>
    <w:rsid w:val="00CB4655"/>
    <w:rsid w:val="00CB4836"/>
    <w:rsid w:val="00CB59C6"/>
    <w:rsid w:val="00CB6AB6"/>
    <w:rsid w:val="00CB73D6"/>
    <w:rsid w:val="00CB7418"/>
    <w:rsid w:val="00CC1302"/>
    <w:rsid w:val="00CC1C72"/>
    <w:rsid w:val="00CC1ECB"/>
    <w:rsid w:val="00CC21DF"/>
    <w:rsid w:val="00CC28D3"/>
    <w:rsid w:val="00CC2EBD"/>
    <w:rsid w:val="00CC3912"/>
    <w:rsid w:val="00CC476F"/>
    <w:rsid w:val="00CC4C2C"/>
    <w:rsid w:val="00CC58C3"/>
    <w:rsid w:val="00CC60F8"/>
    <w:rsid w:val="00CC642B"/>
    <w:rsid w:val="00CC6B9B"/>
    <w:rsid w:val="00CC6CD0"/>
    <w:rsid w:val="00CC7239"/>
    <w:rsid w:val="00CC7FBC"/>
    <w:rsid w:val="00CD0034"/>
    <w:rsid w:val="00CD10AE"/>
    <w:rsid w:val="00CD13EC"/>
    <w:rsid w:val="00CD326D"/>
    <w:rsid w:val="00CD40E8"/>
    <w:rsid w:val="00CD4D94"/>
    <w:rsid w:val="00CD58AB"/>
    <w:rsid w:val="00CD59B3"/>
    <w:rsid w:val="00CD634F"/>
    <w:rsid w:val="00CD7146"/>
    <w:rsid w:val="00CD71D0"/>
    <w:rsid w:val="00CD7797"/>
    <w:rsid w:val="00CE0D01"/>
    <w:rsid w:val="00CE1171"/>
    <w:rsid w:val="00CE1C13"/>
    <w:rsid w:val="00CE1FCA"/>
    <w:rsid w:val="00CE22C3"/>
    <w:rsid w:val="00CE23CD"/>
    <w:rsid w:val="00CE244B"/>
    <w:rsid w:val="00CE266B"/>
    <w:rsid w:val="00CE27F2"/>
    <w:rsid w:val="00CE2CAD"/>
    <w:rsid w:val="00CE2FC2"/>
    <w:rsid w:val="00CE3055"/>
    <w:rsid w:val="00CE4459"/>
    <w:rsid w:val="00CE48AB"/>
    <w:rsid w:val="00CE4F03"/>
    <w:rsid w:val="00CE52DE"/>
    <w:rsid w:val="00CE530A"/>
    <w:rsid w:val="00CE55DD"/>
    <w:rsid w:val="00CE57C2"/>
    <w:rsid w:val="00CE580E"/>
    <w:rsid w:val="00CE6056"/>
    <w:rsid w:val="00CE6527"/>
    <w:rsid w:val="00CE6FB8"/>
    <w:rsid w:val="00CF0340"/>
    <w:rsid w:val="00CF078D"/>
    <w:rsid w:val="00CF1A20"/>
    <w:rsid w:val="00CF2E74"/>
    <w:rsid w:val="00CF2FE2"/>
    <w:rsid w:val="00CF4216"/>
    <w:rsid w:val="00CF4EC7"/>
    <w:rsid w:val="00CF50BB"/>
    <w:rsid w:val="00CF6523"/>
    <w:rsid w:val="00CF72B2"/>
    <w:rsid w:val="00CF7BCA"/>
    <w:rsid w:val="00D00FC6"/>
    <w:rsid w:val="00D01707"/>
    <w:rsid w:val="00D01A9B"/>
    <w:rsid w:val="00D01D14"/>
    <w:rsid w:val="00D0256C"/>
    <w:rsid w:val="00D027AB"/>
    <w:rsid w:val="00D04C4F"/>
    <w:rsid w:val="00D05AAC"/>
    <w:rsid w:val="00D063BF"/>
    <w:rsid w:val="00D06916"/>
    <w:rsid w:val="00D11043"/>
    <w:rsid w:val="00D11122"/>
    <w:rsid w:val="00D111E7"/>
    <w:rsid w:val="00D117E1"/>
    <w:rsid w:val="00D11F5F"/>
    <w:rsid w:val="00D12840"/>
    <w:rsid w:val="00D13325"/>
    <w:rsid w:val="00D133BB"/>
    <w:rsid w:val="00D13842"/>
    <w:rsid w:val="00D13B72"/>
    <w:rsid w:val="00D14CCC"/>
    <w:rsid w:val="00D15BEF"/>
    <w:rsid w:val="00D174DC"/>
    <w:rsid w:val="00D1754C"/>
    <w:rsid w:val="00D205F2"/>
    <w:rsid w:val="00D20BCA"/>
    <w:rsid w:val="00D22B79"/>
    <w:rsid w:val="00D22EAE"/>
    <w:rsid w:val="00D2477E"/>
    <w:rsid w:val="00D24B87"/>
    <w:rsid w:val="00D26489"/>
    <w:rsid w:val="00D27A0C"/>
    <w:rsid w:val="00D30C0A"/>
    <w:rsid w:val="00D31388"/>
    <w:rsid w:val="00D33FA4"/>
    <w:rsid w:val="00D3488D"/>
    <w:rsid w:val="00D34E13"/>
    <w:rsid w:val="00D3563D"/>
    <w:rsid w:val="00D3572B"/>
    <w:rsid w:val="00D369E3"/>
    <w:rsid w:val="00D3713D"/>
    <w:rsid w:val="00D37CB3"/>
    <w:rsid w:val="00D400AF"/>
    <w:rsid w:val="00D40653"/>
    <w:rsid w:val="00D40A58"/>
    <w:rsid w:val="00D411B2"/>
    <w:rsid w:val="00D41A25"/>
    <w:rsid w:val="00D429B8"/>
    <w:rsid w:val="00D43288"/>
    <w:rsid w:val="00D44340"/>
    <w:rsid w:val="00D44B7B"/>
    <w:rsid w:val="00D45821"/>
    <w:rsid w:val="00D46106"/>
    <w:rsid w:val="00D4615F"/>
    <w:rsid w:val="00D463C4"/>
    <w:rsid w:val="00D46AFC"/>
    <w:rsid w:val="00D47847"/>
    <w:rsid w:val="00D51DB2"/>
    <w:rsid w:val="00D520DD"/>
    <w:rsid w:val="00D52466"/>
    <w:rsid w:val="00D524F8"/>
    <w:rsid w:val="00D52504"/>
    <w:rsid w:val="00D52562"/>
    <w:rsid w:val="00D552D7"/>
    <w:rsid w:val="00D559CB"/>
    <w:rsid w:val="00D55C99"/>
    <w:rsid w:val="00D55E65"/>
    <w:rsid w:val="00D55EFA"/>
    <w:rsid w:val="00D563DA"/>
    <w:rsid w:val="00D57153"/>
    <w:rsid w:val="00D5769C"/>
    <w:rsid w:val="00D60155"/>
    <w:rsid w:val="00D60E4C"/>
    <w:rsid w:val="00D61F5B"/>
    <w:rsid w:val="00D61FB6"/>
    <w:rsid w:val="00D6276C"/>
    <w:rsid w:val="00D634A6"/>
    <w:rsid w:val="00D635ED"/>
    <w:rsid w:val="00D64A17"/>
    <w:rsid w:val="00D65414"/>
    <w:rsid w:val="00D6571E"/>
    <w:rsid w:val="00D66885"/>
    <w:rsid w:val="00D672D2"/>
    <w:rsid w:val="00D677AA"/>
    <w:rsid w:val="00D700C5"/>
    <w:rsid w:val="00D7225C"/>
    <w:rsid w:val="00D72395"/>
    <w:rsid w:val="00D7244F"/>
    <w:rsid w:val="00D737D9"/>
    <w:rsid w:val="00D7389F"/>
    <w:rsid w:val="00D73930"/>
    <w:rsid w:val="00D73B39"/>
    <w:rsid w:val="00D751B4"/>
    <w:rsid w:val="00D75559"/>
    <w:rsid w:val="00D75913"/>
    <w:rsid w:val="00D75A6D"/>
    <w:rsid w:val="00D80AF7"/>
    <w:rsid w:val="00D814DD"/>
    <w:rsid w:val="00D814F8"/>
    <w:rsid w:val="00D81F94"/>
    <w:rsid w:val="00D8241B"/>
    <w:rsid w:val="00D830FB"/>
    <w:rsid w:val="00D8343B"/>
    <w:rsid w:val="00D83668"/>
    <w:rsid w:val="00D83856"/>
    <w:rsid w:val="00D843DC"/>
    <w:rsid w:val="00D8464B"/>
    <w:rsid w:val="00D84AF3"/>
    <w:rsid w:val="00D84ED1"/>
    <w:rsid w:val="00D851E5"/>
    <w:rsid w:val="00D8786F"/>
    <w:rsid w:val="00D878C1"/>
    <w:rsid w:val="00D90409"/>
    <w:rsid w:val="00D906B8"/>
    <w:rsid w:val="00D9070D"/>
    <w:rsid w:val="00D90AE6"/>
    <w:rsid w:val="00D90F9E"/>
    <w:rsid w:val="00D91427"/>
    <w:rsid w:val="00D915F7"/>
    <w:rsid w:val="00D91861"/>
    <w:rsid w:val="00D91C80"/>
    <w:rsid w:val="00D91EA0"/>
    <w:rsid w:val="00D92ABA"/>
    <w:rsid w:val="00D9339A"/>
    <w:rsid w:val="00D939A1"/>
    <w:rsid w:val="00D94EA2"/>
    <w:rsid w:val="00D96071"/>
    <w:rsid w:val="00D96F38"/>
    <w:rsid w:val="00DA0E40"/>
    <w:rsid w:val="00DA28FC"/>
    <w:rsid w:val="00DA3148"/>
    <w:rsid w:val="00DA34A5"/>
    <w:rsid w:val="00DA352F"/>
    <w:rsid w:val="00DA3DEF"/>
    <w:rsid w:val="00DA4FF2"/>
    <w:rsid w:val="00DA5721"/>
    <w:rsid w:val="00DA5B5A"/>
    <w:rsid w:val="00DA5BCA"/>
    <w:rsid w:val="00DA5C6E"/>
    <w:rsid w:val="00DA5CF9"/>
    <w:rsid w:val="00DA6426"/>
    <w:rsid w:val="00DB0B4E"/>
    <w:rsid w:val="00DB134F"/>
    <w:rsid w:val="00DB1ACC"/>
    <w:rsid w:val="00DB1D6C"/>
    <w:rsid w:val="00DB2690"/>
    <w:rsid w:val="00DB2D1D"/>
    <w:rsid w:val="00DB2D2F"/>
    <w:rsid w:val="00DB360F"/>
    <w:rsid w:val="00DB3F11"/>
    <w:rsid w:val="00DB426E"/>
    <w:rsid w:val="00DB48DE"/>
    <w:rsid w:val="00DB512A"/>
    <w:rsid w:val="00DB52D8"/>
    <w:rsid w:val="00DB5491"/>
    <w:rsid w:val="00DB5A19"/>
    <w:rsid w:val="00DB6D51"/>
    <w:rsid w:val="00DB725C"/>
    <w:rsid w:val="00DB7378"/>
    <w:rsid w:val="00DB781B"/>
    <w:rsid w:val="00DB7E1D"/>
    <w:rsid w:val="00DC0282"/>
    <w:rsid w:val="00DC0C23"/>
    <w:rsid w:val="00DC17AA"/>
    <w:rsid w:val="00DC2419"/>
    <w:rsid w:val="00DC28DF"/>
    <w:rsid w:val="00DC2AD3"/>
    <w:rsid w:val="00DC31E4"/>
    <w:rsid w:val="00DC3BE5"/>
    <w:rsid w:val="00DC485B"/>
    <w:rsid w:val="00DC6381"/>
    <w:rsid w:val="00DC74E7"/>
    <w:rsid w:val="00DC7E18"/>
    <w:rsid w:val="00DD013E"/>
    <w:rsid w:val="00DD0797"/>
    <w:rsid w:val="00DD108B"/>
    <w:rsid w:val="00DD13D2"/>
    <w:rsid w:val="00DD15F2"/>
    <w:rsid w:val="00DD1997"/>
    <w:rsid w:val="00DD1A6C"/>
    <w:rsid w:val="00DD2967"/>
    <w:rsid w:val="00DD2974"/>
    <w:rsid w:val="00DD2F05"/>
    <w:rsid w:val="00DD407D"/>
    <w:rsid w:val="00DD4292"/>
    <w:rsid w:val="00DD42D5"/>
    <w:rsid w:val="00DD61C8"/>
    <w:rsid w:val="00DD6C14"/>
    <w:rsid w:val="00DD6F08"/>
    <w:rsid w:val="00DD75A2"/>
    <w:rsid w:val="00DE0BD7"/>
    <w:rsid w:val="00DE0C1A"/>
    <w:rsid w:val="00DE2730"/>
    <w:rsid w:val="00DE2D14"/>
    <w:rsid w:val="00DE37BC"/>
    <w:rsid w:val="00DE39FE"/>
    <w:rsid w:val="00DE3F79"/>
    <w:rsid w:val="00DE41F9"/>
    <w:rsid w:val="00DE4BF0"/>
    <w:rsid w:val="00DE513A"/>
    <w:rsid w:val="00DE53D3"/>
    <w:rsid w:val="00DE5A51"/>
    <w:rsid w:val="00DE65C9"/>
    <w:rsid w:val="00DE6794"/>
    <w:rsid w:val="00DF0647"/>
    <w:rsid w:val="00DF0AF8"/>
    <w:rsid w:val="00DF0D6E"/>
    <w:rsid w:val="00DF16BE"/>
    <w:rsid w:val="00DF18A4"/>
    <w:rsid w:val="00DF1E58"/>
    <w:rsid w:val="00DF2556"/>
    <w:rsid w:val="00DF2658"/>
    <w:rsid w:val="00DF35F5"/>
    <w:rsid w:val="00DF37AC"/>
    <w:rsid w:val="00DF4ABC"/>
    <w:rsid w:val="00DF4DA6"/>
    <w:rsid w:val="00DF53B4"/>
    <w:rsid w:val="00DF53BD"/>
    <w:rsid w:val="00DF5650"/>
    <w:rsid w:val="00DF5841"/>
    <w:rsid w:val="00DF6062"/>
    <w:rsid w:val="00DF707D"/>
    <w:rsid w:val="00DF78C2"/>
    <w:rsid w:val="00DF7CC8"/>
    <w:rsid w:val="00E00064"/>
    <w:rsid w:val="00E002B3"/>
    <w:rsid w:val="00E00AC9"/>
    <w:rsid w:val="00E016FA"/>
    <w:rsid w:val="00E01E47"/>
    <w:rsid w:val="00E022CC"/>
    <w:rsid w:val="00E037FC"/>
    <w:rsid w:val="00E04C5A"/>
    <w:rsid w:val="00E04C73"/>
    <w:rsid w:val="00E059BA"/>
    <w:rsid w:val="00E071AB"/>
    <w:rsid w:val="00E109F5"/>
    <w:rsid w:val="00E11BB6"/>
    <w:rsid w:val="00E1239F"/>
    <w:rsid w:val="00E12E75"/>
    <w:rsid w:val="00E1366E"/>
    <w:rsid w:val="00E1443F"/>
    <w:rsid w:val="00E14674"/>
    <w:rsid w:val="00E15899"/>
    <w:rsid w:val="00E16B47"/>
    <w:rsid w:val="00E16CB8"/>
    <w:rsid w:val="00E205EC"/>
    <w:rsid w:val="00E20A8F"/>
    <w:rsid w:val="00E21B81"/>
    <w:rsid w:val="00E220AD"/>
    <w:rsid w:val="00E222F8"/>
    <w:rsid w:val="00E2296D"/>
    <w:rsid w:val="00E2474E"/>
    <w:rsid w:val="00E24C68"/>
    <w:rsid w:val="00E252EC"/>
    <w:rsid w:val="00E26B97"/>
    <w:rsid w:val="00E26E1B"/>
    <w:rsid w:val="00E27381"/>
    <w:rsid w:val="00E27F41"/>
    <w:rsid w:val="00E3047D"/>
    <w:rsid w:val="00E30FED"/>
    <w:rsid w:val="00E31453"/>
    <w:rsid w:val="00E31F77"/>
    <w:rsid w:val="00E32450"/>
    <w:rsid w:val="00E32D0F"/>
    <w:rsid w:val="00E3424D"/>
    <w:rsid w:val="00E34C98"/>
    <w:rsid w:val="00E358F3"/>
    <w:rsid w:val="00E36BD8"/>
    <w:rsid w:val="00E405F5"/>
    <w:rsid w:val="00E4089A"/>
    <w:rsid w:val="00E42D30"/>
    <w:rsid w:val="00E433A0"/>
    <w:rsid w:val="00E43AD2"/>
    <w:rsid w:val="00E457AE"/>
    <w:rsid w:val="00E45C0C"/>
    <w:rsid w:val="00E46EAB"/>
    <w:rsid w:val="00E47127"/>
    <w:rsid w:val="00E5028E"/>
    <w:rsid w:val="00E51535"/>
    <w:rsid w:val="00E51FAD"/>
    <w:rsid w:val="00E524A0"/>
    <w:rsid w:val="00E5316C"/>
    <w:rsid w:val="00E53425"/>
    <w:rsid w:val="00E538F9"/>
    <w:rsid w:val="00E53F3B"/>
    <w:rsid w:val="00E54109"/>
    <w:rsid w:val="00E54721"/>
    <w:rsid w:val="00E54BAA"/>
    <w:rsid w:val="00E55783"/>
    <w:rsid w:val="00E55967"/>
    <w:rsid w:val="00E561AB"/>
    <w:rsid w:val="00E56301"/>
    <w:rsid w:val="00E56897"/>
    <w:rsid w:val="00E57162"/>
    <w:rsid w:val="00E57AAB"/>
    <w:rsid w:val="00E57EA9"/>
    <w:rsid w:val="00E60394"/>
    <w:rsid w:val="00E606D3"/>
    <w:rsid w:val="00E62044"/>
    <w:rsid w:val="00E6217D"/>
    <w:rsid w:val="00E62CC1"/>
    <w:rsid w:val="00E62F5F"/>
    <w:rsid w:val="00E632F7"/>
    <w:rsid w:val="00E63837"/>
    <w:rsid w:val="00E63EC4"/>
    <w:rsid w:val="00E6472D"/>
    <w:rsid w:val="00E65355"/>
    <w:rsid w:val="00E666F5"/>
    <w:rsid w:val="00E667BA"/>
    <w:rsid w:val="00E66CB1"/>
    <w:rsid w:val="00E71364"/>
    <w:rsid w:val="00E716AE"/>
    <w:rsid w:val="00E719BF"/>
    <w:rsid w:val="00E720C7"/>
    <w:rsid w:val="00E726AB"/>
    <w:rsid w:val="00E7287D"/>
    <w:rsid w:val="00E72894"/>
    <w:rsid w:val="00E7326D"/>
    <w:rsid w:val="00E73513"/>
    <w:rsid w:val="00E743D1"/>
    <w:rsid w:val="00E74421"/>
    <w:rsid w:val="00E744A1"/>
    <w:rsid w:val="00E74C6A"/>
    <w:rsid w:val="00E757A1"/>
    <w:rsid w:val="00E7581C"/>
    <w:rsid w:val="00E75CB8"/>
    <w:rsid w:val="00E76C77"/>
    <w:rsid w:val="00E76DE3"/>
    <w:rsid w:val="00E771A2"/>
    <w:rsid w:val="00E773B4"/>
    <w:rsid w:val="00E808F1"/>
    <w:rsid w:val="00E80D09"/>
    <w:rsid w:val="00E812F0"/>
    <w:rsid w:val="00E815DD"/>
    <w:rsid w:val="00E82066"/>
    <w:rsid w:val="00E83322"/>
    <w:rsid w:val="00E8339A"/>
    <w:rsid w:val="00E833D1"/>
    <w:rsid w:val="00E83E1A"/>
    <w:rsid w:val="00E84497"/>
    <w:rsid w:val="00E8543F"/>
    <w:rsid w:val="00E85A36"/>
    <w:rsid w:val="00E86171"/>
    <w:rsid w:val="00E8637A"/>
    <w:rsid w:val="00E86596"/>
    <w:rsid w:val="00E86C63"/>
    <w:rsid w:val="00E870D5"/>
    <w:rsid w:val="00E87893"/>
    <w:rsid w:val="00E87DE8"/>
    <w:rsid w:val="00E90112"/>
    <w:rsid w:val="00E908A4"/>
    <w:rsid w:val="00E91507"/>
    <w:rsid w:val="00E91919"/>
    <w:rsid w:val="00E91E95"/>
    <w:rsid w:val="00E92975"/>
    <w:rsid w:val="00E930AD"/>
    <w:rsid w:val="00E932C7"/>
    <w:rsid w:val="00E9342F"/>
    <w:rsid w:val="00E94377"/>
    <w:rsid w:val="00E9518C"/>
    <w:rsid w:val="00E9521F"/>
    <w:rsid w:val="00E95A56"/>
    <w:rsid w:val="00E95BFD"/>
    <w:rsid w:val="00E96821"/>
    <w:rsid w:val="00E9740E"/>
    <w:rsid w:val="00E974C7"/>
    <w:rsid w:val="00E9794A"/>
    <w:rsid w:val="00EA07C7"/>
    <w:rsid w:val="00EA0EC1"/>
    <w:rsid w:val="00EA1B0F"/>
    <w:rsid w:val="00EA2135"/>
    <w:rsid w:val="00EA2995"/>
    <w:rsid w:val="00EA307F"/>
    <w:rsid w:val="00EA3FD3"/>
    <w:rsid w:val="00EA5697"/>
    <w:rsid w:val="00EA67E5"/>
    <w:rsid w:val="00EA71B9"/>
    <w:rsid w:val="00EA72F9"/>
    <w:rsid w:val="00EB0042"/>
    <w:rsid w:val="00EB00D3"/>
    <w:rsid w:val="00EB0379"/>
    <w:rsid w:val="00EB12D1"/>
    <w:rsid w:val="00EB1BAB"/>
    <w:rsid w:val="00EB1E99"/>
    <w:rsid w:val="00EB235A"/>
    <w:rsid w:val="00EB2C49"/>
    <w:rsid w:val="00EB2FE9"/>
    <w:rsid w:val="00EB3089"/>
    <w:rsid w:val="00EB3EAA"/>
    <w:rsid w:val="00EB41A9"/>
    <w:rsid w:val="00EB493D"/>
    <w:rsid w:val="00EB4D14"/>
    <w:rsid w:val="00EB68DF"/>
    <w:rsid w:val="00EB6B14"/>
    <w:rsid w:val="00EC00DD"/>
    <w:rsid w:val="00EC012C"/>
    <w:rsid w:val="00EC0B98"/>
    <w:rsid w:val="00EC1116"/>
    <w:rsid w:val="00EC18E5"/>
    <w:rsid w:val="00EC1B89"/>
    <w:rsid w:val="00EC2B47"/>
    <w:rsid w:val="00EC3A30"/>
    <w:rsid w:val="00EC3B6F"/>
    <w:rsid w:val="00EC533C"/>
    <w:rsid w:val="00EC5B5B"/>
    <w:rsid w:val="00EC627A"/>
    <w:rsid w:val="00EC6A54"/>
    <w:rsid w:val="00EC726F"/>
    <w:rsid w:val="00EC77EB"/>
    <w:rsid w:val="00ED0E45"/>
    <w:rsid w:val="00ED1E67"/>
    <w:rsid w:val="00ED448E"/>
    <w:rsid w:val="00ED7FEB"/>
    <w:rsid w:val="00EE0F4E"/>
    <w:rsid w:val="00EE11D2"/>
    <w:rsid w:val="00EE160E"/>
    <w:rsid w:val="00EE1D96"/>
    <w:rsid w:val="00EE1E27"/>
    <w:rsid w:val="00EE1FF6"/>
    <w:rsid w:val="00EE2936"/>
    <w:rsid w:val="00EE39C4"/>
    <w:rsid w:val="00EE4416"/>
    <w:rsid w:val="00EE5614"/>
    <w:rsid w:val="00EE5779"/>
    <w:rsid w:val="00EE5C35"/>
    <w:rsid w:val="00EE5CBA"/>
    <w:rsid w:val="00EF0E0A"/>
    <w:rsid w:val="00EF25BB"/>
    <w:rsid w:val="00EF2BEE"/>
    <w:rsid w:val="00EF3365"/>
    <w:rsid w:val="00EF3386"/>
    <w:rsid w:val="00EF338F"/>
    <w:rsid w:val="00EF38FC"/>
    <w:rsid w:val="00EF3930"/>
    <w:rsid w:val="00EF47DB"/>
    <w:rsid w:val="00EF5166"/>
    <w:rsid w:val="00EF5EDA"/>
    <w:rsid w:val="00EF77F7"/>
    <w:rsid w:val="00F016EF"/>
    <w:rsid w:val="00F0303B"/>
    <w:rsid w:val="00F03A89"/>
    <w:rsid w:val="00F04902"/>
    <w:rsid w:val="00F04F18"/>
    <w:rsid w:val="00F05D52"/>
    <w:rsid w:val="00F05DE7"/>
    <w:rsid w:val="00F06028"/>
    <w:rsid w:val="00F10183"/>
    <w:rsid w:val="00F1045B"/>
    <w:rsid w:val="00F10C1C"/>
    <w:rsid w:val="00F1128F"/>
    <w:rsid w:val="00F112C3"/>
    <w:rsid w:val="00F1194F"/>
    <w:rsid w:val="00F11BF5"/>
    <w:rsid w:val="00F11F9E"/>
    <w:rsid w:val="00F13E8F"/>
    <w:rsid w:val="00F14815"/>
    <w:rsid w:val="00F15341"/>
    <w:rsid w:val="00F15BBD"/>
    <w:rsid w:val="00F15C24"/>
    <w:rsid w:val="00F16147"/>
    <w:rsid w:val="00F2006A"/>
    <w:rsid w:val="00F2113D"/>
    <w:rsid w:val="00F2143C"/>
    <w:rsid w:val="00F227C1"/>
    <w:rsid w:val="00F23231"/>
    <w:rsid w:val="00F2335B"/>
    <w:rsid w:val="00F2392F"/>
    <w:rsid w:val="00F23F0A"/>
    <w:rsid w:val="00F243E5"/>
    <w:rsid w:val="00F25392"/>
    <w:rsid w:val="00F26400"/>
    <w:rsid w:val="00F269B7"/>
    <w:rsid w:val="00F2734B"/>
    <w:rsid w:val="00F277D2"/>
    <w:rsid w:val="00F278E4"/>
    <w:rsid w:val="00F27AF7"/>
    <w:rsid w:val="00F27D03"/>
    <w:rsid w:val="00F3085E"/>
    <w:rsid w:val="00F30B6A"/>
    <w:rsid w:val="00F31AB0"/>
    <w:rsid w:val="00F31F5E"/>
    <w:rsid w:val="00F3241B"/>
    <w:rsid w:val="00F337F5"/>
    <w:rsid w:val="00F33F66"/>
    <w:rsid w:val="00F34FE7"/>
    <w:rsid w:val="00F35010"/>
    <w:rsid w:val="00F36BFE"/>
    <w:rsid w:val="00F36C7B"/>
    <w:rsid w:val="00F3739B"/>
    <w:rsid w:val="00F37853"/>
    <w:rsid w:val="00F408C8"/>
    <w:rsid w:val="00F4270A"/>
    <w:rsid w:val="00F42ECE"/>
    <w:rsid w:val="00F43671"/>
    <w:rsid w:val="00F44128"/>
    <w:rsid w:val="00F45CE2"/>
    <w:rsid w:val="00F4642A"/>
    <w:rsid w:val="00F46E73"/>
    <w:rsid w:val="00F50292"/>
    <w:rsid w:val="00F5070C"/>
    <w:rsid w:val="00F511FC"/>
    <w:rsid w:val="00F51254"/>
    <w:rsid w:val="00F51598"/>
    <w:rsid w:val="00F519E4"/>
    <w:rsid w:val="00F52413"/>
    <w:rsid w:val="00F536C6"/>
    <w:rsid w:val="00F53780"/>
    <w:rsid w:val="00F53E4C"/>
    <w:rsid w:val="00F54079"/>
    <w:rsid w:val="00F546B8"/>
    <w:rsid w:val="00F546DE"/>
    <w:rsid w:val="00F5470E"/>
    <w:rsid w:val="00F54724"/>
    <w:rsid w:val="00F55AEA"/>
    <w:rsid w:val="00F567C1"/>
    <w:rsid w:val="00F56839"/>
    <w:rsid w:val="00F57275"/>
    <w:rsid w:val="00F572E5"/>
    <w:rsid w:val="00F60CD2"/>
    <w:rsid w:val="00F61749"/>
    <w:rsid w:val="00F61AD5"/>
    <w:rsid w:val="00F6231D"/>
    <w:rsid w:val="00F62473"/>
    <w:rsid w:val="00F62729"/>
    <w:rsid w:val="00F628CA"/>
    <w:rsid w:val="00F6297C"/>
    <w:rsid w:val="00F63147"/>
    <w:rsid w:val="00F63B5C"/>
    <w:rsid w:val="00F63ECF"/>
    <w:rsid w:val="00F64CBB"/>
    <w:rsid w:val="00F66D5F"/>
    <w:rsid w:val="00F70001"/>
    <w:rsid w:val="00F70150"/>
    <w:rsid w:val="00F70732"/>
    <w:rsid w:val="00F7139B"/>
    <w:rsid w:val="00F72384"/>
    <w:rsid w:val="00F72AD1"/>
    <w:rsid w:val="00F72F75"/>
    <w:rsid w:val="00F746CB"/>
    <w:rsid w:val="00F74A08"/>
    <w:rsid w:val="00F75088"/>
    <w:rsid w:val="00F75529"/>
    <w:rsid w:val="00F759BE"/>
    <w:rsid w:val="00F75F37"/>
    <w:rsid w:val="00F773B1"/>
    <w:rsid w:val="00F77786"/>
    <w:rsid w:val="00F77E8D"/>
    <w:rsid w:val="00F80D12"/>
    <w:rsid w:val="00F825EE"/>
    <w:rsid w:val="00F82F53"/>
    <w:rsid w:val="00F83449"/>
    <w:rsid w:val="00F83769"/>
    <w:rsid w:val="00F8385E"/>
    <w:rsid w:val="00F839F5"/>
    <w:rsid w:val="00F84600"/>
    <w:rsid w:val="00F84680"/>
    <w:rsid w:val="00F857C4"/>
    <w:rsid w:val="00F85C9C"/>
    <w:rsid w:val="00F861CE"/>
    <w:rsid w:val="00F8729E"/>
    <w:rsid w:val="00F873BC"/>
    <w:rsid w:val="00F87F48"/>
    <w:rsid w:val="00F9031F"/>
    <w:rsid w:val="00F916AF"/>
    <w:rsid w:val="00F9195E"/>
    <w:rsid w:val="00F91D3D"/>
    <w:rsid w:val="00F926A7"/>
    <w:rsid w:val="00F9349B"/>
    <w:rsid w:val="00F93539"/>
    <w:rsid w:val="00F940FF"/>
    <w:rsid w:val="00F9443D"/>
    <w:rsid w:val="00F94828"/>
    <w:rsid w:val="00F94B0B"/>
    <w:rsid w:val="00F95872"/>
    <w:rsid w:val="00F95E54"/>
    <w:rsid w:val="00F9741C"/>
    <w:rsid w:val="00F97C9A"/>
    <w:rsid w:val="00F97C9F"/>
    <w:rsid w:val="00FA0138"/>
    <w:rsid w:val="00FA06D9"/>
    <w:rsid w:val="00FA0766"/>
    <w:rsid w:val="00FA0888"/>
    <w:rsid w:val="00FA167D"/>
    <w:rsid w:val="00FA1B32"/>
    <w:rsid w:val="00FA33CA"/>
    <w:rsid w:val="00FA3804"/>
    <w:rsid w:val="00FA548F"/>
    <w:rsid w:val="00FA54AB"/>
    <w:rsid w:val="00FA5962"/>
    <w:rsid w:val="00FA6F69"/>
    <w:rsid w:val="00FA754D"/>
    <w:rsid w:val="00FA7864"/>
    <w:rsid w:val="00FB00FB"/>
    <w:rsid w:val="00FB1444"/>
    <w:rsid w:val="00FB202F"/>
    <w:rsid w:val="00FB2ABD"/>
    <w:rsid w:val="00FB37B2"/>
    <w:rsid w:val="00FB4D6F"/>
    <w:rsid w:val="00FB68C8"/>
    <w:rsid w:val="00FC03FF"/>
    <w:rsid w:val="00FC17DF"/>
    <w:rsid w:val="00FC2E34"/>
    <w:rsid w:val="00FC3070"/>
    <w:rsid w:val="00FC3161"/>
    <w:rsid w:val="00FC39E2"/>
    <w:rsid w:val="00FC49C7"/>
    <w:rsid w:val="00FC507C"/>
    <w:rsid w:val="00FC5ACF"/>
    <w:rsid w:val="00FC5B25"/>
    <w:rsid w:val="00FC5DEF"/>
    <w:rsid w:val="00FC5E86"/>
    <w:rsid w:val="00FC5F73"/>
    <w:rsid w:val="00FC6AE7"/>
    <w:rsid w:val="00FC786A"/>
    <w:rsid w:val="00FC7F50"/>
    <w:rsid w:val="00FD0310"/>
    <w:rsid w:val="00FD05A0"/>
    <w:rsid w:val="00FD074E"/>
    <w:rsid w:val="00FD1826"/>
    <w:rsid w:val="00FD1EB1"/>
    <w:rsid w:val="00FD2F92"/>
    <w:rsid w:val="00FD3FFD"/>
    <w:rsid w:val="00FD50FC"/>
    <w:rsid w:val="00FD53E0"/>
    <w:rsid w:val="00FD57F4"/>
    <w:rsid w:val="00FD5BCE"/>
    <w:rsid w:val="00FD5C2C"/>
    <w:rsid w:val="00FD68DC"/>
    <w:rsid w:val="00FD690A"/>
    <w:rsid w:val="00FD6A2E"/>
    <w:rsid w:val="00FD7366"/>
    <w:rsid w:val="00FE0C93"/>
    <w:rsid w:val="00FE0DF1"/>
    <w:rsid w:val="00FE2B44"/>
    <w:rsid w:val="00FE2E03"/>
    <w:rsid w:val="00FE461C"/>
    <w:rsid w:val="00FE47DE"/>
    <w:rsid w:val="00FE5EBF"/>
    <w:rsid w:val="00FE6105"/>
    <w:rsid w:val="00FE751F"/>
    <w:rsid w:val="00FE786E"/>
    <w:rsid w:val="00FE79FD"/>
    <w:rsid w:val="00FF06B3"/>
    <w:rsid w:val="00FF16B9"/>
    <w:rsid w:val="00FF25D3"/>
    <w:rsid w:val="00FF38F1"/>
    <w:rsid w:val="00FF3B29"/>
    <w:rsid w:val="00FF3B81"/>
    <w:rsid w:val="00FF3D2E"/>
    <w:rsid w:val="00FF3F43"/>
    <w:rsid w:val="00FF4381"/>
    <w:rsid w:val="00FF46B3"/>
    <w:rsid w:val="00FF489F"/>
    <w:rsid w:val="00FF4E1A"/>
    <w:rsid w:val="00FF5DB4"/>
    <w:rsid w:val="00FF5E53"/>
    <w:rsid w:val="00FF6EC8"/>
    <w:rsid w:val="00FF739E"/>
    <w:rsid w:val="00FF7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EEDE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6A3A"/>
    <w:pPr>
      <w:keepNext/>
      <w:keepLines/>
      <w:spacing w:before="480"/>
      <w:outlineLvl w:val="0"/>
    </w:pPr>
    <w:rPr>
      <w:rFonts w:ascii="Times New Roman" w:eastAsiaTheme="majorEastAsia" w:hAnsi="Times New Roman" w:cstheme="majorBidi"/>
      <w:b/>
      <w:bCs/>
      <w:color w:val="000000" w:themeColor="text1"/>
      <w:szCs w:val="32"/>
    </w:rPr>
  </w:style>
  <w:style w:type="paragraph" w:styleId="Heading2">
    <w:name w:val="heading 2"/>
    <w:basedOn w:val="Normal"/>
    <w:next w:val="Normal"/>
    <w:link w:val="Heading2Char"/>
    <w:uiPriority w:val="9"/>
    <w:unhideWhenUsed/>
    <w:qFormat/>
    <w:rsid w:val="00E71364"/>
    <w:pPr>
      <w:keepNext/>
      <w:keepLines/>
      <w:spacing w:before="200" w:line="480" w:lineRule="auto"/>
      <w:outlineLvl w:val="1"/>
    </w:pPr>
    <w:rPr>
      <w:rFonts w:ascii="Times New Roman" w:eastAsiaTheme="majorEastAsia" w:hAnsi="Times New Roman" w:cstheme="majorBidi"/>
      <w:b/>
      <w:bCs/>
      <w:color w:val="000000" w:themeColor="text1"/>
      <w:szCs w:val="26"/>
    </w:rPr>
  </w:style>
  <w:style w:type="paragraph" w:styleId="Heading3">
    <w:name w:val="heading 3"/>
    <w:basedOn w:val="Normal"/>
    <w:next w:val="Normal"/>
    <w:link w:val="Heading3Char"/>
    <w:uiPriority w:val="9"/>
    <w:unhideWhenUsed/>
    <w:qFormat/>
    <w:rsid w:val="00C77D73"/>
    <w:pPr>
      <w:keepNext/>
      <w:keepLines/>
      <w:spacing w:before="200"/>
      <w:outlineLvl w:val="2"/>
    </w:pPr>
    <w:rPr>
      <w:rFonts w:asciiTheme="majorHAnsi" w:eastAsiaTheme="majorEastAsia" w:hAnsiTheme="majorHAnsi" w:cstheme="majorBidi"/>
      <w:bCs/>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AFC"/>
    <w:pPr>
      <w:ind w:left="720"/>
      <w:contextualSpacing/>
    </w:pPr>
  </w:style>
  <w:style w:type="paragraph" w:styleId="BalloonText">
    <w:name w:val="Balloon Text"/>
    <w:basedOn w:val="Normal"/>
    <w:link w:val="BalloonTextChar"/>
    <w:uiPriority w:val="99"/>
    <w:semiHidden/>
    <w:unhideWhenUsed/>
    <w:rsid w:val="000D69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69AA"/>
    <w:rPr>
      <w:rFonts w:ascii="Lucida Grande" w:hAnsi="Lucida Grande" w:cs="Lucida Grande"/>
      <w:sz w:val="18"/>
      <w:szCs w:val="18"/>
    </w:rPr>
  </w:style>
  <w:style w:type="paragraph" w:styleId="Header">
    <w:name w:val="header"/>
    <w:basedOn w:val="Normal"/>
    <w:link w:val="HeaderChar"/>
    <w:uiPriority w:val="99"/>
    <w:unhideWhenUsed/>
    <w:rsid w:val="00E46EAB"/>
    <w:pPr>
      <w:tabs>
        <w:tab w:val="center" w:pos="4320"/>
        <w:tab w:val="right" w:pos="8640"/>
      </w:tabs>
    </w:pPr>
  </w:style>
  <w:style w:type="character" w:customStyle="1" w:styleId="HeaderChar">
    <w:name w:val="Header Char"/>
    <w:basedOn w:val="DefaultParagraphFont"/>
    <w:link w:val="Header"/>
    <w:uiPriority w:val="99"/>
    <w:rsid w:val="00E46EAB"/>
  </w:style>
  <w:style w:type="paragraph" w:styleId="Footer">
    <w:name w:val="footer"/>
    <w:basedOn w:val="Normal"/>
    <w:link w:val="FooterChar"/>
    <w:uiPriority w:val="99"/>
    <w:unhideWhenUsed/>
    <w:rsid w:val="00E46EAB"/>
    <w:pPr>
      <w:tabs>
        <w:tab w:val="center" w:pos="4320"/>
        <w:tab w:val="right" w:pos="8640"/>
      </w:tabs>
    </w:pPr>
  </w:style>
  <w:style w:type="character" w:customStyle="1" w:styleId="FooterChar">
    <w:name w:val="Footer Char"/>
    <w:basedOn w:val="DefaultParagraphFont"/>
    <w:link w:val="Footer"/>
    <w:uiPriority w:val="99"/>
    <w:rsid w:val="00E46EAB"/>
  </w:style>
  <w:style w:type="character" w:styleId="PageNumber">
    <w:name w:val="page number"/>
    <w:basedOn w:val="DefaultParagraphFont"/>
    <w:uiPriority w:val="99"/>
    <w:semiHidden/>
    <w:unhideWhenUsed/>
    <w:rsid w:val="001511DD"/>
  </w:style>
  <w:style w:type="paragraph" w:styleId="NormalWeb">
    <w:name w:val="Normal (Web)"/>
    <w:basedOn w:val="Normal"/>
    <w:uiPriority w:val="99"/>
    <w:semiHidden/>
    <w:unhideWhenUsed/>
    <w:rsid w:val="00D61F5B"/>
    <w:rPr>
      <w:rFonts w:ascii="Times New Roman" w:hAnsi="Times New Roman" w:cs="Times New Roman"/>
    </w:rPr>
  </w:style>
  <w:style w:type="paragraph" w:styleId="Revision">
    <w:name w:val="Revision"/>
    <w:hidden/>
    <w:uiPriority w:val="99"/>
    <w:semiHidden/>
    <w:rsid w:val="00E84497"/>
  </w:style>
  <w:style w:type="table" w:styleId="TableGrid">
    <w:name w:val="Table Grid"/>
    <w:basedOn w:val="TableNormal"/>
    <w:uiPriority w:val="59"/>
    <w:rsid w:val="00D264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F0B98"/>
    <w:rPr>
      <w:sz w:val="18"/>
      <w:szCs w:val="18"/>
    </w:rPr>
  </w:style>
  <w:style w:type="paragraph" w:styleId="CommentText">
    <w:name w:val="annotation text"/>
    <w:basedOn w:val="Normal"/>
    <w:link w:val="CommentTextChar"/>
    <w:uiPriority w:val="99"/>
    <w:unhideWhenUsed/>
    <w:rsid w:val="003F0B98"/>
  </w:style>
  <w:style w:type="character" w:customStyle="1" w:styleId="CommentTextChar">
    <w:name w:val="Comment Text Char"/>
    <w:basedOn w:val="DefaultParagraphFont"/>
    <w:link w:val="CommentText"/>
    <w:uiPriority w:val="99"/>
    <w:rsid w:val="003F0B98"/>
  </w:style>
  <w:style w:type="paragraph" w:styleId="CommentSubject">
    <w:name w:val="annotation subject"/>
    <w:basedOn w:val="CommentText"/>
    <w:next w:val="CommentText"/>
    <w:link w:val="CommentSubjectChar"/>
    <w:uiPriority w:val="99"/>
    <w:semiHidden/>
    <w:unhideWhenUsed/>
    <w:rsid w:val="003F0B98"/>
    <w:rPr>
      <w:b/>
      <w:bCs/>
      <w:sz w:val="20"/>
      <w:szCs w:val="20"/>
    </w:rPr>
  </w:style>
  <w:style w:type="character" w:customStyle="1" w:styleId="CommentSubjectChar">
    <w:name w:val="Comment Subject Char"/>
    <w:basedOn w:val="CommentTextChar"/>
    <w:link w:val="CommentSubject"/>
    <w:uiPriority w:val="99"/>
    <w:semiHidden/>
    <w:rsid w:val="003F0B98"/>
    <w:rPr>
      <w:b/>
      <w:bCs/>
      <w:sz w:val="20"/>
      <w:szCs w:val="20"/>
    </w:rPr>
  </w:style>
  <w:style w:type="character" w:customStyle="1" w:styleId="Heading1Char">
    <w:name w:val="Heading 1 Char"/>
    <w:basedOn w:val="DefaultParagraphFont"/>
    <w:link w:val="Heading1"/>
    <w:uiPriority w:val="9"/>
    <w:rsid w:val="00056A3A"/>
    <w:rPr>
      <w:rFonts w:ascii="Times New Roman" w:eastAsiaTheme="majorEastAsia" w:hAnsi="Times New Roman" w:cstheme="majorBidi"/>
      <w:b/>
      <w:bCs/>
      <w:color w:val="000000" w:themeColor="text1"/>
      <w:szCs w:val="32"/>
    </w:rPr>
  </w:style>
  <w:style w:type="character" w:customStyle="1" w:styleId="Heading2Char">
    <w:name w:val="Heading 2 Char"/>
    <w:basedOn w:val="DefaultParagraphFont"/>
    <w:link w:val="Heading2"/>
    <w:uiPriority w:val="9"/>
    <w:rsid w:val="00E71364"/>
    <w:rPr>
      <w:rFonts w:ascii="Times New Roman" w:eastAsiaTheme="majorEastAsia" w:hAnsi="Times New Roman" w:cstheme="majorBidi"/>
      <w:b/>
      <w:bCs/>
      <w:color w:val="000000" w:themeColor="text1"/>
      <w:szCs w:val="26"/>
    </w:rPr>
  </w:style>
  <w:style w:type="character" w:customStyle="1" w:styleId="Heading3Char">
    <w:name w:val="Heading 3 Char"/>
    <w:basedOn w:val="DefaultParagraphFont"/>
    <w:link w:val="Heading3"/>
    <w:uiPriority w:val="9"/>
    <w:rsid w:val="00C77D73"/>
    <w:rPr>
      <w:rFonts w:asciiTheme="majorHAnsi" w:eastAsiaTheme="majorEastAsia" w:hAnsiTheme="majorHAnsi" w:cstheme="majorBidi"/>
      <w:bCs/>
      <w:i/>
      <w:color w:val="000000" w:themeColor="text1"/>
    </w:rPr>
  </w:style>
  <w:style w:type="paragraph" w:customStyle="1" w:styleId="Heading3new">
    <w:name w:val="Heading 3 new"/>
    <w:basedOn w:val="Normal"/>
    <w:next w:val="Normal"/>
    <w:qFormat/>
    <w:rsid w:val="00BE4486"/>
    <w:pPr>
      <w:spacing w:line="480" w:lineRule="auto"/>
      <w:jc w:val="both"/>
    </w:pPr>
    <w:rPr>
      <w:rFonts w:ascii="Times New Roman" w:hAnsi="Times New Roman" w:cs="Times New Roman"/>
      <w:i/>
      <w:color w:val="000000" w:themeColor="text1"/>
    </w:rPr>
  </w:style>
  <w:style w:type="paragraph" w:styleId="TOCHeading">
    <w:name w:val="TOC Heading"/>
    <w:basedOn w:val="Heading1"/>
    <w:next w:val="Normal"/>
    <w:uiPriority w:val="39"/>
    <w:unhideWhenUsed/>
    <w:qFormat/>
    <w:rsid w:val="00B00985"/>
    <w:pPr>
      <w:spacing w:line="276" w:lineRule="auto"/>
      <w:outlineLvl w:val="9"/>
    </w:pPr>
    <w:rPr>
      <w:rFonts w:asciiTheme="majorHAnsi" w:hAnsiTheme="majorHAnsi"/>
      <w:color w:val="365F91" w:themeColor="accent1" w:themeShade="BF"/>
      <w:sz w:val="28"/>
      <w:szCs w:val="28"/>
    </w:rPr>
  </w:style>
  <w:style w:type="paragraph" w:customStyle="1" w:styleId="Heading4new">
    <w:name w:val="Heading 4 new"/>
    <w:basedOn w:val="Normal"/>
    <w:next w:val="Normal"/>
    <w:qFormat/>
    <w:rsid w:val="00CF72B2"/>
    <w:pPr>
      <w:spacing w:line="480" w:lineRule="auto"/>
    </w:pPr>
    <w:rPr>
      <w:rFonts w:ascii="Times New Roman" w:hAnsi="Times New Roman" w:cs="Times New Roman"/>
      <w:i/>
      <w:color w:val="000000" w:themeColor="text1"/>
      <w:u w:val="single"/>
    </w:rPr>
  </w:style>
  <w:style w:type="paragraph" w:styleId="TOC2">
    <w:name w:val="toc 2"/>
    <w:basedOn w:val="Normal"/>
    <w:next w:val="Normal"/>
    <w:autoRedefine/>
    <w:uiPriority w:val="39"/>
    <w:unhideWhenUsed/>
    <w:rsid w:val="004440E0"/>
    <w:pPr>
      <w:ind w:left="240"/>
    </w:pPr>
    <w:rPr>
      <w:rFonts w:ascii="Times New Roman" w:hAnsi="Times New Roman"/>
    </w:rPr>
  </w:style>
  <w:style w:type="paragraph" w:styleId="TOC1">
    <w:name w:val="toc 1"/>
    <w:basedOn w:val="Normal"/>
    <w:next w:val="Normal"/>
    <w:autoRedefine/>
    <w:uiPriority w:val="39"/>
    <w:unhideWhenUsed/>
    <w:rsid w:val="00383956"/>
    <w:pPr>
      <w:spacing w:before="120"/>
    </w:pPr>
    <w:rPr>
      <w:rFonts w:ascii="Times New Roman" w:hAnsi="Times New Roman"/>
      <w:b/>
      <w:caps/>
      <w:szCs w:val="22"/>
    </w:rPr>
  </w:style>
  <w:style w:type="paragraph" w:styleId="TOC3">
    <w:name w:val="toc 3"/>
    <w:basedOn w:val="Normal"/>
    <w:next w:val="Normal"/>
    <w:autoRedefine/>
    <w:uiPriority w:val="39"/>
    <w:unhideWhenUsed/>
    <w:rsid w:val="00B00985"/>
    <w:pPr>
      <w:ind w:left="480"/>
    </w:pPr>
    <w:rPr>
      <w:i/>
      <w:sz w:val="22"/>
      <w:szCs w:val="22"/>
    </w:rPr>
  </w:style>
  <w:style w:type="paragraph" w:styleId="TOC4">
    <w:name w:val="toc 4"/>
    <w:basedOn w:val="Normal"/>
    <w:next w:val="Normal"/>
    <w:autoRedefine/>
    <w:uiPriority w:val="39"/>
    <w:unhideWhenUsed/>
    <w:rsid w:val="00B00985"/>
    <w:pPr>
      <w:ind w:left="720"/>
    </w:pPr>
    <w:rPr>
      <w:sz w:val="18"/>
      <w:szCs w:val="18"/>
    </w:rPr>
  </w:style>
  <w:style w:type="paragraph" w:styleId="TOC5">
    <w:name w:val="toc 5"/>
    <w:basedOn w:val="Normal"/>
    <w:next w:val="Normal"/>
    <w:autoRedefine/>
    <w:uiPriority w:val="39"/>
    <w:unhideWhenUsed/>
    <w:rsid w:val="00B00985"/>
    <w:pPr>
      <w:ind w:left="960"/>
    </w:pPr>
    <w:rPr>
      <w:sz w:val="18"/>
      <w:szCs w:val="18"/>
    </w:rPr>
  </w:style>
  <w:style w:type="paragraph" w:styleId="TOC6">
    <w:name w:val="toc 6"/>
    <w:basedOn w:val="Normal"/>
    <w:next w:val="Normal"/>
    <w:autoRedefine/>
    <w:uiPriority w:val="39"/>
    <w:unhideWhenUsed/>
    <w:rsid w:val="00B00985"/>
    <w:pPr>
      <w:ind w:left="1200"/>
    </w:pPr>
    <w:rPr>
      <w:sz w:val="18"/>
      <w:szCs w:val="18"/>
    </w:rPr>
  </w:style>
  <w:style w:type="paragraph" w:styleId="TOC7">
    <w:name w:val="toc 7"/>
    <w:basedOn w:val="Normal"/>
    <w:next w:val="Normal"/>
    <w:autoRedefine/>
    <w:uiPriority w:val="39"/>
    <w:unhideWhenUsed/>
    <w:rsid w:val="00B00985"/>
    <w:pPr>
      <w:ind w:left="1440"/>
    </w:pPr>
    <w:rPr>
      <w:sz w:val="18"/>
      <w:szCs w:val="18"/>
    </w:rPr>
  </w:style>
  <w:style w:type="paragraph" w:styleId="TOC8">
    <w:name w:val="toc 8"/>
    <w:basedOn w:val="Normal"/>
    <w:next w:val="Normal"/>
    <w:autoRedefine/>
    <w:uiPriority w:val="39"/>
    <w:unhideWhenUsed/>
    <w:rsid w:val="00B00985"/>
    <w:pPr>
      <w:ind w:left="1680"/>
    </w:pPr>
    <w:rPr>
      <w:sz w:val="18"/>
      <w:szCs w:val="18"/>
    </w:rPr>
  </w:style>
  <w:style w:type="paragraph" w:styleId="TOC9">
    <w:name w:val="toc 9"/>
    <w:basedOn w:val="Normal"/>
    <w:next w:val="Normal"/>
    <w:autoRedefine/>
    <w:uiPriority w:val="39"/>
    <w:unhideWhenUsed/>
    <w:rsid w:val="00B00985"/>
    <w:pPr>
      <w:ind w:left="1920"/>
    </w:pPr>
    <w:rPr>
      <w:sz w:val="18"/>
      <w:szCs w:val="18"/>
    </w:rPr>
  </w:style>
  <w:style w:type="paragraph" w:styleId="Caption">
    <w:name w:val="caption"/>
    <w:basedOn w:val="Normal"/>
    <w:next w:val="Normal"/>
    <w:uiPriority w:val="35"/>
    <w:unhideWhenUsed/>
    <w:qFormat/>
    <w:rsid w:val="00B73A3A"/>
    <w:rPr>
      <w:rFonts w:ascii="Times New Roman" w:hAnsi="Times New Roman"/>
      <w:b/>
      <w:bCs/>
      <w:color w:val="000000" w:themeColor="text1"/>
      <w:szCs w:val="18"/>
    </w:rPr>
  </w:style>
  <w:style w:type="paragraph" w:styleId="TableofFigures">
    <w:name w:val="table of figures"/>
    <w:basedOn w:val="Normal"/>
    <w:next w:val="Normal"/>
    <w:uiPriority w:val="99"/>
    <w:unhideWhenUsed/>
    <w:rsid w:val="00F63B5C"/>
    <w:pPr>
      <w:ind w:left="480" w:hanging="480"/>
    </w:pPr>
  </w:style>
  <w:style w:type="character" w:styleId="Hyperlink">
    <w:name w:val="Hyperlink"/>
    <w:basedOn w:val="DefaultParagraphFont"/>
    <w:uiPriority w:val="99"/>
    <w:unhideWhenUsed/>
    <w:rsid w:val="009B07A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6A3A"/>
    <w:pPr>
      <w:keepNext/>
      <w:keepLines/>
      <w:spacing w:before="480"/>
      <w:outlineLvl w:val="0"/>
    </w:pPr>
    <w:rPr>
      <w:rFonts w:ascii="Times New Roman" w:eastAsiaTheme="majorEastAsia" w:hAnsi="Times New Roman" w:cstheme="majorBidi"/>
      <w:b/>
      <w:bCs/>
      <w:color w:val="000000" w:themeColor="text1"/>
      <w:szCs w:val="32"/>
    </w:rPr>
  </w:style>
  <w:style w:type="paragraph" w:styleId="Heading2">
    <w:name w:val="heading 2"/>
    <w:basedOn w:val="Normal"/>
    <w:next w:val="Normal"/>
    <w:link w:val="Heading2Char"/>
    <w:uiPriority w:val="9"/>
    <w:unhideWhenUsed/>
    <w:qFormat/>
    <w:rsid w:val="00E71364"/>
    <w:pPr>
      <w:keepNext/>
      <w:keepLines/>
      <w:spacing w:before="200" w:line="480" w:lineRule="auto"/>
      <w:outlineLvl w:val="1"/>
    </w:pPr>
    <w:rPr>
      <w:rFonts w:ascii="Times New Roman" w:eastAsiaTheme="majorEastAsia" w:hAnsi="Times New Roman" w:cstheme="majorBidi"/>
      <w:b/>
      <w:bCs/>
      <w:color w:val="000000" w:themeColor="text1"/>
      <w:szCs w:val="26"/>
    </w:rPr>
  </w:style>
  <w:style w:type="paragraph" w:styleId="Heading3">
    <w:name w:val="heading 3"/>
    <w:basedOn w:val="Normal"/>
    <w:next w:val="Normal"/>
    <w:link w:val="Heading3Char"/>
    <w:uiPriority w:val="9"/>
    <w:unhideWhenUsed/>
    <w:qFormat/>
    <w:rsid w:val="00C77D73"/>
    <w:pPr>
      <w:keepNext/>
      <w:keepLines/>
      <w:spacing w:before="200"/>
      <w:outlineLvl w:val="2"/>
    </w:pPr>
    <w:rPr>
      <w:rFonts w:asciiTheme="majorHAnsi" w:eastAsiaTheme="majorEastAsia" w:hAnsiTheme="majorHAnsi" w:cstheme="majorBidi"/>
      <w:bCs/>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AFC"/>
    <w:pPr>
      <w:ind w:left="720"/>
      <w:contextualSpacing/>
    </w:pPr>
  </w:style>
  <w:style w:type="paragraph" w:styleId="BalloonText">
    <w:name w:val="Balloon Text"/>
    <w:basedOn w:val="Normal"/>
    <w:link w:val="BalloonTextChar"/>
    <w:uiPriority w:val="99"/>
    <w:semiHidden/>
    <w:unhideWhenUsed/>
    <w:rsid w:val="000D69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69AA"/>
    <w:rPr>
      <w:rFonts w:ascii="Lucida Grande" w:hAnsi="Lucida Grande" w:cs="Lucida Grande"/>
      <w:sz w:val="18"/>
      <w:szCs w:val="18"/>
    </w:rPr>
  </w:style>
  <w:style w:type="paragraph" w:styleId="Header">
    <w:name w:val="header"/>
    <w:basedOn w:val="Normal"/>
    <w:link w:val="HeaderChar"/>
    <w:uiPriority w:val="99"/>
    <w:unhideWhenUsed/>
    <w:rsid w:val="00E46EAB"/>
    <w:pPr>
      <w:tabs>
        <w:tab w:val="center" w:pos="4320"/>
        <w:tab w:val="right" w:pos="8640"/>
      </w:tabs>
    </w:pPr>
  </w:style>
  <w:style w:type="character" w:customStyle="1" w:styleId="HeaderChar">
    <w:name w:val="Header Char"/>
    <w:basedOn w:val="DefaultParagraphFont"/>
    <w:link w:val="Header"/>
    <w:uiPriority w:val="99"/>
    <w:rsid w:val="00E46EAB"/>
  </w:style>
  <w:style w:type="paragraph" w:styleId="Footer">
    <w:name w:val="footer"/>
    <w:basedOn w:val="Normal"/>
    <w:link w:val="FooterChar"/>
    <w:uiPriority w:val="99"/>
    <w:unhideWhenUsed/>
    <w:rsid w:val="00E46EAB"/>
    <w:pPr>
      <w:tabs>
        <w:tab w:val="center" w:pos="4320"/>
        <w:tab w:val="right" w:pos="8640"/>
      </w:tabs>
    </w:pPr>
  </w:style>
  <w:style w:type="character" w:customStyle="1" w:styleId="FooterChar">
    <w:name w:val="Footer Char"/>
    <w:basedOn w:val="DefaultParagraphFont"/>
    <w:link w:val="Footer"/>
    <w:uiPriority w:val="99"/>
    <w:rsid w:val="00E46EAB"/>
  </w:style>
  <w:style w:type="character" w:styleId="PageNumber">
    <w:name w:val="page number"/>
    <w:basedOn w:val="DefaultParagraphFont"/>
    <w:uiPriority w:val="99"/>
    <w:semiHidden/>
    <w:unhideWhenUsed/>
    <w:rsid w:val="001511DD"/>
  </w:style>
  <w:style w:type="paragraph" w:styleId="NormalWeb">
    <w:name w:val="Normal (Web)"/>
    <w:basedOn w:val="Normal"/>
    <w:uiPriority w:val="99"/>
    <w:semiHidden/>
    <w:unhideWhenUsed/>
    <w:rsid w:val="00D61F5B"/>
    <w:rPr>
      <w:rFonts w:ascii="Times New Roman" w:hAnsi="Times New Roman" w:cs="Times New Roman"/>
    </w:rPr>
  </w:style>
  <w:style w:type="paragraph" w:styleId="Revision">
    <w:name w:val="Revision"/>
    <w:hidden/>
    <w:uiPriority w:val="99"/>
    <w:semiHidden/>
    <w:rsid w:val="00E84497"/>
  </w:style>
  <w:style w:type="table" w:styleId="TableGrid">
    <w:name w:val="Table Grid"/>
    <w:basedOn w:val="TableNormal"/>
    <w:uiPriority w:val="59"/>
    <w:rsid w:val="00D264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F0B98"/>
    <w:rPr>
      <w:sz w:val="18"/>
      <w:szCs w:val="18"/>
    </w:rPr>
  </w:style>
  <w:style w:type="paragraph" w:styleId="CommentText">
    <w:name w:val="annotation text"/>
    <w:basedOn w:val="Normal"/>
    <w:link w:val="CommentTextChar"/>
    <w:uiPriority w:val="99"/>
    <w:unhideWhenUsed/>
    <w:rsid w:val="003F0B98"/>
  </w:style>
  <w:style w:type="character" w:customStyle="1" w:styleId="CommentTextChar">
    <w:name w:val="Comment Text Char"/>
    <w:basedOn w:val="DefaultParagraphFont"/>
    <w:link w:val="CommentText"/>
    <w:uiPriority w:val="99"/>
    <w:rsid w:val="003F0B98"/>
  </w:style>
  <w:style w:type="paragraph" w:styleId="CommentSubject">
    <w:name w:val="annotation subject"/>
    <w:basedOn w:val="CommentText"/>
    <w:next w:val="CommentText"/>
    <w:link w:val="CommentSubjectChar"/>
    <w:uiPriority w:val="99"/>
    <w:semiHidden/>
    <w:unhideWhenUsed/>
    <w:rsid w:val="003F0B98"/>
    <w:rPr>
      <w:b/>
      <w:bCs/>
      <w:sz w:val="20"/>
      <w:szCs w:val="20"/>
    </w:rPr>
  </w:style>
  <w:style w:type="character" w:customStyle="1" w:styleId="CommentSubjectChar">
    <w:name w:val="Comment Subject Char"/>
    <w:basedOn w:val="CommentTextChar"/>
    <w:link w:val="CommentSubject"/>
    <w:uiPriority w:val="99"/>
    <w:semiHidden/>
    <w:rsid w:val="003F0B98"/>
    <w:rPr>
      <w:b/>
      <w:bCs/>
      <w:sz w:val="20"/>
      <w:szCs w:val="20"/>
    </w:rPr>
  </w:style>
  <w:style w:type="character" w:customStyle="1" w:styleId="Heading1Char">
    <w:name w:val="Heading 1 Char"/>
    <w:basedOn w:val="DefaultParagraphFont"/>
    <w:link w:val="Heading1"/>
    <w:uiPriority w:val="9"/>
    <w:rsid w:val="00056A3A"/>
    <w:rPr>
      <w:rFonts w:ascii="Times New Roman" w:eastAsiaTheme="majorEastAsia" w:hAnsi="Times New Roman" w:cstheme="majorBidi"/>
      <w:b/>
      <w:bCs/>
      <w:color w:val="000000" w:themeColor="text1"/>
      <w:szCs w:val="32"/>
    </w:rPr>
  </w:style>
  <w:style w:type="character" w:customStyle="1" w:styleId="Heading2Char">
    <w:name w:val="Heading 2 Char"/>
    <w:basedOn w:val="DefaultParagraphFont"/>
    <w:link w:val="Heading2"/>
    <w:uiPriority w:val="9"/>
    <w:rsid w:val="00E71364"/>
    <w:rPr>
      <w:rFonts w:ascii="Times New Roman" w:eastAsiaTheme="majorEastAsia" w:hAnsi="Times New Roman" w:cstheme="majorBidi"/>
      <w:b/>
      <w:bCs/>
      <w:color w:val="000000" w:themeColor="text1"/>
      <w:szCs w:val="26"/>
    </w:rPr>
  </w:style>
  <w:style w:type="character" w:customStyle="1" w:styleId="Heading3Char">
    <w:name w:val="Heading 3 Char"/>
    <w:basedOn w:val="DefaultParagraphFont"/>
    <w:link w:val="Heading3"/>
    <w:uiPriority w:val="9"/>
    <w:rsid w:val="00C77D73"/>
    <w:rPr>
      <w:rFonts w:asciiTheme="majorHAnsi" w:eastAsiaTheme="majorEastAsia" w:hAnsiTheme="majorHAnsi" w:cstheme="majorBidi"/>
      <w:bCs/>
      <w:i/>
      <w:color w:val="000000" w:themeColor="text1"/>
    </w:rPr>
  </w:style>
  <w:style w:type="paragraph" w:customStyle="1" w:styleId="Heading3new">
    <w:name w:val="Heading 3 new"/>
    <w:basedOn w:val="Normal"/>
    <w:next w:val="Normal"/>
    <w:qFormat/>
    <w:rsid w:val="00BE4486"/>
    <w:pPr>
      <w:spacing w:line="480" w:lineRule="auto"/>
      <w:jc w:val="both"/>
    </w:pPr>
    <w:rPr>
      <w:rFonts w:ascii="Times New Roman" w:hAnsi="Times New Roman" w:cs="Times New Roman"/>
      <w:i/>
      <w:color w:val="000000" w:themeColor="text1"/>
    </w:rPr>
  </w:style>
  <w:style w:type="paragraph" w:styleId="TOCHeading">
    <w:name w:val="TOC Heading"/>
    <w:basedOn w:val="Heading1"/>
    <w:next w:val="Normal"/>
    <w:uiPriority w:val="39"/>
    <w:unhideWhenUsed/>
    <w:qFormat/>
    <w:rsid w:val="00B00985"/>
    <w:pPr>
      <w:spacing w:line="276" w:lineRule="auto"/>
      <w:outlineLvl w:val="9"/>
    </w:pPr>
    <w:rPr>
      <w:rFonts w:asciiTheme="majorHAnsi" w:hAnsiTheme="majorHAnsi"/>
      <w:color w:val="365F91" w:themeColor="accent1" w:themeShade="BF"/>
      <w:sz w:val="28"/>
      <w:szCs w:val="28"/>
    </w:rPr>
  </w:style>
  <w:style w:type="paragraph" w:customStyle="1" w:styleId="Heading4new">
    <w:name w:val="Heading 4 new"/>
    <w:basedOn w:val="Normal"/>
    <w:next w:val="Normal"/>
    <w:qFormat/>
    <w:rsid w:val="00CF72B2"/>
    <w:pPr>
      <w:spacing w:line="480" w:lineRule="auto"/>
    </w:pPr>
    <w:rPr>
      <w:rFonts w:ascii="Times New Roman" w:hAnsi="Times New Roman" w:cs="Times New Roman"/>
      <w:i/>
      <w:color w:val="000000" w:themeColor="text1"/>
      <w:u w:val="single"/>
    </w:rPr>
  </w:style>
  <w:style w:type="paragraph" w:styleId="TOC2">
    <w:name w:val="toc 2"/>
    <w:basedOn w:val="Normal"/>
    <w:next w:val="Normal"/>
    <w:autoRedefine/>
    <w:uiPriority w:val="39"/>
    <w:unhideWhenUsed/>
    <w:rsid w:val="004440E0"/>
    <w:pPr>
      <w:ind w:left="240"/>
    </w:pPr>
    <w:rPr>
      <w:rFonts w:ascii="Times New Roman" w:hAnsi="Times New Roman"/>
    </w:rPr>
  </w:style>
  <w:style w:type="paragraph" w:styleId="TOC1">
    <w:name w:val="toc 1"/>
    <w:basedOn w:val="Normal"/>
    <w:next w:val="Normal"/>
    <w:autoRedefine/>
    <w:uiPriority w:val="39"/>
    <w:unhideWhenUsed/>
    <w:rsid w:val="00383956"/>
    <w:pPr>
      <w:spacing w:before="120"/>
    </w:pPr>
    <w:rPr>
      <w:rFonts w:ascii="Times New Roman" w:hAnsi="Times New Roman"/>
      <w:b/>
      <w:caps/>
      <w:szCs w:val="22"/>
    </w:rPr>
  </w:style>
  <w:style w:type="paragraph" w:styleId="TOC3">
    <w:name w:val="toc 3"/>
    <w:basedOn w:val="Normal"/>
    <w:next w:val="Normal"/>
    <w:autoRedefine/>
    <w:uiPriority w:val="39"/>
    <w:unhideWhenUsed/>
    <w:rsid w:val="00B00985"/>
    <w:pPr>
      <w:ind w:left="480"/>
    </w:pPr>
    <w:rPr>
      <w:i/>
      <w:sz w:val="22"/>
      <w:szCs w:val="22"/>
    </w:rPr>
  </w:style>
  <w:style w:type="paragraph" w:styleId="TOC4">
    <w:name w:val="toc 4"/>
    <w:basedOn w:val="Normal"/>
    <w:next w:val="Normal"/>
    <w:autoRedefine/>
    <w:uiPriority w:val="39"/>
    <w:unhideWhenUsed/>
    <w:rsid w:val="00B00985"/>
    <w:pPr>
      <w:ind w:left="720"/>
    </w:pPr>
    <w:rPr>
      <w:sz w:val="18"/>
      <w:szCs w:val="18"/>
    </w:rPr>
  </w:style>
  <w:style w:type="paragraph" w:styleId="TOC5">
    <w:name w:val="toc 5"/>
    <w:basedOn w:val="Normal"/>
    <w:next w:val="Normal"/>
    <w:autoRedefine/>
    <w:uiPriority w:val="39"/>
    <w:unhideWhenUsed/>
    <w:rsid w:val="00B00985"/>
    <w:pPr>
      <w:ind w:left="960"/>
    </w:pPr>
    <w:rPr>
      <w:sz w:val="18"/>
      <w:szCs w:val="18"/>
    </w:rPr>
  </w:style>
  <w:style w:type="paragraph" w:styleId="TOC6">
    <w:name w:val="toc 6"/>
    <w:basedOn w:val="Normal"/>
    <w:next w:val="Normal"/>
    <w:autoRedefine/>
    <w:uiPriority w:val="39"/>
    <w:unhideWhenUsed/>
    <w:rsid w:val="00B00985"/>
    <w:pPr>
      <w:ind w:left="1200"/>
    </w:pPr>
    <w:rPr>
      <w:sz w:val="18"/>
      <w:szCs w:val="18"/>
    </w:rPr>
  </w:style>
  <w:style w:type="paragraph" w:styleId="TOC7">
    <w:name w:val="toc 7"/>
    <w:basedOn w:val="Normal"/>
    <w:next w:val="Normal"/>
    <w:autoRedefine/>
    <w:uiPriority w:val="39"/>
    <w:unhideWhenUsed/>
    <w:rsid w:val="00B00985"/>
    <w:pPr>
      <w:ind w:left="1440"/>
    </w:pPr>
    <w:rPr>
      <w:sz w:val="18"/>
      <w:szCs w:val="18"/>
    </w:rPr>
  </w:style>
  <w:style w:type="paragraph" w:styleId="TOC8">
    <w:name w:val="toc 8"/>
    <w:basedOn w:val="Normal"/>
    <w:next w:val="Normal"/>
    <w:autoRedefine/>
    <w:uiPriority w:val="39"/>
    <w:unhideWhenUsed/>
    <w:rsid w:val="00B00985"/>
    <w:pPr>
      <w:ind w:left="1680"/>
    </w:pPr>
    <w:rPr>
      <w:sz w:val="18"/>
      <w:szCs w:val="18"/>
    </w:rPr>
  </w:style>
  <w:style w:type="paragraph" w:styleId="TOC9">
    <w:name w:val="toc 9"/>
    <w:basedOn w:val="Normal"/>
    <w:next w:val="Normal"/>
    <w:autoRedefine/>
    <w:uiPriority w:val="39"/>
    <w:unhideWhenUsed/>
    <w:rsid w:val="00B00985"/>
    <w:pPr>
      <w:ind w:left="1920"/>
    </w:pPr>
    <w:rPr>
      <w:sz w:val="18"/>
      <w:szCs w:val="18"/>
    </w:rPr>
  </w:style>
  <w:style w:type="paragraph" w:styleId="Caption">
    <w:name w:val="caption"/>
    <w:basedOn w:val="Normal"/>
    <w:next w:val="Normal"/>
    <w:uiPriority w:val="35"/>
    <w:unhideWhenUsed/>
    <w:qFormat/>
    <w:rsid w:val="00B73A3A"/>
    <w:rPr>
      <w:rFonts w:ascii="Times New Roman" w:hAnsi="Times New Roman"/>
      <w:b/>
      <w:bCs/>
      <w:color w:val="000000" w:themeColor="text1"/>
      <w:szCs w:val="18"/>
    </w:rPr>
  </w:style>
  <w:style w:type="paragraph" w:styleId="TableofFigures">
    <w:name w:val="table of figures"/>
    <w:basedOn w:val="Normal"/>
    <w:next w:val="Normal"/>
    <w:uiPriority w:val="99"/>
    <w:unhideWhenUsed/>
    <w:rsid w:val="00F63B5C"/>
    <w:pPr>
      <w:ind w:left="480" w:hanging="480"/>
    </w:pPr>
  </w:style>
  <w:style w:type="character" w:styleId="Hyperlink">
    <w:name w:val="Hyperlink"/>
    <w:basedOn w:val="DefaultParagraphFont"/>
    <w:uiPriority w:val="99"/>
    <w:unhideWhenUsed/>
    <w:rsid w:val="009B07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1454">
      <w:bodyDiv w:val="1"/>
      <w:marLeft w:val="0"/>
      <w:marRight w:val="0"/>
      <w:marTop w:val="0"/>
      <w:marBottom w:val="0"/>
      <w:divBdr>
        <w:top w:val="none" w:sz="0" w:space="0" w:color="auto"/>
        <w:left w:val="none" w:sz="0" w:space="0" w:color="auto"/>
        <w:bottom w:val="none" w:sz="0" w:space="0" w:color="auto"/>
        <w:right w:val="none" w:sz="0" w:space="0" w:color="auto"/>
      </w:divBdr>
    </w:div>
    <w:div w:id="627514703">
      <w:bodyDiv w:val="1"/>
      <w:marLeft w:val="0"/>
      <w:marRight w:val="0"/>
      <w:marTop w:val="0"/>
      <w:marBottom w:val="0"/>
      <w:divBdr>
        <w:top w:val="none" w:sz="0" w:space="0" w:color="auto"/>
        <w:left w:val="none" w:sz="0" w:space="0" w:color="auto"/>
        <w:bottom w:val="none" w:sz="0" w:space="0" w:color="auto"/>
        <w:right w:val="none" w:sz="0" w:space="0" w:color="auto"/>
      </w:divBdr>
      <w:divsChild>
        <w:div w:id="580528469">
          <w:marLeft w:val="274"/>
          <w:marRight w:val="0"/>
          <w:marTop w:val="58"/>
          <w:marBottom w:val="0"/>
          <w:divBdr>
            <w:top w:val="none" w:sz="0" w:space="0" w:color="auto"/>
            <w:left w:val="none" w:sz="0" w:space="0" w:color="auto"/>
            <w:bottom w:val="none" w:sz="0" w:space="0" w:color="auto"/>
            <w:right w:val="none" w:sz="0" w:space="0" w:color="auto"/>
          </w:divBdr>
        </w:div>
      </w:divsChild>
    </w:div>
    <w:div w:id="7263389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image" Target="media/image1.emf"/><Relationship Id="rId17" Type="http://schemas.openxmlformats.org/officeDocument/2006/relationships/image" Target="media/image2.emf"/><Relationship Id="rId18" Type="http://schemas.openxmlformats.org/officeDocument/2006/relationships/image" Target="media/image3.emf"/><Relationship Id="rId19" Type="http://schemas.openxmlformats.org/officeDocument/2006/relationships/image" Target="media/image4.emf"/><Relationship Id="rId50" Type="http://schemas.openxmlformats.org/officeDocument/2006/relationships/image" Target="media/image34.emf"/><Relationship Id="rId51" Type="http://schemas.openxmlformats.org/officeDocument/2006/relationships/footer" Target="footer6.xml"/><Relationship Id="rId52" Type="http://schemas.openxmlformats.org/officeDocument/2006/relationships/footer" Target="footer7.xml"/><Relationship Id="rId53" Type="http://schemas.openxmlformats.org/officeDocument/2006/relationships/header" Target="header3.xml"/><Relationship Id="rId54" Type="http://schemas.openxmlformats.org/officeDocument/2006/relationships/fontTable" Target="fontTable.xml"/><Relationship Id="rId55" Type="http://schemas.openxmlformats.org/officeDocument/2006/relationships/theme" Target="theme/theme1.xml"/><Relationship Id="rId56" Type="http://schemas.microsoft.com/office/2011/relationships/commentsExtended" Target="commentsExtended.xml"/><Relationship Id="rId57" Type="http://schemas.microsoft.com/office/2011/relationships/people" Target="people.xml"/><Relationship Id="rId40" Type="http://schemas.openxmlformats.org/officeDocument/2006/relationships/image" Target="media/image25.emf"/><Relationship Id="rId41" Type="http://schemas.openxmlformats.org/officeDocument/2006/relationships/image" Target="media/image26.emf"/><Relationship Id="rId42" Type="http://schemas.openxmlformats.org/officeDocument/2006/relationships/image" Target="media/image27.emf"/><Relationship Id="rId43" Type="http://schemas.openxmlformats.org/officeDocument/2006/relationships/image" Target="media/image28.emf"/><Relationship Id="rId44" Type="http://schemas.openxmlformats.org/officeDocument/2006/relationships/image" Target="media/image29.emf"/><Relationship Id="rId45" Type="http://schemas.openxmlformats.org/officeDocument/2006/relationships/image" Target="media/image30.emf"/><Relationship Id="rId46" Type="http://schemas.openxmlformats.org/officeDocument/2006/relationships/image" Target="media/image31.emf"/><Relationship Id="rId47" Type="http://schemas.openxmlformats.org/officeDocument/2006/relationships/image" Target="media/image32.emf"/><Relationship Id="rId48" Type="http://schemas.openxmlformats.org/officeDocument/2006/relationships/image" Target="media/image33.png"/><Relationship Id="rId49" Type="http://schemas.openxmlformats.org/officeDocument/2006/relationships/chart" Target="charts/chart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15.emf"/><Relationship Id="rId31" Type="http://schemas.openxmlformats.org/officeDocument/2006/relationships/image" Target="media/image16.emf"/><Relationship Id="rId32" Type="http://schemas.openxmlformats.org/officeDocument/2006/relationships/image" Target="media/image17.emf"/><Relationship Id="rId33" Type="http://schemas.openxmlformats.org/officeDocument/2006/relationships/image" Target="media/image18.emf"/><Relationship Id="rId34" Type="http://schemas.openxmlformats.org/officeDocument/2006/relationships/image" Target="media/image19.emf"/><Relationship Id="rId35" Type="http://schemas.openxmlformats.org/officeDocument/2006/relationships/image" Target="media/image20.emf"/><Relationship Id="rId36" Type="http://schemas.openxmlformats.org/officeDocument/2006/relationships/image" Target="media/image21.emf"/><Relationship Id="rId37" Type="http://schemas.openxmlformats.org/officeDocument/2006/relationships/image" Target="media/image22.emf"/><Relationship Id="rId38" Type="http://schemas.openxmlformats.org/officeDocument/2006/relationships/image" Target="media/image23.emf"/><Relationship Id="rId39" Type="http://schemas.openxmlformats.org/officeDocument/2006/relationships/image" Target="media/image24.emf"/><Relationship Id="rId20" Type="http://schemas.openxmlformats.org/officeDocument/2006/relationships/image" Target="media/image5.emf"/><Relationship Id="rId21" Type="http://schemas.openxmlformats.org/officeDocument/2006/relationships/image" Target="media/image6.emf"/><Relationship Id="rId22" Type="http://schemas.openxmlformats.org/officeDocument/2006/relationships/image" Target="media/image7.emf"/><Relationship Id="rId23" Type="http://schemas.openxmlformats.org/officeDocument/2006/relationships/image" Target="media/image8.emf"/><Relationship Id="rId24" Type="http://schemas.openxmlformats.org/officeDocument/2006/relationships/image" Target="media/image9.emf"/><Relationship Id="rId25" Type="http://schemas.openxmlformats.org/officeDocument/2006/relationships/image" Target="media/image10.emf"/><Relationship Id="rId26" Type="http://schemas.openxmlformats.org/officeDocument/2006/relationships/image" Target="media/image11.emf"/><Relationship Id="rId27" Type="http://schemas.openxmlformats.org/officeDocument/2006/relationships/image" Target="media/image12.emf"/><Relationship Id="rId28" Type="http://schemas.openxmlformats.org/officeDocument/2006/relationships/image" Target="media/image13.emf"/><Relationship Id="rId29" Type="http://schemas.openxmlformats.org/officeDocument/2006/relationships/image" Target="media/image14.emf"/><Relationship Id="rId10" Type="http://schemas.openxmlformats.org/officeDocument/2006/relationships/footer" Target="footer2.xml"/><Relationship Id="rId11" Type="http://schemas.openxmlformats.org/officeDocument/2006/relationships/header" Target="header1.xml"/><Relationship Id="rId12"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lrich%20Schmelzle\Desktop\100_SEM%20Diss%20May%202017\50_AMOS%20Structural%20PATH%20Model%20May%202017\100_Interaction%20effects%20SCRO_x_EO\Stats%20Tools%20Package%20Dec%2015%20for%20interaction%20effects.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sng" strike="noStrike" baseline="0">
                <a:solidFill>
                  <a:srgbClr val="000000"/>
                </a:solidFill>
                <a:latin typeface="Calibri"/>
                <a:ea typeface="Calibri"/>
                <a:cs typeface="Calibri"/>
              </a:defRPr>
            </a:pPr>
            <a:r>
              <a:rPr lang="en-US"/>
              <a:t>Moderator</a:t>
            </a:r>
          </a:p>
        </c:rich>
      </c:tx>
      <c:layout>
        <c:manualLayout>
          <c:xMode val="edge"/>
          <c:yMode val="edge"/>
          <c:x val="0.810458053513889"/>
          <c:y val="0.323119966204752"/>
        </c:manualLayout>
      </c:layout>
      <c:overlay val="1"/>
    </c:title>
    <c:autoTitleDeleted val="0"/>
    <c:plotArea>
      <c:layout>
        <c:manualLayout>
          <c:layoutTarget val="inner"/>
          <c:xMode val="edge"/>
          <c:yMode val="edge"/>
          <c:x val="0.130794807722934"/>
          <c:y val="0.0807799442896936"/>
          <c:w val="0.586093189036945"/>
          <c:h val="0.77158774373259"/>
        </c:manualLayout>
      </c:layout>
      <c:lineChart>
        <c:grouping val="standard"/>
        <c:varyColors val="0"/>
        <c:ser>
          <c:idx val="0"/>
          <c:order val="0"/>
          <c:tx>
            <c:strRef>
              <c:f>'2 way interactions'!$B$31</c:f>
              <c:strCache>
                <c:ptCount val="1"/>
                <c:pt idx="0">
                  <c:v>Low EO</c:v>
                </c:pt>
              </c:strCache>
            </c:strRef>
          </c:tx>
          <c:cat>
            <c:strRef>
              <c:f>'2 way interactions'!$C$30:$D$30</c:f>
              <c:strCache>
                <c:ptCount val="2"/>
                <c:pt idx="0">
                  <c:v>Low SCRO</c:v>
                </c:pt>
                <c:pt idx="1">
                  <c:v>High SCRO</c:v>
                </c:pt>
              </c:strCache>
            </c:strRef>
          </c:cat>
          <c:val>
            <c:numRef>
              <c:f>'2 way interactions'!$C$31:$D$31</c:f>
              <c:numCache>
                <c:formatCode>General</c:formatCode>
                <c:ptCount val="2"/>
                <c:pt idx="0">
                  <c:v>1.838</c:v>
                </c:pt>
                <c:pt idx="1">
                  <c:v>2.242</c:v>
                </c:pt>
              </c:numCache>
            </c:numRef>
          </c:val>
          <c:smooth val="0"/>
          <c:extLst xmlns:c16r2="http://schemas.microsoft.com/office/drawing/2015/06/chart">
            <c:ext xmlns:c16="http://schemas.microsoft.com/office/drawing/2014/chart" uri="{C3380CC4-5D6E-409C-BE32-E72D297353CC}">
              <c16:uniqueId val="{00000000-FCD3-4E4B-819D-B56F119BD4FB}"/>
            </c:ext>
          </c:extLst>
        </c:ser>
        <c:ser>
          <c:idx val="1"/>
          <c:order val="1"/>
          <c:tx>
            <c:strRef>
              <c:f>'2 way interactions'!$B$32</c:f>
              <c:strCache>
                <c:ptCount val="1"/>
                <c:pt idx="0">
                  <c:v>High EO</c:v>
                </c:pt>
              </c:strCache>
            </c:strRef>
          </c:tx>
          <c:cat>
            <c:strRef>
              <c:f>'2 way interactions'!$C$30:$D$30</c:f>
              <c:strCache>
                <c:ptCount val="2"/>
                <c:pt idx="0">
                  <c:v>Low SCRO</c:v>
                </c:pt>
                <c:pt idx="1">
                  <c:v>High SCRO</c:v>
                </c:pt>
              </c:strCache>
            </c:strRef>
          </c:cat>
          <c:val>
            <c:numRef>
              <c:f>'2 way interactions'!$C$32:$D$32</c:f>
              <c:numCache>
                <c:formatCode>General</c:formatCode>
                <c:ptCount val="2"/>
                <c:pt idx="0">
                  <c:v>3.662</c:v>
                </c:pt>
                <c:pt idx="1">
                  <c:v>4.258</c:v>
                </c:pt>
              </c:numCache>
            </c:numRef>
          </c:val>
          <c:smooth val="0"/>
          <c:extLst xmlns:c16r2="http://schemas.microsoft.com/office/drawing/2015/06/chart">
            <c:ext xmlns:c16="http://schemas.microsoft.com/office/drawing/2014/chart" uri="{C3380CC4-5D6E-409C-BE32-E72D297353CC}">
              <c16:uniqueId val="{00000001-FCD3-4E4B-819D-B56F119BD4FB}"/>
            </c:ext>
          </c:extLst>
        </c:ser>
        <c:dLbls>
          <c:showLegendKey val="0"/>
          <c:showVal val="0"/>
          <c:showCatName val="0"/>
          <c:showSerName val="0"/>
          <c:showPercent val="0"/>
          <c:showBubbleSize val="0"/>
        </c:dLbls>
        <c:marker val="1"/>
        <c:smooth val="0"/>
        <c:axId val="2112319576"/>
        <c:axId val="2112322760"/>
      </c:lineChart>
      <c:catAx>
        <c:axId val="2112319576"/>
        <c:scaling>
          <c:orientation val="minMax"/>
        </c:scaling>
        <c:delete val="0"/>
        <c:axPos val="b"/>
        <c:numFmt formatCode="General" sourceLinked="1"/>
        <c:majorTickMark val="out"/>
        <c:minorTickMark val="none"/>
        <c:tickLblPos val="nextTo"/>
        <c:txPr>
          <a:bodyPr rot="0" vert="horz"/>
          <a:lstStyle/>
          <a:p>
            <a:pPr>
              <a:defRPr sz="2000" b="0" i="0" u="none" strike="noStrike" baseline="0">
                <a:solidFill>
                  <a:srgbClr val="000000"/>
                </a:solidFill>
                <a:latin typeface="Calibri"/>
                <a:ea typeface="Calibri"/>
                <a:cs typeface="Calibri"/>
              </a:defRPr>
            </a:pPr>
            <a:endParaRPr lang="en-US"/>
          </a:p>
        </c:txPr>
        <c:crossAx val="2112322760"/>
        <c:crosses val="autoZero"/>
        <c:auto val="1"/>
        <c:lblAlgn val="ctr"/>
        <c:lblOffset val="100"/>
        <c:tickLblSkip val="1"/>
        <c:tickMarkSkip val="1"/>
        <c:noMultiLvlLbl val="0"/>
      </c:catAx>
      <c:valAx>
        <c:axId val="2112322760"/>
        <c:scaling>
          <c:orientation val="minMax"/>
          <c:max val="5.0"/>
          <c:min val="1.0"/>
        </c:scaling>
        <c:delete val="0"/>
        <c:axPos val="l"/>
        <c:title>
          <c:tx>
            <c:strRef>
              <c:f>'2 way interactions'!$B$8</c:f>
              <c:strCache>
                <c:ptCount val="1"/>
                <c:pt idx="0">
                  <c:v>FP</c:v>
                </c:pt>
              </c:strCache>
            </c:strRef>
          </c:tx>
          <c:layout>
            <c:manualLayout>
              <c:xMode val="edge"/>
              <c:yMode val="edge"/>
              <c:x val="0.00365615418913266"/>
              <c:y val="0.276803024951696"/>
            </c:manualLayout>
          </c:layout>
          <c:overlay val="0"/>
          <c:txPr>
            <a:bodyPr/>
            <a:lstStyle/>
            <a:p>
              <a:pPr>
                <a:defRPr sz="2000" b="1" i="0" u="none" strike="noStrike" baseline="0">
                  <a:solidFill>
                    <a:srgbClr val="000000"/>
                  </a:solidFill>
                  <a:latin typeface="Calibri"/>
                  <a:ea typeface="Calibri"/>
                  <a:cs typeface="Calibri"/>
                </a:defRPr>
              </a:pPr>
              <a:endParaRPr lang="en-US"/>
            </a:p>
          </c:txPr>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12319576"/>
        <c:crosses val="autoZero"/>
        <c:crossBetween val="between"/>
      </c:valAx>
    </c:plotArea>
    <c:legend>
      <c:legendPos val="r"/>
      <c:layout>
        <c:manualLayout>
          <c:xMode val="edge"/>
          <c:yMode val="edge"/>
          <c:x val="0.654703310947778"/>
          <c:y val="0.39832879729084"/>
          <c:w val="0.332052530211307"/>
          <c:h val="0.25391477780317"/>
        </c:manualLayout>
      </c:layout>
      <c:overlay val="0"/>
      <c:txPr>
        <a:bodyPr/>
        <a:lstStyle/>
        <a:p>
          <a:pPr>
            <a:defRPr sz="118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BEB89-C59B-3B48-8DC5-86CEFCF83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225</Pages>
  <Words>210680</Words>
  <Characters>1200876</Characters>
  <Application>Microsoft Macintosh Word</Application>
  <DocSecurity>0</DocSecurity>
  <Lines>10007</Lines>
  <Paragraphs>2817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Schmelzle</dc:creator>
  <cp:keywords/>
  <dc:description/>
  <cp:lastModifiedBy>Ulrich Schmelzle</cp:lastModifiedBy>
  <cp:revision>2</cp:revision>
  <cp:lastPrinted>2017-03-19T13:16:00Z</cp:lastPrinted>
  <dcterms:created xsi:type="dcterms:W3CDTF">2017-06-15T17:08:00Z</dcterms:created>
  <dcterms:modified xsi:type="dcterms:W3CDTF">2017-06-15T17:08:00Z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835da8d6-7c10-39f1-b875-e70ba1de74f2</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http://www.zotero.org/styles/journal-of-business-research</vt:lpwstr>
  </property>
  <property fmtid="{D5CDD505-2E9C-101B-9397-08002B2CF9AE}" pid="18" name="Mendeley Recent Style Name 6_1">
    <vt:lpwstr>Journal of Business Research</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