
<file path=[Content_Types].xml><?xml version="1.0" encoding="utf-8"?>
<Types xmlns="http://schemas.openxmlformats.org/package/2006/content-types">
  <Override PartName="/word/webSettings.xml" ContentType="application/vnd.openxmlformats-officedocument.wordprocessingml.webSettings+xml"/>
  <Override PartName="/word/stylesWithEffects.xml" ContentType="application/vnd.ms-word.stylesWithEffects+xml"/>
  <Override PartName="/word/footer4.xml" ContentType="application/vnd.openxmlformats-officedocument.wordprocessingml.footer+xml"/>
  <Default Extension="png" ContentType="image/png"/>
  <Default Extension="pict" ContentType="image/pict"/>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Default Extension="rels" ContentType="application/vnd.openxmlformats-package.relationships+xml"/>
  <Default Extension="bin" ContentType="application/vnd.openxmlformats-officedocument.oleObject"/>
  <Override PartName="/word/styles.xml" ContentType="application/vnd.openxmlformats-officedocument.wordprocessingml.styles+xml"/>
  <Default Extension="emf" ContentType="image/x-emf"/>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3486E" w:rsidRPr="00A3486E" w:rsidRDefault="00A3486E" w:rsidP="00A3486E">
      <w:pPr>
        <w:jc w:val="center"/>
        <w:rPr>
          <w:sz w:val="36"/>
        </w:rPr>
      </w:pPr>
      <w:r>
        <w:rPr>
          <w:sz w:val="36"/>
        </w:rPr>
        <w:t xml:space="preserve">Nonparametric Discriminant Analysis in Forensic Ancestry Estimation:  </w:t>
      </w:r>
      <w:r w:rsidRPr="00A3486E">
        <w:rPr>
          <w:sz w:val="36"/>
        </w:rPr>
        <w:t>An Assessment of Utilized and Alternative Statistical Methods</w:t>
      </w:r>
    </w:p>
    <w:p w:rsidR="000F6960" w:rsidRDefault="000F6960" w:rsidP="002E689D">
      <w:pPr>
        <w:rPr>
          <w:b/>
        </w:rPr>
      </w:pPr>
    </w:p>
    <w:p w:rsidR="000F6960" w:rsidRDefault="000F6960" w:rsidP="002E689D">
      <w:pPr>
        <w:rPr>
          <w:b/>
        </w:rPr>
      </w:pPr>
    </w:p>
    <w:p w:rsidR="00A3486E" w:rsidRDefault="00A3486E" w:rsidP="002E689D">
      <w:pPr>
        <w:rPr>
          <w:b/>
        </w:rPr>
      </w:pPr>
    </w:p>
    <w:p w:rsidR="00A3486E" w:rsidRDefault="00A3486E" w:rsidP="002E689D">
      <w:pPr>
        <w:rPr>
          <w:b/>
        </w:rPr>
      </w:pPr>
    </w:p>
    <w:p w:rsidR="00A3486E" w:rsidRDefault="00A3486E" w:rsidP="00A3486E">
      <w:pPr>
        <w:jc w:val="center"/>
        <w:rPr>
          <w:sz w:val="36"/>
        </w:rPr>
      </w:pPr>
      <w:r>
        <w:rPr>
          <w:sz w:val="36"/>
        </w:rPr>
        <w:t>A Thesis Presented for the</w:t>
      </w:r>
    </w:p>
    <w:p w:rsidR="00A3486E" w:rsidRDefault="00A3486E" w:rsidP="00A3486E">
      <w:pPr>
        <w:jc w:val="center"/>
        <w:rPr>
          <w:sz w:val="36"/>
        </w:rPr>
      </w:pPr>
      <w:r>
        <w:rPr>
          <w:sz w:val="36"/>
        </w:rPr>
        <w:t>Master of Arts Degree</w:t>
      </w:r>
    </w:p>
    <w:p w:rsidR="00A3486E" w:rsidRDefault="00A3486E" w:rsidP="00A3486E">
      <w:pPr>
        <w:jc w:val="center"/>
        <w:rPr>
          <w:sz w:val="36"/>
        </w:rPr>
      </w:pPr>
      <w:r>
        <w:rPr>
          <w:sz w:val="36"/>
        </w:rPr>
        <w:t>The University of Tennessee, Knoxville</w:t>
      </w:r>
    </w:p>
    <w:p w:rsidR="00A3486E" w:rsidRDefault="00A3486E" w:rsidP="00A3486E">
      <w:pPr>
        <w:jc w:val="center"/>
        <w:rPr>
          <w:sz w:val="36"/>
        </w:rPr>
      </w:pPr>
    </w:p>
    <w:p w:rsidR="00A3486E" w:rsidRDefault="00A3486E" w:rsidP="00A3486E">
      <w:pPr>
        <w:jc w:val="center"/>
        <w:rPr>
          <w:sz w:val="36"/>
        </w:rPr>
      </w:pPr>
    </w:p>
    <w:p w:rsidR="00A3486E" w:rsidRDefault="00A3486E" w:rsidP="00A3486E">
      <w:pPr>
        <w:jc w:val="center"/>
        <w:rPr>
          <w:sz w:val="36"/>
        </w:rPr>
      </w:pPr>
    </w:p>
    <w:p w:rsidR="00A3486E" w:rsidRDefault="00A3486E" w:rsidP="00A3486E">
      <w:pPr>
        <w:jc w:val="center"/>
        <w:rPr>
          <w:sz w:val="36"/>
        </w:rPr>
      </w:pPr>
    </w:p>
    <w:p w:rsidR="00A3486E" w:rsidRDefault="00A3486E" w:rsidP="00A3486E">
      <w:pPr>
        <w:jc w:val="center"/>
        <w:rPr>
          <w:sz w:val="36"/>
        </w:rPr>
      </w:pPr>
    </w:p>
    <w:p w:rsidR="00A3486E" w:rsidRDefault="0068344B" w:rsidP="00A3486E">
      <w:pPr>
        <w:jc w:val="center"/>
        <w:rPr>
          <w:sz w:val="36"/>
        </w:rPr>
      </w:pPr>
      <w:r>
        <w:rPr>
          <w:sz w:val="36"/>
        </w:rPr>
        <w:t>David Anthony</w:t>
      </w:r>
      <w:r w:rsidR="00A3486E">
        <w:rPr>
          <w:sz w:val="36"/>
        </w:rPr>
        <w:t xml:space="preserve"> Mercer</w:t>
      </w:r>
    </w:p>
    <w:p w:rsidR="000F6960" w:rsidRPr="00A3486E" w:rsidRDefault="00A3486E" w:rsidP="00A3486E">
      <w:pPr>
        <w:jc w:val="center"/>
        <w:rPr>
          <w:sz w:val="36"/>
        </w:rPr>
      </w:pPr>
      <w:r>
        <w:rPr>
          <w:sz w:val="36"/>
        </w:rPr>
        <w:t>May 2013</w:t>
      </w:r>
    </w:p>
    <w:p w:rsidR="000F6960" w:rsidRPr="00152D71" w:rsidRDefault="00152D71" w:rsidP="00152D71">
      <w:pPr>
        <w:jc w:val="center"/>
        <w:rPr>
          <w:b/>
        </w:rPr>
      </w:pPr>
      <w:r>
        <w:rPr>
          <w:b/>
        </w:rPr>
        <w:t>ACKNOWLEDGEMENTS</w:t>
      </w:r>
    </w:p>
    <w:p w:rsidR="00074CA2" w:rsidRDefault="00864F2C" w:rsidP="00864F2C">
      <w:r>
        <w:tab/>
        <w:t>I would like to thank my committee</w:t>
      </w:r>
      <w:r w:rsidR="00594A60">
        <w:t xml:space="preserve"> members</w:t>
      </w:r>
      <w:r>
        <w:t xml:space="preserve"> – Dr. Amy Mundorff, Dr. William Seaver, and Dr. Richard Jantz – for the</w:t>
      </w:r>
      <w:r w:rsidR="00DD32C6">
        <w:t>ir</w:t>
      </w:r>
      <w:r>
        <w:t xml:space="preserve"> guidance and patience throughout the process of this research</w:t>
      </w:r>
      <w:r w:rsidR="00594A60">
        <w:t xml:space="preserve"> as well as their interest in its successful completion</w:t>
      </w:r>
      <w:r>
        <w:t>.</w:t>
      </w:r>
      <w:r w:rsidR="006F1A66">
        <w:t xml:space="preserve">  Dr. Mundorff was especially patient and helpful during my search for a research topic.  She always provided honest feedback and recommendations with an interest in my success.  </w:t>
      </w:r>
      <w:r w:rsidR="00594A60">
        <w:t>I would also like to thank T</w:t>
      </w:r>
      <w:r w:rsidR="00DD32C6">
        <w:t xml:space="preserve">he </w:t>
      </w:r>
      <w:r w:rsidR="00594A60">
        <w:t xml:space="preserve">University of Tennessee </w:t>
      </w:r>
      <w:r w:rsidR="00DD32C6">
        <w:t>Forensic Anthropology Center for the</w:t>
      </w:r>
      <w:r w:rsidR="00B4106D">
        <w:t xml:space="preserve">ir </w:t>
      </w:r>
      <w:r w:rsidR="00DD32C6">
        <w:t>provision of the</w:t>
      </w:r>
      <w:r w:rsidR="00594A60">
        <w:t xml:space="preserve"> Forensic Data Bank’s craniometric</w:t>
      </w:r>
      <w:r w:rsidR="00DD32C6">
        <w:t xml:space="preserve">.  </w:t>
      </w:r>
      <w:r w:rsidR="00B4106D">
        <w:t>I am very appreciative for the discussions</w:t>
      </w:r>
      <w:r w:rsidR="00B1689F">
        <w:t xml:space="preserve"> and recommendations provided by Dr. Bridget Algee-Hewitt and Dr. Benjamin Auerbach</w:t>
      </w:r>
      <w:r w:rsidR="00F768E6">
        <w:t>.</w:t>
      </w:r>
      <w:r w:rsidR="00D97B5A">
        <w:t xml:space="preserve">  While they had no responsibilities to me, they willingly listened to my questions and contributed constructive feedback. </w:t>
      </w:r>
      <w:r w:rsidR="00F768E6">
        <w:t xml:space="preserve">  </w:t>
      </w:r>
      <w:r w:rsidR="00DD32C6">
        <w:t xml:space="preserve">Finally, I would like to thank my family, especially my parents, for their support and confidence </w:t>
      </w:r>
      <w:r w:rsidR="000F4BB3">
        <w:t xml:space="preserve">in me </w:t>
      </w:r>
      <w:r w:rsidR="00DD32C6">
        <w:t xml:space="preserve">throughout my education.  </w:t>
      </w: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Pr="00074CA2" w:rsidRDefault="00074CA2" w:rsidP="00074CA2">
      <w:pPr>
        <w:jc w:val="center"/>
        <w:rPr>
          <w:b/>
        </w:rPr>
      </w:pPr>
      <w:r>
        <w:rPr>
          <w:b/>
        </w:rPr>
        <w:t>ABSTRACT</w:t>
      </w:r>
    </w:p>
    <w:p w:rsidR="00343B07" w:rsidRDefault="009A739C" w:rsidP="009A739C">
      <w:r>
        <w:tab/>
      </w:r>
      <w:r w:rsidR="00E37310">
        <w:t>This thesis</w:t>
      </w:r>
      <w:r>
        <w:t xml:space="preserve"> evaluates and compares the performances of four discriminant analysis techniques in forensic ancestry estimation using craniometric variables.  </w:t>
      </w:r>
      <w:r w:rsidR="003731B6">
        <w:fldChar w:fldCharType="begin"/>
      </w:r>
      <w:r w:rsidR="00343A98">
        <w:instrText xml:space="preserve"> ADDIN EN.CITE &lt;EndNote&gt;&lt;Cite AuthorYear="1"&gt;&lt;Author&gt;Giles&lt;/Author&gt;&lt;Year&gt;1962&lt;/Year&gt;&lt;RecNum&gt;70&lt;/RecNum&gt;&lt;DisplayText&gt;Giles and Elliot (1962)&lt;/DisplayText&gt;&lt;record&gt;&lt;rec-number&gt;70&lt;/rec-number&gt;&lt;foreign-keys&gt;&lt;key app="EN" db-id="20frpf5eyrpavaevz925sv9t29f5epa9pd2z"&gt;70&lt;/key&gt;&lt;/foreign-keys&gt;&lt;ref-type name="Journal Article"&gt;17&lt;/ref-type&gt;&lt;contributors&gt;&lt;authors&gt;&lt;author&gt;Giles, Eugene&lt;/author&gt;&lt;author&gt;Elliot, Orville&lt;/author&gt;&lt;/authors&gt;&lt;/contributors&gt;&lt;titles&gt;&lt;title&gt;Race identification from cranial measurements&lt;/title&gt;&lt;secondary-title&gt;Journal of Forensic Sciences&lt;/secondary-title&gt;&lt;/titles&gt;&lt;periodical&gt;&lt;full-title&gt;Journal of Forensic Sciences&lt;/full-title&gt;&lt;/periodical&gt;&lt;pages&gt;147-157&lt;/pages&gt;&lt;volume&gt;7&lt;/volume&gt;&lt;number&gt;2&lt;/number&gt;&lt;dates&gt;&lt;year&gt;1962&lt;/year&gt;&lt;/dates&gt;&lt;urls&gt;&lt;/urls&gt;&lt;/record&gt;&lt;/Cite&gt;&lt;/EndNote&gt;</w:instrText>
      </w:r>
      <w:r w:rsidR="003731B6">
        <w:fldChar w:fldCharType="separate"/>
      </w:r>
      <w:hyperlink w:anchor="_ENREF_19" w:tooltip="Giles, 1962 #70" w:history="1">
        <w:r w:rsidR="001633BC">
          <w:rPr>
            <w:noProof/>
          </w:rPr>
          <w:t>Giles and Elliot (1962</w:t>
        </w:r>
      </w:hyperlink>
      <w:r w:rsidR="00343A98">
        <w:rPr>
          <w:noProof/>
        </w:rPr>
        <w:t>)</w:t>
      </w:r>
      <w:r w:rsidR="003731B6">
        <w:fldChar w:fldCharType="end"/>
      </w:r>
      <w:r w:rsidR="00343A98">
        <w:t xml:space="preserve"> were the first anthropologists to use discriminant analysis for ancestry estimation.  They used Linear Discriminant Analysis</w:t>
      </w:r>
      <w:r w:rsidR="00BA1837">
        <w:t xml:space="preserve"> (LDA)</w:t>
      </w:r>
      <w:r w:rsidR="00343A98">
        <w:t xml:space="preserve"> in an attempt to predict American White, American Black, and American Indian ancestry from craniometric variables.  </w:t>
      </w:r>
      <w:r w:rsidR="00BA1837">
        <w:t xml:space="preserve">LDA has since been the dominant discriminant technique used for this purpose.  It is the method that is exclusively used in FORDISC </w:t>
      </w:r>
      <w:r w:rsidR="003731B6">
        <w:fldChar w:fldCharType="begin"/>
      </w:r>
      <w:r w:rsidR="00BA1837">
        <w:instrText xml:space="preserve"> ADDIN EN.CITE &lt;EndNote&gt;&lt;Cite&gt;&lt;Author&gt;Ousley&lt;/Author&gt;&lt;Year&gt;2005&lt;/Year&gt;&lt;RecNum&gt;367&lt;/RecNum&gt;&lt;DisplayText&gt;(Ousley and Jantz, 2005)&lt;/DisplayText&gt;&lt;record&gt;&lt;rec-number&gt;367&lt;/rec-number&gt;&lt;foreign-keys&gt;&lt;key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Knoxville&lt;/publisher&gt;&lt;urls&gt;&lt;/urls&gt;&lt;/record&gt;&lt;/Cite&gt;&lt;/EndNote&gt;</w:instrText>
      </w:r>
      <w:r w:rsidR="003731B6">
        <w:fldChar w:fldCharType="separate"/>
      </w:r>
      <w:r w:rsidR="00BA1837">
        <w:rPr>
          <w:noProof/>
        </w:rPr>
        <w:t>(</w:t>
      </w:r>
      <w:hyperlink w:anchor="_ENREF_43" w:tooltip="Ousley, 2005 #367" w:history="1">
        <w:r w:rsidR="001633BC">
          <w:rPr>
            <w:noProof/>
          </w:rPr>
          <w:t>Ousley and Jantz, 2005</w:t>
        </w:r>
      </w:hyperlink>
      <w:r w:rsidR="00BA1837">
        <w:rPr>
          <w:noProof/>
        </w:rPr>
        <w:t>)</w:t>
      </w:r>
      <w:r w:rsidR="003731B6">
        <w:fldChar w:fldCharType="end"/>
      </w:r>
      <w:r w:rsidR="00BA1837">
        <w:t xml:space="preserve"> and, until recently, was the only method applied to </w:t>
      </w:r>
      <w:r w:rsidR="00FA4E8F">
        <w:t xml:space="preserve">forensic </w:t>
      </w:r>
      <w:r w:rsidR="00BA1837">
        <w:t>craniometric ancestry estimation.</w:t>
      </w:r>
    </w:p>
    <w:p w:rsidR="008A7983" w:rsidRDefault="0098104F" w:rsidP="009A739C">
      <w:r>
        <w:tab/>
        <w:t>LDA, however, assumes</w:t>
      </w:r>
      <w:r w:rsidR="00343B07">
        <w:t xml:space="preserve"> the data for each group in the analysis are multivaria</w:t>
      </w:r>
      <w:r w:rsidR="00D87D82">
        <w:t>te normally distributed and</w:t>
      </w:r>
      <w:r w:rsidR="00343B07">
        <w:t xml:space="preserve"> the grou</w:t>
      </w:r>
      <w:r w:rsidR="00FE2D6D">
        <w:t>p covariance matrices are equal</w:t>
      </w:r>
      <w:r w:rsidR="00343B07">
        <w:t xml:space="preserve">.  </w:t>
      </w:r>
      <w:r w:rsidR="00621B42">
        <w:t xml:space="preserve">These assumptions are not usually addressed in research; they are often assumed as satisfied </w:t>
      </w:r>
      <w:r w:rsidR="003731B6">
        <w:fldChar w:fldCharType="begin"/>
      </w:r>
      <w:r w:rsidR="00721795">
        <w:instrText xml:space="preserve"> ADDIN EN.CITE &lt;EndNote&gt;&lt;Cite&gt;&lt;Author&gt;Feldesman&lt;/Author&gt;&lt;Year&gt;2002&lt;/Year&gt;&lt;RecNum&gt;199&lt;/RecNum&gt;&lt;DisplayText&gt;(Feldesman, 2002)&lt;/DisplayText&gt;&lt;record&gt;&lt;rec-number&gt;199&lt;/rec-number&gt;&lt;foreign-keys&gt;&lt;key app="EN" db-id="20frpf5eyrpavaevz925sv9t29f5epa9pd2z"&gt;199&lt;/key&gt;&lt;/foreign-keys&gt;&lt;ref-type name="Journal Article"&gt;17&lt;/ref-type&gt;&lt;contributors&gt;&lt;authors&gt;&lt;author&gt;Feldesman, MR&lt;/author&gt;&lt;/authors&gt;&lt;/contributors&gt;&lt;titles&gt;&lt;title&gt;Classification trees as an alternative to linear discriminant analysis&lt;/title&gt;&lt;secondary-title&gt;American Journal of Physical Anthropology&lt;/secondary-title&gt;&lt;/titles&gt;&lt;periodical&gt;&lt;full-title&gt;American Journal of Physical Anthropology&lt;/full-title&gt;&lt;/periodical&gt;&lt;pages&gt;257-275&lt;/pages&gt;&lt;volume&gt;119&lt;/volume&gt;&lt;dates&gt;&lt;year&gt;2002&lt;/year&gt;&lt;/dates&gt;&lt;accession-num&gt;1169532793528322810related:-gptF-EDOxAJ&lt;/accession-num&gt;&lt;label&gt;r03359&lt;/label&gt;&lt;urls&gt;&lt;related-urls&gt;&lt;url&gt;http://onlinelibrary.wiley.com/doi/10.1002/ajpa.10102/abstract&lt;/url&gt;&lt;/related-urls&gt;&lt;pdf-urls&gt;&lt;url&gt;file://localhost/Users/mercergm/Library/Application%20Support/Papers2/Articles/2002/Feldesman/Am.%20J.%20Phys.%20Anthropol.%202002%20Feldesman.pdf&lt;/url&gt;&lt;/pdf-urls&gt;&lt;/urls&gt;&lt;custom3&gt;papers2://publication/uuid/EA3E1F34-5015-4302-A907-39A67616B1D2&lt;/custom3&gt;&lt;/record&gt;&lt;/Cite&gt;&lt;/EndNote&gt;</w:instrText>
      </w:r>
      <w:r w:rsidR="003731B6">
        <w:fldChar w:fldCharType="separate"/>
      </w:r>
      <w:r w:rsidR="00621B42">
        <w:rPr>
          <w:noProof/>
        </w:rPr>
        <w:t>(</w:t>
      </w:r>
      <w:hyperlink w:anchor="_ENREF_15" w:tooltip="Feldesman, 2002 #199" w:history="1">
        <w:r w:rsidR="001633BC">
          <w:rPr>
            <w:noProof/>
          </w:rPr>
          <w:t>Feldesman, 2002</w:t>
        </w:r>
      </w:hyperlink>
      <w:r w:rsidR="00621B42">
        <w:rPr>
          <w:noProof/>
        </w:rPr>
        <w:t>)</w:t>
      </w:r>
      <w:r w:rsidR="003731B6">
        <w:fldChar w:fldCharType="end"/>
      </w:r>
      <w:r w:rsidR="00621B42">
        <w:t xml:space="preserve">. </w:t>
      </w:r>
      <w:r w:rsidR="004B384A">
        <w:t xml:space="preserve">In fact FORDISC includes a test for equal covariances, but not multivariate normality.  It assumes the latter condition is met </w:t>
      </w:r>
      <w:r w:rsidR="003731B6">
        <w:fldChar w:fldCharType="begin"/>
      </w:r>
      <w:r w:rsidR="004B384A">
        <w:instrText xml:space="preserve"> ADDIN EN.CITE &lt;EndNote&gt;&lt;Cite&gt;&lt;Author&gt;Ousley&lt;/Author&gt;&lt;Year&gt;2012&lt;/Year&gt;&lt;RecNum&gt;345&lt;/RecNum&gt;&lt;DisplayText&gt;(Ousley and Jantz, 2012)&lt;/DisplayText&gt;&lt;record&gt;&lt;rec-number&gt;345&lt;/rec-number&gt;&lt;foreign-keys&gt;&lt;key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r w:rsidR="004B384A">
        <w:rPr>
          <w:noProof/>
        </w:rPr>
        <w:t>(</w:t>
      </w:r>
      <w:hyperlink w:anchor="_ENREF_44" w:tooltip="Ousley, 2012 #345" w:history="1">
        <w:r w:rsidR="001633BC">
          <w:rPr>
            <w:noProof/>
          </w:rPr>
          <w:t>Ousley and Jantz, 2012</w:t>
        </w:r>
      </w:hyperlink>
      <w:r w:rsidR="004B384A">
        <w:rPr>
          <w:noProof/>
        </w:rPr>
        <w:t>)</w:t>
      </w:r>
      <w:r w:rsidR="003731B6">
        <w:fldChar w:fldCharType="end"/>
      </w:r>
      <w:r w:rsidR="004B384A">
        <w:t>.</w:t>
      </w:r>
      <w:r w:rsidR="00212699">
        <w:t xml:space="preserve">  Furthermore, it does not provide an alternative option when LDA’s assumptions are violated.</w:t>
      </w:r>
    </w:p>
    <w:p w:rsidR="00797F9A" w:rsidRDefault="00E37310" w:rsidP="009A739C">
      <w:r>
        <w:tab/>
        <w:t>This thesis</w:t>
      </w:r>
      <w:r w:rsidR="008A7983">
        <w:t xml:space="preserve"> evaluates </w:t>
      </w:r>
      <w:r w:rsidR="00AE2B27">
        <w:t xml:space="preserve">and compares </w:t>
      </w:r>
      <w:r w:rsidR="00921FA6">
        <w:t>t</w:t>
      </w:r>
      <w:r w:rsidR="00FB1995">
        <w:t>he assumptions and performances</w:t>
      </w:r>
      <w:r w:rsidR="00E533C7">
        <w:t xml:space="preserve"> of </w:t>
      </w:r>
      <w:r w:rsidR="008A7983">
        <w:t>LDA and thre</w:t>
      </w:r>
      <w:r w:rsidR="00536098">
        <w:t>e other discriminant techniques</w:t>
      </w:r>
      <w:r w:rsidR="00921FA6">
        <w:t xml:space="preserve"> (i.e., quadratic discriminant analysis,</w:t>
      </w:r>
      <w:r w:rsidR="008A7983">
        <w:t xml:space="preserve"> </w:t>
      </w:r>
      <w:r w:rsidR="00921FA6">
        <w:t>k-nearest neighbor analysis,</w:t>
      </w:r>
      <w:r w:rsidR="00482162">
        <w:t xml:space="preserve"> </w:t>
      </w:r>
      <w:r w:rsidR="008A7983">
        <w:t>and classification trees</w:t>
      </w:r>
      <w:r w:rsidR="00921FA6">
        <w:t>) in craniometric ancestry estimation</w:t>
      </w:r>
      <w:r w:rsidR="008A7983">
        <w:t xml:space="preserve">.  </w:t>
      </w:r>
      <w:r w:rsidR="00E506E6">
        <w:t>Each method has unique assumptions about the dat</w:t>
      </w:r>
      <w:r w:rsidR="007C22D2">
        <w:t>a, so each may be appropriate for</w:t>
      </w:r>
      <w:r w:rsidR="00E506E6">
        <w:t xml:space="preserve"> </w:t>
      </w:r>
      <w:r w:rsidR="007C22D2">
        <w:t>different</w:t>
      </w:r>
      <w:r w:rsidR="00E506E6">
        <w:t xml:space="preserve"> situations.</w:t>
      </w:r>
      <w:r w:rsidR="002558E6">
        <w:t xml:space="preserve">  It is important to apply methods </w:t>
      </w:r>
      <w:r w:rsidR="009F1B28">
        <w:t>with satisfied assumptions because the results may not be interpretable or gerneralizable otherwise.</w:t>
      </w:r>
    </w:p>
    <w:p w:rsidR="00074CA2" w:rsidRPr="009A739C" w:rsidRDefault="0000646C" w:rsidP="00797F9A">
      <w:pPr>
        <w:ind w:firstLine="720"/>
      </w:pPr>
      <w:r>
        <w:t>The results</w:t>
      </w:r>
      <w:r w:rsidR="004F246F">
        <w:t xml:space="preserve"> show that a few outliers are often the cause of violations of multivariate normality.  However, covariance equality is difficult to achieve and was not present for any evaluation. </w:t>
      </w:r>
      <w:r w:rsidR="00637D27">
        <w:t xml:space="preserve"> LDA had the best overall classification performance.  However, its assumptions are often violated.  Classification trees are the recommended alternative when LDA’s assumptions are not met.  Though its performance is likely lowe</w:t>
      </w:r>
      <w:r w:rsidR="008149B3">
        <w:t xml:space="preserve">r than that of LDA, it offers </w:t>
      </w:r>
      <w:r w:rsidR="00637D27">
        <w:t xml:space="preserve">many advantages that make it a useful method, such as </w:t>
      </w:r>
      <w:r w:rsidR="008149B3">
        <w:t xml:space="preserve">its lack of </w:t>
      </w:r>
      <w:r w:rsidR="00864F2C">
        <w:t>data assumptions.</w:t>
      </w: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074CA2" w:rsidRDefault="00074CA2" w:rsidP="002E689D">
      <w:pPr>
        <w:rPr>
          <w:b/>
        </w:rPr>
      </w:pPr>
    </w:p>
    <w:p w:rsidR="00450005" w:rsidRDefault="00450005" w:rsidP="002E689D">
      <w:pPr>
        <w:rPr>
          <w:b/>
        </w:rPr>
      </w:pPr>
    </w:p>
    <w:sdt>
      <w:sdtPr>
        <w:rPr>
          <w:rFonts w:eastAsiaTheme="minorHAnsi" w:cstheme="minorBidi"/>
          <w:b w:val="0"/>
          <w:bCs w:val="0"/>
          <w:color w:val="auto"/>
          <w:sz w:val="24"/>
          <w:szCs w:val="22"/>
        </w:rPr>
        <w:id w:val="356181701"/>
        <w:docPartObj>
          <w:docPartGallery w:val="Table of Contents"/>
          <w:docPartUnique/>
        </w:docPartObj>
      </w:sdtPr>
      <w:sdtContent>
        <w:p w:rsidR="00450005" w:rsidRDefault="00450005">
          <w:pPr>
            <w:pStyle w:val="TOCHeading"/>
          </w:pPr>
          <w:r w:rsidRPr="00450005">
            <w:rPr>
              <w:color w:val="auto"/>
            </w:rPr>
            <w:t>Table of Contents</w:t>
          </w:r>
        </w:p>
        <w:p w:rsidR="002F5501" w:rsidRDefault="003731B6">
          <w:pPr>
            <w:pStyle w:val="TOC1"/>
            <w:tabs>
              <w:tab w:val="right" w:leader="dot" w:pos="9350"/>
            </w:tabs>
            <w:rPr>
              <w:rFonts w:eastAsiaTheme="minorEastAsia"/>
              <w:b w:val="0"/>
              <w:noProof/>
            </w:rPr>
          </w:pPr>
          <w:r w:rsidRPr="003731B6">
            <w:rPr>
              <w:b w:val="0"/>
            </w:rPr>
            <w:fldChar w:fldCharType="begin"/>
          </w:r>
          <w:r w:rsidR="00450005" w:rsidRPr="008A1844">
            <w:rPr>
              <w:b w:val="0"/>
            </w:rPr>
            <w:instrText xml:space="preserve"> TOC \o "1-3" \h \z \u </w:instrText>
          </w:r>
          <w:r w:rsidRPr="003731B6">
            <w:rPr>
              <w:b w:val="0"/>
            </w:rPr>
            <w:fldChar w:fldCharType="separate"/>
          </w:r>
          <w:r w:rsidR="002F5501">
            <w:rPr>
              <w:noProof/>
            </w:rPr>
            <w:t>INTRODUCTION</w:t>
          </w:r>
          <w:r w:rsidR="002F5501">
            <w:rPr>
              <w:noProof/>
            </w:rPr>
            <w:tab/>
          </w:r>
          <w:r w:rsidR="002F5501">
            <w:rPr>
              <w:noProof/>
            </w:rPr>
            <w:fldChar w:fldCharType="begin"/>
          </w:r>
          <w:r w:rsidR="002F5501">
            <w:rPr>
              <w:noProof/>
            </w:rPr>
            <w:instrText xml:space="preserve"> PAGEREF _Toc227982475 \h </w:instrText>
          </w:r>
          <w:r w:rsidR="004D01C0">
            <w:rPr>
              <w:noProof/>
            </w:rPr>
          </w:r>
          <w:r w:rsidR="002F5501">
            <w:rPr>
              <w:noProof/>
            </w:rPr>
            <w:fldChar w:fldCharType="separate"/>
          </w:r>
          <w:r w:rsidR="002F5501">
            <w:rPr>
              <w:noProof/>
            </w:rPr>
            <w:t>1</w:t>
          </w:r>
          <w:r w:rsidR="002F5501">
            <w:rPr>
              <w:noProof/>
            </w:rPr>
            <w:fldChar w:fldCharType="end"/>
          </w:r>
        </w:p>
        <w:p w:rsidR="002F5501" w:rsidRDefault="002F5501">
          <w:pPr>
            <w:pStyle w:val="TOC1"/>
            <w:tabs>
              <w:tab w:val="right" w:leader="dot" w:pos="9350"/>
            </w:tabs>
            <w:rPr>
              <w:rFonts w:eastAsiaTheme="minorEastAsia"/>
              <w:b w:val="0"/>
              <w:noProof/>
            </w:rPr>
          </w:pPr>
          <w:r>
            <w:rPr>
              <w:noProof/>
            </w:rPr>
            <w:t>CHAPTER I LITERATURE REVIEW</w:t>
          </w:r>
          <w:r>
            <w:rPr>
              <w:noProof/>
            </w:rPr>
            <w:tab/>
          </w:r>
          <w:r>
            <w:rPr>
              <w:noProof/>
            </w:rPr>
            <w:fldChar w:fldCharType="begin"/>
          </w:r>
          <w:r>
            <w:rPr>
              <w:noProof/>
            </w:rPr>
            <w:instrText xml:space="preserve"> PAGEREF _Toc227982476 \h </w:instrText>
          </w:r>
          <w:r w:rsidR="004D01C0">
            <w:rPr>
              <w:noProof/>
            </w:rPr>
          </w:r>
          <w:r>
            <w:rPr>
              <w:noProof/>
            </w:rPr>
            <w:fldChar w:fldCharType="separate"/>
          </w:r>
          <w:r>
            <w:rPr>
              <w:noProof/>
            </w:rPr>
            <w:t>4</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Early Statistical Explorations of Human Variation</w:t>
          </w:r>
          <w:r>
            <w:rPr>
              <w:noProof/>
            </w:rPr>
            <w:tab/>
          </w:r>
          <w:r>
            <w:rPr>
              <w:noProof/>
            </w:rPr>
            <w:fldChar w:fldCharType="begin"/>
          </w:r>
          <w:r>
            <w:rPr>
              <w:noProof/>
            </w:rPr>
            <w:instrText xml:space="preserve"> PAGEREF _Toc227982477 \h </w:instrText>
          </w:r>
          <w:r w:rsidR="004D01C0">
            <w:rPr>
              <w:noProof/>
            </w:rPr>
          </w:r>
          <w:r>
            <w:rPr>
              <w:noProof/>
            </w:rPr>
            <w:fldChar w:fldCharType="separate"/>
          </w:r>
          <w:r>
            <w:rPr>
              <w:noProof/>
            </w:rPr>
            <w:t>4</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Software for Craniometric Assessment of Ancestry</w:t>
          </w:r>
          <w:r>
            <w:rPr>
              <w:noProof/>
            </w:rPr>
            <w:tab/>
          </w:r>
          <w:r>
            <w:rPr>
              <w:noProof/>
            </w:rPr>
            <w:fldChar w:fldCharType="begin"/>
          </w:r>
          <w:r>
            <w:rPr>
              <w:noProof/>
            </w:rPr>
            <w:instrText xml:space="preserve"> PAGEREF _Toc227982478 \h </w:instrText>
          </w:r>
          <w:r w:rsidR="004D01C0">
            <w:rPr>
              <w:noProof/>
            </w:rPr>
          </w:r>
          <w:r>
            <w:rPr>
              <w:noProof/>
            </w:rPr>
            <w:fldChar w:fldCharType="separate"/>
          </w:r>
          <w:r>
            <w:rPr>
              <w:noProof/>
            </w:rPr>
            <w:t>6</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A Controversy in the Field: Anthropology and Forensic Race Estimation</w:t>
          </w:r>
          <w:r>
            <w:rPr>
              <w:noProof/>
            </w:rPr>
            <w:tab/>
          </w:r>
          <w:r>
            <w:rPr>
              <w:noProof/>
            </w:rPr>
            <w:fldChar w:fldCharType="begin"/>
          </w:r>
          <w:r>
            <w:rPr>
              <w:noProof/>
            </w:rPr>
            <w:instrText xml:space="preserve"> PAGEREF _Toc227982479 \h </w:instrText>
          </w:r>
          <w:r w:rsidR="004D01C0">
            <w:rPr>
              <w:noProof/>
            </w:rPr>
          </w:r>
          <w:r>
            <w:rPr>
              <w:noProof/>
            </w:rPr>
            <w:fldChar w:fldCharType="separate"/>
          </w:r>
          <w:r>
            <w:rPr>
              <w:noProof/>
            </w:rPr>
            <w:t>7</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The Biological Race Concept:  Contemporary Views in Anthropology</w:t>
          </w:r>
          <w:r>
            <w:rPr>
              <w:noProof/>
            </w:rPr>
            <w:tab/>
          </w:r>
          <w:r>
            <w:rPr>
              <w:noProof/>
            </w:rPr>
            <w:fldChar w:fldCharType="begin"/>
          </w:r>
          <w:r>
            <w:rPr>
              <w:noProof/>
            </w:rPr>
            <w:instrText xml:space="preserve"> PAGEREF _Toc227982480 \h </w:instrText>
          </w:r>
          <w:r w:rsidR="004D01C0">
            <w:rPr>
              <w:noProof/>
            </w:rPr>
          </w:r>
          <w:r>
            <w:rPr>
              <w:noProof/>
            </w:rPr>
            <w:fldChar w:fldCharType="separate"/>
          </w:r>
          <w:r>
            <w:rPr>
              <w:noProof/>
            </w:rPr>
            <w:t>10</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FORDISC Methodology and Potential Limitations</w:t>
          </w:r>
          <w:r>
            <w:rPr>
              <w:noProof/>
            </w:rPr>
            <w:tab/>
          </w:r>
          <w:r>
            <w:rPr>
              <w:noProof/>
            </w:rPr>
            <w:fldChar w:fldCharType="begin"/>
          </w:r>
          <w:r>
            <w:rPr>
              <w:noProof/>
            </w:rPr>
            <w:instrText xml:space="preserve"> PAGEREF _Toc227982481 \h </w:instrText>
          </w:r>
          <w:r w:rsidR="004D01C0">
            <w:rPr>
              <w:noProof/>
            </w:rPr>
          </w:r>
          <w:r>
            <w:rPr>
              <w:noProof/>
            </w:rPr>
            <w:fldChar w:fldCharType="separate"/>
          </w:r>
          <w:r>
            <w:rPr>
              <w:noProof/>
            </w:rPr>
            <w:t>13</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The Need for Accurate and Reliable Statistical Figures in Forensics</w:t>
          </w:r>
          <w:r>
            <w:rPr>
              <w:noProof/>
            </w:rPr>
            <w:tab/>
          </w:r>
          <w:r>
            <w:rPr>
              <w:noProof/>
            </w:rPr>
            <w:fldChar w:fldCharType="begin"/>
          </w:r>
          <w:r>
            <w:rPr>
              <w:noProof/>
            </w:rPr>
            <w:instrText xml:space="preserve"> PAGEREF _Toc227982482 \h </w:instrText>
          </w:r>
          <w:r w:rsidR="004D01C0">
            <w:rPr>
              <w:noProof/>
            </w:rPr>
          </w:r>
          <w:r>
            <w:rPr>
              <w:noProof/>
            </w:rPr>
            <w:fldChar w:fldCharType="separate"/>
          </w:r>
          <w:r>
            <w:rPr>
              <w:noProof/>
            </w:rPr>
            <w:t>14</w:t>
          </w:r>
          <w:r>
            <w:rPr>
              <w:noProof/>
            </w:rPr>
            <w:fldChar w:fldCharType="end"/>
          </w:r>
        </w:p>
        <w:p w:rsidR="002F5501" w:rsidRDefault="002F5501">
          <w:pPr>
            <w:pStyle w:val="TOC1"/>
            <w:tabs>
              <w:tab w:val="right" w:leader="dot" w:pos="9350"/>
            </w:tabs>
            <w:rPr>
              <w:rFonts w:eastAsiaTheme="minorEastAsia"/>
              <w:b w:val="0"/>
              <w:noProof/>
            </w:rPr>
          </w:pPr>
          <w:r>
            <w:rPr>
              <w:noProof/>
            </w:rPr>
            <w:t>CHAPTER II MATERIALS AND METHODS</w:t>
          </w:r>
          <w:r>
            <w:rPr>
              <w:noProof/>
            </w:rPr>
            <w:tab/>
          </w:r>
          <w:r>
            <w:rPr>
              <w:noProof/>
            </w:rPr>
            <w:fldChar w:fldCharType="begin"/>
          </w:r>
          <w:r>
            <w:rPr>
              <w:noProof/>
            </w:rPr>
            <w:instrText xml:space="preserve"> PAGEREF _Toc227982483 \h </w:instrText>
          </w:r>
          <w:r w:rsidR="004D01C0">
            <w:rPr>
              <w:noProof/>
            </w:rPr>
          </w:r>
          <w:r>
            <w:rPr>
              <w:noProof/>
            </w:rPr>
            <w:fldChar w:fldCharType="separate"/>
          </w:r>
          <w:r>
            <w:rPr>
              <w:noProof/>
            </w:rPr>
            <w:t>16</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Materials</w:t>
          </w:r>
          <w:r>
            <w:rPr>
              <w:noProof/>
            </w:rPr>
            <w:tab/>
          </w:r>
          <w:r>
            <w:rPr>
              <w:noProof/>
            </w:rPr>
            <w:fldChar w:fldCharType="begin"/>
          </w:r>
          <w:r>
            <w:rPr>
              <w:noProof/>
            </w:rPr>
            <w:instrText xml:space="preserve"> PAGEREF _Toc227982484 \h </w:instrText>
          </w:r>
          <w:r w:rsidR="004D01C0">
            <w:rPr>
              <w:noProof/>
            </w:rPr>
          </w:r>
          <w:r>
            <w:rPr>
              <w:noProof/>
            </w:rPr>
            <w:fldChar w:fldCharType="separate"/>
          </w:r>
          <w:r>
            <w:rPr>
              <w:noProof/>
            </w:rPr>
            <w:t>16</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Missing Value Analysis and Imputation</w:t>
          </w:r>
          <w:r>
            <w:rPr>
              <w:noProof/>
            </w:rPr>
            <w:tab/>
          </w:r>
          <w:r>
            <w:rPr>
              <w:noProof/>
            </w:rPr>
            <w:fldChar w:fldCharType="begin"/>
          </w:r>
          <w:r>
            <w:rPr>
              <w:noProof/>
            </w:rPr>
            <w:instrText xml:space="preserve"> PAGEREF _Toc227982485 \h </w:instrText>
          </w:r>
          <w:r w:rsidR="004D01C0">
            <w:rPr>
              <w:noProof/>
            </w:rPr>
          </w:r>
          <w:r>
            <w:rPr>
              <w:noProof/>
            </w:rPr>
            <w:fldChar w:fldCharType="separate"/>
          </w:r>
          <w:r>
            <w:rPr>
              <w:noProof/>
            </w:rPr>
            <w:t>18</w:t>
          </w:r>
          <w:r>
            <w:rPr>
              <w:noProof/>
            </w:rPr>
            <w:fldChar w:fldCharType="end"/>
          </w:r>
        </w:p>
        <w:p w:rsidR="002F5501" w:rsidRDefault="002F5501">
          <w:pPr>
            <w:pStyle w:val="TOC3"/>
            <w:tabs>
              <w:tab w:val="right" w:leader="dot" w:pos="9350"/>
            </w:tabs>
            <w:rPr>
              <w:rFonts w:eastAsiaTheme="minorEastAsia"/>
              <w:noProof/>
              <w:sz w:val="24"/>
              <w:szCs w:val="24"/>
            </w:rPr>
          </w:pPr>
          <w:r>
            <w:rPr>
              <w:noProof/>
            </w:rPr>
            <w:t>Case Deletion</w:t>
          </w:r>
          <w:r>
            <w:rPr>
              <w:noProof/>
            </w:rPr>
            <w:tab/>
          </w:r>
          <w:r>
            <w:rPr>
              <w:noProof/>
            </w:rPr>
            <w:fldChar w:fldCharType="begin"/>
          </w:r>
          <w:r>
            <w:rPr>
              <w:noProof/>
            </w:rPr>
            <w:instrText xml:space="preserve"> PAGEREF _Toc227982486 \h </w:instrText>
          </w:r>
          <w:r w:rsidR="004D01C0">
            <w:rPr>
              <w:noProof/>
            </w:rPr>
          </w:r>
          <w:r>
            <w:rPr>
              <w:noProof/>
            </w:rPr>
            <w:fldChar w:fldCharType="separate"/>
          </w:r>
          <w:r>
            <w:rPr>
              <w:noProof/>
            </w:rPr>
            <w:t>20</w:t>
          </w:r>
          <w:r>
            <w:rPr>
              <w:noProof/>
            </w:rPr>
            <w:fldChar w:fldCharType="end"/>
          </w:r>
        </w:p>
        <w:p w:rsidR="002F5501" w:rsidRDefault="002F5501">
          <w:pPr>
            <w:pStyle w:val="TOC3"/>
            <w:tabs>
              <w:tab w:val="right" w:leader="dot" w:pos="9350"/>
            </w:tabs>
            <w:rPr>
              <w:rFonts w:eastAsiaTheme="minorEastAsia"/>
              <w:noProof/>
              <w:sz w:val="24"/>
              <w:szCs w:val="24"/>
            </w:rPr>
          </w:pPr>
          <w:r>
            <w:rPr>
              <w:noProof/>
            </w:rPr>
            <w:t>Which Variables and Observations to Retain?</w:t>
          </w:r>
          <w:r>
            <w:rPr>
              <w:noProof/>
            </w:rPr>
            <w:tab/>
          </w:r>
          <w:r>
            <w:rPr>
              <w:noProof/>
            </w:rPr>
            <w:fldChar w:fldCharType="begin"/>
          </w:r>
          <w:r>
            <w:rPr>
              <w:noProof/>
            </w:rPr>
            <w:instrText xml:space="preserve"> PAGEREF _Toc227982487 \h </w:instrText>
          </w:r>
          <w:r w:rsidR="004D01C0">
            <w:rPr>
              <w:noProof/>
            </w:rPr>
          </w:r>
          <w:r>
            <w:rPr>
              <w:noProof/>
            </w:rPr>
            <w:fldChar w:fldCharType="separate"/>
          </w:r>
          <w:r>
            <w:rPr>
              <w:noProof/>
            </w:rPr>
            <w:t>21</w:t>
          </w:r>
          <w:r>
            <w:rPr>
              <w:noProof/>
            </w:rPr>
            <w:fldChar w:fldCharType="end"/>
          </w:r>
        </w:p>
        <w:p w:rsidR="002F5501" w:rsidRDefault="002F5501">
          <w:pPr>
            <w:pStyle w:val="TOC3"/>
            <w:tabs>
              <w:tab w:val="right" w:leader="dot" w:pos="9350"/>
            </w:tabs>
            <w:rPr>
              <w:rFonts w:eastAsiaTheme="minorEastAsia"/>
              <w:noProof/>
              <w:sz w:val="24"/>
              <w:szCs w:val="24"/>
            </w:rPr>
          </w:pPr>
          <w:r>
            <w:rPr>
              <w:noProof/>
            </w:rPr>
            <w:t>Regression Imputation</w:t>
          </w:r>
          <w:r>
            <w:rPr>
              <w:noProof/>
            </w:rPr>
            <w:tab/>
          </w:r>
          <w:r>
            <w:rPr>
              <w:noProof/>
            </w:rPr>
            <w:fldChar w:fldCharType="begin"/>
          </w:r>
          <w:r>
            <w:rPr>
              <w:noProof/>
            </w:rPr>
            <w:instrText xml:space="preserve"> PAGEREF _Toc227982488 \h </w:instrText>
          </w:r>
          <w:r w:rsidR="004D01C0">
            <w:rPr>
              <w:noProof/>
            </w:rPr>
          </w:r>
          <w:r>
            <w:rPr>
              <w:noProof/>
            </w:rPr>
            <w:fldChar w:fldCharType="separate"/>
          </w:r>
          <w:r>
            <w:rPr>
              <w:noProof/>
            </w:rPr>
            <w:t>26</w:t>
          </w:r>
          <w:r>
            <w:rPr>
              <w:noProof/>
            </w:rPr>
            <w:fldChar w:fldCharType="end"/>
          </w:r>
        </w:p>
        <w:p w:rsidR="002F5501" w:rsidRDefault="002F5501">
          <w:pPr>
            <w:pStyle w:val="TOC3"/>
            <w:tabs>
              <w:tab w:val="right" w:leader="dot" w:pos="9350"/>
            </w:tabs>
            <w:rPr>
              <w:rFonts w:eastAsiaTheme="minorEastAsia"/>
              <w:noProof/>
              <w:sz w:val="24"/>
              <w:szCs w:val="24"/>
            </w:rPr>
          </w:pPr>
          <w:r>
            <w:rPr>
              <w:noProof/>
            </w:rPr>
            <w:t>Estimations for this Data</w:t>
          </w:r>
          <w:r>
            <w:rPr>
              <w:noProof/>
            </w:rPr>
            <w:tab/>
          </w:r>
          <w:r>
            <w:rPr>
              <w:noProof/>
            </w:rPr>
            <w:fldChar w:fldCharType="begin"/>
          </w:r>
          <w:r>
            <w:rPr>
              <w:noProof/>
            </w:rPr>
            <w:instrText xml:space="preserve"> PAGEREF _Toc227982489 \h </w:instrText>
          </w:r>
          <w:r w:rsidR="004D01C0">
            <w:rPr>
              <w:noProof/>
            </w:rPr>
          </w:r>
          <w:r>
            <w:rPr>
              <w:noProof/>
            </w:rPr>
            <w:fldChar w:fldCharType="separate"/>
          </w:r>
          <w:r>
            <w:rPr>
              <w:noProof/>
            </w:rPr>
            <w:t>28</w:t>
          </w:r>
          <w:r>
            <w:rPr>
              <w:noProof/>
            </w:rPr>
            <w:fldChar w:fldCharType="end"/>
          </w:r>
        </w:p>
        <w:p w:rsidR="002F5501" w:rsidRDefault="002F5501">
          <w:pPr>
            <w:pStyle w:val="TOC3"/>
            <w:tabs>
              <w:tab w:val="right" w:leader="dot" w:pos="9350"/>
            </w:tabs>
            <w:rPr>
              <w:rFonts w:eastAsiaTheme="minorEastAsia"/>
              <w:noProof/>
              <w:sz w:val="24"/>
              <w:szCs w:val="24"/>
            </w:rPr>
          </w:pPr>
          <w:r>
            <w:rPr>
              <w:noProof/>
            </w:rPr>
            <w:t>Another Considered Imputation Option</w:t>
          </w:r>
          <w:r>
            <w:rPr>
              <w:noProof/>
            </w:rPr>
            <w:tab/>
          </w:r>
          <w:r>
            <w:rPr>
              <w:noProof/>
            </w:rPr>
            <w:fldChar w:fldCharType="begin"/>
          </w:r>
          <w:r>
            <w:rPr>
              <w:noProof/>
            </w:rPr>
            <w:instrText xml:space="preserve"> PAGEREF _Toc227982490 \h </w:instrText>
          </w:r>
          <w:r w:rsidR="004D01C0">
            <w:rPr>
              <w:noProof/>
            </w:rPr>
          </w:r>
          <w:r>
            <w:rPr>
              <w:noProof/>
            </w:rPr>
            <w:fldChar w:fldCharType="separate"/>
          </w:r>
          <w:r>
            <w:rPr>
              <w:noProof/>
            </w:rPr>
            <w:t>29</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Methods</w:t>
          </w:r>
          <w:r>
            <w:rPr>
              <w:noProof/>
            </w:rPr>
            <w:tab/>
          </w:r>
          <w:r>
            <w:rPr>
              <w:noProof/>
            </w:rPr>
            <w:fldChar w:fldCharType="begin"/>
          </w:r>
          <w:r>
            <w:rPr>
              <w:noProof/>
            </w:rPr>
            <w:instrText xml:space="preserve"> PAGEREF _Toc227982491 \h </w:instrText>
          </w:r>
          <w:r w:rsidR="004D01C0">
            <w:rPr>
              <w:noProof/>
            </w:rPr>
          </w:r>
          <w:r>
            <w:rPr>
              <w:noProof/>
            </w:rPr>
            <w:fldChar w:fldCharType="separate"/>
          </w:r>
          <w:r>
            <w:rPr>
              <w:noProof/>
            </w:rPr>
            <w:t>30</w:t>
          </w:r>
          <w:r>
            <w:rPr>
              <w:noProof/>
            </w:rPr>
            <w:fldChar w:fldCharType="end"/>
          </w:r>
        </w:p>
        <w:p w:rsidR="002F5501" w:rsidRDefault="002F5501">
          <w:pPr>
            <w:pStyle w:val="TOC3"/>
            <w:tabs>
              <w:tab w:val="right" w:leader="dot" w:pos="9350"/>
            </w:tabs>
            <w:rPr>
              <w:rFonts w:eastAsiaTheme="minorEastAsia"/>
              <w:noProof/>
              <w:sz w:val="24"/>
              <w:szCs w:val="24"/>
            </w:rPr>
          </w:pPr>
          <w:r>
            <w:rPr>
              <w:noProof/>
            </w:rPr>
            <w:t>Linear Discriminant Analysis</w:t>
          </w:r>
          <w:r>
            <w:rPr>
              <w:noProof/>
            </w:rPr>
            <w:tab/>
          </w:r>
          <w:r>
            <w:rPr>
              <w:noProof/>
            </w:rPr>
            <w:fldChar w:fldCharType="begin"/>
          </w:r>
          <w:r>
            <w:rPr>
              <w:noProof/>
            </w:rPr>
            <w:instrText xml:space="preserve"> PAGEREF _Toc227982492 \h </w:instrText>
          </w:r>
          <w:r w:rsidR="004D01C0">
            <w:rPr>
              <w:noProof/>
            </w:rPr>
          </w:r>
          <w:r>
            <w:rPr>
              <w:noProof/>
            </w:rPr>
            <w:fldChar w:fldCharType="separate"/>
          </w:r>
          <w:r>
            <w:rPr>
              <w:noProof/>
            </w:rPr>
            <w:t>31</w:t>
          </w:r>
          <w:r>
            <w:rPr>
              <w:noProof/>
            </w:rPr>
            <w:fldChar w:fldCharType="end"/>
          </w:r>
        </w:p>
        <w:p w:rsidR="002F5501" w:rsidRDefault="002F5501">
          <w:pPr>
            <w:pStyle w:val="TOC3"/>
            <w:tabs>
              <w:tab w:val="right" w:leader="dot" w:pos="9350"/>
            </w:tabs>
            <w:rPr>
              <w:rFonts w:eastAsiaTheme="minorEastAsia"/>
              <w:noProof/>
              <w:sz w:val="24"/>
              <w:szCs w:val="24"/>
            </w:rPr>
          </w:pPr>
          <w:r>
            <w:rPr>
              <w:noProof/>
            </w:rPr>
            <w:t>Quadratic Discriminant Analysis</w:t>
          </w:r>
          <w:r>
            <w:rPr>
              <w:noProof/>
            </w:rPr>
            <w:tab/>
          </w:r>
          <w:r>
            <w:rPr>
              <w:noProof/>
            </w:rPr>
            <w:fldChar w:fldCharType="begin"/>
          </w:r>
          <w:r>
            <w:rPr>
              <w:noProof/>
            </w:rPr>
            <w:instrText xml:space="preserve"> PAGEREF _Toc227982493 \h </w:instrText>
          </w:r>
          <w:r w:rsidR="004D01C0">
            <w:rPr>
              <w:noProof/>
            </w:rPr>
          </w:r>
          <w:r>
            <w:rPr>
              <w:noProof/>
            </w:rPr>
            <w:fldChar w:fldCharType="separate"/>
          </w:r>
          <w:r>
            <w:rPr>
              <w:noProof/>
            </w:rPr>
            <w:t>32</w:t>
          </w:r>
          <w:r>
            <w:rPr>
              <w:noProof/>
            </w:rPr>
            <w:fldChar w:fldCharType="end"/>
          </w:r>
        </w:p>
        <w:p w:rsidR="002F5501" w:rsidRDefault="002F5501">
          <w:pPr>
            <w:pStyle w:val="TOC3"/>
            <w:tabs>
              <w:tab w:val="right" w:leader="dot" w:pos="9350"/>
            </w:tabs>
            <w:rPr>
              <w:rFonts w:eastAsiaTheme="minorEastAsia"/>
              <w:noProof/>
              <w:sz w:val="24"/>
              <w:szCs w:val="24"/>
            </w:rPr>
          </w:pPr>
          <w:r>
            <w:rPr>
              <w:noProof/>
            </w:rPr>
            <w:t>K-Nearest Neighbor Analysis (KNN)</w:t>
          </w:r>
          <w:r>
            <w:rPr>
              <w:noProof/>
            </w:rPr>
            <w:tab/>
          </w:r>
          <w:r>
            <w:rPr>
              <w:noProof/>
            </w:rPr>
            <w:fldChar w:fldCharType="begin"/>
          </w:r>
          <w:r>
            <w:rPr>
              <w:noProof/>
            </w:rPr>
            <w:instrText xml:space="preserve"> PAGEREF _Toc227982494 \h </w:instrText>
          </w:r>
          <w:r w:rsidR="004D01C0">
            <w:rPr>
              <w:noProof/>
            </w:rPr>
          </w:r>
          <w:r>
            <w:rPr>
              <w:noProof/>
            </w:rPr>
            <w:fldChar w:fldCharType="separate"/>
          </w:r>
          <w:r>
            <w:rPr>
              <w:noProof/>
            </w:rPr>
            <w:t>33</w:t>
          </w:r>
          <w:r>
            <w:rPr>
              <w:noProof/>
            </w:rPr>
            <w:fldChar w:fldCharType="end"/>
          </w:r>
        </w:p>
        <w:p w:rsidR="002F5501" w:rsidRDefault="002F5501">
          <w:pPr>
            <w:pStyle w:val="TOC3"/>
            <w:tabs>
              <w:tab w:val="right" w:leader="dot" w:pos="9350"/>
            </w:tabs>
            <w:rPr>
              <w:rFonts w:eastAsiaTheme="minorEastAsia"/>
              <w:noProof/>
              <w:sz w:val="24"/>
              <w:szCs w:val="24"/>
            </w:rPr>
          </w:pPr>
          <w:r>
            <w:rPr>
              <w:noProof/>
            </w:rPr>
            <w:t>Classification Trees</w:t>
          </w:r>
          <w:r>
            <w:rPr>
              <w:noProof/>
            </w:rPr>
            <w:tab/>
          </w:r>
          <w:r>
            <w:rPr>
              <w:noProof/>
            </w:rPr>
            <w:fldChar w:fldCharType="begin"/>
          </w:r>
          <w:r>
            <w:rPr>
              <w:noProof/>
            </w:rPr>
            <w:instrText xml:space="preserve"> PAGEREF _Toc227982495 \h </w:instrText>
          </w:r>
          <w:r w:rsidR="004D01C0">
            <w:rPr>
              <w:noProof/>
            </w:rPr>
          </w:r>
          <w:r>
            <w:rPr>
              <w:noProof/>
            </w:rPr>
            <w:fldChar w:fldCharType="separate"/>
          </w:r>
          <w:r>
            <w:rPr>
              <w:noProof/>
            </w:rPr>
            <w:t>34</w:t>
          </w:r>
          <w:r>
            <w:rPr>
              <w:noProof/>
            </w:rPr>
            <w:fldChar w:fldCharType="end"/>
          </w:r>
        </w:p>
        <w:p w:rsidR="002F5501" w:rsidRDefault="002F5501">
          <w:pPr>
            <w:pStyle w:val="TOC3"/>
            <w:tabs>
              <w:tab w:val="right" w:leader="dot" w:pos="9350"/>
            </w:tabs>
            <w:rPr>
              <w:rFonts w:eastAsiaTheme="minorEastAsia"/>
              <w:noProof/>
              <w:sz w:val="24"/>
              <w:szCs w:val="24"/>
            </w:rPr>
          </w:pPr>
          <w:r>
            <w:rPr>
              <w:noProof/>
            </w:rPr>
            <w:t>Variable Selection</w:t>
          </w:r>
          <w:r>
            <w:rPr>
              <w:noProof/>
            </w:rPr>
            <w:tab/>
          </w:r>
          <w:r>
            <w:rPr>
              <w:noProof/>
            </w:rPr>
            <w:fldChar w:fldCharType="begin"/>
          </w:r>
          <w:r>
            <w:rPr>
              <w:noProof/>
            </w:rPr>
            <w:instrText xml:space="preserve"> PAGEREF _Toc227982496 \h </w:instrText>
          </w:r>
          <w:r w:rsidR="004D01C0">
            <w:rPr>
              <w:noProof/>
            </w:rPr>
          </w:r>
          <w:r>
            <w:rPr>
              <w:noProof/>
            </w:rPr>
            <w:fldChar w:fldCharType="separate"/>
          </w:r>
          <w:r>
            <w:rPr>
              <w:noProof/>
            </w:rPr>
            <w:t>38</w:t>
          </w:r>
          <w:r>
            <w:rPr>
              <w:noProof/>
            </w:rPr>
            <w:fldChar w:fldCharType="end"/>
          </w:r>
        </w:p>
        <w:p w:rsidR="002F5501" w:rsidRDefault="002F5501">
          <w:pPr>
            <w:pStyle w:val="TOC3"/>
            <w:tabs>
              <w:tab w:val="right" w:leader="dot" w:pos="9350"/>
            </w:tabs>
            <w:rPr>
              <w:rFonts w:eastAsiaTheme="minorEastAsia"/>
              <w:noProof/>
              <w:sz w:val="24"/>
              <w:szCs w:val="24"/>
            </w:rPr>
          </w:pPr>
          <w:r>
            <w:rPr>
              <w:noProof/>
            </w:rPr>
            <w:t>Evaluation and Comparison</w:t>
          </w:r>
          <w:r>
            <w:rPr>
              <w:noProof/>
            </w:rPr>
            <w:tab/>
          </w:r>
          <w:r>
            <w:rPr>
              <w:noProof/>
            </w:rPr>
            <w:fldChar w:fldCharType="begin"/>
          </w:r>
          <w:r>
            <w:rPr>
              <w:noProof/>
            </w:rPr>
            <w:instrText xml:space="preserve"> PAGEREF _Toc227982497 \h </w:instrText>
          </w:r>
          <w:r w:rsidR="004D01C0">
            <w:rPr>
              <w:noProof/>
            </w:rPr>
          </w:r>
          <w:r>
            <w:rPr>
              <w:noProof/>
            </w:rPr>
            <w:fldChar w:fldCharType="separate"/>
          </w:r>
          <w:r>
            <w:rPr>
              <w:noProof/>
            </w:rPr>
            <w:t>40</w:t>
          </w:r>
          <w:r>
            <w:rPr>
              <w:noProof/>
            </w:rPr>
            <w:fldChar w:fldCharType="end"/>
          </w:r>
        </w:p>
        <w:p w:rsidR="002F5501" w:rsidRDefault="002F5501">
          <w:pPr>
            <w:pStyle w:val="TOC1"/>
            <w:tabs>
              <w:tab w:val="right" w:leader="dot" w:pos="9350"/>
            </w:tabs>
            <w:rPr>
              <w:rFonts w:eastAsiaTheme="minorEastAsia"/>
              <w:b w:val="0"/>
              <w:noProof/>
            </w:rPr>
          </w:pPr>
          <w:r>
            <w:rPr>
              <w:noProof/>
            </w:rPr>
            <w:t>CHAPTER III RESULTS AND DISCUSSION</w:t>
          </w:r>
          <w:r>
            <w:rPr>
              <w:noProof/>
            </w:rPr>
            <w:tab/>
          </w:r>
          <w:r>
            <w:rPr>
              <w:noProof/>
            </w:rPr>
            <w:fldChar w:fldCharType="begin"/>
          </w:r>
          <w:r>
            <w:rPr>
              <w:noProof/>
            </w:rPr>
            <w:instrText xml:space="preserve"> PAGEREF _Toc227982498 \h </w:instrText>
          </w:r>
          <w:r w:rsidR="004D01C0">
            <w:rPr>
              <w:noProof/>
            </w:rPr>
          </w:r>
          <w:r>
            <w:rPr>
              <w:noProof/>
            </w:rPr>
            <w:fldChar w:fldCharType="separate"/>
          </w:r>
          <w:r>
            <w:rPr>
              <w:noProof/>
            </w:rPr>
            <w:t>43</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Results</w:t>
          </w:r>
          <w:r>
            <w:rPr>
              <w:noProof/>
            </w:rPr>
            <w:tab/>
          </w:r>
          <w:r>
            <w:rPr>
              <w:noProof/>
            </w:rPr>
            <w:fldChar w:fldCharType="begin"/>
          </w:r>
          <w:r>
            <w:rPr>
              <w:noProof/>
            </w:rPr>
            <w:instrText xml:space="preserve"> PAGEREF _Toc227982499 \h </w:instrText>
          </w:r>
          <w:r w:rsidR="004D01C0">
            <w:rPr>
              <w:noProof/>
            </w:rPr>
          </w:r>
          <w:r>
            <w:rPr>
              <w:noProof/>
            </w:rPr>
            <w:fldChar w:fldCharType="separate"/>
          </w:r>
          <w:r>
            <w:rPr>
              <w:noProof/>
            </w:rPr>
            <w:t>43</w:t>
          </w:r>
          <w:r>
            <w:rPr>
              <w:noProof/>
            </w:rPr>
            <w:fldChar w:fldCharType="end"/>
          </w:r>
        </w:p>
        <w:p w:rsidR="002F5501" w:rsidRDefault="002F5501">
          <w:pPr>
            <w:pStyle w:val="TOC3"/>
            <w:tabs>
              <w:tab w:val="right" w:leader="dot" w:pos="9350"/>
            </w:tabs>
            <w:rPr>
              <w:rFonts w:eastAsiaTheme="minorEastAsia"/>
              <w:noProof/>
              <w:sz w:val="24"/>
              <w:szCs w:val="24"/>
            </w:rPr>
          </w:pPr>
          <w:r>
            <w:rPr>
              <w:noProof/>
            </w:rPr>
            <w:t>Linear Discriminant Analysis</w:t>
          </w:r>
          <w:r>
            <w:rPr>
              <w:noProof/>
            </w:rPr>
            <w:tab/>
          </w:r>
          <w:r>
            <w:rPr>
              <w:noProof/>
            </w:rPr>
            <w:fldChar w:fldCharType="begin"/>
          </w:r>
          <w:r>
            <w:rPr>
              <w:noProof/>
            </w:rPr>
            <w:instrText xml:space="preserve"> PAGEREF _Toc227982500 \h </w:instrText>
          </w:r>
          <w:r w:rsidR="004D01C0">
            <w:rPr>
              <w:noProof/>
            </w:rPr>
          </w:r>
          <w:r>
            <w:rPr>
              <w:noProof/>
            </w:rPr>
            <w:fldChar w:fldCharType="separate"/>
          </w:r>
          <w:r>
            <w:rPr>
              <w:noProof/>
            </w:rPr>
            <w:t>43</w:t>
          </w:r>
          <w:r>
            <w:rPr>
              <w:noProof/>
            </w:rPr>
            <w:fldChar w:fldCharType="end"/>
          </w:r>
        </w:p>
        <w:p w:rsidR="002F5501" w:rsidRDefault="002F5501">
          <w:pPr>
            <w:pStyle w:val="TOC3"/>
            <w:tabs>
              <w:tab w:val="right" w:leader="dot" w:pos="9350"/>
            </w:tabs>
            <w:rPr>
              <w:rFonts w:eastAsiaTheme="minorEastAsia"/>
              <w:noProof/>
              <w:sz w:val="24"/>
              <w:szCs w:val="24"/>
            </w:rPr>
          </w:pPr>
          <w:r>
            <w:rPr>
              <w:noProof/>
            </w:rPr>
            <w:t>Quadratic Discriminant Analysis</w:t>
          </w:r>
          <w:r>
            <w:rPr>
              <w:noProof/>
            </w:rPr>
            <w:tab/>
          </w:r>
          <w:r>
            <w:rPr>
              <w:noProof/>
            </w:rPr>
            <w:fldChar w:fldCharType="begin"/>
          </w:r>
          <w:r>
            <w:rPr>
              <w:noProof/>
            </w:rPr>
            <w:instrText xml:space="preserve"> PAGEREF _Toc227982501 \h </w:instrText>
          </w:r>
          <w:r w:rsidR="004D01C0">
            <w:rPr>
              <w:noProof/>
            </w:rPr>
          </w:r>
          <w:r>
            <w:rPr>
              <w:noProof/>
            </w:rPr>
            <w:fldChar w:fldCharType="separate"/>
          </w:r>
          <w:r>
            <w:rPr>
              <w:noProof/>
            </w:rPr>
            <w:t>46</w:t>
          </w:r>
          <w:r>
            <w:rPr>
              <w:noProof/>
            </w:rPr>
            <w:fldChar w:fldCharType="end"/>
          </w:r>
        </w:p>
        <w:p w:rsidR="002F5501" w:rsidRDefault="002F5501">
          <w:pPr>
            <w:pStyle w:val="TOC3"/>
            <w:tabs>
              <w:tab w:val="right" w:leader="dot" w:pos="9350"/>
            </w:tabs>
            <w:rPr>
              <w:rFonts w:eastAsiaTheme="minorEastAsia"/>
              <w:noProof/>
              <w:sz w:val="24"/>
              <w:szCs w:val="24"/>
            </w:rPr>
          </w:pPr>
          <w:r>
            <w:rPr>
              <w:noProof/>
            </w:rPr>
            <w:t>K-Nearest Neighbor Analysis</w:t>
          </w:r>
          <w:r>
            <w:rPr>
              <w:noProof/>
            </w:rPr>
            <w:tab/>
          </w:r>
          <w:r>
            <w:rPr>
              <w:noProof/>
            </w:rPr>
            <w:fldChar w:fldCharType="begin"/>
          </w:r>
          <w:r>
            <w:rPr>
              <w:noProof/>
            </w:rPr>
            <w:instrText xml:space="preserve"> PAGEREF _Toc227982502 \h </w:instrText>
          </w:r>
          <w:r w:rsidR="004D01C0">
            <w:rPr>
              <w:noProof/>
            </w:rPr>
          </w:r>
          <w:r>
            <w:rPr>
              <w:noProof/>
            </w:rPr>
            <w:fldChar w:fldCharType="separate"/>
          </w:r>
          <w:r>
            <w:rPr>
              <w:noProof/>
            </w:rPr>
            <w:t>48</w:t>
          </w:r>
          <w:r>
            <w:rPr>
              <w:noProof/>
            </w:rPr>
            <w:fldChar w:fldCharType="end"/>
          </w:r>
        </w:p>
        <w:p w:rsidR="002F5501" w:rsidRDefault="002F5501">
          <w:pPr>
            <w:pStyle w:val="TOC3"/>
            <w:tabs>
              <w:tab w:val="right" w:leader="dot" w:pos="9350"/>
            </w:tabs>
            <w:rPr>
              <w:rFonts w:eastAsiaTheme="minorEastAsia"/>
              <w:noProof/>
              <w:sz w:val="24"/>
              <w:szCs w:val="24"/>
            </w:rPr>
          </w:pPr>
          <w:r>
            <w:rPr>
              <w:noProof/>
            </w:rPr>
            <w:t>Classification Trees</w:t>
          </w:r>
          <w:r>
            <w:rPr>
              <w:noProof/>
            </w:rPr>
            <w:tab/>
          </w:r>
          <w:r>
            <w:rPr>
              <w:noProof/>
            </w:rPr>
            <w:fldChar w:fldCharType="begin"/>
          </w:r>
          <w:r>
            <w:rPr>
              <w:noProof/>
            </w:rPr>
            <w:instrText xml:space="preserve"> PAGEREF _Toc227982503 \h </w:instrText>
          </w:r>
          <w:r w:rsidR="004D01C0">
            <w:rPr>
              <w:noProof/>
            </w:rPr>
          </w:r>
          <w:r>
            <w:rPr>
              <w:noProof/>
            </w:rPr>
            <w:fldChar w:fldCharType="separate"/>
          </w:r>
          <w:r>
            <w:rPr>
              <w:noProof/>
            </w:rPr>
            <w:t>51</w:t>
          </w:r>
          <w:r>
            <w:rPr>
              <w:noProof/>
            </w:rPr>
            <w:fldChar w:fldCharType="end"/>
          </w:r>
        </w:p>
        <w:p w:rsidR="002F5501" w:rsidRDefault="002F5501">
          <w:pPr>
            <w:pStyle w:val="TOC2"/>
            <w:tabs>
              <w:tab w:val="right" w:leader="dot" w:pos="9350"/>
            </w:tabs>
            <w:rPr>
              <w:rFonts w:eastAsiaTheme="minorEastAsia"/>
              <w:b w:val="0"/>
              <w:noProof/>
              <w:sz w:val="24"/>
              <w:szCs w:val="24"/>
            </w:rPr>
          </w:pPr>
          <w:r>
            <w:rPr>
              <w:noProof/>
            </w:rPr>
            <w:t>Discussion</w:t>
          </w:r>
          <w:r>
            <w:rPr>
              <w:noProof/>
            </w:rPr>
            <w:tab/>
          </w:r>
          <w:r>
            <w:rPr>
              <w:noProof/>
            </w:rPr>
            <w:fldChar w:fldCharType="begin"/>
          </w:r>
          <w:r>
            <w:rPr>
              <w:noProof/>
            </w:rPr>
            <w:instrText xml:space="preserve"> PAGEREF _Toc227982504 \h </w:instrText>
          </w:r>
          <w:r w:rsidR="004D01C0">
            <w:rPr>
              <w:noProof/>
            </w:rPr>
          </w:r>
          <w:r>
            <w:rPr>
              <w:noProof/>
            </w:rPr>
            <w:fldChar w:fldCharType="separate"/>
          </w:r>
          <w:r>
            <w:rPr>
              <w:noProof/>
            </w:rPr>
            <w:t>54</w:t>
          </w:r>
          <w:r>
            <w:rPr>
              <w:noProof/>
            </w:rPr>
            <w:fldChar w:fldCharType="end"/>
          </w:r>
        </w:p>
        <w:p w:rsidR="002F5501" w:rsidRDefault="002F5501">
          <w:pPr>
            <w:pStyle w:val="TOC1"/>
            <w:tabs>
              <w:tab w:val="right" w:leader="dot" w:pos="9350"/>
            </w:tabs>
            <w:rPr>
              <w:rFonts w:eastAsiaTheme="minorEastAsia"/>
              <w:b w:val="0"/>
              <w:noProof/>
            </w:rPr>
          </w:pPr>
          <w:r>
            <w:rPr>
              <w:noProof/>
            </w:rPr>
            <w:t>CONCLUSION AND RECOMMENDATIONS</w:t>
          </w:r>
          <w:r>
            <w:rPr>
              <w:noProof/>
            </w:rPr>
            <w:tab/>
          </w:r>
          <w:r>
            <w:rPr>
              <w:noProof/>
            </w:rPr>
            <w:fldChar w:fldCharType="begin"/>
          </w:r>
          <w:r>
            <w:rPr>
              <w:noProof/>
            </w:rPr>
            <w:instrText xml:space="preserve"> PAGEREF _Toc227982505 \h </w:instrText>
          </w:r>
          <w:r w:rsidR="004D01C0">
            <w:rPr>
              <w:noProof/>
            </w:rPr>
          </w:r>
          <w:r>
            <w:rPr>
              <w:noProof/>
            </w:rPr>
            <w:fldChar w:fldCharType="separate"/>
          </w:r>
          <w:r>
            <w:rPr>
              <w:noProof/>
            </w:rPr>
            <w:t>65</w:t>
          </w:r>
          <w:r>
            <w:rPr>
              <w:noProof/>
            </w:rPr>
            <w:fldChar w:fldCharType="end"/>
          </w:r>
        </w:p>
        <w:p w:rsidR="002F5501" w:rsidRDefault="002F5501">
          <w:pPr>
            <w:pStyle w:val="TOC1"/>
            <w:tabs>
              <w:tab w:val="right" w:leader="dot" w:pos="9350"/>
            </w:tabs>
            <w:rPr>
              <w:rFonts w:eastAsiaTheme="minorEastAsia"/>
              <w:b w:val="0"/>
              <w:noProof/>
            </w:rPr>
          </w:pPr>
          <w:r>
            <w:rPr>
              <w:noProof/>
            </w:rPr>
            <w:t>LIST OF REFERENCES</w:t>
          </w:r>
          <w:r>
            <w:rPr>
              <w:noProof/>
            </w:rPr>
            <w:tab/>
          </w:r>
          <w:r>
            <w:rPr>
              <w:noProof/>
            </w:rPr>
            <w:fldChar w:fldCharType="begin"/>
          </w:r>
          <w:r>
            <w:rPr>
              <w:noProof/>
            </w:rPr>
            <w:instrText xml:space="preserve"> PAGEREF _Toc227982506 \h </w:instrText>
          </w:r>
          <w:r w:rsidR="004D01C0">
            <w:rPr>
              <w:noProof/>
            </w:rPr>
          </w:r>
          <w:r>
            <w:rPr>
              <w:noProof/>
            </w:rPr>
            <w:fldChar w:fldCharType="separate"/>
          </w:r>
          <w:r>
            <w:rPr>
              <w:noProof/>
            </w:rPr>
            <w:t>71</w:t>
          </w:r>
          <w:r>
            <w:rPr>
              <w:noProof/>
            </w:rPr>
            <w:fldChar w:fldCharType="end"/>
          </w:r>
        </w:p>
        <w:p w:rsidR="002F5501" w:rsidRDefault="002F5501">
          <w:pPr>
            <w:pStyle w:val="TOC1"/>
            <w:tabs>
              <w:tab w:val="right" w:leader="dot" w:pos="9350"/>
            </w:tabs>
            <w:rPr>
              <w:rFonts w:eastAsiaTheme="minorEastAsia"/>
              <w:b w:val="0"/>
              <w:noProof/>
            </w:rPr>
          </w:pPr>
          <w:r>
            <w:rPr>
              <w:noProof/>
            </w:rPr>
            <w:t>APPENDIX</w:t>
          </w:r>
          <w:r>
            <w:rPr>
              <w:noProof/>
            </w:rPr>
            <w:tab/>
          </w:r>
          <w:r>
            <w:rPr>
              <w:noProof/>
            </w:rPr>
            <w:fldChar w:fldCharType="begin"/>
          </w:r>
          <w:r>
            <w:rPr>
              <w:noProof/>
            </w:rPr>
            <w:instrText xml:space="preserve"> PAGEREF _Toc227982507 \h </w:instrText>
          </w:r>
          <w:r w:rsidR="004D01C0">
            <w:rPr>
              <w:noProof/>
            </w:rPr>
          </w:r>
          <w:r>
            <w:rPr>
              <w:noProof/>
            </w:rPr>
            <w:fldChar w:fldCharType="separate"/>
          </w:r>
          <w:r>
            <w:rPr>
              <w:noProof/>
            </w:rPr>
            <w:t>76</w:t>
          </w:r>
          <w:r>
            <w:rPr>
              <w:noProof/>
            </w:rPr>
            <w:fldChar w:fldCharType="end"/>
          </w:r>
        </w:p>
        <w:p w:rsidR="002F5501" w:rsidRDefault="002F5501">
          <w:pPr>
            <w:pStyle w:val="TOC1"/>
            <w:tabs>
              <w:tab w:val="right" w:leader="dot" w:pos="9350"/>
            </w:tabs>
            <w:rPr>
              <w:rFonts w:eastAsiaTheme="minorEastAsia"/>
              <w:b w:val="0"/>
              <w:noProof/>
            </w:rPr>
          </w:pPr>
          <w:r>
            <w:rPr>
              <w:noProof/>
            </w:rPr>
            <w:t>VITA</w:t>
          </w:r>
          <w:r>
            <w:rPr>
              <w:noProof/>
            </w:rPr>
            <w:tab/>
          </w:r>
          <w:r>
            <w:rPr>
              <w:noProof/>
            </w:rPr>
            <w:fldChar w:fldCharType="begin"/>
          </w:r>
          <w:r>
            <w:rPr>
              <w:noProof/>
            </w:rPr>
            <w:instrText xml:space="preserve"> PAGEREF _Toc227982508 \h </w:instrText>
          </w:r>
          <w:r w:rsidR="004D01C0">
            <w:rPr>
              <w:noProof/>
            </w:rPr>
          </w:r>
          <w:r>
            <w:rPr>
              <w:noProof/>
            </w:rPr>
            <w:fldChar w:fldCharType="separate"/>
          </w:r>
          <w:r>
            <w:rPr>
              <w:noProof/>
            </w:rPr>
            <w:t>128</w:t>
          </w:r>
          <w:r>
            <w:rPr>
              <w:noProof/>
            </w:rPr>
            <w:fldChar w:fldCharType="end"/>
          </w:r>
        </w:p>
        <w:p w:rsidR="00450005" w:rsidRDefault="003731B6">
          <w:r w:rsidRPr="008A1844">
            <w:fldChar w:fldCharType="end"/>
          </w:r>
        </w:p>
      </w:sdtContent>
    </w:sdt>
    <w:p w:rsidR="00450005" w:rsidRDefault="00450005" w:rsidP="002E689D">
      <w:pPr>
        <w:rPr>
          <w:b/>
        </w:rPr>
      </w:pPr>
    </w:p>
    <w:p w:rsidR="00450005" w:rsidRDefault="00450005" w:rsidP="002E689D">
      <w:pPr>
        <w:rPr>
          <w:b/>
        </w:rPr>
      </w:pPr>
    </w:p>
    <w:p w:rsidR="00450005" w:rsidRDefault="00450005" w:rsidP="002E689D">
      <w:pPr>
        <w:rPr>
          <w:b/>
        </w:rPr>
      </w:pPr>
    </w:p>
    <w:p w:rsidR="00450005" w:rsidRDefault="00450005" w:rsidP="002E689D">
      <w:pPr>
        <w:rPr>
          <w:b/>
        </w:rPr>
      </w:pPr>
    </w:p>
    <w:p w:rsidR="00450005" w:rsidRDefault="00450005" w:rsidP="002E689D">
      <w:pPr>
        <w:rPr>
          <w:b/>
        </w:rPr>
      </w:pPr>
    </w:p>
    <w:p w:rsidR="00450005" w:rsidRDefault="00450005" w:rsidP="002E689D">
      <w:pPr>
        <w:rPr>
          <w:b/>
        </w:rPr>
      </w:pPr>
    </w:p>
    <w:p w:rsidR="00450005" w:rsidRDefault="00450005" w:rsidP="002E689D">
      <w:pPr>
        <w:rPr>
          <w:b/>
        </w:rPr>
      </w:pPr>
    </w:p>
    <w:p w:rsidR="00450005" w:rsidRDefault="00450005" w:rsidP="002E689D">
      <w:pPr>
        <w:rPr>
          <w:b/>
        </w:rPr>
      </w:pPr>
    </w:p>
    <w:p w:rsidR="00450005" w:rsidRDefault="00450005" w:rsidP="002E689D">
      <w:pPr>
        <w:rPr>
          <w:b/>
        </w:rPr>
      </w:pPr>
    </w:p>
    <w:p w:rsidR="000F6960" w:rsidRDefault="000F6960" w:rsidP="002E689D">
      <w:pPr>
        <w:rPr>
          <w:b/>
        </w:rPr>
      </w:pPr>
    </w:p>
    <w:p w:rsidR="00C50C54" w:rsidRPr="00C50C54" w:rsidRDefault="00C50C54" w:rsidP="00C50C54">
      <w:pPr>
        <w:jc w:val="center"/>
        <w:rPr>
          <w:b/>
          <w:sz w:val="28"/>
        </w:rPr>
      </w:pPr>
      <w:r w:rsidRPr="00C50C54">
        <w:rPr>
          <w:b/>
          <w:sz w:val="28"/>
        </w:rPr>
        <w:t>LIST OF TABLES</w:t>
      </w:r>
    </w:p>
    <w:p w:rsidR="002F5501" w:rsidRDefault="003731B6">
      <w:pPr>
        <w:pStyle w:val="TableofFigures"/>
        <w:tabs>
          <w:tab w:val="right" w:leader="dot" w:pos="9350"/>
        </w:tabs>
        <w:rPr>
          <w:rFonts w:asciiTheme="minorHAnsi" w:eastAsiaTheme="minorEastAsia" w:hAnsiTheme="minorHAnsi"/>
          <w:noProof/>
          <w:szCs w:val="24"/>
        </w:rPr>
      </w:pPr>
      <w:r w:rsidRPr="00D70F29">
        <w:fldChar w:fldCharType="begin"/>
      </w:r>
      <w:r w:rsidR="00C50C54" w:rsidRPr="00D70F29">
        <w:instrText xml:space="preserve"> TOC \c "Table" </w:instrText>
      </w:r>
      <w:r w:rsidRPr="00D70F29">
        <w:fldChar w:fldCharType="separate"/>
      </w:r>
      <w:r w:rsidR="002F5501">
        <w:rPr>
          <w:noProof/>
        </w:rPr>
        <w:t>Table 1.  Sex, ID Status, and Race samples and missing values.</w:t>
      </w:r>
      <w:r w:rsidR="002F5501">
        <w:rPr>
          <w:noProof/>
        </w:rPr>
        <w:tab/>
      </w:r>
      <w:r w:rsidR="002F5501">
        <w:rPr>
          <w:noProof/>
        </w:rPr>
        <w:fldChar w:fldCharType="begin"/>
      </w:r>
      <w:r w:rsidR="002F5501">
        <w:rPr>
          <w:noProof/>
        </w:rPr>
        <w:instrText xml:space="preserve"> PAGEREF _Toc227982509 \h </w:instrText>
      </w:r>
      <w:r w:rsidR="004D01C0">
        <w:rPr>
          <w:noProof/>
        </w:rPr>
      </w:r>
      <w:r w:rsidR="002F5501">
        <w:rPr>
          <w:noProof/>
        </w:rPr>
        <w:fldChar w:fldCharType="separate"/>
      </w:r>
      <w:r w:rsidR="002F5501">
        <w:rPr>
          <w:noProof/>
        </w:rPr>
        <w:t>16</w:t>
      </w:r>
      <w:r w:rsidR="002F5501">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  Group samples.</w:t>
      </w:r>
      <w:r>
        <w:rPr>
          <w:noProof/>
        </w:rPr>
        <w:tab/>
      </w:r>
      <w:r>
        <w:rPr>
          <w:noProof/>
        </w:rPr>
        <w:fldChar w:fldCharType="begin"/>
      </w:r>
      <w:r>
        <w:rPr>
          <w:noProof/>
        </w:rPr>
        <w:instrText xml:space="preserve"> PAGEREF _Toc227982510 \h </w:instrText>
      </w:r>
      <w:r w:rsidR="004D01C0">
        <w:rPr>
          <w:noProof/>
        </w:rPr>
      </w:r>
      <w:r>
        <w:rPr>
          <w:noProof/>
        </w:rPr>
        <w:fldChar w:fldCharType="separate"/>
      </w:r>
      <w:r>
        <w:rPr>
          <w:noProof/>
        </w:rPr>
        <w:t>16</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  ID Statuses by group.</w:t>
      </w:r>
      <w:r>
        <w:rPr>
          <w:noProof/>
        </w:rPr>
        <w:tab/>
      </w:r>
      <w:r>
        <w:rPr>
          <w:noProof/>
        </w:rPr>
        <w:fldChar w:fldCharType="begin"/>
      </w:r>
      <w:r>
        <w:rPr>
          <w:noProof/>
        </w:rPr>
        <w:instrText xml:space="preserve"> PAGEREF _Toc227982511 \h </w:instrText>
      </w:r>
      <w:r w:rsidR="004D01C0">
        <w:rPr>
          <w:noProof/>
        </w:rPr>
      </w:r>
      <w:r>
        <w:rPr>
          <w:noProof/>
        </w:rPr>
        <w:fldChar w:fldCharType="separate"/>
      </w:r>
      <w:r>
        <w:rPr>
          <w:noProof/>
        </w:rPr>
        <w:t>17</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4.  Group samples using only positive IDs.</w:t>
      </w:r>
      <w:r>
        <w:rPr>
          <w:noProof/>
        </w:rPr>
        <w:tab/>
      </w:r>
      <w:r>
        <w:rPr>
          <w:noProof/>
        </w:rPr>
        <w:fldChar w:fldCharType="begin"/>
      </w:r>
      <w:r>
        <w:rPr>
          <w:noProof/>
        </w:rPr>
        <w:instrText xml:space="preserve"> PAGEREF _Toc227982512 \h </w:instrText>
      </w:r>
      <w:r w:rsidR="004D01C0">
        <w:rPr>
          <w:noProof/>
        </w:rPr>
      </w:r>
      <w:r>
        <w:rPr>
          <w:noProof/>
        </w:rPr>
        <w:fldChar w:fldCharType="separate"/>
      </w:r>
      <w:r>
        <w:rPr>
          <w:noProof/>
        </w:rPr>
        <w:t>17</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5.  Missing values by variable.</w:t>
      </w:r>
      <w:r>
        <w:rPr>
          <w:noProof/>
        </w:rPr>
        <w:tab/>
      </w:r>
      <w:r>
        <w:rPr>
          <w:noProof/>
        </w:rPr>
        <w:fldChar w:fldCharType="begin"/>
      </w:r>
      <w:r>
        <w:rPr>
          <w:noProof/>
        </w:rPr>
        <w:instrText xml:space="preserve"> PAGEREF _Toc227982513 \h </w:instrText>
      </w:r>
      <w:r w:rsidR="004D01C0">
        <w:rPr>
          <w:noProof/>
        </w:rPr>
      </w:r>
      <w:r>
        <w:rPr>
          <w:noProof/>
        </w:rPr>
        <w:fldChar w:fldCharType="separate"/>
      </w:r>
      <w:r>
        <w:rPr>
          <w:noProof/>
        </w:rPr>
        <w:t>19</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6.  Missingness for the key subset.</w:t>
      </w:r>
      <w:r>
        <w:rPr>
          <w:noProof/>
        </w:rPr>
        <w:tab/>
      </w:r>
      <w:r>
        <w:rPr>
          <w:noProof/>
        </w:rPr>
        <w:fldChar w:fldCharType="begin"/>
      </w:r>
      <w:r>
        <w:rPr>
          <w:noProof/>
        </w:rPr>
        <w:instrText xml:space="preserve"> PAGEREF _Toc227982514 \h </w:instrText>
      </w:r>
      <w:r w:rsidR="004D01C0">
        <w:rPr>
          <w:noProof/>
        </w:rPr>
      </w:r>
      <w:r>
        <w:rPr>
          <w:noProof/>
        </w:rPr>
        <w:fldChar w:fldCharType="separate"/>
      </w:r>
      <w:r>
        <w:rPr>
          <w:noProof/>
        </w:rPr>
        <w:t>23</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7 - McNemar results.</w:t>
      </w:r>
      <w:r>
        <w:rPr>
          <w:noProof/>
        </w:rPr>
        <w:tab/>
      </w:r>
      <w:r>
        <w:rPr>
          <w:noProof/>
        </w:rPr>
        <w:fldChar w:fldCharType="begin"/>
      </w:r>
      <w:r>
        <w:rPr>
          <w:noProof/>
        </w:rPr>
        <w:instrText xml:space="preserve"> PAGEREF _Toc227982515 \h </w:instrText>
      </w:r>
      <w:r w:rsidR="004D01C0">
        <w:rPr>
          <w:noProof/>
        </w:rPr>
      </w:r>
      <w:r>
        <w:rPr>
          <w:noProof/>
        </w:rPr>
        <w:fldChar w:fldCharType="separate"/>
      </w:r>
      <w:r>
        <w:rPr>
          <w:noProof/>
        </w:rPr>
        <w:t>25</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8.  Final Sample.</w:t>
      </w:r>
      <w:r>
        <w:rPr>
          <w:noProof/>
        </w:rPr>
        <w:tab/>
      </w:r>
      <w:r>
        <w:rPr>
          <w:noProof/>
        </w:rPr>
        <w:fldChar w:fldCharType="begin"/>
      </w:r>
      <w:r>
        <w:rPr>
          <w:noProof/>
        </w:rPr>
        <w:instrText xml:space="preserve"> PAGEREF _Toc227982516 \h </w:instrText>
      </w:r>
      <w:r w:rsidR="004D01C0">
        <w:rPr>
          <w:noProof/>
        </w:rPr>
      </w:r>
      <w:r>
        <w:rPr>
          <w:noProof/>
        </w:rPr>
        <w:fldChar w:fldCharType="separate"/>
      </w:r>
      <w:r>
        <w:rPr>
          <w:noProof/>
        </w:rPr>
        <w:t>26</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9. Training sample size</w:t>
      </w:r>
      <w:r>
        <w:rPr>
          <w:noProof/>
        </w:rPr>
        <w:tab/>
      </w:r>
      <w:r>
        <w:rPr>
          <w:noProof/>
        </w:rPr>
        <w:fldChar w:fldCharType="begin"/>
      </w:r>
      <w:r>
        <w:rPr>
          <w:noProof/>
        </w:rPr>
        <w:instrText xml:space="preserve"> PAGEREF _Toc227982517 \h </w:instrText>
      </w:r>
      <w:r w:rsidR="004D01C0">
        <w:rPr>
          <w:noProof/>
        </w:rPr>
      </w:r>
      <w:r>
        <w:rPr>
          <w:noProof/>
        </w:rPr>
        <w:fldChar w:fldCharType="separate"/>
      </w:r>
      <w:r>
        <w:rPr>
          <w:noProof/>
        </w:rPr>
        <w:t>42</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10. Holdout sample sizes</w:t>
      </w:r>
      <w:r>
        <w:rPr>
          <w:noProof/>
        </w:rPr>
        <w:tab/>
      </w:r>
      <w:r>
        <w:rPr>
          <w:noProof/>
        </w:rPr>
        <w:fldChar w:fldCharType="begin"/>
      </w:r>
      <w:r>
        <w:rPr>
          <w:noProof/>
        </w:rPr>
        <w:instrText xml:space="preserve"> PAGEREF _Toc227982518 \h </w:instrText>
      </w:r>
      <w:r w:rsidR="004D01C0">
        <w:rPr>
          <w:noProof/>
        </w:rPr>
      </w:r>
      <w:r>
        <w:rPr>
          <w:noProof/>
        </w:rPr>
        <w:fldChar w:fldCharType="separate"/>
      </w:r>
      <w:r>
        <w:rPr>
          <w:noProof/>
        </w:rPr>
        <w:t>42</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11.  LDA classification rates in %</w:t>
      </w:r>
      <w:r>
        <w:rPr>
          <w:noProof/>
        </w:rPr>
        <w:tab/>
      </w:r>
      <w:r>
        <w:rPr>
          <w:noProof/>
        </w:rPr>
        <w:fldChar w:fldCharType="begin"/>
      </w:r>
      <w:r>
        <w:rPr>
          <w:noProof/>
        </w:rPr>
        <w:instrText xml:space="preserve"> PAGEREF _Toc227982519 \h </w:instrText>
      </w:r>
      <w:r w:rsidR="004D01C0">
        <w:rPr>
          <w:noProof/>
        </w:rPr>
      </w:r>
      <w:r>
        <w:rPr>
          <w:noProof/>
        </w:rPr>
        <w:fldChar w:fldCharType="separate"/>
      </w:r>
      <w:r>
        <w:rPr>
          <w:noProof/>
        </w:rPr>
        <w:t>45</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12.  QDA forward selection results</w:t>
      </w:r>
      <w:r>
        <w:rPr>
          <w:noProof/>
        </w:rPr>
        <w:tab/>
      </w:r>
      <w:r>
        <w:rPr>
          <w:noProof/>
        </w:rPr>
        <w:fldChar w:fldCharType="begin"/>
      </w:r>
      <w:r>
        <w:rPr>
          <w:noProof/>
        </w:rPr>
        <w:instrText xml:space="preserve"> PAGEREF _Toc227982520 \h </w:instrText>
      </w:r>
      <w:r w:rsidR="004D01C0">
        <w:rPr>
          <w:noProof/>
        </w:rPr>
      </w:r>
      <w:r>
        <w:rPr>
          <w:noProof/>
        </w:rPr>
        <w:fldChar w:fldCharType="separate"/>
      </w:r>
      <w:r>
        <w:rPr>
          <w:noProof/>
        </w:rPr>
        <w:t>47</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13.  QDA classification rates in %</w:t>
      </w:r>
      <w:r>
        <w:rPr>
          <w:noProof/>
        </w:rPr>
        <w:tab/>
      </w:r>
      <w:r>
        <w:rPr>
          <w:noProof/>
        </w:rPr>
        <w:fldChar w:fldCharType="begin"/>
      </w:r>
      <w:r>
        <w:rPr>
          <w:noProof/>
        </w:rPr>
        <w:instrText xml:space="preserve"> PAGEREF _Toc227982521 \h </w:instrText>
      </w:r>
      <w:r w:rsidR="004D01C0">
        <w:rPr>
          <w:noProof/>
        </w:rPr>
      </w:r>
      <w:r>
        <w:rPr>
          <w:noProof/>
        </w:rPr>
        <w:fldChar w:fldCharType="separate"/>
      </w:r>
      <w:r>
        <w:rPr>
          <w:noProof/>
        </w:rPr>
        <w:t>48</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14.  KNN (</w:t>
      </w:r>
      <w:r w:rsidRPr="007C5F2A">
        <w:rPr>
          <w:i/>
          <w:noProof/>
        </w:rPr>
        <w:t>k</w:t>
      </w:r>
      <w:r>
        <w:rPr>
          <w:noProof/>
        </w:rPr>
        <w:t>=3) forward selection results</w:t>
      </w:r>
      <w:r>
        <w:rPr>
          <w:noProof/>
        </w:rPr>
        <w:tab/>
      </w:r>
      <w:r>
        <w:rPr>
          <w:noProof/>
        </w:rPr>
        <w:fldChar w:fldCharType="begin"/>
      </w:r>
      <w:r>
        <w:rPr>
          <w:noProof/>
        </w:rPr>
        <w:instrText xml:space="preserve"> PAGEREF _Toc227982522 \h </w:instrText>
      </w:r>
      <w:r w:rsidR="004D01C0">
        <w:rPr>
          <w:noProof/>
        </w:rPr>
      </w:r>
      <w:r>
        <w:rPr>
          <w:noProof/>
        </w:rPr>
        <w:fldChar w:fldCharType="separate"/>
      </w:r>
      <w:r>
        <w:rPr>
          <w:noProof/>
        </w:rPr>
        <w:t>49</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15. KNN (</w:t>
      </w:r>
      <w:r w:rsidRPr="007C5F2A">
        <w:rPr>
          <w:i/>
          <w:noProof/>
        </w:rPr>
        <w:t>k</w:t>
      </w:r>
      <w:r>
        <w:rPr>
          <w:noProof/>
        </w:rPr>
        <w:t>=3) classification rates in %</w:t>
      </w:r>
      <w:r>
        <w:rPr>
          <w:noProof/>
        </w:rPr>
        <w:tab/>
      </w:r>
      <w:r>
        <w:rPr>
          <w:noProof/>
        </w:rPr>
        <w:fldChar w:fldCharType="begin"/>
      </w:r>
      <w:r>
        <w:rPr>
          <w:noProof/>
        </w:rPr>
        <w:instrText xml:space="preserve"> PAGEREF _Toc227982523 \h </w:instrText>
      </w:r>
      <w:r w:rsidR="004D01C0">
        <w:rPr>
          <w:noProof/>
        </w:rPr>
      </w:r>
      <w:r>
        <w:rPr>
          <w:noProof/>
        </w:rPr>
        <w:fldChar w:fldCharType="separate"/>
      </w:r>
      <w:r>
        <w:rPr>
          <w:noProof/>
        </w:rPr>
        <w:t>50</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16. KNN (</w:t>
      </w:r>
      <w:r w:rsidRPr="007C5F2A">
        <w:rPr>
          <w:i/>
          <w:noProof/>
        </w:rPr>
        <w:t>k</w:t>
      </w:r>
      <w:r>
        <w:rPr>
          <w:noProof/>
        </w:rPr>
        <w:t>=1) results in %</w:t>
      </w:r>
      <w:r>
        <w:rPr>
          <w:noProof/>
        </w:rPr>
        <w:tab/>
      </w:r>
      <w:r>
        <w:rPr>
          <w:noProof/>
        </w:rPr>
        <w:fldChar w:fldCharType="begin"/>
      </w:r>
      <w:r>
        <w:rPr>
          <w:noProof/>
        </w:rPr>
        <w:instrText xml:space="preserve"> PAGEREF _Toc227982524 \h </w:instrText>
      </w:r>
      <w:r w:rsidR="004D01C0">
        <w:rPr>
          <w:noProof/>
        </w:rPr>
      </w:r>
      <w:r>
        <w:rPr>
          <w:noProof/>
        </w:rPr>
        <w:fldChar w:fldCharType="separate"/>
      </w:r>
      <w:r>
        <w:rPr>
          <w:noProof/>
        </w:rPr>
        <w:t>51</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17. Classification tree results</w:t>
      </w:r>
      <w:r>
        <w:rPr>
          <w:noProof/>
        </w:rPr>
        <w:tab/>
      </w:r>
      <w:r>
        <w:rPr>
          <w:noProof/>
        </w:rPr>
        <w:fldChar w:fldCharType="begin"/>
      </w:r>
      <w:r>
        <w:rPr>
          <w:noProof/>
        </w:rPr>
        <w:instrText xml:space="preserve"> PAGEREF _Toc227982525 \h </w:instrText>
      </w:r>
      <w:r w:rsidR="004D01C0">
        <w:rPr>
          <w:noProof/>
        </w:rPr>
      </w:r>
      <w:r>
        <w:rPr>
          <w:noProof/>
        </w:rPr>
        <w:fldChar w:fldCharType="separate"/>
      </w:r>
      <w:r>
        <w:rPr>
          <w:noProof/>
        </w:rPr>
        <w:t>53</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18. Variables selected by the discriminant methods</w:t>
      </w:r>
      <w:r>
        <w:rPr>
          <w:noProof/>
        </w:rPr>
        <w:tab/>
      </w:r>
      <w:r>
        <w:rPr>
          <w:noProof/>
        </w:rPr>
        <w:fldChar w:fldCharType="begin"/>
      </w:r>
      <w:r>
        <w:rPr>
          <w:noProof/>
        </w:rPr>
        <w:instrText xml:space="preserve"> PAGEREF _Toc227982526 \h </w:instrText>
      </w:r>
      <w:r w:rsidR="004D01C0">
        <w:rPr>
          <w:noProof/>
        </w:rPr>
      </w:r>
      <w:r>
        <w:rPr>
          <w:noProof/>
        </w:rPr>
        <w:fldChar w:fldCharType="separate"/>
      </w:r>
      <w:r>
        <w:rPr>
          <w:noProof/>
        </w:rPr>
        <w:t>54</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19. Overall classification rates in %</w:t>
      </w:r>
      <w:r>
        <w:rPr>
          <w:noProof/>
        </w:rPr>
        <w:tab/>
      </w:r>
      <w:r>
        <w:rPr>
          <w:noProof/>
        </w:rPr>
        <w:fldChar w:fldCharType="begin"/>
      </w:r>
      <w:r>
        <w:rPr>
          <w:noProof/>
        </w:rPr>
        <w:instrText xml:space="preserve"> PAGEREF _Toc227982527 \h </w:instrText>
      </w:r>
      <w:r w:rsidR="004D01C0">
        <w:rPr>
          <w:noProof/>
        </w:rPr>
      </w:r>
      <w:r>
        <w:rPr>
          <w:noProof/>
        </w:rPr>
        <w:fldChar w:fldCharType="separate"/>
      </w:r>
      <w:r>
        <w:rPr>
          <w:noProof/>
        </w:rPr>
        <w:t>56</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20. Group holdout classification rates in %</w:t>
      </w:r>
      <w:r>
        <w:rPr>
          <w:noProof/>
        </w:rPr>
        <w:tab/>
      </w:r>
      <w:r>
        <w:rPr>
          <w:noProof/>
        </w:rPr>
        <w:fldChar w:fldCharType="begin"/>
      </w:r>
      <w:r>
        <w:rPr>
          <w:noProof/>
        </w:rPr>
        <w:instrText xml:space="preserve"> PAGEREF _Toc227982528 \h </w:instrText>
      </w:r>
      <w:r w:rsidR="004D01C0">
        <w:rPr>
          <w:noProof/>
        </w:rPr>
      </w:r>
      <w:r>
        <w:rPr>
          <w:noProof/>
        </w:rPr>
        <w:fldChar w:fldCharType="separate"/>
      </w:r>
      <w:r>
        <w:rPr>
          <w:noProof/>
        </w:rPr>
        <w:t>57</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21.  Group re-substitution classification rates in %</w:t>
      </w:r>
      <w:r>
        <w:rPr>
          <w:noProof/>
        </w:rPr>
        <w:tab/>
      </w:r>
      <w:r>
        <w:rPr>
          <w:noProof/>
        </w:rPr>
        <w:fldChar w:fldCharType="begin"/>
      </w:r>
      <w:r>
        <w:rPr>
          <w:noProof/>
        </w:rPr>
        <w:instrText xml:space="preserve"> PAGEREF _Toc227982529 \h </w:instrText>
      </w:r>
      <w:r w:rsidR="004D01C0">
        <w:rPr>
          <w:noProof/>
        </w:rPr>
      </w:r>
      <w:r>
        <w:rPr>
          <w:noProof/>
        </w:rPr>
        <w:fldChar w:fldCharType="separate"/>
      </w:r>
      <w:r>
        <w:rPr>
          <w:noProof/>
        </w:rPr>
        <w:t>57</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22. 13 variable LDA ancestry aggregated cross-validation classification rate</w:t>
      </w:r>
      <w:r>
        <w:rPr>
          <w:noProof/>
        </w:rPr>
        <w:tab/>
      </w:r>
      <w:r>
        <w:rPr>
          <w:noProof/>
        </w:rPr>
        <w:fldChar w:fldCharType="begin"/>
      </w:r>
      <w:r>
        <w:rPr>
          <w:noProof/>
        </w:rPr>
        <w:instrText xml:space="preserve"> PAGEREF _Toc227982530 \h </w:instrText>
      </w:r>
      <w:r w:rsidR="004D01C0">
        <w:rPr>
          <w:noProof/>
        </w:rPr>
      </w:r>
      <w:r>
        <w:rPr>
          <w:noProof/>
        </w:rPr>
        <w:fldChar w:fldCharType="separate"/>
      </w:r>
      <w:r>
        <w:rPr>
          <w:noProof/>
        </w:rPr>
        <w:t>104</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23. 13 variable LDA ancestry aggregated holdout classification rate</w:t>
      </w:r>
      <w:r>
        <w:rPr>
          <w:noProof/>
        </w:rPr>
        <w:tab/>
      </w:r>
      <w:r>
        <w:rPr>
          <w:noProof/>
        </w:rPr>
        <w:fldChar w:fldCharType="begin"/>
      </w:r>
      <w:r>
        <w:rPr>
          <w:noProof/>
        </w:rPr>
        <w:instrText xml:space="preserve"> PAGEREF _Toc227982531 \h </w:instrText>
      </w:r>
      <w:r w:rsidR="004D01C0">
        <w:rPr>
          <w:noProof/>
        </w:rPr>
      </w:r>
      <w:r>
        <w:rPr>
          <w:noProof/>
        </w:rPr>
        <w:fldChar w:fldCharType="separate"/>
      </w:r>
      <w:r>
        <w:rPr>
          <w:noProof/>
        </w:rPr>
        <w:t>104</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24. 6 variable LDA ancestry aggregated cross-validation classification rate</w:t>
      </w:r>
      <w:r>
        <w:rPr>
          <w:noProof/>
        </w:rPr>
        <w:tab/>
      </w:r>
      <w:r>
        <w:rPr>
          <w:noProof/>
        </w:rPr>
        <w:fldChar w:fldCharType="begin"/>
      </w:r>
      <w:r>
        <w:rPr>
          <w:noProof/>
        </w:rPr>
        <w:instrText xml:space="preserve"> PAGEREF _Toc227982532 \h </w:instrText>
      </w:r>
      <w:r w:rsidR="004D01C0">
        <w:rPr>
          <w:noProof/>
        </w:rPr>
      </w:r>
      <w:r>
        <w:rPr>
          <w:noProof/>
        </w:rPr>
        <w:fldChar w:fldCharType="separate"/>
      </w:r>
      <w:r>
        <w:rPr>
          <w:noProof/>
        </w:rPr>
        <w:t>104</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25. 6 variable LDA ancestry aggregated holdout classification rate</w:t>
      </w:r>
      <w:r>
        <w:rPr>
          <w:noProof/>
        </w:rPr>
        <w:tab/>
      </w:r>
      <w:r>
        <w:rPr>
          <w:noProof/>
        </w:rPr>
        <w:fldChar w:fldCharType="begin"/>
      </w:r>
      <w:r>
        <w:rPr>
          <w:noProof/>
        </w:rPr>
        <w:instrText xml:space="preserve"> PAGEREF _Toc227982533 \h </w:instrText>
      </w:r>
      <w:r w:rsidR="004D01C0">
        <w:rPr>
          <w:noProof/>
        </w:rPr>
      </w:r>
      <w:r>
        <w:rPr>
          <w:noProof/>
        </w:rPr>
        <w:fldChar w:fldCharType="separate"/>
      </w:r>
      <w:r>
        <w:rPr>
          <w:noProof/>
        </w:rPr>
        <w:t>105</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26. 3 variable QDA ancestry aggregated cross-validation classification rate</w:t>
      </w:r>
      <w:r>
        <w:rPr>
          <w:noProof/>
        </w:rPr>
        <w:tab/>
      </w:r>
      <w:r>
        <w:rPr>
          <w:noProof/>
        </w:rPr>
        <w:fldChar w:fldCharType="begin"/>
      </w:r>
      <w:r>
        <w:rPr>
          <w:noProof/>
        </w:rPr>
        <w:instrText xml:space="preserve"> PAGEREF _Toc227982534 \h </w:instrText>
      </w:r>
      <w:r w:rsidR="004D01C0">
        <w:rPr>
          <w:noProof/>
        </w:rPr>
      </w:r>
      <w:r>
        <w:rPr>
          <w:noProof/>
        </w:rPr>
        <w:fldChar w:fldCharType="separate"/>
      </w:r>
      <w:r>
        <w:rPr>
          <w:noProof/>
        </w:rPr>
        <w:t>105</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27. 3 variable QDA ancestry aggregated holdout classification rate</w:t>
      </w:r>
      <w:r>
        <w:rPr>
          <w:noProof/>
        </w:rPr>
        <w:tab/>
      </w:r>
      <w:r>
        <w:rPr>
          <w:noProof/>
        </w:rPr>
        <w:fldChar w:fldCharType="begin"/>
      </w:r>
      <w:r>
        <w:rPr>
          <w:noProof/>
        </w:rPr>
        <w:instrText xml:space="preserve"> PAGEREF _Toc227982535 \h </w:instrText>
      </w:r>
      <w:r w:rsidR="004D01C0">
        <w:rPr>
          <w:noProof/>
        </w:rPr>
      </w:r>
      <w:r>
        <w:rPr>
          <w:noProof/>
        </w:rPr>
        <w:fldChar w:fldCharType="separate"/>
      </w:r>
      <w:r>
        <w:rPr>
          <w:noProof/>
        </w:rPr>
        <w:t>105</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28. 6 variable QDA ancestry aggregated cross-validation classification rate</w:t>
      </w:r>
      <w:r>
        <w:rPr>
          <w:noProof/>
        </w:rPr>
        <w:tab/>
      </w:r>
      <w:r>
        <w:rPr>
          <w:noProof/>
        </w:rPr>
        <w:fldChar w:fldCharType="begin"/>
      </w:r>
      <w:r>
        <w:rPr>
          <w:noProof/>
        </w:rPr>
        <w:instrText xml:space="preserve"> PAGEREF _Toc227982536 \h </w:instrText>
      </w:r>
      <w:r w:rsidR="004D01C0">
        <w:rPr>
          <w:noProof/>
        </w:rPr>
      </w:r>
      <w:r>
        <w:rPr>
          <w:noProof/>
        </w:rPr>
        <w:fldChar w:fldCharType="separate"/>
      </w:r>
      <w:r>
        <w:rPr>
          <w:noProof/>
        </w:rPr>
        <w:t>106</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29. 6 variable QDA ancestry aggregated holdout classification rate</w:t>
      </w:r>
      <w:r>
        <w:rPr>
          <w:noProof/>
        </w:rPr>
        <w:tab/>
      </w:r>
      <w:r>
        <w:rPr>
          <w:noProof/>
        </w:rPr>
        <w:fldChar w:fldCharType="begin"/>
      </w:r>
      <w:r>
        <w:rPr>
          <w:noProof/>
        </w:rPr>
        <w:instrText xml:space="preserve"> PAGEREF _Toc227982537 \h </w:instrText>
      </w:r>
      <w:r w:rsidR="004D01C0">
        <w:rPr>
          <w:noProof/>
        </w:rPr>
      </w:r>
      <w:r>
        <w:rPr>
          <w:noProof/>
        </w:rPr>
        <w:fldChar w:fldCharType="separate"/>
      </w:r>
      <w:r>
        <w:rPr>
          <w:noProof/>
        </w:rPr>
        <w:t>106</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30. 5 variable KNN ancestry aggregated cross-validation classification rate</w:t>
      </w:r>
      <w:r>
        <w:rPr>
          <w:noProof/>
        </w:rPr>
        <w:tab/>
      </w:r>
      <w:r>
        <w:rPr>
          <w:noProof/>
        </w:rPr>
        <w:fldChar w:fldCharType="begin"/>
      </w:r>
      <w:r>
        <w:rPr>
          <w:noProof/>
        </w:rPr>
        <w:instrText xml:space="preserve"> PAGEREF _Toc227982538 \h </w:instrText>
      </w:r>
      <w:r w:rsidR="004D01C0">
        <w:rPr>
          <w:noProof/>
        </w:rPr>
      </w:r>
      <w:r>
        <w:rPr>
          <w:noProof/>
        </w:rPr>
        <w:fldChar w:fldCharType="separate"/>
      </w:r>
      <w:r>
        <w:rPr>
          <w:noProof/>
        </w:rPr>
        <w:t>106</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31. 5 variable KNN ancestry aggregated holdout classification rate</w:t>
      </w:r>
      <w:r>
        <w:rPr>
          <w:noProof/>
        </w:rPr>
        <w:tab/>
      </w:r>
      <w:r>
        <w:rPr>
          <w:noProof/>
        </w:rPr>
        <w:fldChar w:fldCharType="begin"/>
      </w:r>
      <w:r>
        <w:rPr>
          <w:noProof/>
        </w:rPr>
        <w:instrText xml:space="preserve"> PAGEREF _Toc227982539 \h </w:instrText>
      </w:r>
      <w:r w:rsidR="004D01C0">
        <w:rPr>
          <w:noProof/>
        </w:rPr>
      </w:r>
      <w:r>
        <w:rPr>
          <w:noProof/>
        </w:rPr>
        <w:fldChar w:fldCharType="separate"/>
      </w:r>
      <w:r>
        <w:rPr>
          <w:noProof/>
        </w:rPr>
        <w:t>107</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32. 8 variable KNN ancestry aggregated cross-validation classification rate</w:t>
      </w:r>
      <w:r>
        <w:rPr>
          <w:noProof/>
        </w:rPr>
        <w:tab/>
      </w:r>
      <w:r>
        <w:rPr>
          <w:noProof/>
        </w:rPr>
        <w:fldChar w:fldCharType="begin"/>
      </w:r>
      <w:r>
        <w:rPr>
          <w:noProof/>
        </w:rPr>
        <w:instrText xml:space="preserve"> PAGEREF _Toc227982540 \h </w:instrText>
      </w:r>
      <w:r w:rsidR="004D01C0">
        <w:rPr>
          <w:noProof/>
        </w:rPr>
      </w:r>
      <w:r>
        <w:rPr>
          <w:noProof/>
        </w:rPr>
        <w:fldChar w:fldCharType="separate"/>
      </w:r>
      <w:r>
        <w:rPr>
          <w:noProof/>
        </w:rPr>
        <w:t>107</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33. 8 variable KNN ancestry aggregated holdout classification</w:t>
      </w:r>
      <w:r w:rsidRPr="007C5F2A">
        <w:rPr>
          <w:b/>
          <w:noProof/>
        </w:rPr>
        <w:t xml:space="preserve"> </w:t>
      </w:r>
      <w:r>
        <w:rPr>
          <w:noProof/>
        </w:rPr>
        <w:t>rate</w:t>
      </w:r>
      <w:r>
        <w:rPr>
          <w:noProof/>
        </w:rPr>
        <w:tab/>
      </w:r>
      <w:r>
        <w:rPr>
          <w:noProof/>
        </w:rPr>
        <w:fldChar w:fldCharType="begin"/>
      </w:r>
      <w:r>
        <w:rPr>
          <w:noProof/>
        </w:rPr>
        <w:instrText xml:space="preserve"> PAGEREF _Toc227982541 \h </w:instrText>
      </w:r>
      <w:r w:rsidR="004D01C0">
        <w:rPr>
          <w:noProof/>
        </w:rPr>
      </w:r>
      <w:r>
        <w:rPr>
          <w:noProof/>
        </w:rPr>
        <w:fldChar w:fldCharType="separate"/>
      </w:r>
      <w:r>
        <w:rPr>
          <w:noProof/>
        </w:rPr>
        <w:t>107</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34. 13 variable LDA sex aggregated cross-validation classification rate</w:t>
      </w:r>
      <w:r>
        <w:rPr>
          <w:noProof/>
        </w:rPr>
        <w:tab/>
      </w:r>
      <w:r>
        <w:rPr>
          <w:noProof/>
        </w:rPr>
        <w:fldChar w:fldCharType="begin"/>
      </w:r>
      <w:r>
        <w:rPr>
          <w:noProof/>
        </w:rPr>
        <w:instrText xml:space="preserve"> PAGEREF _Toc227982542 \h </w:instrText>
      </w:r>
      <w:r w:rsidR="004D01C0">
        <w:rPr>
          <w:noProof/>
        </w:rPr>
      </w:r>
      <w:r>
        <w:rPr>
          <w:noProof/>
        </w:rPr>
        <w:fldChar w:fldCharType="separate"/>
      </w:r>
      <w:r>
        <w:rPr>
          <w:noProof/>
        </w:rPr>
        <w:t>108</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35. 13 variable LDA sex aggregated holdout classification rate</w:t>
      </w:r>
      <w:r>
        <w:rPr>
          <w:noProof/>
        </w:rPr>
        <w:tab/>
      </w:r>
      <w:r>
        <w:rPr>
          <w:noProof/>
        </w:rPr>
        <w:fldChar w:fldCharType="begin"/>
      </w:r>
      <w:r>
        <w:rPr>
          <w:noProof/>
        </w:rPr>
        <w:instrText xml:space="preserve"> PAGEREF _Toc227982543 \h </w:instrText>
      </w:r>
      <w:r w:rsidR="004D01C0">
        <w:rPr>
          <w:noProof/>
        </w:rPr>
      </w:r>
      <w:r>
        <w:rPr>
          <w:noProof/>
        </w:rPr>
        <w:fldChar w:fldCharType="separate"/>
      </w:r>
      <w:r>
        <w:rPr>
          <w:noProof/>
        </w:rPr>
        <w:t>108</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36. 6 variable LDA sex aggregated cross-validation classification rate</w:t>
      </w:r>
      <w:r>
        <w:rPr>
          <w:noProof/>
        </w:rPr>
        <w:tab/>
      </w:r>
      <w:r>
        <w:rPr>
          <w:noProof/>
        </w:rPr>
        <w:fldChar w:fldCharType="begin"/>
      </w:r>
      <w:r>
        <w:rPr>
          <w:noProof/>
        </w:rPr>
        <w:instrText xml:space="preserve"> PAGEREF _Toc227982544 \h </w:instrText>
      </w:r>
      <w:r w:rsidR="004D01C0">
        <w:rPr>
          <w:noProof/>
        </w:rPr>
      </w:r>
      <w:r>
        <w:rPr>
          <w:noProof/>
        </w:rPr>
        <w:fldChar w:fldCharType="separate"/>
      </w:r>
      <w:r>
        <w:rPr>
          <w:noProof/>
        </w:rPr>
        <w:t>108</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37. 6 variable LDA sex aggregated holdout classification rate</w:t>
      </w:r>
      <w:r>
        <w:rPr>
          <w:noProof/>
        </w:rPr>
        <w:tab/>
      </w:r>
      <w:r>
        <w:rPr>
          <w:noProof/>
        </w:rPr>
        <w:fldChar w:fldCharType="begin"/>
      </w:r>
      <w:r>
        <w:rPr>
          <w:noProof/>
        </w:rPr>
        <w:instrText xml:space="preserve"> PAGEREF _Toc227982545 \h </w:instrText>
      </w:r>
      <w:r w:rsidR="004D01C0">
        <w:rPr>
          <w:noProof/>
        </w:rPr>
      </w:r>
      <w:r>
        <w:rPr>
          <w:noProof/>
        </w:rPr>
        <w:fldChar w:fldCharType="separate"/>
      </w:r>
      <w:r>
        <w:rPr>
          <w:noProof/>
        </w:rPr>
        <w:t>109</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38. 3 variable QDA sex aggregated cross-validation classification rate</w:t>
      </w:r>
      <w:r>
        <w:rPr>
          <w:noProof/>
        </w:rPr>
        <w:tab/>
      </w:r>
      <w:r>
        <w:rPr>
          <w:noProof/>
        </w:rPr>
        <w:fldChar w:fldCharType="begin"/>
      </w:r>
      <w:r>
        <w:rPr>
          <w:noProof/>
        </w:rPr>
        <w:instrText xml:space="preserve"> PAGEREF _Toc227982546 \h </w:instrText>
      </w:r>
      <w:r w:rsidR="004D01C0">
        <w:rPr>
          <w:noProof/>
        </w:rPr>
      </w:r>
      <w:r>
        <w:rPr>
          <w:noProof/>
        </w:rPr>
        <w:fldChar w:fldCharType="separate"/>
      </w:r>
      <w:r>
        <w:rPr>
          <w:noProof/>
        </w:rPr>
        <w:t>109</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39. 3 variable QDA sex aggregated holdout classification rate</w:t>
      </w:r>
      <w:r>
        <w:rPr>
          <w:noProof/>
        </w:rPr>
        <w:tab/>
      </w:r>
      <w:r>
        <w:rPr>
          <w:noProof/>
        </w:rPr>
        <w:fldChar w:fldCharType="begin"/>
      </w:r>
      <w:r>
        <w:rPr>
          <w:noProof/>
        </w:rPr>
        <w:instrText xml:space="preserve"> PAGEREF _Toc227982547 \h </w:instrText>
      </w:r>
      <w:r w:rsidR="004D01C0">
        <w:rPr>
          <w:noProof/>
        </w:rPr>
      </w:r>
      <w:r>
        <w:rPr>
          <w:noProof/>
        </w:rPr>
        <w:fldChar w:fldCharType="separate"/>
      </w:r>
      <w:r>
        <w:rPr>
          <w:noProof/>
        </w:rPr>
        <w:t>109</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40. 6 variable QDA sex aggregated cross-validation classification rate</w:t>
      </w:r>
      <w:r>
        <w:rPr>
          <w:noProof/>
        </w:rPr>
        <w:tab/>
      </w:r>
      <w:r>
        <w:rPr>
          <w:noProof/>
        </w:rPr>
        <w:fldChar w:fldCharType="begin"/>
      </w:r>
      <w:r>
        <w:rPr>
          <w:noProof/>
        </w:rPr>
        <w:instrText xml:space="preserve"> PAGEREF _Toc227982548 \h </w:instrText>
      </w:r>
      <w:r w:rsidR="004D01C0">
        <w:rPr>
          <w:noProof/>
        </w:rPr>
      </w:r>
      <w:r>
        <w:rPr>
          <w:noProof/>
        </w:rPr>
        <w:fldChar w:fldCharType="separate"/>
      </w:r>
      <w:r>
        <w:rPr>
          <w:noProof/>
        </w:rPr>
        <w:t>110</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41. 6 variable QDA sex aggregated holdout classification rate</w:t>
      </w:r>
      <w:r>
        <w:rPr>
          <w:noProof/>
        </w:rPr>
        <w:tab/>
      </w:r>
      <w:r>
        <w:rPr>
          <w:noProof/>
        </w:rPr>
        <w:fldChar w:fldCharType="begin"/>
      </w:r>
      <w:r>
        <w:rPr>
          <w:noProof/>
        </w:rPr>
        <w:instrText xml:space="preserve"> PAGEREF _Toc227982549 \h </w:instrText>
      </w:r>
      <w:r w:rsidR="004D01C0">
        <w:rPr>
          <w:noProof/>
        </w:rPr>
      </w:r>
      <w:r>
        <w:rPr>
          <w:noProof/>
        </w:rPr>
        <w:fldChar w:fldCharType="separate"/>
      </w:r>
      <w:r>
        <w:rPr>
          <w:noProof/>
        </w:rPr>
        <w:t>110</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42. 5 variable KNN sex aggregated cross-validation classification rate</w:t>
      </w:r>
      <w:r>
        <w:rPr>
          <w:noProof/>
        </w:rPr>
        <w:tab/>
      </w:r>
      <w:r>
        <w:rPr>
          <w:noProof/>
        </w:rPr>
        <w:fldChar w:fldCharType="begin"/>
      </w:r>
      <w:r>
        <w:rPr>
          <w:noProof/>
        </w:rPr>
        <w:instrText xml:space="preserve"> PAGEREF _Toc227982550 \h </w:instrText>
      </w:r>
      <w:r w:rsidR="004D01C0">
        <w:rPr>
          <w:noProof/>
        </w:rPr>
      </w:r>
      <w:r>
        <w:rPr>
          <w:noProof/>
        </w:rPr>
        <w:fldChar w:fldCharType="separate"/>
      </w:r>
      <w:r>
        <w:rPr>
          <w:noProof/>
        </w:rPr>
        <w:t>110</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43. 5 variable KNN sex aggregated holdout classification rate</w:t>
      </w:r>
      <w:r>
        <w:rPr>
          <w:noProof/>
        </w:rPr>
        <w:tab/>
      </w:r>
      <w:r>
        <w:rPr>
          <w:noProof/>
        </w:rPr>
        <w:fldChar w:fldCharType="begin"/>
      </w:r>
      <w:r>
        <w:rPr>
          <w:noProof/>
        </w:rPr>
        <w:instrText xml:space="preserve"> PAGEREF _Toc227982551 \h </w:instrText>
      </w:r>
      <w:r w:rsidR="004D01C0">
        <w:rPr>
          <w:noProof/>
        </w:rPr>
      </w:r>
      <w:r>
        <w:rPr>
          <w:noProof/>
        </w:rPr>
        <w:fldChar w:fldCharType="separate"/>
      </w:r>
      <w:r>
        <w:rPr>
          <w:noProof/>
        </w:rPr>
        <w:t>111</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44. 8 variable KNN sex aggregated cross-validation classification rate</w:t>
      </w:r>
      <w:r>
        <w:rPr>
          <w:noProof/>
        </w:rPr>
        <w:tab/>
      </w:r>
      <w:r>
        <w:rPr>
          <w:noProof/>
        </w:rPr>
        <w:fldChar w:fldCharType="begin"/>
      </w:r>
      <w:r>
        <w:rPr>
          <w:noProof/>
        </w:rPr>
        <w:instrText xml:space="preserve"> PAGEREF _Toc227982552 \h </w:instrText>
      </w:r>
      <w:r w:rsidR="004D01C0">
        <w:rPr>
          <w:noProof/>
        </w:rPr>
      </w:r>
      <w:r>
        <w:rPr>
          <w:noProof/>
        </w:rPr>
        <w:fldChar w:fldCharType="separate"/>
      </w:r>
      <w:r>
        <w:rPr>
          <w:noProof/>
        </w:rPr>
        <w:t>111</w:t>
      </w:r>
      <w:r>
        <w:rPr>
          <w:noProof/>
        </w:rPr>
        <w:fldChar w:fldCharType="end"/>
      </w:r>
    </w:p>
    <w:p w:rsidR="002F5501" w:rsidRDefault="002F5501">
      <w:pPr>
        <w:pStyle w:val="TableofFigures"/>
        <w:tabs>
          <w:tab w:val="right" w:leader="dot" w:pos="9350"/>
        </w:tabs>
        <w:rPr>
          <w:rFonts w:asciiTheme="minorHAnsi" w:eastAsiaTheme="minorEastAsia" w:hAnsiTheme="minorHAnsi"/>
          <w:noProof/>
          <w:szCs w:val="24"/>
        </w:rPr>
      </w:pPr>
      <w:r>
        <w:rPr>
          <w:noProof/>
        </w:rPr>
        <w:t>Table 45. 8 variable KNN sex aggregated holdout classification rate</w:t>
      </w:r>
      <w:r>
        <w:rPr>
          <w:noProof/>
        </w:rPr>
        <w:tab/>
      </w:r>
      <w:r>
        <w:rPr>
          <w:noProof/>
        </w:rPr>
        <w:fldChar w:fldCharType="begin"/>
      </w:r>
      <w:r>
        <w:rPr>
          <w:noProof/>
        </w:rPr>
        <w:instrText xml:space="preserve"> PAGEREF _Toc227982553 \h </w:instrText>
      </w:r>
      <w:r w:rsidR="004D01C0">
        <w:rPr>
          <w:noProof/>
        </w:rPr>
      </w:r>
      <w:r>
        <w:rPr>
          <w:noProof/>
        </w:rPr>
        <w:fldChar w:fldCharType="separate"/>
      </w:r>
      <w:r>
        <w:rPr>
          <w:noProof/>
        </w:rPr>
        <w:t>111</w:t>
      </w:r>
      <w:r>
        <w:rPr>
          <w:noProof/>
        </w:rPr>
        <w:fldChar w:fldCharType="end"/>
      </w:r>
    </w:p>
    <w:p w:rsidR="003F0E63" w:rsidRPr="002F5501" w:rsidRDefault="003731B6" w:rsidP="003F0E63">
      <w:pPr>
        <w:rPr>
          <w:b/>
        </w:rPr>
      </w:pPr>
      <w:r w:rsidRPr="00D70F29">
        <w:fldChar w:fldCharType="end"/>
      </w:r>
    </w:p>
    <w:p w:rsidR="00BE32CE" w:rsidRPr="00BE32CE" w:rsidRDefault="003F0E63" w:rsidP="00BE32CE">
      <w:pPr>
        <w:jc w:val="center"/>
        <w:rPr>
          <w:b/>
          <w:sz w:val="28"/>
        </w:rPr>
      </w:pPr>
      <w:r w:rsidRPr="003F0E63">
        <w:rPr>
          <w:b/>
          <w:sz w:val="28"/>
        </w:rPr>
        <w:t>LIST OF FIGURES</w:t>
      </w:r>
    </w:p>
    <w:p w:rsidR="0011094E" w:rsidRDefault="003731B6">
      <w:pPr>
        <w:pStyle w:val="TableofFigures"/>
        <w:tabs>
          <w:tab w:val="right" w:leader="dot" w:pos="9350"/>
        </w:tabs>
        <w:rPr>
          <w:rFonts w:asciiTheme="minorHAnsi" w:eastAsiaTheme="minorEastAsia" w:hAnsiTheme="minorHAnsi"/>
          <w:noProof/>
          <w:szCs w:val="24"/>
        </w:rPr>
      </w:pPr>
      <w:r>
        <w:rPr>
          <w:sz w:val="28"/>
        </w:rPr>
        <w:fldChar w:fldCharType="begin"/>
      </w:r>
      <w:r w:rsidR="00BE32CE">
        <w:rPr>
          <w:sz w:val="28"/>
        </w:rPr>
        <w:instrText xml:space="preserve"> TOC \c "Figure" </w:instrText>
      </w:r>
      <w:r>
        <w:rPr>
          <w:sz w:val="28"/>
        </w:rPr>
        <w:fldChar w:fldCharType="separate"/>
      </w:r>
      <w:r w:rsidR="0011094E">
        <w:rPr>
          <w:noProof/>
        </w:rPr>
        <w:t>Figure 1. Percent of observations by percent missing values</w:t>
      </w:r>
      <w:r w:rsidR="0011094E">
        <w:rPr>
          <w:noProof/>
        </w:rPr>
        <w:tab/>
      </w:r>
      <w:r>
        <w:rPr>
          <w:noProof/>
        </w:rPr>
        <w:fldChar w:fldCharType="begin"/>
      </w:r>
      <w:r w:rsidR="0011094E">
        <w:rPr>
          <w:noProof/>
        </w:rPr>
        <w:instrText xml:space="preserve"> PAGEREF _Toc227139298 \h </w:instrText>
      </w:r>
      <w:r w:rsidR="0024354B">
        <w:rPr>
          <w:noProof/>
        </w:rPr>
      </w:r>
      <w:r>
        <w:rPr>
          <w:noProof/>
        </w:rPr>
        <w:fldChar w:fldCharType="separate"/>
      </w:r>
      <w:r w:rsidR="001633BC">
        <w:rPr>
          <w:noProof/>
        </w:rPr>
        <w:t>21</w:t>
      </w:r>
      <w:r>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 Percent of observations by percent of missing values:  12-variable subset.</w:t>
      </w:r>
      <w:r>
        <w:rPr>
          <w:noProof/>
        </w:rPr>
        <w:tab/>
      </w:r>
      <w:r w:rsidR="003731B6">
        <w:rPr>
          <w:noProof/>
        </w:rPr>
        <w:fldChar w:fldCharType="begin"/>
      </w:r>
      <w:r>
        <w:rPr>
          <w:noProof/>
        </w:rPr>
        <w:instrText xml:space="preserve"> PAGEREF _Toc227139299 \h </w:instrText>
      </w:r>
      <w:r w:rsidR="0024354B">
        <w:rPr>
          <w:noProof/>
        </w:rPr>
      </w:r>
      <w:r w:rsidR="003731B6">
        <w:rPr>
          <w:noProof/>
        </w:rPr>
        <w:fldChar w:fldCharType="separate"/>
      </w:r>
      <w:r w:rsidR="001633BC">
        <w:rPr>
          <w:noProof/>
        </w:rPr>
        <w:t>24</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 SAS stepwise selection results</w:t>
      </w:r>
      <w:r>
        <w:rPr>
          <w:noProof/>
        </w:rPr>
        <w:tab/>
      </w:r>
      <w:r w:rsidR="003731B6">
        <w:rPr>
          <w:noProof/>
        </w:rPr>
        <w:fldChar w:fldCharType="begin"/>
      </w:r>
      <w:r>
        <w:rPr>
          <w:noProof/>
        </w:rPr>
        <w:instrText xml:space="preserve"> PAGEREF _Toc227139300 \h </w:instrText>
      </w:r>
      <w:r w:rsidR="0024354B">
        <w:rPr>
          <w:noProof/>
        </w:rPr>
      </w:r>
      <w:r w:rsidR="003731B6">
        <w:rPr>
          <w:noProof/>
        </w:rPr>
        <w:fldChar w:fldCharType="separate"/>
      </w:r>
      <w:r w:rsidR="001633BC">
        <w:rPr>
          <w:noProof/>
        </w:rPr>
        <w:t>44</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 All variables White male c-q plot</w:t>
      </w:r>
      <w:r>
        <w:rPr>
          <w:noProof/>
        </w:rPr>
        <w:tab/>
      </w:r>
      <w:r w:rsidR="003731B6">
        <w:rPr>
          <w:noProof/>
        </w:rPr>
        <w:fldChar w:fldCharType="begin"/>
      </w:r>
      <w:r>
        <w:rPr>
          <w:noProof/>
        </w:rPr>
        <w:instrText xml:space="preserve"> PAGEREF _Toc227139301 \h </w:instrText>
      </w:r>
      <w:r w:rsidR="0024354B">
        <w:rPr>
          <w:noProof/>
        </w:rPr>
      </w:r>
      <w:r w:rsidR="003731B6">
        <w:rPr>
          <w:noProof/>
        </w:rPr>
        <w:fldChar w:fldCharType="separate"/>
      </w:r>
      <w:r w:rsidR="001633BC">
        <w:rPr>
          <w:noProof/>
        </w:rPr>
        <w:t>79</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5. All variables White female c-q plot</w:t>
      </w:r>
      <w:r>
        <w:rPr>
          <w:noProof/>
        </w:rPr>
        <w:tab/>
      </w:r>
      <w:r w:rsidR="003731B6">
        <w:rPr>
          <w:noProof/>
        </w:rPr>
        <w:fldChar w:fldCharType="begin"/>
      </w:r>
      <w:r>
        <w:rPr>
          <w:noProof/>
        </w:rPr>
        <w:instrText xml:space="preserve"> PAGEREF _Toc227139302 \h </w:instrText>
      </w:r>
      <w:r w:rsidR="0024354B">
        <w:rPr>
          <w:noProof/>
        </w:rPr>
      </w:r>
      <w:r w:rsidR="003731B6">
        <w:rPr>
          <w:noProof/>
        </w:rPr>
        <w:fldChar w:fldCharType="separate"/>
      </w:r>
      <w:r w:rsidR="001633BC">
        <w:rPr>
          <w:noProof/>
        </w:rPr>
        <w:t>80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6. All variables Black male c-q plot</w:t>
      </w:r>
      <w:r>
        <w:rPr>
          <w:noProof/>
        </w:rPr>
        <w:tab/>
      </w:r>
      <w:r w:rsidR="003731B6">
        <w:rPr>
          <w:noProof/>
        </w:rPr>
        <w:fldChar w:fldCharType="begin"/>
      </w:r>
      <w:r>
        <w:rPr>
          <w:noProof/>
        </w:rPr>
        <w:instrText xml:space="preserve"> PAGEREF _Toc227139303 \h </w:instrText>
      </w:r>
      <w:r w:rsidR="0024354B">
        <w:rPr>
          <w:noProof/>
        </w:rPr>
      </w:r>
      <w:r w:rsidR="003731B6">
        <w:rPr>
          <w:noProof/>
        </w:rPr>
        <w:fldChar w:fldCharType="separate"/>
      </w:r>
      <w:r w:rsidR="001633BC">
        <w:rPr>
          <w:noProof/>
        </w:rPr>
        <w:t>81</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7. All variables Black female c-q plot</w:t>
      </w:r>
      <w:r>
        <w:rPr>
          <w:noProof/>
        </w:rPr>
        <w:tab/>
      </w:r>
      <w:r w:rsidR="003731B6">
        <w:rPr>
          <w:noProof/>
        </w:rPr>
        <w:fldChar w:fldCharType="begin"/>
      </w:r>
      <w:r>
        <w:rPr>
          <w:noProof/>
        </w:rPr>
        <w:instrText xml:space="preserve"> PAGEREF _Toc227139304 \h </w:instrText>
      </w:r>
      <w:r w:rsidR="0024354B">
        <w:rPr>
          <w:noProof/>
        </w:rPr>
      </w:r>
      <w:r w:rsidR="003731B6">
        <w:rPr>
          <w:noProof/>
        </w:rPr>
        <w:fldChar w:fldCharType="separate"/>
      </w:r>
      <w:r w:rsidR="001633BC">
        <w:rPr>
          <w:noProof/>
        </w:rPr>
        <w:t>82</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8. All variables Hispanic male c-q plot</w:t>
      </w:r>
      <w:r>
        <w:rPr>
          <w:noProof/>
        </w:rPr>
        <w:tab/>
      </w:r>
      <w:r w:rsidR="003731B6">
        <w:rPr>
          <w:noProof/>
        </w:rPr>
        <w:fldChar w:fldCharType="begin"/>
      </w:r>
      <w:r>
        <w:rPr>
          <w:noProof/>
        </w:rPr>
        <w:instrText xml:space="preserve"> PAGEREF _Toc227139305 \h </w:instrText>
      </w:r>
      <w:r w:rsidR="0024354B">
        <w:rPr>
          <w:noProof/>
        </w:rPr>
      </w:r>
      <w:r w:rsidR="003731B6">
        <w:rPr>
          <w:noProof/>
        </w:rPr>
        <w:fldChar w:fldCharType="separate"/>
      </w:r>
      <w:r w:rsidR="001633BC">
        <w:rPr>
          <w:noProof/>
        </w:rPr>
        <w:t>83</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9. 13-variable LDA White male c-q plot</w:t>
      </w:r>
      <w:r>
        <w:rPr>
          <w:noProof/>
        </w:rPr>
        <w:tab/>
      </w:r>
      <w:r w:rsidR="003731B6">
        <w:rPr>
          <w:noProof/>
        </w:rPr>
        <w:fldChar w:fldCharType="begin"/>
      </w:r>
      <w:r>
        <w:rPr>
          <w:noProof/>
        </w:rPr>
        <w:instrText xml:space="preserve"> PAGEREF _Toc227139306 \h </w:instrText>
      </w:r>
      <w:r w:rsidR="0024354B">
        <w:rPr>
          <w:noProof/>
        </w:rPr>
      </w:r>
      <w:r w:rsidR="003731B6">
        <w:rPr>
          <w:noProof/>
        </w:rPr>
        <w:fldChar w:fldCharType="separate"/>
      </w:r>
      <w:r w:rsidR="001633BC">
        <w:rPr>
          <w:noProof/>
        </w:rPr>
        <w:t>84</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10. 13-variable LDA White female c-q plot</w:t>
      </w:r>
      <w:r>
        <w:rPr>
          <w:noProof/>
        </w:rPr>
        <w:tab/>
      </w:r>
      <w:r w:rsidR="003731B6">
        <w:rPr>
          <w:noProof/>
        </w:rPr>
        <w:fldChar w:fldCharType="begin"/>
      </w:r>
      <w:r>
        <w:rPr>
          <w:noProof/>
        </w:rPr>
        <w:instrText xml:space="preserve"> PAGEREF _Toc227139307 \h </w:instrText>
      </w:r>
      <w:r w:rsidR="0024354B">
        <w:rPr>
          <w:noProof/>
        </w:rPr>
      </w:r>
      <w:r w:rsidR="003731B6">
        <w:rPr>
          <w:noProof/>
        </w:rPr>
        <w:fldChar w:fldCharType="separate"/>
      </w:r>
      <w:r w:rsidR="001633BC">
        <w:rPr>
          <w:noProof/>
        </w:rPr>
        <w:t>85</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11. 13-variable LDA Black male c-q plot</w:t>
      </w:r>
      <w:r>
        <w:rPr>
          <w:noProof/>
        </w:rPr>
        <w:tab/>
      </w:r>
      <w:r w:rsidR="003731B6">
        <w:rPr>
          <w:noProof/>
        </w:rPr>
        <w:fldChar w:fldCharType="begin"/>
      </w:r>
      <w:r>
        <w:rPr>
          <w:noProof/>
        </w:rPr>
        <w:instrText xml:space="preserve"> PAGEREF _Toc227139308 \h </w:instrText>
      </w:r>
      <w:r w:rsidR="0024354B">
        <w:rPr>
          <w:noProof/>
        </w:rPr>
      </w:r>
      <w:r w:rsidR="003731B6">
        <w:rPr>
          <w:noProof/>
        </w:rPr>
        <w:fldChar w:fldCharType="separate"/>
      </w:r>
      <w:r w:rsidR="001633BC">
        <w:rPr>
          <w:noProof/>
        </w:rPr>
        <w:t>86</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12. 13-variable LDA Black female c-q plot</w:t>
      </w:r>
      <w:r>
        <w:rPr>
          <w:noProof/>
        </w:rPr>
        <w:tab/>
      </w:r>
      <w:r w:rsidR="003731B6">
        <w:rPr>
          <w:noProof/>
        </w:rPr>
        <w:fldChar w:fldCharType="begin"/>
      </w:r>
      <w:r>
        <w:rPr>
          <w:noProof/>
        </w:rPr>
        <w:instrText xml:space="preserve"> PAGEREF _Toc227139309 \h </w:instrText>
      </w:r>
      <w:r w:rsidR="0024354B">
        <w:rPr>
          <w:noProof/>
        </w:rPr>
      </w:r>
      <w:r w:rsidR="003731B6">
        <w:rPr>
          <w:noProof/>
        </w:rPr>
        <w:fldChar w:fldCharType="separate"/>
      </w:r>
      <w:r w:rsidR="001633BC">
        <w:rPr>
          <w:noProof/>
        </w:rPr>
        <w:t>87</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13. 13-variable LDA Hispanic male c-q plot</w:t>
      </w:r>
      <w:r>
        <w:rPr>
          <w:noProof/>
        </w:rPr>
        <w:tab/>
      </w:r>
      <w:r w:rsidR="003731B6">
        <w:rPr>
          <w:noProof/>
        </w:rPr>
        <w:fldChar w:fldCharType="begin"/>
      </w:r>
      <w:r>
        <w:rPr>
          <w:noProof/>
        </w:rPr>
        <w:instrText xml:space="preserve"> PAGEREF _Toc227139310 \h </w:instrText>
      </w:r>
      <w:r w:rsidR="0024354B">
        <w:rPr>
          <w:noProof/>
        </w:rPr>
      </w:r>
      <w:r w:rsidR="003731B6">
        <w:rPr>
          <w:noProof/>
        </w:rPr>
        <w:fldChar w:fldCharType="separate"/>
      </w:r>
      <w:r w:rsidR="001633BC">
        <w:rPr>
          <w:noProof/>
        </w:rPr>
        <w:t>88</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14. 6-variable LDA White male c-q plot</w:t>
      </w:r>
      <w:r>
        <w:rPr>
          <w:noProof/>
        </w:rPr>
        <w:tab/>
      </w:r>
      <w:r w:rsidR="003731B6">
        <w:rPr>
          <w:noProof/>
        </w:rPr>
        <w:fldChar w:fldCharType="begin"/>
      </w:r>
      <w:r>
        <w:rPr>
          <w:noProof/>
        </w:rPr>
        <w:instrText xml:space="preserve"> PAGEREF _Toc227139311 \h </w:instrText>
      </w:r>
      <w:r w:rsidR="0024354B">
        <w:rPr>
          <w:noProof/>
        </w:rPr>
      </w:r>
      <w:r w:rsidR="003731B6">
        <w:rPr>
          <w:noProof/>
        </w:rPr>
        <w:fldChar w:fldCharType="separate"/>
      </w:r>
      <w:r w:rsidR="001633BC">
        <w:rPr>
          <w:noProof/>
        </w:rPr>
        <w:t>89</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15. 6-variable LDA White female c-q plot</w:t>
      </w:r>
      <w:r>
        <w:rPr>
          <w:noProof/>
        </w:rPr>
        <w:tab/>
      </w:r>
      <w:r w:rsidR="003731B6">
        <w:rPr>
          <w:noProof/>
        </w:rPr>
        <w:fldChar w:fldCharType="begin"/>
      </w:r>
      <w:r>
        <w:rPr>
          <w:noProof/>
        </w:rPr>
        <w:instrText xml:space="preserve"> PAGEREF _Toc227139312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16. 6-variable LDA Black male c-q plot</w:t>
      </w:r>
      <w:r>
        <w:rPr>
          <w:noProof/>
        </w:rPr>
        <w:tab/>
      </w:r>
      <w:r w:rsidR="003731B6">
        <w:rPr>
          <w:noProof/>
        </w:rPr>
        <w:fldChar w:fldCharType="begin"/>
      </w:r>
      <w:r>
        <w:rPr>
          <w:noProof/>
        </w:rPr>
        <w:instrText xml:space="preserve"> PAGEREF _Toc227139313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17. 6-variable LDA Black female c-q plot</w:t>
      </w:r>
      <w:r>
        <w:rPr>
          <w:noProof/>
        </w:rPr>
        <w:tab/>
      </w:r>
      <w:r w:rsidR="003731B6">
        <w:rPr>
          <w:noProof/>
        </w:rPr>
        <w:fldChar w:fldCharType="begin"/>
      </w:r>
      <w:r>
        <w:rPr>
          <w:noProof/>
        </w:rPr>
        <w:instrText xml:space="preserve"> PAGEREF _Toc227139314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18. 6-variable LDA Hispanic male c-q plot</w:t>
      </w:r>
      <w:r>
        <w:rPr>
          <w:noProof/>
        </w:rPr>
        <w:tab/>
      </w:r>
      <w:r w:rsidR="003731B6">
        <w:rPr>
          <w:noProof/>
        </w:rPr>
        <w:fldChar w:fldCharType="begin"/>
      </w:r>
      <w:r>
        <w:rPr>
          <w:noProof/>
        </w:rPr>
        <w:instrText xml:space="preserve"> PAGEREF _Toc227139315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19. 3-variable QDA White male c-q plot</w:t>
      </w:r>
      <w:r>
        <w:rPr>
          <w:noProof/>
        </w:rPr>
        <w:tab/>
      </w:r>
      <w:r w:rsidR="003731B6">
        <w:rPr>
          <w:noProof/>
        </w:rPr>
        <w:fldChar w:fldCharType="begin"/>
      </w:r>
      <w:r>
        <w:rPr>
          <w:noProof/>
        </w:rPr>
        <w:instrText xml:space="preserve"> PAGEREF _Toc227139316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20. 3-variable QDA White female c-q plot</w:t>
      </w:r>
      <w:r>
        <w:rPr>
          <w:noProof/>
        </w:rPr>
        <w:tab/>
      </w:r>
      <w:r w:rsidR="003731B6">
        <w:rPr>
          <w:noProof/>
        </w:rPr>
        <w:fldChar w:fldCharType="begin"/>
      </w:r>
      <w:r>
        <w:rPr>
          <w:noProof/>
        </w:rPr>
        <w:instrText xml:space="preserve"> PAGEREF _Toc227139317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21. 3-variable QDA Black male c-q plot</w:t>
      </w:r>
      <w:r>
        <w:rPr>
          <w:noProof/>
        </w:rPr>
        <w:tab/>
      </w:r>
      <w:r w:rsidR="003731B6">
        <w:rPr>
          <w:noProof/>
        </w:rPr>
        <w:fldChar w:fldCharType="begin"/>
      </w:r>
      <w:r>
        <w:rPr>
          <w:noProof/>
        </w:rPr>
        <w:instrText xml:space="preserve"> PAGEREF _Toc227139318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22. 3-variable QDA Black female c-q plot</w:t>
      </w:r>
      <w:r>
        <w:rPr>
          <w:noProof/>
        </w:rPr>
        <w:tab/>
      </w:r>
      <w:r w:rsidR="003731B6">
        <w:rPr>
          <w:noProof/>
        </w:rPr>
        <w:fldChar w:fldCharType="begin"/>
      </w:r>
      <w:r>
        <w:rPr>
          <w:noProof/>
        </w:rPr>
        <w:instrText xml:space="preserve"> PAGEREF _Toc227139319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23. 3-variable QDA Hispanic male c-q plot</w:t>
      </w:r>
      <w:r>
        <w:rPr>
          <w:noProof/>
        </w:rPr>
        <w:tab/>
      </w:r>
      <w:r w:rsidR="003731B6">
        <w:rPr>
          <w:noProof/>
        </w:rPr>
        <w:fldChar w:fldCharType="begin"/>
      </w:r>
      <w:r>
        <w:rPr>
          <w:noProof/>
        </w:rPr>
        <w:instrText xml:space="preserve"> PAGEREF _Toc227139320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24. 8-variable KNN White male c-q plot</w:t>
      </w:r>
      <w:r>
        <w:rPr>
          <w:noProof/>
        </w:rPr>
        <w:tab/>
      </w:r>
      <w:r w:rsidR="003731B6">
        <w:rPr>
          <w:noProof/>
        </w:rPr>
        <w:fldChar w:fldCharType="begin"/>
      </w:r>
      <w:r>
        <w:rPr>
          <w:noProof/>
        </w:rPr>
        <w:instrText xml:space="preserve"> PAGEREF _Toc227139321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25. 8-variable KNN White female c-q plot</w:t>
      </w:r>
      <w:r>
        <w:rPr>
          <w:noProof/>
        </w:rPr>
        <w:tab/>
      </w:r>
      <w:r w:rsidR="003731B6">
        <w:rPr>
          <w:noProof/>
        </w:rPr>
        <w:fldChar w:fldCharType="begin"/>
      </w:r>
      <w:r>
        <w:rPr>
          <w:noProof/>
        </w:rPr>
        <w:instrText xml:space="preserve"> PAGEREF _Toc227139322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26. 8-variable KNN White female c-q plot</w:t>
      </w:r>
      <w:r>
        <w:rPr>
          <w:noProof/>
        </w:rPr>
        <w:tab/>
      </w:r>
      <w:r w:rsidR="003731B6">
        <w:rPr>
          <w:noProof/>
        </w:rPr>
        <w:fldChar w:fldCharType="begin"/>
      </w:r>
      <w:r>
        <w:rPr>
          <w:noProof/>
        </w:rPr>
        <w:instrText xml:space="preserve"> PAGEREF _Toc227139323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27. 8-variable KNN Black male c-q plot</w:t>
      </w:r>
      <w:r>
        <w:rPr>
          <w:noProof/>
        </w:rPr>
        <w:tab/>
      </w:r>
      <w:r w:rsidR="003731B6">
        <w:rPr>
          <w:noProof/>
        </w:rPr>
        <w:fldChar w:fldCharType="begin"/>
      </w:r>
      <w:r>
        <w:rPr>
          <w:noProof/>
        </w:rPr>
        <w:instrText xml:space="preserve"> PAGEREF _Toc227139324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28. 8-variable KNN Black female c-q plot</w:t>
      </w:r>
      <w:r>
        <w:rPr>
          <w:noProof/>
        </w:rPr>
        <w:tab/>
      </w:r>
      <w:r w:rsidR="003731B6">
        <w:rPr>
          <w:noProof/>
        </w:rPr>
        <w:fldChar w:fldCharType="begin"/>
      </w:r>
      <w:r>
        <w:rPr>
          <w:noProof/>
        </w:rPr>
        <w:instrText xml:space="preserve"> PAGEREF _Toc227139325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29. 8-variable KNN Hispanic male c-q plot</w:t>
      </w:r>
      <w:r>
        <w:rPr>
          <w:noProof/>
        </w:rPr>
        <w:tab/>
      </w:r>
      <w:r w:rsidR="003731B6">
        <w:rPr>
          <w:noProof/>
        </w:rPr>
        <w:fldChar w:fldCharType="begin"/>
      </w:r>
      <w:r>
        <w:rPr>
          <w:noProof/>
        </w:rPr>
        <w:instrText xml:space="preserve"> PAGEREF _Toc227139326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30. 13-variable LDA cross-validation posterior probabilities histogram</w:t>
      </w:r>
      <w:r>
        <w:rPr>
          <w:noProof/>
        </w:rPr>
        <w:tab/>
      </w:r>
      <w:r w:rsidR="003731B6">
        <w:rPr>
          <w:noProof/>
        </w:rPr>
        <w:fldChar w:fldCharType="begin"/>
      </w:r>
      <w:r>
        <w:rPr>
          <w:noProof/>
        </w:rPr>
        <w:instrText xml:space="preserve"> PAGEREF _Toc227139327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31. Descriptive statistics - LDA cross-validation misclassification posterior probabilities</w:t>
      </w:r>
      <w:r>
        <w:rPr>
          <w:noProof/>
        </w:rPr>
        <w:tab/>
      </w:r>
      <w:r w:rsidR="003731B6">
        <w:rPr>
          <w:noProof/>
        </w:rPr>
        <w:fldChar w:fldCharType="begin"/>
      </w:r>
      <w:r>
        <w:rPr>
          <w:noProof/>
        </w:rPr>
        <w:instrText xml:space="preserve"> PAGEREF _Toc227139328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32. 13-variable LDA holdout posterior probabilities histogram</w:t>
      </w:r>
      <w:r>
        <w:rPr>
          <w:noProof/>
        </w:rPr>
        <w:tab/>
      </w:r>
      <w:r w:rsidR="003731B6">
        <w:rPr>
          <w:noProof/>
        </w:rPr>
        <w:fldChar w:fldCharType="begin"/>
      </w:r>
      <w:r>
        <w:rPr>
          <w:noProof/>
        </w:rPr>
        <w:instrText xml:space="preserve"> PAGEREF _Toc227139329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33. Descriptive statistics- LDA holdout misclassification posterior probabilities</w:t>
      </w:r>
      <w:r>
        <w:rPr>
          <w:noProof/>
        </w:rPr>
        <w:tab/>
      </w:r>
      <w:r w:rsidR="003731B6">
        <w:rPr>
          <w:noProof/>
        </w:rPr>
        <w:fldChar w:fldCharType="begin"/>
      </w:r>
      <w:r>
        <w:rPr>
          <w:noProof/>
        </w:rPr>
        <w:instrText xml:space="preserve"> PAGEREF _Toc227139330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34.  3-variable QDA cross-validation posterior probabilities histogram</w:t>
      </w:r>
      <w:r>
        <w:rPr>
          <w:noProof/>
        </w:rPr>
        <w:tab/>
      </w:r>
      <w:r w:rsidR="003731B6">
        <w:rPr>
          <w:noProof/>
        </w:rPr>
        <w:fldChar w:fldCharType="begin"/>
      </w:r>
      <w:r>
        <w:rPr>
          <w:noProof/>
        </w:rPr>
        <w:instrText xml:space="preserve"> PAGEREF _Toc227139331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35. Descriptive statistics - QDA cross-validation misclassification posterior probabilites</w:t>
      </w:r>
      <w:r>
        <w:rPr>
          <w:noProof/>
        </w:rPr>
        <w:tab/>
      </w:r>
      <w:r w:rsidR="003731B6">
        <w:rPr>
          <w:noProof/>
        </w:rPr>
        <w:fldChar w:fldCharType="begin"/>
      </w:r>
      <w:r>
        <w:rPr>
          <w:noProof/>
        </w:rPr>
        <w:instrText xml:space="preserve"> PAGEREF _Toc227139332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36. 3-variable QDA holdout posterior probabilities histogram</w:t>
      </w:r>
      <w:r>
        <w:rPr>
          <w:noProof/>
        </w:rPr>
        <w:tab/>
      </w:r>
      <w:r w:rsidR="003731B6">
        <w:rPr>
          <w:noProof/>
        </w:rPr>
        <w:fldChar w:fldCharType="begin"/>
      </w:r>
      <w:r>
        <w:rPr>
          <w:noProof/>
        </w:rPr>
        <w:instrText xml:space="preserve"> PAGEREF _Toc227139333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37. Descriptive statistics - QDA holdout misclassification posterior probabilities</w:t>
      </w:r>
      <w:r>
        <w:rPr>
          <w:noProof/>
        </w:rPr>
        <w:tab/>
      </w:r>
      <w:r w:rsidR="003731B6">
        <w:rPr>
          <w:noProof/>
        </w:rPr>
        <w:fldChar w:fldCharType="begin"/>
      </w:r>
      <w:r>
        <w:rPr>
          <w:noProof/>
        </w:rPr>
        <w:instrText xml:space="preserve"> PAGEREF _Toc227139334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38. Descriptive statistics - LDA re-substitution misses</w:t>
      </w:r>
      <w:r>
        <w:rPr>
          <w:noProof/>
        </w:rPr>
        <w:tab/>
      </w:r>
      <w:r w:rsidR="003731B6">
        <w:rPr>
          <w:noProof/>
        </w:rPr>
        <w:fldChar w:fldCharType="begin"/>
      </w:r>
      <w:r>
        <w:rPr>
          <w:noProof/>
        </w:rPr>
        <w:instrText xml:space="preserve"> PAGEREF _Toc227139335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39. LDA re-substitution misses quartile statistics</w:t>
      </w:r>
      <w:r>
        <w:rPr>
          <w:noProof/>
        </w:rPr>
        <w:tab/>
      </w:r>
      <w:r w:rsidR="003731B6">
        <w:rPr>
          <w:noProof/>
        </w:rPr>
        <w:fldChar w:fldCharType="begin"/>
      </w:r>
      <w:r>
        <w:rPr>
          <w:noProof/>
        </w:rPr>
        <w:instrText xml:space="preserve"> PAGEREF _Toc227139336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40. LDA re-substitution misses histogram</w:t>
      </w:r>
      <w:r>
        <w:rPr>
          <w:noProof/>
        </w:rPr>
        <w:tab/>
      </w:r>
      <w:r w:rsidR="003731B6">
        <w:rPr>
          <w:noProof/>
        </w:rPr>
        <w:fldChar w:fldCharType="begin"/>
      </w:r>
      <w:r>
        <w:rPr>
          <w:noProof/>
        </w:rPr>
        <w:instrText xml:space="preserve"> PAGEREF _Toc227139337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41. Descriptive statistics - LDA cross-validation misses</w:t>
      </w:r>
      <w:r>
        <w:rPr>
          <w:noProof/>
        </w:rPr>
        <w:tab/>
      </w:r>
      <w:r w:rsidR="003731B6">
        <w:rPr>
          <w:noProof/>
        </w:rPr>
        <w:fldChar w:fldCharType="begin"/>
      </w:r>
      <w:r>
        <w:rPr>
          <w:noProof/>
        </w:rPr>
        <w:instrText xml:space="preserve"> PAGEREF _Toc227139338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42. LDA cross-validation misses quartiles</w:t>
      </w:r>
      <w:r>
        <w:rPr>
          <w:noProof/>
        </w:rPr>
        <w:tab/>
      </w:r>
      <w:r w:rsidR="003731B6">
        <w:rPr>
          <w:noProof/>
        </w:rPr>
        <w:fldChar w:fldCharType="begin"/>
      </w:r>
      <w:r>
        <w:rPr>
          <w:noProof/>
        </w:rPr>
        <w:instrText xml:space="preserve"> PAGEREF _Toc227139339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43. LDA cross-validation misses histogram</w:t>
      </w:r>
      <w:r>
        <w:rPr>
          <w:noProof/>
        </w:rPr>
        <w:tab/>
      </w:r>
      <w:r w:rsidR="003731B6">
        <w:rPr>
          <w:noProof/>
        </w:rPr>
        <w:fldChar w:fldCharType="begin"/>
      </w:r>
      <w:r>
        <w:rPr>
          <w:noProof/>
        </w:rPr>
        <w:instrText xml:space="preserve"> PAGEREF _Toc227139340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44. Descriptive statistics - LDA holdout misses</w:t>
      </w:r>
      <w:r>
        <w:rPr>
          <w:noProof/>
        </w:rPr>
        <w:tab/>
      </w:r>
      <w:r w:rsidR="003731B6">
        <w:rPr>
          <w:noProof/>
        </w:rPr>
        <w:fldChar w:fldCharType="begin"/>
      </w:r>
      <w:r>
        <w:rPr>
          <w:noProof/>
        </w:rPr>
        <w:instrText xml:space="preserve"> PAGEREF _Toc227139341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45. LDA holdout misses quartiles</w:t>
      </w:r>
      <w:r>
        <w:rPr>
          <w:noProof/>
        </w:rPr>
        <w:tab/>
      </w:r>
      <w:r w:rsidR="003731B6">
        <w:rPr>
          <w:noProof/>
        </w:rPr>
        <w:fldChar w:fldCharType="begin"/>
      </w:r>
      <w:r>
        <w:rPr>
          <w:noProof/>
        </w:rPr>
        <w:instrText xml:space="preserve"> PAGEREF _Toc227139342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46. LDA holdout misses histogram</w:t>
      </w:r>
      <w:r>
        <w:rPr>
          <w:noProof/>
        </w:rPr>
        <w:tab/>
      </w:r>
      <w:r w:rsidR="003731B6">
        <w:rPr>
          <w:noProof/>
        </w:rPr>
        <w:fldChar w:fldCharType="begin"/>
      </w:r>
      <w:r>
        <w:rPr>
          <w:noProof/>
        </w:rPr>
        <w:instrText xml:space="preserve"> PAGEREF _Toc227139343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47. Descriptive statistics - QDA resubstitution misses</w:t>
      </w:r>
      <w:r>
        <w:rPr>
          <w:noProof/>
        </w:rPr>
        <w:tab/>
      </w:r>
      <w:r w:rsidR="003731B6">
        <w:rPr>
          <w:noProof/>
        </w:rPr>
        <w:fldChar w:fldCharType="begin"/>
      </w:r>
      <w:r>
        <w:rPr>
          <w:noProof/>
        </w:rPr>
        <w:instrText xml:space="preserve"> PAGEREF _Toc227139344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48. QDA resubstitution misses quartiles</w:t>
      </w:r>
      <w:r>
        <w:rPr>
          <w:noProof/>
        </w:rPr>
        <w:tab/>
      </w:r>
      <w:r w:rsidR="003731B6">
        <w:rPr>
          <w:noProof/>
        </w:rPr>
        <w:fldChar w:fldCharType="begin"/>
      </w:r>
      <w:r>
        <w:rPr>
          <w:noProof/>
        </w:rPr>
        <w:instrText xml:space="preserve"> PAGEREF _Toc227139345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49. QDA resubstitution misses histogram</w:t>
      </w:r>
      <w:r>
        <w:rPr>
          <w:noProof/>
        </w:rPr>
        <w:tab/>
      </w:r>
      <w:r w:rsidR="003731B6">
        <w:rPr>
          <w:noProof/>
        </w:rPr>
        <w:fldChar w:fldCharType="begin"/>
      </w:r>
      <w:r>
        <w:rPr>
          <w:noProof/>
        </w:rPr>
        <w:instrText xml:space="preserve"> PAGEREF _Toc227139346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50. Descriptive statistics - QDA cross-validation misses</w:t>
      </w:r>
      <w:r>
        <w:rPr>
          <w:noProof/>
        </w:rPr>
        <w:tab/>
      </w:r>
      <w:r w:rsidR="003731B6">
        <w:rPr>
          <w:noProof/>
        </w:rPr>
        <w:fldChar w:fldCharType="begin"/>
      </w:r>
      <w:r>
        <w:rPr>
          <w:noProof/>
        </w:rPr>
        <w:instrText xml:space="preserve"> PAGEREF _Toc227139347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51. QDA cross-validation quartiles</w:t>
      </w:r>
      <w:r>
        <w:rPr>
          <w:noProof/>
        </w:rPr>
        <w:tab/>
      </w:r>
      <w:r w:rsidR="003731B6">
        <w:rPr>
          <w:noProof/>
        </w:rPr>
        <w:fldChar w:fldCharType="begin"/>
      </w:r>
      <w:r>
        <w:rPr>
          <w:noProof/>
        </w:rPr>
        <w:instrText xml:space="preserve"> PAGEREF _Toc227139348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52. QDA cross-validation histogram</w:t>
      </w:r>
      <w:r>
        <w:rPr>
          <w:noProof/>
        </w:rPr>
        <w:tab/>
      </w:r>
      <w:r w:rsidR="003731B6">
        <w:rPr>
          <w:noProof/>
        </w:rPr>
        <w:fldChar w:fldCharType="begin"/>
      </w:r>
      <w:r>
        <w:rPr>
          <w:noProof/>
        </w:rPr>
        <w:instrText xml:space="preserve"> PAGEREF _Toc227139349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53. Descriptive statistics - QDA holdout misses</w:t>
      </w:r>
      <w:r>
        <w:rPr>
          <w:noProof/>
        </w:rPr>
        <w:tab/>
      </w:r>
      <w:r w:rsidR="003731B6">
        <w:rPr>
          <w:noProof/>
        </w:rPr>
        <w:fldChar w:fldCharType="begin"/>
      </w:r>
      <w:r>
        <w:rPr>
          <w:noProof/>
        </w:rPr>
        <w:instrText xml:space="preserve"> PAGEREF _Toc227139350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54. QDA holdout misses quartiles</w:t>
      </w:r>
      <w:r>
        <w:rPr>
          <w:noProof/>
        </w:rPr>
        <w:tab/>
      </w:r>
      <w:r w:rsidR="003731B6">
        <w:rPr>
          <w:noProof/>
        </w:rPr>
        <w:fldChar w:fldCharType="begin"/>
      </w:r>
      <w:r>
        <w:rPr>
          <w:noProof/>
        </w:rPr>
        <w:instrText xml:space="preserve"> PAGEREF _Toc227139351 \h </w:instrText>
      </w:r>
      <w:r w:rsidR="0024354B">
        <w:rPr>
          <w:noProof/>
        </w:rPr>
      </w:r>
      <w:r w:rsidR="003731B6">
        <w:rPr>
          <w:noProof/>
        </w:rPr>
        <w:fldChar w:fldCharType="separate"/>
      </w:r>
      <w:r w:rsidR="001633BC">
        <w:rPr>
          <w:noProof/>
        </w:rPr>
        <w:t>90</w:t>
      </w:r>
      <w:r w:rsidR="003731B6">
        <w:rPr>
          <w:noProof/>
        </w:rPr>
        <w:fldChar w:fldCharType="end"/>
      </w:r>
    </w:p>
    <w:p w:rsidR="0011094E" w:rsidRDefault="0011094E">
      <w:pPr>
        <w:pStyle w:val="TableofFigures"/>
        <w:tabs>
          <w:tab w:val="right" w:leader="dot" w:pos="9350"/>
        </w:tabs>
        <w:rPr>
          <w:rFonts w:asciiTheme="minorHAnsi" w:eastAsiaTheme="minorEastAsia" w:hAnsiTheme="minorHAnsi"/>
          <w:noProof/>
          <w:szCs w:val="24"/>
        </w:rPr>
      </w:pPr>
      <w:r>
        <w:rPr>
          <w:noProof/>
        </w:rPr>
        <w:t>Figure 55. QDA holdout misses histogram</w:t>
      </w:r>
      <w:r>
        <w:rPr>
          <w:noProof/>
        </w:rPr>
        <w:tab/>
      </w:r>
      <w:r w:rsidR="003731B6">
        <w:rPr>
          <w:noProof/>
        </w:rPr>
        <w:fldChar w:fldCharType="begin"/>
      </w:r>
      <w:r>
        <w:rPr>
          <w:noProof/>
        </w:rPr>
        <w:instrText xml:space="preserve"> PAGEREF _Toc227139352 \h </w:instrText>
      </w:r>
      <w:r w:rsidR="0024354B">
        <w:rPr>
          <w:noProof/>
        </w:rPr>
      </w:r>
      <w:r w:rsidR="003731B6">
        <w:rPr>
          <w:noProof/>
        </w:rPr>
        <w:fldChar w:fldCharType="separate"/>
      </w:r>
      <w:r w:rsidR="001633BC">
        <w:rPr>
          <w:noProof/>
        </w:rPr>
        <w:t>90</w:t>
      </w:r>
      <w:r w:rsidR="003731B6">
        <w:rPr>
          <w:noProof/>
        </w:rPr>
        <w:fldChar w:fldCharType="end"/>
      </w:r>
    </w:p>
    <w:p w:rsidR="003F0E63" w:rsidRPr="00406C81" w:rsidRDefault="003731B6" w:rsidP="00406C81">
      <w:pPr>
        <w:rPr>
          <w:sz w:val="28"/>
        </w:rPr>
        <w:sectPr w:rsidR="003F0E63" w:rsidRPr="00406C81">
          <w:footerReference w:type="even" r:id="rId5"/>
          <w:footerReference w:type="default" r:id="rId6"/>
          <w:pgSz w:w="12240" w:h="15840"/>
          <w:pgMar w:top="1440" w:right="1440" w:bottom="1440" w:left="1440" w:gutter="0"/>
          <w:pgNumType w:fmt="lowerRoman" w:start="1"/>
          <w:titlePg/>
          <w:docGrid w:linePitch="360"/>
        </w:sectPr>
      </w:pPr>
      <w:r>
        <w:rPr>
          <w:sz w:val="28"/>
        </w:rPr>
        <w:fldChar w:fldCharType="end"/>
      </w:r>
    </w:p>
    <w:p w:rsidR="007A368B" w:rsidRDefault="007A368B" w:rsidP="00410AF5">
      <w:pPr>
        <w:pStyle w:val="Heading1"/>
      </w:pPr>
      <w:bookmarkStart w:id="0" w:name="_Toc220641825"/>
      <w:bookmarkStart w:id="1" w:name="_Toc222419105"/>
      <w:bookmarkStart w:id="2" w:name="_Toc227982475"/>
      <w:r>
        <w:t>INTRODUCTION</w:t>
      </w:r>
      <w:bookmarkEnd w:id="2"/>
    </w:p>
    <w:p w:rsidR="008E5EFC" w:rsidRDefault="007A368B" w:rsidP="007A368B">
      <w:r>
        <w:tab/>
      </w:r>
      <w:r w:rsidR="007E539D">
        <w:t>Metric analysis of population affinity has</w:t>
      </w:r>
      <w:r w:rsidR="00D631FA">
        <w:t xml:space="preserve"> been a large part of biometric studies throughout the </w:t>
      </w:r>
      <w:r w:rsidR="007E539D">
        <w:t>20</w:t>
      </w:r>
      <w:r w:rsidR="007E539D" w:rsidRPr="007E539D">
        <w:rPr>
          <w:vertAlign w:val="superscript"/>
        </w:rPr>
        <w:t>th</w:t>
      </w:r>
      <w:r w:rsidR="007E539D">
        <w:t xml:space="preserve"> century.  Many early statisticians – such as Pearson, Fisher, and Mahalanobis – conducted statistical analyses of population and taxonomic affinity.  In fact, </w:t>
      </w:r>
      <w:r w:rsidR="003731B6">
        <w:fldChar w:fldCharType="begin"/>
      </w:r>
      <w:r w:rsidR="007E539D">
        <w:instrText xml:space="preserve"> ADDIN EN.CITE &lt;EndNote&gt;&lt;Cite AuthorYear="1"&gt;&lt;Author&gt;Pearson&lt;/Author&gt;&lt;Year&gt;1926&lt;/Year&gt;&lt;RecNum&gt;380&lt;/RecNum&gt;&lt;DisplayText&gt;Pearson (1926)&lt;/DisplayText&gt;&lt;record&gt;&lt;rec-number&gt;380&lt;/rec-number&gt;&lt;foreign-keys&gt;&lt;key app="EN" db-id="20frpf5eyrpavaevz925sv9t29f5epa9pd2z"&gt;380&lt;/key&gt;&lt;/foreign-keys&gt;&lt;ref-type name="Journal Article"&gt;17&lt;/ref-type&gt;&lt;contributors&gt;&lt;authors&gt;&lt;author&gt;Pearson, Karl&lt;/author&gt;&lt;/authors&gt;&lt;/contributors&gt;&lt;titles&gt;&lt;title&gt;On the coefficient of racial likeness&lt;/title&gt;&lt;/titles&gt;&lt;pages&gt;105-117&lt;/pages&gt;&lt;volume&gt;18&lt;/volume&gt;&lt;number&gt;1&lt;/number&gt;&lt;dates&gt;&lt;year&gt;1926&lt;/year&gt;&lt;/dates&gt;&lt;publisher&gt;JSTOR&lt;/publisher&gt;&lt;accession-num&gt;16994456919148833683related:k6uLCIdw2OsJ&lt;/accession-num&gt;&lt;label&gt;r05727&lt;/label&gt;&lt;urls&gt;&lt;related-urls&gt;&lt;url&gt;http://www.jstor.org/stable/10.2307/2332498&lt;/url&gt;&lt;/related-urls&gt;&lt;pdf-urls&gt;&lt;url&gt;file://localhost/Users/mercergm/Library/Application%20Support/Papers2/Articles/1926/Pearson/1926%20Pearson.pdf&lt;/url&gt;&lt;/pdf-urls&gt;&lt;/urls&gt;&lt;custom3&gt;papers2://publication/uuid/33D3CC89-AEC6-4B92-A42D-04373218BC28&lt;/custom3&gt;&lt;/record&gt;&lt;/Cite&gt;&lt;/EndNote&gt;</w:instrText>
      </w:r>
      <w:r w:rsidR="003731B6">
        <w:fldChar w:fldCharType="separate"/>
      </w:r>
      <w:hyperlink w:anchor="_ENREF_45" w:tooltip="Pearson, 1926 #380" w:history="1">
        <w:r w:rsidR="001633BC">
          <w:rPr>
            <w:noProof/>
          </w:rPr>
          <w:t>Pearson (1926</w:t>
        </w:r>
      </w:hyperlink>
      <w:r w:rsidR="007E539D">
        <w:rPr>
          <w:noProof/>
        </w:rPr>
        <w:t>)</w:t>
      </w:r>
      <w:r w:rsidR="003731B6">
        <w:fldChar w:fldCharType="end"/>
      </w:r>
      <w:r w:rsidR="007E539D">
        <w:t xml:space="preserve"> developed the Coefficient of Racial Likeness specifically for craniologists and physical anthropologists to use in estimating population affinity from craniometric variables.  Though </w:t>
      </w:r>
      <w:r w:rsidR="00F31D11">
        <w:t xml:space="preserve">Mahalanobis later revealed </w:t>
      </w:r>
      <w:r w:rsidR="007E539D">
        <w:t>problems with this statist</w:t>
      </w:r>
      <w:r w:rsidR="00653D15">
        <w:t>ic (other than the name itself), it played a role in the eventual developments of the Mahalanobis distance</w:t>
      </w:r>
      <w:r w:rsidR="00AC05DD">
        <w:t xml:space="preserve"> </w:t>
      </w:r>
      <w:r w:rsidR="003731B6">
        <w:fldChar w:fldCharType="begin"/>
      </w:r>
      <w:r w:rsidR="00AC05DD">
        <w:instrText xml:space="preserve"> ADDIN EN.CITE &lt;EndNote&gt;&lt;Cite&gt;&lt;Author&gt;Mahalanobis&lt;/Author&gt;&lt;Year&gt;1936&lt;/Year&gt;&lt;RecNum&gt;391&lt;/RecNum&gt;&lt;DisplayText&gt;(Mahalanobis, 1936)&lt;/DisplayText&gt;&lt;record&gt;&lt;rec-number&gt;391&lt;/rec-number&gt;&lt;foreign-keys&gt;&lt;key app="EN" db-id="20frpf5eyrpavaevz925sv9t29f5epa9pd2z"&gt;391&lt;/key&gt;&lt;/foreign-keys&gt;&lt;ref-type name="Journal Article"&gt;17&lt;/ref-type&gt;&lt;contributors&gt;&lt;authors&gt;&lt;author&gt;Mahalanobis, P C&lt;/author&gt;&lt;/authors&gt;&lt;/contributors&gt;&lt;titles&gt;&lt;title&gt;On the generalized distance in statistics&lt;/title&gt;&lt;secondary-title&gt;Proceedings of the National Academy of Sciences of India&lt;/secondary-title&gt;&lt;/titles&gt;&lt;periodical&gt;&lt;full-title&gt;Proceedings of the National Academy of Sciences of India&lt;/full-title&gt;&lt;/periodical&gt;&lt;pages&gt;49-55&lt;/pages&gt;&lt;volume&gt;2&lt;/volume&gt;&lt;number&gt;1&lt;/number&gt;&lt;dates&gt;&lt;year&gt;1936&lt;/year&gt;&lt;/dates&gt;&lt;urls&gt;&lt;/urls&gt;&lt;/record&gt;&lt;/Cite&gt;&lt;/EndNote&gt;</w:instrText>
      </w:r>
      <w:r w:rsidR="003731B6">
        <w:fldChar w:fldCharType="separate"/>
      </w:r>
      <w:r w:rsidR="00AC05DD">
        <w:rPr>
          <w:noProof/>
        </w:rPr>
        <w:t>(</w:t>
      </w:r>
      <w:hyperlink w:anchor="_ENREF_37" w:tooltip="Mahalanobis, 1936 #391" w:history="1">
        <w:r w:rsidR="001633BC">
          <w:rPr>
            <w:noProof/>
          </w:rPr>
          <w:t>Mahalanobis, 1936</w:t>
        </w:r>
      </w:hyperlink>
      <w:r w:rsidR="00AC05DD">
        <w:rPr>
          <w:noProof/>
        </w:rPr>
        <w:t>)</w:t>
      </w:r>
      <w:r w:rsidR="003731B6">
        <w:fldChar w:fldCharType="end"/>
      </w:r>
      <w:r w:rsidR="00653D15">
        <w:t xml:space="preserve"> and the method of linear discriminant analysis</w:t>
      </w:r>
      <w:r w:rsidR="008E5EFC">
        <w:t xml:space="preserve"> </w:t>
      </w:r>
      <w:r w:rsidR="003731B6">
        <w:fldChar w:fldCharType="begin"/>
      </w:r>
      <w:r w:rsidR="008E5EFC">
        <w:instrText xml:space="preserve"> ADDIN EN.CITE &lt;EndNote&gt;&lt;Cite&gt;&lt;Author&gt;Huberty&lt;/Author&gt;&lt;Year&gt;2006&lt;/Year&gt;&lt;RecNum&gt;85&lt;/RecNum&gt;&lt;DisplayText&gt;(Huberty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sidR="008E5EFC">
        <w:rPr>
          <w:noProof/>
        </w:rPr>
        <w:t>(</w:t>
      </w:r>
      <w:hyperlink w:anchor="_ENREF_27" w:tooltip="Huberty, 2006 #85" w:history="1">
        <w:r w:rsidR="001633BC">
          <w:rPr>
            <w:noProof/>
          </w:rPr>
          <w:t>Huberty and Olejnik, 2006</w:t>
        </w:r>
      </w:hyperlink>
      <w:r w:rsidR="008E5EFC">
        <w:rPr>
          <w:noProof/>
        </w:rPr>
        <w:t>)</w:t>
      </w:r>
      <w:r w:rsidR="003731B6">
        <w:fldChar w:fldCharType="end"/>
      </w:r>
      <w:r w:rsidR="00653D15">
        <w:t>.</w:t>
      </w:r>
    </w:p>
    <w:p w:rsidR="000D334D" w:rsidRDefault="008E5EFC" w:rsidP="007A368B">
      <w:r>
        <w:tab/>
        <w:t>Linear discriminant analysis</w:t>
      </w:r>
      <w:r w:rsidR="006B1CE9">
        <w:t xml:space="preserve"> (LDA)</w:t>
      </w:r>
      <w:r w:rsidR="000F4238">
        <w:t>,</w:t>
      </w:r>
      <w:r>
        <w:t xml:space="preserve"> developed by </w:t>
      </w:r>
      <w:r w:rsidR="003731B6">
        <w:fldChar w:fldCharType="begin"/>
      </w:r>
      <w:r w:rsidR="000F4238">
        <w:instrText xml:space="preserve"> ADDIN EN.CITE &lt;EndNote&gt;&lt;Cite AuthorYear="1"&gt;&lt;Author&gt;Fisher&lt;/Author&gt;&lt;Year&gt;1936&lt;/Year&gt;&lt;RecNum&gt;378&lt;/RecNum&gt;&lt;DisplayText&gt;Fisher (1936)&lt;/DisplayText&gt;&lt;record&gt;&lt;rec-number&gt;378&lt;/rec-number&gt;&lt;foreign-keys&gt;&lt;key app="EN" db-id="20frpf5eyrpavaevz925sv9t29f5epa9pd2z"&gt;378&lt;/key&gt;&lt;/foreign-keys&gt;&lt;ref-type name="Journal Article"&gt;17&lt;/ref-type&gt;&lt;contributors&gt;&lt;authors&gt;&lt;author&gt;Fisher, Ronald A&lt;/author&gt;&lt;/authors&gt;&lt;/contributors&gt;&lt;titles&gt;&lt;title&gt;The use of multiple measurements in taxonomic problems&lt;/title&gt;&lt;/titles&gt;&lt;pages&gt;179-188&lt;/pages&gt;&lt;volume&gt;7&lt;/volume&gt;&lt;number&gt;2&lt;/number&gt;&lt;dates&gt;&lt;year&gt;1936&lt;/year&gt;&lt;/dates&gt;&lt;publisher&gt;Wiley Online Library&lt;/publisher&gt;&lt;accession-num&gt;15090188139262381453related:jQ2MUikea9EJ&lt;/accession-num&gt;&lt;label&gt;r05725&lt;/label&gt;&lt;urls&gt;&lt;related-urls&gt;&lt;url&gt;http://onlinelibrary.wiley.com/doi/10.1111/j.1469-1809.1936.tb02137.x/abstract&lt;/url&gt;&lt;/related-urls&gt;&lt;pdf-urls&gt;&lt;url&gt;file://localhost/Users/mercergm/Library/Application%20Support/Papers2/Articles/1936/Fisher/Annals%20of%20Eugenics%201936%20Fisher.pdf&lt;/url&gt;&lt;/pdf-urls&gt;&lt;/urls&gt;&lt;custom3&gt;papers2://publication/uuid/17D7449D-07EB-479D-9F6F-98F5C805372D&lt;/custom3&gt;&lt;/record&gt;&lt;/Cite&gt;&lt;/EndNote&gt;</w:instrText>
      </w:r>
      <w:r w:rsidR="003731B6">
        <w:fldChar w:fldCharType="separate"/>
      </w:r>
      <w:hyperlink w:anchor="_ENREF_17" w:tooltip="Fisher, 1936 #378" w:history="1">
        <w:r w:rsidR="001633BC">
          <w:rPr>
            <w:noProof/>
          </w:rPr>
          <w:t>Fisher (1936</w:t>
        </w:r>
      </w:hyperlink>
      <w:r w:rsidR="000F4238">
        <w:rPr>
          <w:noProof/>
        </w:rPr>
        <w:t>)</w:t>
      </w:r>
      <w:r w:rsidR="003731B6">
        <w:fldChar w:fldCharType="end"/>
      </w:r>
      <w:r w:rsidR="000F4238">
        <w:t>, is still a commonly used</w:t>
      </w:r>
      <w:r w:rsidR="006E7F63">
        <w:t xml:space="preserve"> multivariate</w:t>
      </w:r>
      <w:r w:rsidR="000F4238">
        <w:t xml:space="preserve"> statistical method for predicting group membership from numeric variables.  It was first applied to the topic of ancestry estimation from craniometric variables by </w:t>
      </w:r>
      <w:r w:rsidR="003731B6">
        <w:fldChar w:fldCharType="begin"/>
      </w:r>
      <w:r w:rsidR="000F4238">
        <w:instrText xml:space="preserve"> ADDIN EN.CITE &lt;EndNote&gt;&lt;Cite AuthorYear="1"&gt;&lt;Author&gt;Giles&lt;/Author&gt;&lt;Year&gt;1962&lt;/Year&gt;&lt;RecNum&gt;70&lt;/RecNum&gt;&lt;DisplayText&gt;Giles and Elliot (1962)&lt;/DisplayText&gt;&lt;record&gt;&lt;rec-number&gt;70&lt;/rec-number&gt;&lt;foreign-keys&gt;&lt;key app="EN" db-id="20frpf5eyrpavaevz925sv9t29f5epa9pd2z"&gt;70&lt;/key&gt;&lt;/foreign-keys&gt;&lt;ref-type name="Journal Article"&gt;17&lt;/ref-type&gt;&lt;contributors&gt;&lt;authors&gt;&lt;author&gt;Giles, Eugene&lt;/author&gt;&lt;author&gt;Elliot, Orville&lt;/author&gt;&lt;/authors&gt;&lt;/contributors&gt;&lt;titles&gt;&lt;title&gt;Race identification from cranial measurements&lt;/title&gt;&lt;secondary-title&gt;Journal of Forensic Sciences&lt;/secondary-title&gt;&lt;/titles&gt;&lt;periodical&gt;&lt;full-title&gt;Journal of Forensic Sciences&lt;/full-title&gt;&lt;/periodical&gt;&lt;pages&gt;147-157&lt;/pages&gt;&lt;volume&gt;7&lt;/volume&gt;&lt;number&gt;2&lt;/number&gt;&lt;dates&gt;&lt;year&gt;1962&lt;/year&gt;&lt;/dates&gt;&lt;urls&gt;&lt;/urls&gt;&lt;/record&gt;&lt;/Cite&gt;&lt;/EndNote&gt;</w:instrText>
      </w:r>
      <w:r w:rsidR="003731B6">
        <w:fldChar w:fldCharType="separate"/>
      </w:r>
      <w:hyperlink w:anchor="_ENREF_19" w:tooltip="Giles, 1962 #70" w:history="1">
        <w:r w:rsidR="001633BC">
          <w:rPr>
            <w:noProof/>
          </w:rPr>
          <w:t>Giles and Elliot (1962</w:t>
        </w:r>
      </w:hyperlink>
      <w:r w:rsidR="000F4238">
        <w:rPr>
          <w:noProof/>
        </w:rPr>
        <w:t>)</w:t>
      </w:r>
      <w:r w:rsidR="003731B6">
        <w:fldChar w:fldCharType="end"/>
      </w:r>
      <w:r w:rsidR="000F4238">
        <w:t xml:space="preserve">.  Their study provided a set of discriminant functions that other anthropologists could use to estimate American White, American Black, or </w:t>
      </w:r>
      <w:r w:rsidR="0007777E">
        <w:t>American Indian</w:t>
      </w:r>
      <w:r w:rsidR="000F4238">
        <w:t xml:space="preserve"> affiliation of males and females.</w:t>
      </w:r>
      <w:r w:rsidR="000A513E">
        <w:t xml:space="preserve">  </w:t>
      </w:r>
      <w:r w:rsidR="006B1CE9">
        <w:t>LDA</w:t>
      </w:r>
      <w:r w:rsidR="000A513E">
        <w:t xml:space="preserve"> is still widely used in biological anthropology to analyze and evaluate population differences </w:t>
      </w:r>
      <w:r w:rsidR="00602097">
        <w:t xml:space="preserve">and </w:t>
      </w:r>
      <w:r w:rsidR="00CA016C">
        <w:t>estimat</w:t>
      </w:r>
      <w:r w:rsidR="00602097">
        <w:t xml:space="preserve">e </w:t>
      </w:r>
      <w:r w:rsidR="000A513E">
        <w:t xml:space="preserve">population affinity.  </w:t>
      </w:r>
      <w:r w:rsidR="009F3D2D">
        <w:t xml:space="preserve">It is the method of prediction used by FORDISC </w:t>
      </w:r>
      <w:r w:rsidR="003731B6">
        <w:fldChar w:fldCharType="begin"/>
      </w:r>
      <w:r w:rsidR="00AA0116">
        <w:instrText xml:space="preserve"> ADDIN EN.CITE &lt;EndNote&gt;&lt;Cite&gt;&lt;Author&gt;Ousley&lt;/Author&gt;&lt;Year&gt;2005&lt;/Year&gt;&lt;RecNum&gt;367&lt;/RecNum&gt;&lt;DisplayText&gt;(Ousley and Jantz, 2005)&lt;/DisplayText&gt;&lt;record&gt;&lt;rec-number&gt;367&lt;/rec-number&gt;&lt;foreign-keys&gt;&lt;key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Knoxville&lt;/publisher&gt;&lt;urls&gt;&lt;/urls&gt;&lt;/record&gt;&lt;/Cite&gt;&lt;/EndNote&gt;</w:instrText>
      </w:r>
      <w:r w:rsidR="003731B6">
        <w:fldChar w:fldCharType="separate"/>
      </w:r>
      <w:r w:rsidR="00AA0116">
        <w:rPr>
          <w:noProof/>
        </w:rPr>
        <w:t>(</w:t>
      </w:r>
      <w:hyperlink w:anchor="_ENREF_43" w:tooltip="Ousley, 2005 #367" w:history="1">
        <w:r w:rsidR="001633BC">
          <w:rPr>
            <w:noProof/>
          </w:rPr>
          <w:t>Ousley and Jantz, 2005</w:t>
        </w:r>
      </w:hyperlink>
      <w:r w:rsidR="00AA0116">
        <w:rPr>
          <w:noProof/>
        </w:rPr>
        <w:t>)</w:t>
      </w:r>
      <w:r w:rsidR="003731B6">
        <w:fldChar w:fldCharType="end"/>
      </w:r>
      <w:r w:rsidR="00AA0116">
        <w:t xml:space="preserve">, </w:t>
      </w:r>
      <w:r w:rsidR="003D4FD8">
        <w:t xml:space="preserve">a </w:t>
      </w:r>
      <w:r w:rsidR="00602097">
        <w:t>computer program designed to estimate ancestry and other biological characteristics</w:t>
      </w:r>
      <w:r w:rsidR="00AA0116">
        <w:t>.</w:t>
      </w:r>
    </w:p>
    <w:p w:rsidR="0086277B" w:rsidRDefault="000D334D" w:rsidP="0086277B">
      <w:r>
        <w:tab/>
      </w:r>
      <w:r w:rsidR="00E57FAE">
        <w:t xml:space="preserve">Though </w:t>
      </w:r>
      <w:r w:rsidR="006B1CE9">
        <w:t>LDA</w:t>
      </w:r>
      <w:r>
        <w:t xml:space="preserve"> has been useful in biolo</w:t>
      </w:r>
      <w:r w:rsidR="00E57FAE">
        <w:t xml:space="preserve">gical and forensic anthropology, it makes mathematical assumptions pertaining to data distributions that can invalidate results if violated.  </w:t>
      </w:r>
      <w:r>
        <w:t xml:space="preserve"> </w:t>
      </w:r>
      <w:r w:rsidR="00E57FAE">
        <w:t>It assumes that the data for each group included in the analysis are multivariate normally distributed and that the groups have equal covariance matrices.  O</w:t>
      </w:r>
      <w:r>
        <w:t>ther discriminant analysis techniques</w:t>
      </w:r>
      <w:r w:rsidR="006853AE">
        <w:t xml:space="preserve"> – such as k-nearest neighbor analysis</w:t>
      </w:r>
      <w:r w:rsidR="006B1CE9">
        <w:t xml:space="preserve"> (KNN)</w:t>
      </w:r>
      <w:r w:rsidR="006853AE">
        <w:t>, quadratic discriminant analysis</w:t>
      </w:r>
      <w:r w:rsidR="006B1CE9">
        <w:t xml:space="preserve"> (QDA)</w:t>
      </w:r>
      <w:r w:rsidR="006853AE">
        <w:t>, and classification trees</w:t>
      </w:r>
      <w:r w:rsidR="006B1CE9">
        <w:t xml:space="preserve"> (CT)</w:t>
      </w:r>
      <w:r w:rsidR="006853AE">
        <w:t xml:space="preserve"> –</w:t>
      </w:r>
      <w:r>
        <w:t xml:space="preserve"> have</w:t>
      </w:r>
      <w:r w:rsidR="00E57FAE">
        <w:t xml:space="preserve"> since</w:t>
      </w:r>
      <w:r>
        <w:t xml:space="preserve"> become a</w:t>
      </w:r>
      <w:r w:rsidR="00E57FAE">
        <w:t xml:space="preserve">n option, but </w:t>
      </w:r>
      <w:r w:rsidR="006853AE">
        <w:t>remain</w:t>
      </w:r>
      <w:r w:rsidR="00E57FAE">
        <w:t xml:space="preserve"> mostly</w:t>
      </w:r>
      <w:r w:rsidR="006853AE">
        <w:t xml:space="preserve"> unevaluated </w:t>
      </w:r>
      <w:r w:rsidR="00EC6047">
        <w:t>in the context of</w:t>
      </w:r>
      <w:r w:rsidR="006853AE">
        <w:t xml:space="preserve"> forensic craniometric ancestry estimation</w:t>
      </w:r>
      <w:r w:rsidR="00E57FAE">
        <w:t xml:space="preserve">.  </w:t>
      </w:r>
      <w:r w:rsidR="002F6FD5">
        <w:t>KNN</w:t>
      </w:r>
      <w:r w:rsidR="006853AE">
        <w:t xml:space="preserve"> </w:t>
      </w:r>
      <w:r w:rsidR="00E57FAE">
        <w:t xml:space="preserve">is an </w:t>
      </w:r>
      <w:r w:rsidR="000B290D">
        <w:t>exce</w:t>
      </w:r>
      <w:r w:rsidR="00E57FAE">
        <w:t xml:space="preserve">ption that </w:t>
      </w:r>
      <w:r w:rsidR="006853AE">
        <w:t>has bee</w:t>
      </w:r>
      <w:r w:rsidR="00790A66">
        <w:t>n applied in past studies (e.g., Ousley et al., 2009).</w:t>
      </w:r>
      <w:r w:rsidR="00713309">
        <w:t xml:space="preserve">  </w:t>
      </w:r>
      <w:r w:rsidR="00E57FAE">
        <w:t>The above</w:t>
      </w:r>
      <w:r w:rsidR="00713309">
        <w:t xml:space="preserve"> mentioned </w:t>
      </w:r>
      <w:r w:rsidR="00E57FAE">
        <w:t>discriminant analyses</w:t>
      </w:r>
      <w:r w:rsidR="00713309">
        <w:t xml:space="preserve"> have assumptions of their own</w:t>
      </w:r>
      <w:r w:rsidR="00E57FAE">
        <w:t xml:space="preserve"> that</w:t>
      </w:r>
      <w:r w:rsidR="00713309">
        <w:t xml:space="preserve"> </w:t>
      </w:r>
      <w:r w:rsidR="00B31857">
        <w:t>differ</w:t>
      </w:r>
      <w:r w:rsidR="00713309">
        <w:t xml:space="preserve"> from those of </w:t>
      </w:r>
      <w:r w:rsidR="00DD41B4">
        <w:t>LDA</w:t>
      </w:r>
      <w:r w:rsidR="002F6FD5">
        <w:t>, which may justify their use in situations where LDA’s assumptions are violated.</w:t>
      </w:r>
      <w:r w:rsidR="00CC5F57">
        <w:t xml:space="preserve">  For example, QDA assumes multivariate normality, but does not require equal covariances.  Therefore, QDA may b</w:t>
      </w:r>
      <w:r w:rsidR="00D15D27">
        <w:t>e a more appropriate method in</w:t>
      </w:r>
      <w:r w:rsidR="00CC5F57">
        <w:t xml:space="preserve"> situation</w:t>
      </w:r>
      <w:r w:rsidR="00D15D27">
        <w:t>s</w:t>
      </w:r>
      <w:r w:rsidR="00CC5F57">
        <w:t xml:space="preserve"> where data have multivariate normal distributions, but unequal covariance</w:t>
      </w:r>
      <w:r w:rsidR="00D15D27">
        <w:t>s</w:t>
      </w:r>
      <w:r w:rsidR="00CC5F57">
        <w:t>.</w:t>
      </w:r>
      <w:r w:rsidR="00B31876">
        <w:t xml:space="preserve">  </w:t>
      </w:r>
      <w:r w:rsidR="004908A9">
        <w:t xml:space="preserve">The importance of validating LDA’s assumptions has been mentioned by </w:t>
      </w:r>
      <w:r w:rsidR="003731B6">
        <w:fldChar w:fldCharType="begin"/>
      </w:r>
      <w:r w:rsidR="00721795">
        <w:instrText xml:space="preserve"> ADDIN EN.CITE &lt;EndNote&gt;&lt;Cite AuthorYear="1"&gt;&lt;Author&gt;Feldesman&lt;/Author&gt;&lt;Year&gt;2002&lt;/Year&gt;&lt;RecNum&gt;199&lt;/RecNum&gt;&lt;DisplayText&gt;Feldesman (2002)&lt;/DisplayText&gt;&lt;record&gt;&lt;rec-number&gt;199&lt;/rec-number&gt;&lt;foreign-keys&gt;&lt;key app="EN" db-id="20frpf5eyrpavaevz925sv9t29f5epa9pd2z"&gt;199&lt;/key&gt;&lt;/foreign-keys&gt;&lt;ref-type name="Journal Article"&gt;17&lt;/ref-type&gt;&lt;contributors&gt;&lt;authors&gt;&lt;author&gt;Feldesman, MR&lt;/author&gt;&lt;/authors&gt;&lt;/contributors&gt;&lt;titles&gt;&lt;title&gt;Classification trees as an alternative to linear discriminant analysis&lt;/title&gt;&lt;secondary-title&gt;American Journal of Physical Anthropology&lt;/secondary-title&gt;&lt;/titles&gt;&lt;periodical&gt;&lt;full-title&gt;American Journal of Physical Anthropology&lt;/full-title&gt;&lt;/periodical&gt;&lt;pages&gt;257-275&lt;/pages&gt;&lt;volume&gt;119&lt;/volume&gt;&lt;dates&gt;&lt;year&gt;2002&lt;/year&gt;&lt;/dates&gt;&lt;accession-num&gt;1169532793528322810related:-gptF-EDOxAJ&lt;/accession-num&gt;&lt;label&gt;r03359&lt;/label&gt;&lt;urls&gt;&lt;related-urls&gt;&lt;url&gt;http://onlinelibrary.wiley.com/doi/10.1002/ajpa.10102/abstract&lt;/url&gt;&lt;/related-urls&gt;&lt;pdf-urls&gt;&lt;url&gt;file://localhost/Users/mercergm/Library/Application%20Support/Papers2/Articles/2002/Feldesman/Am.%20J.%20Phys.%20Anthropol.%202002%20Feldesman.pdf&lt;/url&gt;&lt;/pdf-urls&gt;&lt;/urls&gt;&lt;custom3&gt;papers2://publication/uuid/EA3E1F34-5015-4302-A907-39A67616B1D2&lt;/custom3&gt;&lt;/record&gt;&lt;/Cite&gt;&lt;/EndNote&gt;</w:instrText>
      </w:r>
      <w:r w:rsidR="003731B6">
        <w:fldChar w:fldCharType="separate"/>
      </w:r>
      <w:hyperlink w:anchor="_ENREF_15" w:tooltip="Feldesman, 2002 #199" w:history="1">
        <w:r w:rsidR="001633BC">
          <w:rPr>
            <w:noProof/>
          </w:rPr>
          <w:t>Feldesman (2002</w:t>
        </w:r>
      </w:hyperlink>
      <w:r w:rsidR="004908A9">
        <w:rPr>
          <w:noProof/>
        </w:rPr>
        <w:t>)</w:t>
      </w:r>
      <w:r w:rsidR="003731B6">
        <w:fldChar w:fldCharType="end"/>
      </w:r>
      <w:r w:rsidR="004908A9">
        <w:t xml:space="preserve">.  Unfortunately, the same article points out that </w:t>
      </w:r>
      <w:r w:rsidR="00E667D4">
        <w:t>few analyses using LDA</w:t>
      </w:r>
      <w:r w:rsidR="004908A9">
        <w:t xml:space="preserve"> test its assumptions or even recognize them to begin with.</w:t>
      </w:r>
      <w:r w:rsidR="00E667D4">
        <w:t xml:space="preserve">  </w:t>
      </w:r>
      <w:r w:rsidR="003731B6">
        <w:fldChar w:fldCharType="begin"/>
      </w:r>
      <w:r w:rsidR="00721795">
        <w:instrText xml:space="preserve"> ADDIN EN.CITE &lt;EndNote&gt;&lt;Cite AuthorYear="1"&gt;&lt;Author&gt;Feldesman&lt;/Author&gt;&lt;Year&gt;2002&lt;/Year&gt;&lt;RecNum&gt;199&lt;/RecNum&gt;&lt;DisplayText&gt;Feldesman (2002)&lt;/DisplayText&gt;&lt;record&gt;&lt;rec-number&gt;199&lt;/rec-number&gt;&lt;foreign-keys&gt;&lt;key app="EN" db-id="20frpf5eyrpavaevz925sv9t29f5epa9pd2z"&gt;199&lt;/key&gt;&lt;/foreign-keys&gt;&lt;ref-type name="Journal Article"&gt;17&lt;/ref-type&gt;&lt;contributors&gt;&lt;authors&gt;&lt;author&gt;Feldesman, MR&lt;/author&gt;&lt;/authors&gt;&lt;/contributors&gt;&lt;titles&gt;&lt;title&gt;Classification trees as an alternative to linear discriminant analysis&lt;/title&gt;&lt;secondary-title&gt;American Journal of Physical Anthropology&lt;/secondary-title&gt;&lt;/titles&gt;&lt;periodical&gt;&lt;full-title&gt;American Journal of Physical Anthropology&lt;/full-title&gt;&lt;/periodical&gt;&lt;pages&gt;257-275&lt;/pages&gt;&lt;volume&gt;119&lt;/volume&gt;&lt;dates&gt;&lt;year&gt;2002&lt;/year&gt;&lt;/dates&gt;&lt;accession-num&gt;1169532793528322810related:-gptF-EDOxAJ&lt;/accession-num&gt;&lt;label&gt;r03359&lt;/label&gt;&lt;urls&gt;&lt;related-urls&gt;&lt;url&gt;http://onlinelibrary.wiley.com/doi/10.1002/ajpa.10102/abstract&lt;/url&gt;&lt;/related-urls&gt;&lt;pdf-urls&gt;&lt;url&gt;file://localhost/Users/mercergm/Library/Application%20Support/Papers2/Articles/2002/Feldesman/Am.%20J.%20Phys.%20Anthropol.%202002%20Feldesman.pdf&lt;/url&gt;&lt;/pdf-urls&gt;&lt;/urls&gt;&lt;custom3&gt;papers2://publication/uuid/EA3E1F34-5015-4302-A907-39A67616B1D2&lt;/custom3&gt;&lt;/record&gt;&lt;/Cite&gt;&lt;/EndNote&gt;</w:instrText>
      </w:r>
      <w:r w:rsidR="003731B6">
        <w:fldChar w:fldCharType="separate"/>
      </w:r>
      <w:hyperlink w:anchor="_ENREF_15" w:tooltip="Feldesman, 2002 #199" w:history="1">
        <w:r w:rsidR="001633BC">
          <w:rPr>
            <w:noProof/>
          </w:rPr>
          <w:t>Feldesman (2002</w:t>
        </w:r>
      </w:hyperlink>
      <w:r w:rsidR="00E667D4">
        <w:rPr>
          <w:noProof/>
        </w:rPr>
        <w:t>)</w:t>
      </w:r>
      <w:r w:rsidR="003731B6">
        <w:fldChar w:fldCharType="end"/>
      </w:r>
      <w:r w:rsidR="00E667D4">
        <w:t xml:space="preserve"> states that many researchers simply proce</w:t>
      </w:r>
      <w:r w:rsidR="007D4678">
        <w:t>ed</w:t>
      </w:r>
      <w:r w:rsidR="00E667D4">
        <w:t xml:space="preserve"> with a</w:t>
      </w:r>
      <w:r w:rsidR="0054638F">
        <w:t>n</w:t>
      </w:r>
      <w:r w:rsidR="00E667D4">
        <w:t xml:space="preserve"> LDA assuming that the assumptions are not violated.</w:t>
      </w:r>
      <w:r w:rsidR="00402DE0">
        <w:t xml:space="preserve">  </w:t>
      </w:r>
    </w:p>
    <w:p w:rsidR="006F1E7B" w:rsidRDefault="005D1273" w:rsidP="0086277B">
      <w:pPr>
        <w:ind w:firstLine="720"/>
      </w:pPr>
      <w:r>
        <w:t>The purpose of this analysis is to evaluate the assumptions and performances of LDA, QDA, KNN, and CT in forensic ancestry estimation using craniometric variables.  Q</w:t>
      </w:r>
      <w:r w:rsidR="00A65A59">
        <w:t xml:space="preserve">uadratic discriminant analysis </w:t>
      </w:r>
      <w:r>
        <w:t>is</w:t>
      </w:r>
      <w:r w:rsidR="00A65A59">
        <w:t xml:space="preserve"> a method that requires multivariate normal distributions, but does not</w:t>
      </w:r>
      <w:r>
        <w:t xml:space="preserve"> assume homogeneity of variance.</w:t>
      </w:r>
      <w:r w:rsidR="00A65A59">
        <w:t xml:space="preserve"> </w:t>
      </w:r>
      <w:r>
        <w:t xml:space="preserve"> K-nearest neighbor analysis is</w:t>
      </w:r>
      <w:r w:rsidR="00A65A59">
        <w:t xml:space="preserve"> a nonparametric method that does not assume multivariate normality, but does assume homogeneity of variance</w:t>
      </w:r>
      <w:r>
        <w:t>.  Classification trees are</w:t>
      </w:r>
      <w:r w:rsidR="00A65A59">
        <w:t xml:space="preserve"> discriminant method</w:t>
      </w:r>
      <w:r>
        <w:t>s</w:t>
      </w:r>
      <w:r w:rsidR="00A65A59">
        <w:t xml:space="preserve"> that makes no distributional or variance assumptions.</w:t>
      </w:r>
      <w:r>
        <w:t xml:space="preserve">  </w:t>
      </w:r>
      <w:r w:rsidR="00BF1B04">
        <w:t xml:space="preserve">Data consisting of craniometric measurements on contemporary human groups from the Forensic Data Bank </w:t>
      </w:r>
      <w:r w:rsidR="003731B6">
        <w:fldChar w:fldCharType="begin"/>
      </w:r>
      <w:r w:rsidR="00BF1B04">
        <w:instrText xml:space="preserve"> ADDIN EN.CITE &lt;EndNote&gt;&lt;Cite&gt;&lt;Author&gt;Jantz&lt;/Author&gt;&lt;Year&gt;1987&lt;/Year&gt;&lt;RecNum&gt;82&lt;/RecNum&gt;&lt;DisplayText&gt;(Jantz and Moore-Jansen, 1987)&lt;/DisplayText&gt;&lt;record&gt;&lt;rec-number&gt;82&lt;/rec-number&gt;&lt;foreign-keys&gt;&lt;key app="EN" db-id="20frpf5eyrpavaevz925sv9t29f5epa9pd2z"&gt;82&lt;/key&gt;&lt;/foreign-keys&gt;&lt;ref-type name="Book"&gt;6&lt;/ref-type&gt;&lt;contributors&gt;&lt;authors&gt;&lt;author&gt;Jantz, R. L.&lt;/author&gt;&lt;author&gt;Moore-Jansen, P. H.&lt;/author&gt;&lt;/authors&gt;&lt;/contributors&gt;&lt;titles&gt;&lt;title&gt;A data base for forensic anthropology&lt;/title&gt;&lt;/titles&gt;&lt;dates&gt;&lt;year&gt;1987&lt;/year&gt;&lt;/dates&gt;&lt;pub-location&gt;Knoxville, TN&lt;/pub-location&gt;&lt;publisher&gt;The University of Tennessee&lt;/publisher&gt;&lt;urls&gt;&lt;/urls&gt;&lt;/record&gt;&lt;/Cite&gt;&lt;/EndNote&gt;</w:instrText>
      </w:r>
      <w:r w:rsidR="003731B6">
        <w:fldChar w:fldCharType="separate"/>
      </w:r>
      <w:r w:rsidR="00BF1B04">
        <w:rPr>
          <w:noProof/>
        </w:rPr>
        <w:t>(</w:t>
      </w:r>
      <w:hyperlink w:anchor="_ENREF_31" w:tooltip="Jantz, 1987 #82" w:history="1">
        <w:r w:rsidR="001633BC">
          <w:rPr>
            <w:noProof/>
          </w:rPr>
          <w:t>Jantz and Moore-Jansen, 1987</w:t>
        </w:r>
      </w:hyperlink>
      <w:r w:rsidR="00BF1B04">
        <w:rPr>
          <w:noProof/>
        </w:rPr>
        <w:t>)</w:t>
      </w:r>
      <w:r w:rsidR="003731B6">
        <w:fldChar w:fldCharType="end"/>
      </w:r>
      <w:r w:rsidR="00BF1B04">
        <w:t xml:space="preserve"> will be used.  The performances, advantages, and disadvantage of the methods will be compared and discussed.  Recommendation</w:t>
      </w:r>
      <w:r w:rsidR="005F7607">
        <w:t>s</w:t>
      </w:r>
      <w:r w:rsidR="00BF1B04">
        <w:t xml:space="preserve"> for future use and research will be made based upon these criteria.</w:t>
      </w:r>
    </w:p>
    <w:p w:rsidR="006F1E7B" w:rsidRDefault="006F1E7B" w:rsidP="007A368B"/>
    <w:p w:rsidR="006F1E7B" w:rsidRDefault="006F1E7B" w:rsidP="007A368B"/>
    <w:p w:rsidR="006F1E7B" w:rsidRDefault="006F1E7B" w:rsidP="007A368B"/>
    <w:p w:rsidR="006F1E7B" w:rsidRDefault="006F1E7B" w:rsidP="007A368B"/>
    <w:p w:rsidR="006F1E7B" w:rsidRDefault="006F1E7B" w:rsidP="007A368B"/>
    <w:p w:rsidR="006F1E7B" w:rsidRDefault="006F1E7B" w:rsidP="007A368B"/>
    <w:p w:rsidR="006F1E7B" w:rsidRDefault="006F1E7B" w:rsidP="007A368B"/>
    <w:p w:rsidR="00AB3113" w:rsidRDefault="00AB3113" w:rsidP="007A368B"/>
    <w:p w:rsidR="00AB3113" w:rsidRDefault="00AB3113" w:rsidP="007A368B"/>
    <w:p w:rsidR="00AB3113" w:rsidRDefault="00AB3113" w:rsidP="007A368B"/>
    <w:p w:rsidR="00AB3113" w:rsidRDefault="00AB3113" w:rsidP="007A368B"/>
    <w:p w:rsidR="00AB3113" w:rsidRDefault="00AB3113" w:rsidP="007A368B"/>
    <w:p w:rsidR="00AB3113" w:rsidRDefault="00AB3113" w:rsidP="007A368B"/>
    <w:p w:rsidR="008F59A3" w:rsidRDefault="008F59A3" w:rsidP="007A368B"/>
    <w:p w:rsidR="008F59A3" w:rsidRDefault="008F59A3" w:rsidP="007A368B"/>
    <w:p w:rsidR="007A368B" w:rsidRPr="007A368B" w:rsidRDefault="007A368B" w:rsidP="007A368B"/>
    <w:p w:rsidR="00844D4E" w:rsidRPr="00280123" w:rsidRDefault="00844D4E" w:rsidP="00410AF5">
      <w:pPr>
        <w:pStyle w:val="Heading1"/>
      </w:pPr>
      <w:bookmarkStart w:id="3" w:name="_Toc227982476"/>
      <w:r>
        <w:t>C</w:t>
      </w:r>
      <w:r w:rsidR="00EC596A">
        <w:t>HAPTER</w:t>
      </w:r>
      <w:r w:rsidR="0024354B">
        <w:t xml:space="preserve"> I</w:t>
      </w:r>
      <w:r>
        <w:br/>
      </w:r>
      <w:bookmarkEnd w:id="0"/>
      <w:r w:rsidR="00EC596A">
        <w:t>LITERATURE REVIEW</w:t>
      </w:r>
      <w:bookmarkEnd w:id="1"/>
      <w:bookmarkEnd w:id="3"/>
    </w:p>
    <w:p w:rsidR="00844D4E" w:rsidRDefault="00844D4E" w:rsidP="00410AF5">
      <w:pPr>
        <w:pStyle w:val="Heading2"/>
      </w:pPr>
      <w:bookmarkStart w:id="4" w:name="_Toc220641826"/>
      <w:bookmarkStart w:id="5" w:name="_Toc222419106"/>
      <w:bookmarkStart w:id="6" w:name="_Toc227982477"/>
      <w:r w:rsidRPr="006A7918">
        <w:t>Early Statistical Explorations of Human Variation</w:t>
      </w:r>
      <w:bookmarkEnd w:id="4"/>
      <w:bookmarkEnd w:id="5"/>
      <w:bookmarkEnd w:id="6"/>
    </w:p>
    <w:p w:rsidR="00844D4E" w:rsidRDefault="00844D4E" w:rsidP="00844D4E">
      <w:pPr>
        <w:ind w:firstLine="720"/>
      </w:pPr>
      <w:r>
        <w:t xml:space="preserve">Giles and Elliot </w:t>
      </w:r>
      <w:r w:rsidR="003731B6">
        <w:fldChar w:fldCharType="begin"/>
      </w:r>
      <w:r>
        <w:instrText xml:space="preserve"> ADDIN EN.CITE &lt;EndNote&gt;&lt;Cite ExcludeAuth="1"&gt;&lt;Author&gt;Giles&lt;/Author&gt;&lt;Year&gt;1962&lt;/Year&gt;&lt;RecNum&gt;70&lt;/RecNum&gt;&lt;DisplayText&gt;(1962)&lt;/DisplayText&gt;&lt;record&gt;&lt;rec-number&gt;70&lt;/rec-number&gt;&lt;foreign-keys&gt;&lt;key app="EN" db-id="20frpf5eyrpavaevz925sv9t29f5epa9pd2z"&gt;70&lt;/key&gt;&lt;/foreign-keys&gt;&lt;ref-type name="Journal Article"&gt;17&lt;/ref-type&gt;&lt;contributors&gt;&lt;authors&gt;&lt;author&gt;Giles, Eugene&lt;/author&gt;&lt;author&gt;Elliot, Orville&lt;/author&gt;&lt;/authors&gt;&lt;/contributors&gt;&lt;titles&gt;&lt;title&gt;Race identification from cranial measurements&lt;/title&gt;&lt;secondary-title&gt;Journal of Forensic Sciences&lt;/secondary-title&gt;&lt;/titles&gt;&lt;periodical&gt;&lt;full-title&gt;Journal of Forensic Sciences&lt;/full-title&gt;&lt;/periodical&gt;&lt;pages&gt;147-157&lt;/pages&gt;&lt;volume&gt;7&lt;/volume&gt;&lt;number&gt;2&lt;/number&gt;&lt;dates&gt;&lt;year&gt;1962&lt;/year&gt;&lt;/dates&gt;&lt;urls&gt;&lt;/urls&gt;&lt;/record&gt;&lt;/Cite&gt;&lt;/EndNote&gt;</w:instrText>
      </w:r>
      <w:r w:rsidR="003731B6">
        <w:fldChar w:fldCharType="separate"/>
      </w:r>
      <w:r>
        <w:rPr>
          <w:noProof/>
        </w:rPr>
        <w:t>(</w:t>
      </w:r>
      <w:hyperlink w:anchor="_ENREF_19" w:tooltip="Giles, 1962 #70" w:history="1">
        <w:r w:rsidR="001633BC">
          <w:rPr>
            <w:noProof/>
          </w:rPr>
          <w:t>1962</w:t>
        </w:r>
      </w:hyperlink>
      <w:r>
        <w:rPr>
          <w:noProof/>
        </w:rPr>
        <w:t>)</w:t>
      </w:r>
      <w:r w:rsidR="003731B6">
        <w:fldChar w:fldCharType="end"/>
      </w:r>
      <w:r>
        <w:t xml:space="preserve"> were the first </w:t>
      </w:r>
      <w:r w:rsidR="00C82920">
        <w:t>anthropologists</w:t>
      </w:r>
      <w:r>
        <w:t xml:space="preserve"> to use multivariate statistical analysis in an attempt to </w:t>
      </w:r>
      <w:r w:rsidR="00C82920">
        <w:t>estimate</w:t>
      </w:r>
      <w:r>
        <w:t xml:space="preserve"> race; their inquiry </w:t>
      </w:r>
      <w:r w:rsidR="00C82920">
        <w:t>focused on</w:t>
      </w:r>
      <w:r>
        <w:t xml:space="preserve"> the identification of American Blacks, American Whites, and </w:t>
      </w:r>
      <w:r w:rsidR="00C82920">
        <w:t>American Indians</w:t>
      </w:r>
      <w:r>
        <w:t>.  Th</w:t>
      </w:r>
      <w:r w:rsidR="00935025">
        <w:t>ey believed the cranium provided</w:t>
      </w:r>
      <w:r>
        <w:t xml:space="preserve"> the best indication of race.  Thus, they conducted a</w:t>
      </w:r>
      <w:r w:rsidR="005C4E1A">
        <w:t>n LDA</w:t>
      </w:r>
      <w:r>
        <w:t xml:space="preserve"> on 225 males and 225 females using eight cranial variables:  glabello-occipital length; maximum cranial width; basion-bregma height; maximum bi-zygomatic diameter; prosthion-nasion height; basion-nasion; basion-prosthion; and nasal breadth.  The analysis resulted in the generation of four discriminant functions, two for each sex, which predicted American White versus American Black and American White versus </w:t>
      </w:r>
      <w:r w:rsidR="0004110E">
        <w:t>Native American</w:t>
      </w:r>
      <w:r>
        <w:t xml:space="preserve">.  Giles and Elliot </w:t>
      </w:r>
      <w:r w:rsidR="003731B6">
        <w:fldChar w:fldCharType="begin"/>
      </w:r>
      <w:r>
        <w:instrText xml:space="preserve"> ADDIN EN.CITE &lt;EndNote&gt;&lt;Cite ExcludeAuth="1"&gt;&lt;Author&gt;Giles&lt;/Author&gt;&lt;Year&gt;1962&lt;/Year&gt;&lt;RecNum&gt;70&lt;/RecNum&gt;&lt;DisplayText&gt;(1962)&lt;/DisplayText&gt;&lt;record&gt;&lt;rec-number&gt;70&lt;/rec-number&gt;&lt;foreign-keys&gt;&lt;key app="EN" db-id="20frpf5eyrpavaevz925sv9t29f5epa9pd2z"&gt;70&lt;/key&gt;&lt;/foreign-keys&gt;&lt;ref-type name="Journal Article"&gt;17&lt;/ref-type&gt;&lt;contributors&gt;&lt;authors&gt;&lt;author&gt;Giles, Eugene&lt;/author&gt;&lt;author&gt;Elliot, Orville&lt;/author&gt;&lt;/authors&gt;&lt;/contributors&gt;&lt;titles&gt;&lt;title&gt;Race identification from cranial measurements&lt;/title&gt;&lt;secondary-title&gt;Journal of Forensic Sciences&lt;/secondary-title&gt;&lt;/titles&gt;&lt;periodical&gt;&lt;full-title&gt;Journal of Forensic Sciences&lt;/full-title&gt;&lt;/periodical&gt;&lt;pages&gt;147-157&lt;/pages&gt;&lt;volume&gt;7&lt;/volume&gt;&lt;number&gt;2&lt;/number&gt;&lt;dates&gt;&lt;year&gt;1962&lt;/year&gt;&lt;/dates&gt;&lt;urls&gt;&lt;/urls&gt;&lt;/record&gt;&lt;/Cite&gt;&lt;/EndNote&gt;</w:instrText>
      </w:r>
      <w:r w:rsidR="003731B6">
        <w:fldChar w:fldCharType="separate"/>
      </w:r>
      <w:r>
        <w:rPr>
          <w:noProof/>
        </w:rPr>
        <w:t>(</w:t>
      </w:r>
      <w:hyperlink w:anchor="_ENREF_19" w:tooltip="Giles, 1962 #70" w:history="1">
        <w:r w:rsidR="001633BC">
          <w:rPr>
            <w:noProof/>
          </w:rPr>
          <w:t>1962</w:t>
        </w:r>
      </w:hyperlink>
      <w:r>
        <w:rPr>
          <w:noProof/>
        </w:rPr>
        <w:t>)</w:t>
      </w:r>
      <w:r w:rsidR="003731B6">
        <w:fldChar w:fldCharType="end"/>
      </w:r>
      <w:r>
        <w:t xml:space="preserve"> reported high classification rates (</w:t>
      </w:r>
      <w:r w:rsidR="009462B3">
        <w:t>re-substitution</w:t>
      </w:r>
      <w:r>
        <w:t xml:space="preserve"> – 86.7% males, 89.8% females; holdout – 79.8% males, 86.6% females), but subsequent tests of their functions failed to match the reported performance </w:t>
      </w:r>
      <w:r w:rsidR="003731B6">
        <w:fldChar w:fldCharType="begin">
          <w:fldData xml:space="preserve">PEVuZE5vdGU+PENpdGU+PEF1dGhvcj5CaXJrYnk8L0F1dGhvcj48WWVhcj4xOTY2PC9ZZWFyPjxS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</w:fldData>
        </w:fldChar>
      </w:r>
      <w:r w:rsidR="00EB0C79">
        <w:instrText xml:space="preserve"> ADDIN EN.CITE </w:instrText>
      </w:r>
      <w:r w:rsidR="003731B6">
        <w:fldChar w:fldCharType="begin">
          <w:fldData xml:space="preserve">PEVuZE5vdGU+PENpdGU+PEF1dGhvcj5CaXJrYnk8L0F1dGhvcj48WWVhcj4xOTY2PC9ZZWFyPjxS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</w:fldData>
        </w:fldChar>
      </w:r>
      <w:r w:rsidR="00EB0C79">
        <w:instrText xml:space="preserve"> ADDIN EN.CITE.DATA </w:instrText>
      </w:r>
      <w:r w:rsidR="003731B6">
        <w:fldChar w:fldCharType="end"/>
      </w:r>
      <w:r w:rsidR="003731B6">
        <w:fldChar w:fldCharType="separate"/>
      </w:r>
      <w:r w:rsidR="00EB0C79">
        <w:rPr>
          <w:noProof/>
        </w:rPr>
        <w:t>(</w:t>
      </w:r>
      <w:hyperlink w:anchor="_ENREF_7" w:tooltip="Birkby, 1966 #74" w:history="1">
        <w:r w:rsidR="001633BC">
          <w:rPr>
            <w:noProof/>
          </w:rPr>
          <w:t>Birkby, 1966</w:t>
        </w:r>
      </w:hyperlink>
      <w:r w:rsidR="00EB0C79">
        <w:rPr>
          <w:noProof/>
        </w:rPr>
        <w:t xml:space="preserve">; </w:t>
      </w:r>
      <w:hyperlink w:anchor="_ENREF_55" w:tooltip="Snow, 1979 #75" w:history="1">
        <w:r w:rsidR="001633BC">
          <w:rPr>
            <w:noProof/>
          </w:rPr>
          <w:t>Snow</w:t>
        </w:r>
        <w:r w:rsidR="001633BC" w:rsidRPr="00EB0C79">
          <w:rPr>
            <w:i/>
            <w:noProof/>
          </w:rPr>
          <w:t xml:space="preserve"> et al.</w:t>
        </w:r>
        <w:r w:rsidR="001633BC">
          <w:rPr>
            <w:noProof/>
          </w:rPr>
          <w:t>, 1979</w:t>
        </w:r>
      </w:hyperlink>
      <w:r w:rsidR="00EB0C79">
        <w:rPr>
          <w:noProof/>
        </w:rPr>
        <w:t xml:space="preserve">; </w:t>
      </w:r>
      <w:hyperlink w:anchor="_ENREF_5" w:tooltip="Ayers, 1990 #77" w:history="1">
        <w:r w:rsidR="001633BC">
          <w:rPr>
            <w:noProof/>
          </w:rPr>
          <w:t>Ayers</w:t>
        </w:r>
        <w:r w:rsidR="001633BC" w:rsidRPr="00EB0C79">
          <w:rPr>
            <w:i/>
            <w:noProof/>
          </w:rPr>
          <w:t xml:space="preserve"> et al.</w:t>
        </w:r>
        <w:r w:rsidR="001633BC">
          <w:rPr>
            <w:noProof/>
          </w:rPr>
          <w:t>, 1990</w:t>
        </w:r>
      </w:hyperlink>
      <w:r w:rsidR="00EB0C79">
        <w:rPr>
          <w:noProof/>
        </w:rPr>
        <w:t xml:space="preserve">; </w:t>
      </w:r>
      <w:hyperlink w:anchor="_ENREF_18" w:tooltip="Fisher, 1990 #76" w:history="1">
        <w:r w:rsidR="001633BC">
          <w:rPr>
            <w:noProof/>
          </w:rPr>
          <w:t>Fisher and Gill, 1990</w:t>
        </w:r>
      </w:hyperlink>
      <w:r w:rsidR="00EB0C79">
        <w:rPr>
          <w:noProof/>
        </w:rPr>
        <w:t>)</w:t>
      </w:r>
      <w:r w:rsidR="003731B6">
        <w:fldChar w:fldCharType="end"/>
      </w:r>
      <w:r>
        <w:t xml:space="preserve"> The functions’ performance may not have been ideal, but the method of analysis was pioneering </w:t>
      </w:r>
      <w:r w:rsidR="003731B6">
        <w:fldChar w:fldCharType="begin"/>
      </w:r>
      <w:r>
        <w:instrText xml:space="preserve"> ADDIN EN.CITE &lt;EndNote&gt;&lt;Cite&gt;&lt;Author&gt;Iscan&lt;/Author&gt;&lt;Year&gt;1988&lt;/Year&gt;&lt;RecNum&gt;73&lt;/RecNum&gt;&lt;DisplayText&gt;(Iscan, 1988)&lt;/DisplayText&gt;&lt;record&gt;&lt;rec-number&gt;73&lt;/rec-number&gt;&lt;foreign-keys&gt;&lt;key app="EN" db-id="20frpf5eyrpavaevz925sv9t29f5epa9pd2z"&gt;73&lt;/key&gt;&lt;/foreign-keys&gt;&lt;ref-type name="Journal Article"&gt;17&lt;/ref-type&gt;&lt;contributors&gt;&lt;authors&gt;&lt;author&gt;Iscan, Mehmet Yasar&lt;/author&gt;&lt;/authors&gt;&lt;/contributors&gt;&lt;titles&gt;&lt;title&gt;Rise of forensic anthropology&lt;/title&gt;&lt;secondary-title&gt;Yearbook of Physical Anthropology&lt;/secondary-title&gt;&lt;/titles&gt;&lt;periodical&gt;&lt;full-title&gt;Yearbook of Physical Anthropology&lt;/full-title&gt;&lt;/periodical&gt;&lt;pages&gt;203-230&lt;/pages&gt;&lt;volume&gt;31&lt;/volume&gt;&lt;dates&gt;&lt;year&gt;1988&lt;/year&gt;&lt;/dates&gt;&lt;urls&gt;&lt;/urls&gt;&lt;/record&gt;&lt;/Cite&gt;&lt;/EndNote&gt;</w:instrText>
      </w:r>
      <w:r w:rsidR="003731B6">
        <w:fldChar w:fldCharType="separate"/>
      </w:r>
      <w:r>
        <w:rPr>
          <w:noProof/>
        </w:rPr>
        <w:t>(</w:t>
      </w:r>
      <w:hyperlink w:anchor="_ENREF_28" w:tooltip="Iscan, 1988 #73" w:history="1">
        <w:r w:rsidR="001633BC">
          <w:rPr>
            <w:noProof/>
          </w:rPr>
          <w:t>Iscan, 1988</w:t>
        </w:r>
      </w:hyperlink>
      <w:r>
        <w:rPr>
          <w:noProof/>
        </w:rPr>
        <w:t>)</w:t>
      </w:r>
      <w:r w:rsidR="003731B6">
        <w:fldChar w:fldCharType="end"/>
      </w:r>
      <w:r>
        <w:t xml:space="preserve">, it set the stage for future studies of ancestry.  Multivariate statistics, especially LDA, </w:t>
      </w:r>
      <w:r w:rsidR="00A93CDA">
        <w:t>are still relied o</w:t>
      </w:r>
      <w:r>
        <w:t>n</w:t>
      </w:r>
      <w:r w:rsidR="00D80890">
        <w:t xml:space="preserve"> for</w:t>
      </w:r>
      <w:r>
        <w:t xml:space="preserve"> assessing human craniometric variation and ancestry estimation.</w:t>
      </w:r>
    </w:p>
    <w:p w:rsidR="00844D4E" w:rsidRDefault="007D3C30" w:rsidP="00844D4E">
      <w:pPr>
        <w:ind w:firstLine="720"/>
      </w:pPr>
      <w:r>
        <w:t xml:space="preserve">Almost a decade after </w:t>
      </w:r>
      <w:r w:rsidR="003731B6">
        <w:fldChar w:fldCharType="begin"/>
      </w:r>
      <w:r w:rsidR="00F573E0">
        <w:instrText xml:space="preserve"> ADDIN EN.CITE &lt;EndNote&gt;&lt;Cite AuthorYear="1"&gt;&lt;Author&gt;Giles&lt;/Author&gt;&lt;Year&gt;1962&lt;/Year&gt;&lt;RecNum&gt;70&lt;/RecNum&gt;&lt;DisplayText&gt;Giles and Elliot (1962)&lt;/DisplayText&gt;&lt;record&gt;&lt;rec-number&gt;70&lt;/rec-number&gt;&lt;foreign-keys&gt;&lt;key app="EN" db-id="20frpf5eyrpavaevz925sv9t29f5epa9pd2z"&gt;70&lt;/key&gt;&lt;/foreign-keys&gt;&lt;ref-type name="Journal Article"&gt;17&lt;/ref-type&gt;&lt;contributors&gt;&lt;authors&gt;&lt;author&gt;Giles, Eugene&lt;/author&gt;&lt;author&gt;Elliot, Orville&lt;/author&gt;&lt;/authors&gt;&lt;/contributors&gt;&lt;titles&gt;&lt;title&gt;Race identification from cranial measurements&lt;/title&gt;&lt;secondary-title&gt;Journal of Forensic Sciences&lt;/secondary-title&gt;&lt;/titles&gt;&lt;periodical&gt;&lt;full-title&gt;Journal of Forensic Sciences&lt;/full-title&gt;&lt;/periodical&gt;&lt;pages&gt;147-157&lt;/pages&gt;&lt;volume&gt;7&lt;/volume&gt;&lt;number&gt;2&lt;/number&gt;&lt;dates&gt;&lt;year&gt;1962&lt;/year&gt;&lt;/dates&gt;&lt;urls&gt;&lt;/urls&gt;&lt;/record&gt;&lt;/Cite&gt;&lt;/EndNote&gt;</w:instrText>
      </w:r>
      <w:r w:rsidR="003731B6">
        <w:fldChar w:fldCharType="separate"/>
      </w:r>
      <w:hyperlink w:anchor="_ENREF_19" w:tooltip="Giles, 1962 #70" w:history="1">
        <w:r w:rsidR="001633BC">
          <w:rPr>
            <w:noProof/>
          </w:rPr>
          <w:t>Giles and Elliot (1962</w:t>
        </w:r>
      </w:hyperlink>
      <w:r w:rsidR="00F573E0">
        <w:rPr>
          <w:noProof/>
        </w:rPr>
        <w:t>)</w:t>
      </w:r>
      <w:r w:rsidR="003731B6">
        <w:fldChar w:fldCharType="end"/>
      </w:r>
      <w:r w:rsidR="00844D4E">
        <w:t xml:space="preserve"> W. W. Howells published the results of an extensive investigation of global human craniometric variation </w:t>
      </w:r>
      <w:r w:rsidR="003731B6">
        <w:fldChar w:fldCharType="begin"/>
      </w:r>
      <w:r w:rsidR="00844D4E">
        <w:instrText xml:space="preserve"> ADDIN EN.CITE &lt;EndNote&gt;&lt;Cite&gt;&lt;Author&gt;Howells&lt;/Author&gt;&lt;Year&gt;1973&lt;/Year&gt;&lt;RecNum&gt;60&lt;/RecNum&gt;&lt;DisplayText&gt;(Howells, 1973)&lt;/DisplayText&gt;&lt;record&gt;&lt;rec-number&gt;60&lt;/rec-number&gt;&lt;foreign-keys&gt;&lt;key app="EN" db-id="20frpf5eyrpavaevz925sv9t29f5epa9pd2z"&gt;60&lt;/key&gt;&lt;/foreign-keys&gt;&lt;ref-type name="Manuscript"&gt;36&lt;/ref-type&gt;&lt;contributors&gt;&lt;authors&gt;&lt;author&gt;Howells, W. W.&lt;/author&gt;&lt;/authors&gt;&lt;/contributors&gt;&lt;titles&gt;&lt;title&gt;Cranial variation in man&lt;/title&gt;&lt;secondary-title&gt;Papers of the Peabody Museum of Archaeology and Ethnology&lt;/secondary-title&gt;&lt;/titles&gt;&lt;pages&gt;1-259&lt;/pages&gt;&lt;volume&gt;67&lt;/volume&gt;&lt;dates&gt;&lt;year&gt;1973&lt;/year&gt;&lt;/dates&gt;&lt;pub-location&gt;Cambridge, MA&lt;/pub-location&gt;&lt;urls&gt;&lt;/urls&gt;&lt;/record&gt;&lt;/Cite&gt;&lt;/EndNote&gt;</w:instrText>
      </w:r>
      <w:r w:rsidR="003731B6">
        <w:fldChar w:fldCharType="separate"/>
      </w:r>
      <w:r w:rsidR="00844D4E">
        <w:rPr>
          <w:noProof/>
        </w:rPr>
        <w:t>(</w:t>
      </w:r>
      <w:hyperlink w:anchor="_ENREF_24" w:tooltip="Howells, 1973 #60" w:history="1">
        <w:r w:rsidR="001633BC">
          <w:rPr>
            <w:noProof/>
          </w:rPr>
          <w:t>Howells, 1973</w:t>
        </w:r>
      </w:hyperlink>
      <w:r w:rsidR="00844D4E">
        <w:rPr>
          <w:noProof/>
        </w:rPr>
        <w:t>)</w:t>
      </w:r>
      <w:r w:rsidR="003731B6">
        <w:fldChar w:fldCharType="end"/>
      </w:r>
      <w:r w:rsidR="00844D4E">
        <w:t>.  This study sought to establish a basis for comparison of skulls by constructing a sample of total cranial variation and subjecting it to multivariate analyses.  Howells’s main question was whether differences in cranial form among populations are based upon the same factors as differences within populations.  His goals</w:t>
      </w:r>
      <w:r w:rsidR="00594E19">
        <w:t xml:space="preserve"> were to find variables that could</w:t>
      </w:r>
      <w:r w:rsidR="00844D4E">
        <w:t xml:space="preserve"> differentiate populations in terms of cranial shape and to describe how shape differs across populations.  His sample contained 1,652 crania of individuals from 17 populations distributed across </w:t>
      </w:r>
      <w:r w:rsidR="0005224F">
        <w:t xml:space="preserve">five major geographic regions: </w:t>
      </w:r>
      <w:r w:rsidR="00844D4E">
        <w:t>Europe; Africa; Asia; the Pacific; and Ame</w:t>
      </w:r>
      <w:r w:rsidR="004B71A6">
        <w:t>rica.  Howells collected data comprising</w:t>
      </w:r>
      <w:r w:rsidR="00844D4E">
        <w:t xml:space="preserve"> 70 measurements and angles and used them in a variety of multivariate analyses, such as LDA and cluster analysis.  Though Howells </w:t>
      </w:r>
      <w:r w:rsidR="003731B6">
        <w:fldChar w:fldCharType="begin"/>
      </w:r>
      <w:r w:rsidR="00844D4E">
        <w:instrText xml:space="preserve"> ADDIN EN.CITE &lt;EndNote&gt;&lt;Cite ExcludeAuth="1"&gt;&lt;Author&gt;Howells&lt;/Author&gt;&lt;Year&gt;1973&lt;/Year&gt;&lt;RecNum&gt;60&lt;/RecNum&gt;&lt;DisplayText&gt;(1973)&lt;/DisplayText&gt;&lt;record&gt;&lt;rec-number&gt;60&lt;/rec-number&gt;&lt;foreign-keys&gt;&lt;key app="EN" db-id="20frpf5eyrpavaevz925sv9t29f5epa9pd2z"&gt;60&lt;/key&gt;&lt;/foreign-keys&gt;&lt;ref-type name="Manuscript"&gt;36&lt;/ref-type&gt;&lt;contributors&gt;&lt;authors&gt;&lt;author&gt;Howells, W. W.&lt;/author&gt;&lt;/authors&gt;&lt;/contributors&gt;&lt;titles&gt;&lt;title&gt;Cranial variation in man&lt;/title&gt;&lt;secondary-title&gt;Papers of the Peabody Museum of Archaeology and Ethnology&lt;/secondary-title&gt;&lt;/titles&gt;&lt;pages&gt;1-259&lt;/pages&gt;&lt;volume&gt;67&lt;/volume&gt;&lt;dates&gt;&lt;year&gt;1973&lt;/year&gt;&lt;/dates&gt;&lt;pub-location&gt;Cambridge, MA&lt;/pub-location&gt;&lt;urls&gt;&lt;/urls&gt;&lt;/record&gt;&lt;/Cite&gt;&lt;/EndNote&gt;</w:instrText>
      </w:r>
      <w:r w:rsidR="003731B6">
        <w:fldChar w:fldCharType="separate"/>
      </w:r>
      <w:r w:rsidR="00844D4E">
        <w:rPr>
          <w:noProof/>
        </w:rPr>
        <w:t>(</w:t>
      </w:r>
      <w:hyperlink w:anchor="_ENREF_24" w:tooltip="Howells, 1973 #60" w:history="1">
        <w:r w:rsidR="001633BC">
          <w:rPr>
            <w:noProof/>
          </w:rPr>
          <w:t>1973</w:t>
        </w:r>
      </w:hyperlink>
      <w:r w:rsidR="00844D4E">
        <w:rPr>
          <w:noProof/>
        </w:rPr>
        <w:t>)</w:t>
      </w:r>
      <w:r w:rsidR="003731B6">
        <w:fldChar w:fldCharType="end"/>
      </w:r>
      <w:r w:rsidR="00844D4E">
        <w:t xml:space="preserve"> </w:t>
      </w:r>
      <w:r w:rsidR="004B71A6">
        <w:t>acknowledged</w:t>
      </w:r>
      <w:r w:rsidR="0034692C">
        <w:t xml:space="preserve"> that his sample missed</w:t>
      </w:r>
      <w:r w:rsidR="00844D4E">
        <w:t xml:space="preserve"> Southeast Asia and large populations, such as China and India, his results still showed a geographic patterning to human cranial variation.</w:t>
      </w:r>
    </w:p>
    <w:p w:rsidR="00844D4E" w:rsidRPr="00D52A10" w:rsidRDefault="00844D4E" w:rsidP="00844D4E">
      <w:r>
        <w:tab/>
        <w:t xml:space="preserve">Howells published another influential study in 1989, where he explored whether </w:t>
      </w:r>
      <w:r w:rsidR="008D57AF">
        <w:t>sets of characteristics</w:t>
      </w:r>
      <w:r>
        <w:t xml:space="preserve"> can disting</w:t>
      </w:r>
      <w:r w:rsidR="003E26C4">
        <w:t>uish a given population from</w:t>
      </w:r>
      <w:r>
        <w:t xml:space="preserve"> others and whether there are traits specific to geographic regions.  This time he specified six world regions, which he i</w:t>
      </w:r>
      <w:r w:rsidR="0005224F">
        <w:t xml:space="preserve">dentified as: </w:t>
      </w:r>
      <w:r>
        <w:t xml:space="preserve">Europe; Africa (sub-Saharan); the Far East (Japan and China); Australo-Melanesia; Polynesia; and America.  He sampled 18 populations, </w:t>
      </w:r>
      <w:r w:rsidR="000D1D05">
        <w:t>each region represented by</w:t>
      </w:r>
      <w:r>
        <w:t xml:space="preserve"> </w:t>
      </w:r>
      <w:r w:rsidR="000D1D05">
        <w:t>three groups</w:t>
      </w:r>
      <w:r>
        <w:t>.  If distinguishing characteristics</w:t>
      </w:r>
      <w:r w:rsidR="006A3818">
        <w:t xml:space="preserve"> were apparent, Howells</w:t>
      </w:r>
      <w:r>
        <w:t xml:space="preserve"> wanted to know whether they reflect</w:t>
      </w:r>
      <w:r w:rsidR="006A3818">
        <w:t>ed</w:t>
      </w:r>
      <w:r>
        <w:t xml:space="preserve"> ancient separations of regional groups or recent microevolution.  He conducted his analysis by subjecting the C-scores (describing cranial shape, while controlling for size) of 57 cranial measurements for each individual to cluster analysis and Q-mode analysis.  His results revealed patterned regional variation in cranial shape, supporting his 1973 findings.  However, Howells </w:t>
      </w:r>
      <w:r w:rsidR="003731B6">
        <w:fldChar w:fldCharType="begin"/>
      </w:r>
      <w:r>
        <w:instrText xml:space="preserve"> ADDIN EN.CITE &lt;EndNote&gt;&lt;Cite ExcludeAuth="1"&gt;&lt;Author&gt;Howells&lt;/Author&gt;&lt;Year&gt;1989&lt;/Year&gt;&lt;RecNum&gt;61&lt;/RecNum&gt;&lt;DisplayText&gt;(1989)&lt;/DisplayText&gt;&lt;record&gt;&lt;rec-number&gt;61&lt;/rec-number&gt;&lt;foreign-keys&gt;&lt;key app="EN" db-id="20frpf5eyrpavaevz925sv9t29f5epa9pd2z"&gt;61&lt;/key&gt;&lt;/foreign-keys&gt;&lt;ref-type name="Manuscript"&gt;36&lt;/ref-type&gt;&lt;contributors&gt;&lt;authors&gt;&lt;author&gt;Howells, W. W.&lt;/author&gt;&lt;/authors&gt;&lt;/contributors&gt;&lt;titles&gt;&lt;title&gt;Skull shpaes and the map&lt;/title&gt;&lt;secondary-title&gt;Papers of the Peabody Museum of Archaeology and Ethnology&lt;/secondary-title&gt;&lt;/titles&gt;&lt;pages&gt;1-189&lt;/pages&gt;&lt;volume&gt;79&lt;/volume&gt;&lt;dates&gt;&lt;year&gt;1989&lt;/year&gt;&lt;/dates&gt;&lt;pub-location&gt;Cambridge, MA&lt;/pub-location&gt;&lt;urls&gt;&lt;/urls&gt;&lt;/record&gt;&lt;/Cite&gt;&lt;/EndNote&gt;</w:instrText>
      </w:r>
      <w:r w:rsidR="003731B6">
        <w:fldChar w:fldCharType="separate"/>
      </w:r>
      <w:r>
        <w:rPr>
          <w:noProof/>
        </w:rPr>
        <w:t>(</w:t>
      </w:r>
      <w:hyperlink w:anchor="_ENREF_25" w:tooltip="Howells, 1989 #61" w:history="1">
        <w:r w:rsidR="001633BC">
          <w:rPr>
            <w:noProof/>
          </w:rPr>
          <w:t>1989</w:t>
        </w:r>
      </w:hyperlink>
      <w:r>
        <w:rPr>
          <w:noProof/>
        </w:rPr>
        <w:t>)</w:t>
      </w:r>
      <w:r w:rsidR="003731B6">
        <w:fldChar w:fldCharType="end"/>
      </w:r>
      <w:r>
        <w:t xml:space="preserve"> noted that the observed dif</w:t>
      </w:r>
      <w:r w:rsidR="00B919D1">
        <w:t>ferences between populations were</w:t>
      </w:r>
      <w:r>
        <w:t xml:space="preserve"> not great.  He also noted that no individual </w:t>
      </w:r>
      <w:r w:rsidR="00612284">
        <w:t>population or regional group was</w:t>
      </w:r>
      <w:r>
        <w:t xml:space="preserve"> particularly distant or distinguished from the others.  Aside from his results concerning patterned geographic variation, Howells </w:t>
      </w:r>
      <w:r w:rsidR="003731B6">
        <w:fldChar w:fldCharType="begin"/>
      </w:r>
      <w:r>
        <w:instrText xml:space="preserve"> ADDIN EN.CITE &lt;EndNote&gt;&lt;Cite ExcludeAuth="1"&gt;&lt;Author&gt;Howells&lt;/Author&gt;&lt;Year&gt;1973&lt;/Year&gt;&lt;RecNum&gt;60&lt;/RecNum&gt;&lt;DisplayText&gt;(1973;1989)&lt;/DisplayText&gt;&lt;record&gt;&lt;rec-number&gt;60&lt;/rec-number&gt;&lt;foreign-keys&gt;&lt;key app="EN" db-id="20frpf5eyrpavaevz925sv9t29f5epa9pd2z"&gt;60&lt;/key&gt;&lt;/foreign-keys&gt;&lt;ref-type name="Manuscript"&gt;36&lt;/ref-type&gt;&lt;contributors&gt;&lt;authors&gt;&lt;author&gt;Howells, W. W.&lt;/author&gt;&lt;/authors&gt;&lt;/contributors&gt;&lt;titles&gt;&lt;title&gt;Cranial variation in man&lt;/title&gt;&lt;secondary-title&gt;Papers of the Peabody Museum of Archaeology and Ethnology&lt;/secondary-title&gt;&lt;/titles&gt;&lt;pages&gt;1-259&lt;/pages&gt;&lt;volume&gt;67&lt;/volume&gt;&lt;dates&gt;&lt;year&gt;1973&lt;/year&gt;&lt;/dates&gt;&lt;pub-location&gt;Cambridge, MA&lt;/pub-location&gt;&lt;urls&gt;&lt;/urls&gt;&lt;/record&gt;&lt;/Cite&gt;&lt;Cite ExcludeAuth="1"&gt;&lt;Author&gt;Howells&lt;/Author&gt;&lt;Year&gt;1989&lt;/Year&gt;&lt;RecNum&gt;61&lt;/RecNum&gt;&lt;record&gt;&lt;rec-number&gt;61&lt;/rec-number&gt;&lt;foreign-keys&gt;&lt;key app="EN" db-id="20frpf5eyrpavaevz925sv9t29f5epa9pd2z"&gt;61&lt;/key&gt;&lt;/foreign-keys&gt;&lt;ref-type name="Manuscript"&gt;36&lt;/ref-type&gt;&lt;contributors&gt;&lt;authors&gt;&lt;author&gt;Howells, W. W.&lt;/author&gt;&lt;/authors&gt;&lt;/contributors&gt;&lt;titles&gt;&lt;title&gt;Skull shpaes and the map&lt;/title&gt;&lt;secondary-title&gt;Papers of the Peabody Museum of Archaeology and Ethnology&lt;/secondary-title&gt;&lt;/titles&gt;&lt;pages&gt;1-189&lt;/pages&gt;&lt;volume&gt;79&lt;/volume&gt;&lt;dates&gt;&lt;year&gt;1989&lt;/year&gt;&lt;/dates&gt;&lt;pub-location&gt;Cambridge, MA&lt;/pub-location&gt;&lt;urls&gt;&lt;/urls&gt;&lt;/record&gt;&lt;/Cite&gt;&lt;/EndNote&gt;</w:instrText>
      </w:r>
      <w:r w:rsidR="003731B6">
        <w:fldChar w:fldCharType="separate"/>
      </w:r>
      <w:r>
        <w:rPr>
          <w:noProof/>
        </w:rPr>
        <w:t>(</w:t>
      </w:r>
      <w:hyperlink w:anchor="_ENREF_24" w:tooltip="Howells, 1973 #60" w:history="1">
        <w:r w:rsidR="001633BC">
          <w:rPr>
            <w:noProof/>
          </w:rPr>
          <w:t>1973</w:t>
        </w:r>
      </w:hyperlink>
      <w:r>
        <w:rPr>
          <w:noProof/>
        </w:rPr>
        <w:t>;</w:t>
      </w:r>
      <w:hyperlink w:anchor="_ENREF_25" w:tooltip="Howells, 1989 #61" w:history="1">
        <w:r w:rsidR="001633BC">
          <w:rPr>
            <w:noProof/>
          </w:rPr>
          <w:t>1989</w:t>
        </w:r>
      </w:hyperlink>
      <w:r>
        <w:rPr>
          <w:noProof/>
        </w:rPr>
        <w:t>)</w:t>
      </w:r>
      <w:r w:rsidR="003731B6">
        <w:fldChar w:fldCharType="end"/>
      </w:r>
      <w:r>
        <w:t xml:space="preserve"> also contributed useful methodology and a great deal of data that is still used in contemporary discriminant analyses evaluating craniometric variation and population affinity (Sauer and Wankmiller, 2009).</w:t>
      </w:r>
    </w:p>
    <w:p w:rsidR="00844D4E" w:rsidRPr="00410AF5" w:rsidRDefault="00844D4E" w:rsidP="00410AF5">
      <w:pPr>
        <w:pStyle w:val="Heading2"/>
      </w:pPr>
      <w:bookmarkStart w:id="7" w:name="_Toc220641827"/>
      <w:bookmarkStart w:id="8" w:name="_Toc222419107"/>
      <w:bookmarkStart w:id="9" w:name="_Toc227982478"/>
      <w:r w:rsidRPr="006A7918">
        <w:t>Software for Cran</w:t>
      </w:r>
      <w:r>
        <w:t>iometric Assessment of Ancestry</w:t>
      </w:r>
      <w:bookmarkEnd w:id="7"/>
      <w:bookmarkEnd w:id="8"/>
      <w:bookmarkEnd w:id="9"/>
    </w:p>
    <w:p w:rsidR="00844D4E" w:rsidRDefault="001C10C8" w:rsidP="00844D4E">
      <w:pPr>
        <w:ind w:firstLine="720"/>
      </w:pPr>
      <w:r>
        <w:t xml:space="preserve">There are a couple software programs designed for craniometric ancestry estimation.  CRANID, a computer program developed by Richard Wright </w:t>
      </w:r>
      <w:r w:rsidR="003731B6">
        <w:fldChar w:fldCharType="begin"/>
      </w:r>
      <w:r>
        <w:instrText xml:space="preserve"> ADDIN EN.CITE &lt;EndNote&gt;&lt;Cite ExcludeAuth="1"&gt;&lt;Author&gt;Wright&lt;/Author&gt;&lt;Year&gt;1992&lt;/Year&gt;&lt;RecNum&gt;224&lt;/RecNum&gt;&lt;DisplayText&gt;(1992)&lt;/DisplayText&gt;&lt;record&gt;&lt;rec-number&gt;224&lt;/rec-number&gt;&lt;foreign-keys&gt;&lt;key app="EN" db-id="20frpf5eyrpavaevz925sv9t29f5epa9pd2z"&gt;224&lt;/key&gt;&lt;/foreign-keys&gt;&lt;ref-type name="Journal Article"&gt;17&lt;/ref-type&gt;&lt;contributors&gt;&lt;authors&gt;&lt;author&gt;Wright, RVS&lt;/author&gt;&lt;/authors&gt;&lt;/contributors&gt;&lt;titles&gt;&lt;title&gt;Correlation between cranial form and geography in Homo sapiens: CRANID-a computer program for forensic and other applications&lt;/title&gt;&lt;secondary-title&gt;Archaeology in Oceania&lt;/secondary-title&gt;&lt;/titles&gt;&lt;periodical&gt;&lt;full-title&gt;Archaeology in Oceania&lt;/full-title&gt;&lt;/periodical&gt;&lt;pages&gt;128-134&lt;/pages&gt;&lt;dates&gt;&lt;year&gt;1992&lt;/year&gt;&lt;/dates&gt;&lt;publisher&gt;JSTOR&lt;/publisher&gt;&lt;accession-num&gt;6719806089424901208related:WJStBwmMQV0J&lt;/accession-num&gt;&lt;label&gt;r00289&lt;/label&gt;&lt;urls&gt;&lt;related-urls&gt;&lt;url&gt;http://www.jstor.org/stable/10.2307/40386951&lt;/url&gt;&lt;/related-urls&gt;&lt;pdf-urls&gt;&lt;url&gt;file://localhost/Users/mercergm/Library/Application%20Support/Papers2/Articles/1992/Wright/1992%20Wright.pdf&lt;/url&gt;&lt;/pdf-urls&gt;&lt;/urls&gt;&lt;custom3&gt;papers2://publication/uuid/009CA498-D353-4246-A81D-E672B3D1EE5D&lt;/custom3&gt;&lt;/record&gt;&lt;/Cite&gt;&lt;/EndNote&gt;</w:instrText>
      </w:r>
      <w:r w:rsidR="003731B6">
        <w:fldChar w:fldCharType="separate"/>
      </w:r>
      <w:r>
        <w:rPr>
          <w:noProof/>
        </w:rPr>
        <w:t>(</w:t>
      </w:r>
      <w:hyperlink w:anchor="_ENREF_66" w:tooltip="Wright, 1992 #224" w:history="1">
        <w:r w:rsidR="001633BC">
          <w:rPr>
            <w:noProof/>
          </w:rPr>
          <w:t>1992</w:t>
        </w:r>
      </w:hyperlink>
      <w:r>
        <w:rPr>
          <w:noProof/>
        </w:rPr>
        <w:t>)</w:t>
      </w:r>
      <w:r w:rsidR="003731B6">
        <w:fldChar w:fldCharType="end"/>
      </w:r>
      <w:r>
        <w:t xml:space="preserve">, uses Howells’s data to </w:t>
      </w:r>
      <w:r w:rsidR="00844D4E">
        <w:t>classify an unknown cranium into a known population</w:t>
      </w:r>
      <w:r>
        <w:t>.</w:t>
      </w:r>
      <w:r w:rsidR="00844D4E">
        <w:t xml:space="preserve"> </w:t>
      </w:r>
      <w:r>
        <w:t xml:space="preserve"> The goal is</w:t>
      </w:r>
      <w:r w:rsidR="00844D4E">
        <w:t xml:space="preserve"> to assess the geographic origin of the individual in question.  </w:t>
      </w:r>
      <w:r>
        <w:t>CRANID</w:t>
      </w:r>
      <w:r w:rsidR="00844D4E">
        <w:t xml:space="preserve"> was developed primarily for use in forensic cases</w:t>
      </w:r>
      <w:r>
        <w:t xml:space="preserve"> where a decedent is unknown</w:t>
      </w:r>
      <w:r w:rsidR="00844D4E">
        <w:t xml:space="preserve"> </w:t>
      </w:r>
      <w:r w:rsidR="003731B6">
        <w:fldChar w:fldCharType="begin"/>
      </w:r>
      <w:r w:rsidR="00844D4E">
        <w:instrText xml:space="preserve"> ADDIN EN.CITE &lt;EndNote&gt;&lt;Cite&gt;&lt;Author&gt;Wright&lt;/Author&gt;&lt;Year&gt;1992&lt;/Year&gt;&lt;RecNum&gt;224&lt;/RecNum&gt;&lt;DisplayText&gt;(Wright, 1992)&lt;/DisplayText&gt;&lt;record&gt;&lt;rec-number&gt;224&lt;/rec-number&gt;&lt;foreign-keys&gt;&lt;key app="EN" db-id="20frpf5eyrpavaevz925sv9t29f5epa9pd2z"&gt;224&lt;/key&gt;&lt;/foreign-keys&gt;&lt;ref-type name="Journal Article"&gt;17&lt;/ref-type&gt;&lt;contributors&gt;&lt;authors&gt;&lt;author&gt;Wright, RVS&lt;/author&gt;&lt;/authors&gt;&lt;/contributors&gt;&lt;titles&gt;&lt;title&gt;Correlation between cranial form and geography in Homo sapiens: CRANID-a computer program for forensic and other applications&lt;/title&gt;&lt;secondary-title&gt;Archaeology in Oceania&lt;/secondary-title&gt;&lt;/titles&gt;&lt;periodical&gt;&lt;full-title&gt;Archaeology in Oceania&lt;/full-title&gt;&lt;/periodical&gt;&lt;pages&gt;128-134&lt;/pages&gt;&lt;dates&gt;&lt;year&gt;1992&lt;/year&gt;&lt;/dates&gt;&lt;publisher&gt;JSTOR&lt;/publisher&gt;&lt;accession-num&gt;6719806089424901208related:WJStBwmMQV0J&lt;/accession-num&gt;&lt;label&gt;r00289&lt;/label&gt;&lt;urls&gt;&lt;related-urls&gt;&lt;url&gt;http://www.jstor.org/stable/10.2307/40386951&lt;/url&gt;&lt;/related-urls&gt;&lt;pdf-urls&gt;&lt;url&gt;file://localhost/Users/mercergm/Library/Application%20Support/Papers2/Articles/1992/Wright/1992%20Wright.pdf&lt;/url&gt;&lt;/pdf-urls&gt;&lt;/urls&gt;&lt;custom3&gt;papers2://publication/uuid/009CA498-D353-4246-A81D-E672B3D1EE5D&lt;/custom3&gt;&lt;/record&gt;&lt;/Cite&gt;&lt;/EndNote&gt;</w:instrText>
      </w:r>
      <w:r w:rsidR="003731B6">
        <w:fldChar w:fldCharType="separate"/>
      </w:r>
      <w:r w:rsidR="00844D4E">
        <w:rPr>
          <w:noProof/>
        </w:rPr>
        <w:t>(</w:t>
      </w:r>
      <w:hyperlink w:anchor="_ENREF_66" w:tooltip="Wright, 1992 #224" w:history="1">
        <w:r w:rsidR="001633BC">
          <w:rPr>
            <w:noProof/>
          </w:rPr>
          <w:t>Wright, 1992</w:t>
        </w:r>
      </w:hyperlink>
      <w:r w:rsidR="00844D4E">
        <w:rPr>
          <w:noProof/>
        </w:rPr>
        <w:t>)</w:t>
      </w:r>
      <w:r w:rsidR="003731B6">
        <w:fldChar w:fldCharType="end"/>
      </w:r>
      <w:r w:rsidR="00844D4E">
        <w:t>.  It uses 29 variables to describe the shape of the cranium</w:t>
      </w:r>
      <w:r w:rsidR="006C2BF9">
        <w:t>, then compares the shape</w:t>
      </w:r>
      <w:r w:rsidR="00844D4E">
        <w:t xml:space="preserve"> to a reference sample of 2,870 crania from 66 groups </w:t>
      </w:r>
      <w:r w:rsidR="003731B6">
        <w:fldChar w:fldCharType="begin"/>
      </w:r>
      <w:r w:rsidR="00844D4E">
        <w:instrText xml:space="preserve"> ADDIN EN.CITE &lt;EndNote&gt;&lt;Cite&gt;&lt;Author&gt;Wright&lt;/Author&gt;&lt;Year&gt;2008&lt;/Year&gt;&lt;RecNum&gt;357&lt;/RecNum&gt;&lt;DisplayText&gt;(Wright, 2008)&lt;/DisplayText&gt;&lt;record&gt;&lt;rec-number&gt;357&lt;/rec-number&gt;&lt;foreign-keys&gt;&lt;key app="EN" db-id="20frpf5eyrpavaevz925sv9t29f5epa9pd2z"&gt;357&lt;/key&gt;&lt;/foreign-keys&gt;&lt;ref-type name="Book Section"&gt;5&lt;/ref-type&gt;&lt;contributors&gt;&lt;authors&gt;&lt;author&gt;Wright, Richard&lt;/author&gt;&lt;/authors&gt;&lt;secondary-authors&gt;&lt;author&gt;Oxenham, Marc&lt;/author&gt;&lt;/secondary-authors&gt;&lt;/contributors&gt;&lt;titles&gt;&lt;title&gt;Detection of Likely Ancestry Using CRANID&lt;/title&gt;&lt;secondary-title&gt;Forensic Approaches to Death, Disaster, and Abuse&lt;/secondary-title&gt;&lt;/titles&gt;&lt;pages&gt;111-122&lt;/pages&gt;&lt;dates&gt;&lt;year&gt;2008&lt;/year&gt;&lt;/dates&gt;&lt;pub-location&gt;Bowden Hills, Australia&lt;/pub-location&gt;&lt;publisher&gt;Australian Academic Press&lt;/publisher&gt;&lt;label&gt;r05357&lt;/label&gt;&lt;urls&gt;&lt;pdf-urls&gt;&lt;url&gt;file://localhost/Users/mercergm/Library/Application%20Support/Papers2/Books/2008/Wright/2008%20Wright.pdf&lt;/url&gt;&lt;/pdf-urls&gt;&lt;/urls&gt;&lt;custom3&gt;papers2://publication/uuid/1CC09847-92C1-443C-8E89-B2710AEF10E3&lt;/custom3&gt;&lt;/record&gt;&lt;/Cite&gt;&lt;/EndNote&gt;</w:instrText>
      </w:r>
      <w:r w:rsidR="003731B6">
        <w:fldChar w:fldCharType="separate"/>
      </w:r>
      <w:r w:rsidR="00844D4E">
        <w:rPr>
          <w:noProof/>
        </w:rPr>
        <w:t>(</w:t>
      </w:r>
      <w:hyperlink w:anchor="_ENREF_67" w:tooltip="Wright, 2008 #357" w:history="1">
        <w:r w:rsidR="001633BC">
          <w:rPr>
            <w:noProof/>
          </w:rPr>
          <w:t>Wright, 2008</w:t>
        </w:r>
      </w:hyperlink>
      <w:r w:rsidR="00844D4E">
        <w:rPr>
          <w:noProof/>
        </w:rPr>
        <w:t>)</w:t>
      </w:r>
      <w:r w:rsidR="003731B6">
        <w:fldChar w:fldCharType="end"/>
      </w:r>
      <w:r w:rsidR="0054767F">
        <w:t>.  CRANID analyzes</w:t>
      </w:r>
      <w:r w:rsidR="00844D4E">
        <w:t xml:space="preserve"> the crania using principal components analysis, cluster analysis, and k-nearest neighbor analysis, comparing an unknown cranium to its 50 nearest neighbors </w:t>
      </w:r>
      <w:r w:rsidR="003731B6">
        <w:fldChar w:fldCharType="begin"/>
      </w:r>
      <w:r w:rsidR="00844D4E">
        <w:instrText xml:space="preserve"> ADDIN EN.CITE &lt;EndNote&gt;&lt;Cite&gt;&lt;Author&gt;Wright&lt;/Author&gt;&lt;Year&gt;1992&lt;/Year&gt;&lt;RecNum&gt;224&lt;/RecNum&gt;&lt;DisplayText&gt;(Wright, 1992)&lt;/DisplayText&gt;&lt;record&gt;&lt;rec-number&gt;224&lt;/rec-number&gt;&lt;foreign-keys&gt;&lt;key app="EN" db-id="20frpf5eyrpavaevz925sv9t29f5epa9pd2z"&gt;224&lt;/key&gt;&lt;/foreign-keys&gt;&lt;ref-type name="Journal Article"&gt;17&lt;/ref-type&gt;&lt;contributors&gt;&lt;authors&gt;&lt;author&gt;Wright, RVS&lt;/author&gt;&lt;/authors&gt;&lt;/contributors&gt;&lt;titles&gt;&lt;title&gt;Correlation between cranial form and geography in Homo sapiens: CRANID-a computer program for forensic and other applications&lt;/title&gt;&lt;secondary-title&gt;Archaeology in Oceania&lt;/secondary-title&gt;&lt;/titles&gt;&lt;periodical&gt;&lt;full-title&gt;Archaeology in Oceania&lt;/full-title&gt;&lt;/periodical&gt;&lt;pages&gt;128-134&lt;/pages&gt;&lt;dates&gt;&lt;year&gt;1992&lt;/year&gt;&lt;/dates&gt;&lt;publisher&gt;JSTOR&lt;/publisher&gt;&lt;accession-num&gt;6719806089424901208related:WJStBwmMQV0J&lt;/accession-num&gt;&lt;label&gt;r00289&lt;/label&gt;&lt;urls&gt;&lt;related-urls&gt;&lt;url&gt;http://www.jstor.org/stable/10.2307/40386951&lt;/url&gt;&lt;/related-urls&gt;&lt;pdf-urls&gt;&lt;url&gt;file://localhost/Users/mercergm/Library/Application%20Support/Papers2/Articles/1992/Wright/1992%20Wright.pdf&lt;/url&gt;&lt;/pdf-urls&gt;&lt;/urls&gt;&lt;custom3&gt;papers2://publication/uuid/009CA498-D353-4246-A81D-E672B3D1EE5D&lt;/custom3&gt;&lt;/record&gt;&lt;/Cite&gt;&lt;/EndNote&gt;</w:instrText>
      </w:r>
      <w:r w:rsidR="003731B6">
        <w:fldChar w:fldCharType="separate"/>
      </w:r>
      <w:r w:rsidR="00844D4E">
        <w:rPr>
          <w:noProof/>
        </w:rPr>
        <w:t>(</w:t>
      </w:r>
      <w:hyperlink w:anchor="_ENREF_66" w:tooltip="Wright, 1992 #224" w:history="1">
        <w:r w:rsidR="001633BC">
          <w:rPr>
            <w:noProof/>
          </w:rPr>
          <w:t>Wright, 1992</w:t>
        </w:r>
      </w:hyperlink>
      <w:r w:rsidR="00844D4E">
        <w:rPr>
          <w:noProof/>
        </w:rPr>
        <w:t>)</w:t>
      </w:r>
      <w:r w:rsidR="003731B6">
        <w:fldChar w:fldCharType="end"/>
      </w:r>
      <w:r w:rsidR="00844D4E">
        <w:t xml:space="preserve">.  Originally, Wright </w:t>
      </w:r>
      <w:r w:rsidR="003731B6">
        <w:fldChar w:fldCharType="begin"/>
      </w:r>
      <w:r w:rsidR="00844D4E">
        <w:instrText xml:space="preserve"> ADDIN EN.CITE &lt;EndNote&gt;&lt;Cite ExcludeAuth="1"&gt;&lt;Author&gt;Wright&lt;/Author&gt;&lt;Year&gt;1992&lt;/Year&gt;&lt;RecNum&gt;224&lt;/RecNum&gt;&lt;DisplayText&gt;(1992)&lt;/DisplayText&gt;&lt;record&gt;&lt;rec-number&gt;224&lt;/rec-number&gt;&lt;foreign-keys&gt;&lt;key app="EN" db-id="20frpf5eyrpavaevz925sv9t29f5epa9pd2z"&gt;224&lt;/key&gt;&lt;/foreign-keys&gt;&lt;ref-type name="Journal Article"&gt;17&lt;/ref-type&gt;&lt;contributors&gt;&lt;authors&gt;&lt;author&gt;Wright, RVS&lt;/author&gt;&lt;/authors&gt;&lt;/contributors&gt;&lt;titles&gt;&lt;title&gt;Correlation between cranial form and geography in Homo sapiens: CRANID-a computer program for forensic and other applications&lt;/title&gt;&lt;secondary-title&gt;Archaeology in Oceania&lt;/secondary-title&gt;&lt;/titles&gt;&lt;periodical&gt;&lt;full-title&gt;Archaeology in Oceania&lt;/full-title&gt;&lt;/periodical&gt;&lt;pages&gt;128-134&lt;/pages&gt;&lt;dates&gt;&lt;year&gt;1992&lt;/year&gt;&lt;/dates&gt;&lt;publisher&gt;JSTOR&lt;/publisher&gt;&lt;accession-num&gt;6719806089424901208related:WJStBwmMQV0J&lt;/accession-num&gt;&lt;label&gt;r00289&lt;/label&gt;&lt;urls&gt;&lt;related-urls&gt;&lt;url&gt;http://www.jstor.org/stable/10.2307/40386951&lt;/url&gt;&lt;/related-urls&gt;&lt;pdf-urls&gt;&lt;url&gt;file://localhost/Users/mercergm/Library/Application%20Support/Papers2/Articles/1992/Wright/1992%20Wright.pdf&lt;/url&gt;&lt;/pdf-urls&gt;&lt;/urls&gt;&lt;custom3&gt;papers2://publication/uuid/009CA498-D353-4246-A81D-E672B3D1EE5D&lt;/custom3&gt;&lt;/record&gt;&lt;/Cite&gt;&lt;/EndNote&gt;</w:instrText>
      </w:r>
      <w:r w:rsidR="003731B6">
        <w:fldChar w:fldCharType="separate"/>
      </w:r>
      <w:r w:rsidR="00844D4E">
        <w:rPr>
          <w:noProof/>
        </w:rPr>
        <w:t>(</w:t>
      </w:r>
      <w:hyperlink w:anchor="_ENREF_66" w:tooltip="Wright, 1992 #224" w:history="1">
        <w:r w:rsidR="001633BC">
          <w:rPr>
            <w:noProof/>
          </w:rPr>
          <w:t>1992</w:t>
        </w:r>
      </w:hyperlink>
      <w:r w:rsidR="00844D4E">
        <w:rPr>
          <w:noProof/>
        </w:rPr>
        <w:t>)</w:t>
      </w:r>
      <w:r w:rsidR="003731B6">
        <w:fldChar w:fldCharType="end"/>
      </w:r>
      <w:r w:rsidR="00844D4E">
        <w:t xml:space="preserve"> stated that the above method</w:t>
      </w:r>
      <w:r w:rsidR="0054767F">
        <w:t>s</w:t>
      </w:r>
      <w:r w:rsidR="00844D4E">
        <w:t xml:space="preserve"> performed better than LDA, referencing analyses that he chose not to</w:t>
      </w:r>
      <w:r w:rsidR="0054767F">
        <w:t xml:space="preserve"> report in his paper.  However,</w:t>
      </w:r>
      <w:r w:rsidR="00B37122">
        <w:t xml:space="preserve"> </w:t>
      </w:r>
      <w:r w:rsidR="00844D4E">
        <w:t xml:space="preserve">Wright </w:t>
      </w:r>
      <w:r w:rsidR="003731B6">
        <w:fldChar w:fldCharType="begin"/>
      </w:r>
      <w:r w:rsidR="00844D4E">
        <w:instrText xml:space="preserve"> ADDIN EN.CITE &lt;EndNote&gt;&lt;Cite ExcludeAuth="1"&gt;&lt;Author&gt;Wright&lt;/Author&gt;&lt;Year&gt;2008&lt;/Year&gt;&lt;RecNum&gt;357&lt;/RecNum&gt;&lt;DisplayText&gt;(2008)&lt;/DisplayText&gt;&lt;record&gt;&lt;rec-number&gt;357&lt;/rec-number&gt;&lt;foreign-keys&gt;&lt;key app="EN" db-id="20frpf5eyrpavaevz925sv9t29f5epa9pd2z"&gt;357&lt;/key&gt;&lt;/foreign-keys&gt;&lt;ref-type name="Book Section"&gt;5&lt;/ref-type&gt;&lt;contributors&gt;&lt;authors&gt;&lt;author&gt;Wright, Richard&lt;/author&gt;&lt;/authors&gt;&lt;secondary-authors&gt;&lt;author&gt;Oxenham, Marc&lt;/author&gt;&lt;/secondary-authors&gt;&lt;/contributors&gt;&lt;titles&gt;&lt;title&gt;Detection of Likely Ancestry Using CRANID&lt;/title&gt;&lt;secondary-title&gt;Forensic Approaches to Death, Disaster, and Abuse&lt;/secondary-title&gt;&lt;/titles&gt;&lt;pages&gt;111-122&lt;/pages&gt;&lt;dates&gt;&lt;year&gt;2008&lt;/year&gt;&lt;/dates&gt;&lt;pub-location&gt;Bowden Hills, Australia&lt;/pub-location&gt;&lt;publisher&gt;Australian Academic Press&lt;/publisher&gt;&lt;label&gt;r05357&lt;/label&gt;&lt;urls&gt;&lt;pdf-urls&gt;&lt;url&gt;file://localhost/Users/mercergm/Library/Application%20Support/Papers2/Books/2008/Wright/2008%20Wright.pdf&lt;/url&gt;&lt;/pdf-urls&gt;&lt;/urls&gt;&lt;custom3&gt;papers2://publication/uuid/1CC09847-92C1-443C-8E89-B2710AEF10E3&lt;/custom3&gt;&lt;/record&gt;&lt;/Cite&gt;&lt;/EndNote&gt;</w:instrText>
      </w:r>
      <w:r w:rsidR="003731B6">
        <w:fldChar w:fldCharType="separate"/>
      </w:r>
      <w:r w:rsidR="00844D4E">
        <w:rPr>
          <w:noProof/>
        </w:rPr>
        <w:t>(</w:t>
      </w:r>
      <w:hyperlink w:anchor="_ENREF_67" w:tooltip="Wright, 2008 #357" w:history="1">
        <w:r w:rsidR="001633BC">
          <w:rPr>
            <w:noProof/>
          </w:rPr>
          <w:t>2008</w:t>
        </w:r>
      </w:hyperlink>
      <w:r w:rsidR="00844D4E">
        <w:rPr>
          <w:noProof/>
        </w:rPr>
        <w:t>)</w:t>
      </w:r>
      <w:r w:rsidR="003731B6">
        <w:fldChar w:fldCharType="end"/>
      </w:r>
      <w:r w:rsidR="0054767F">
        <w:t xml:space="preserve"> states that CRANID</w:t>
      </w:r>
      <w:r w:rsidR="002115E2">
        <w:t xml:space="preserve"> </w:t>
      </w:r>
      <w:r w:rsidR="00B37122">
        <w:t>classifies a skull using LDA</w:t>
      </w:r>
      <w:r w:rsidR="0054767F">
        <w:t xml:space="preserve"> in a later publication</w:t>
      </w:r>
      <w:r w:rsidR="00844D4E">
        <w:t>.</w:t>
      </w:r>
    </w:p>
    <w:p w:rsidR="00844D4E" w:rsidRDefault="003731B6" w:rsidP="00844D4E">
      <w:pPr>
        <w:ind w:firstLine="720"/>
      </w:pPr>
      <w:r>
        <w:fldChar w:fldCharType="begin"/>
      </w:r>
      <w:r w:rsidR="00844D4E">
        <w:instrText xml:space="preserve"> ADDIN EN.CITE &lt;EndNote&gt;&lt;Cite AuthorYear="1"&gt;&lt;Author&gt;Jantz&lt;/Author&gt;&lt;Year&gt;1993&lt;/Year&gt;&lt;RecNum&gt;373&lt;/RecNum&gt;&lt;DisplayText&gt;Jantz and Ousley (1993)&lt;/DisplayText&gt;&lt;record&gt;&lt;rec-number&gt;373&lt;/rec-number&gt;&lt;foreign-keys&gt;&lt;key app="EN" db-id="20frpf5eyrpavaevz925sv9t29f5epa9pd2z"&gt;373&lt;/key&gt;&lt;/foreign-keys&gt;&lt;ref-type name="Computer Program"&gt;9&lt;/ref-type&gt;&lt;contributors&gt;&lt;authors&gt;&lt;author&gt;Jantz, Richard L&lt;/author&gt;&lt;author&gt;Ousley, Stephen D&lt;/author&gt;&lt;/authors&gt;&lt;/contributors&gt;&lt;titles&gt;&lt;title&gt;FORDISC 1.0: Computerised Forensic Discriminant Functions&lt;/title&gt;&lt;/titles&gt;&lt;dates&gt;&lt;year&gt;1993&lt;/year&gt;&lt;/dates&gt;&lt;pub-location&gt;Knoxville, TN&lt;/pub-location&gt;&lt;publisher&gt;University of Tennessee&lt;/publisher&gt;&lt;urls&gt;&lt;/urls&gt;&lt;/record&gt;&lt;/Cite&gt;&lt;/EndNote&gt;</w:instrText>
      </w:r>
      <w:r>
        <w:fldChar w:fldCharType="separate"/>
      </w:r>
      <w:hyperlink w:anchor="_ENREF_32" w:tooltip="Jantz, 1993 #373" w:history="1">
        <w:r w:rsidR="001633BC">
          <w:rPr>
            <w:noProof/>
          </w:rPr>
          <w:t>Jantz and Ousley (1993</w:t>
        </w:r>
      </w:hyperlink>
      <w:r w:rsidR="00844D4E">
        <w:rPr>
          <w:noProof/>
        </w:rPr>
        <w:t>)</w:t>
      </w:r>
      <w:r>
        <w:fldChar w:fldCharType="end"/>
      </w:r>
      <w:r w:rsidR="00844D4E">
        <w:t xml:space="preserve"> developed another discriminant analysis program </w:t>
      </w:r>
      <w:r w:rsidR="00515A75">
        <w:t>they named</w:t>
      </w:r>
      <w:r w:rsidR="00844D4E">
        <w:t xml:space="preserve"> FORDISC</w:t>
      </w:r>
      <w:r w:rsidR="00380D74">
        <w:t>, now in it’s third version</w:t>
      </w:r>
      <w:r w:rsidR="00844D4E">
        <w:t xml:space="preserve">.  It uses LDA to classify an unknown skull into one of 11 groups.  Anywhere from 1 to 34 craniometric variables can be used to classify an individual </w:t>
      </w:r>
      <w:r>
        <w:fldChar w:fldCharType="begin"/>
      </w:r>
      <w:r w:rsidR="00844D4E">
        <w:instrText xml:space="preserve"> ADDIN EN.CITE &lt;EndNote&gt;&lt;Cite&gt;&lt;Author&gt;Sauer&lt;/Author&gt;&lt;Year&gt;2009&lt;/Year&gt;&lt;RecNum&gt;59&lt;/RecNum&gt;&lt;DisplayText&gt;(Sauer and Wankmiller, 2009)&lt;/DisplayText&gt;&lt;record&gt;&lt;rec-number&gt;59&lt;/rec-number&gt;&lt;foreign-keys&gt;&lt;key app="EN" db-id="20frpf5eyrpavaevz925sv9t29f5epa9pd2z"&gt;59&lt;/key&gt;&lt;/foreign-keys&gt;&lt;ref-type name="Book Section"&gt;5&lt;/ref-type&gt;&lt;contributors&gt;&lt;authors&gt;&lt;author&gt;Sauer, Norman J&lt;/author&gt;&lt;author&gt;Wankmiller, Jance C&lt;/author&gt;&lt;/authors&gt;&lt;secondary-authors&gt;&lt;author&gt;Blau, Soren&lt;/author&gt;&lt;author&gt;Ubelaker, Douglas H.&lt;/author&gt;&lt;/secondary-authors&gt;&lt;/contributors&gt;&lt;titles&gt;&lt;title&gt;The Assessment of Ancestry and the Concept of Race&lt;/title&gt;&lt;secondary-title&gt;Handbook of Forensic Anthropology and Archaeology&lt;/secondary-title&gt;&lt;/titles&gt;&lt;pages&gt;187-200&lt;/pages&gt;&lt;dates&gt;&lt;year&gt;2009&lt;/year&gt;&lt;/dates&gt;&lt;pub-location&gt;Walnut Creek, CA&lt;/pub-location&gt;&lt;publisher&gt;Left Coast Press&lt;/publisher&gt;&lt;urls&gt;&lt;/urls&gt;&lt;/record&gt;&lt;/Cite&gt;&lt;/EndNote&gt;</w:instrText>
      </w:r>
      <w:r>
        <w:fldChar w:fldCharType="separate"/>
      </w:r>
      <w:r w:rsidR="00844D4E">
        <w:rPr>
          <w:noProof/>
        </w:rPr>
        <w:t>(</w:t>
      </w:r>
      <w:hyperlink w:anchor="_ENREF_51" w:tooltip="Sauer, 2009 #59" w:history="1">
        <w:r w:rsidR="001633BC">
          <w:rPr>
            <w:noProof/>
          </w:rPr>
          <w:t>Sauer and Wankmiller, 2009</w:t>
        </w:r>
      </w:hyperlink>
      <w:r w:rsidR="00844D4E">
        <w:rPr>
          <w:noProof/>
        </w:rPr>
        <w:t>)</w:t>
      </w:r>
      <w:r>
        <w:fldChar w:fldCharType="end"/>
      </w:r>
      <w:r w:rsidR="00844D4E">
        <w:t xml:space="preserve"> and the unknown can be compared to a reduced number of groups rather than all 11.  The reference </w:t>
      </w:r>
      <w:r w:rsidR="00872CAE">
        <w:t>dataset</w:t>
      </w:r>
      <w:r w:rsidR="00844D4E">
        <w:t xml:space="preserve"> used by FORDISC contains samples from the Forensic Data Bank (FDB), a database of measurements on individuals whose skeletons were analyzed by forensic anthropologists </w:t>
      </w:r>
      <w:r w:rsidR="007B30E7">
        <w:t xml:space="preserve">nationwide </w:t>
      </w:r>
      <w:r w:rsidR="00844D4E">
        <w:t xml:space="preserve">in casework or study </w:t>
      </w:r>
      <w:r>
        <w:fldChar w:fldCharType="begin"/>
      </w:r>
      <w:r w:rsidR="00844D4E">
        <w:instrText xml:space="preserve"> ADDIN EN.CITE &lt;EndNote&gt;&lt;Cite&gt;&lt;Author&gt;Jantz&lt;/Author&gt;&lt;Year&gt;1987&lt;/Year&gt;&lt;RecNum&gt;82&lt;/RecNum&gt;&lt;DisplayText&gt;(Jantz and Moore-Jansen, 1987)&lt;/DisplayText&gt;&lt;record&gt;&lt;rec-number&gt;82&lt;/rec-number&gt;&lt;foreign-keys&gt;&lt;key app="EN" db-id="20frpf5eyrpavaevz925sv9t29f5epa9pd2z"&gt;82&lt;/key&gt;&lt;/foreign-keys&gt;&lt;ref-type name="Book"&gt;6&lt;/ref-type&gt;&lt;contributors&gt;&lt;authors&gt;&lt;author&gt;Jantz, R. L.&lt;/author&gt;&lt;author&gt;Moore-Jansen, P. H.&lt;/author&gt;&lt;/authors&gt;&lt;/contributors&gt;&lt;titles&gt;&lt;title&gt;A data base for forensic anthropology&lt;/title&gt;&lt;/titles&gt;&lt;dates&gt;&lt;year&gt;1987&lt;/year&gt;&lt;/dates&gt;&lt;pub-location&gt;Knoxville, TN&lt;/pub-location&gt;&lt;publisher&gt;The University of Tennessee&lt;/publisher&gt;&lt;urls&gt;&lt;/urls&gt;&lt;/record&gt;&lt;/Cite&gt;&lt;/EndNote&gt;</w:instrText>
      </w:r>
      <w:r>
        <w:fldChar w:fldCharType="separate"/>
      </w:r>
      <w:r w:rsidR="00844D4E">
        <w:rPr>
          <w:noProof/>
        </w:rPr>
        <w:t>(</w:t>
      </w:r>
      <w:hyperlink w:anchor="_ENREF_31" w:tooltip="Jantz, 1987 #82" w:history="1">
        <w:r w:rsidR="001633BC">
          <w:rPr>
            <w:noProof/>
          </w:rPr>
          <w:t>Jantz and Moore-Jansen, 1987</w:t>
        </w:r>
      </w:hyperlink>
      <w:r w:rsidR="00844D4E">
        <w:rPr>
          <w:noProof/>
        </w:rPr>
        <w:t>)</w:t>
      </w:r>
      <w:r>
        <w:fldChar w:fldCharType="end"/>
      </w:r>
      <w:r w:rsidR="007B30E7">
        <w:t>.  The Howells data set</w:t>
      </w:r>
      <w:r w:rsidR="00844D4E">
        <w:t xml:space="preserve"> and samples from the Terry and Todd collections </w:t>
      </w:r>
      <w:r w:rsidR="007B30E7">
        <w:t xml:space="preserve">are also part of the reference data </w:t>
      </w:r>
      <w:r>
        <w:fldChar w:fldCharType="begin"/>
      </w:r>
      <w:r w:rsidR="00844D4E">
        <w:instrText xml:space="preserve"> ADDIN EN.CITE &lt;EndNote&gt;&lt;Cite&gt;&lt;Author&gt;Ousley&lt;/Author&gt;&lt;Year&gt;2005&lt;/Year&gt;&lt;RecNum&gt;367&lt;/RecNum&gt;&lt;DisplayText&gt;(Ousley and Jantz, 2005)&lt;/DisplayText&gt;&lt;record&gt;&lt;rec-number&gt;367&lt;/rec-number&gt;&lt;foreign-keys&gt;&lt;key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Knoxville&lt;/publisher&gt;&lt;urls&gt;&lt;/urls&gt;&lt;/record&gt;&lt;/Cite&gt;&lt;/EndNote&gt;</w:instrText>
      </w:r>
      <w:r>
        <w:fldChar w:fldCharType="separate"/>
      </w:r>
      <w:r w:rsidR="00844D4E">
        <w:rPr>
          <w:noProof/>
        </w:rPr>
        <w:t>(</w:t>
      </w:r>
      <w:hyperlink w:anchor="_ENREF_43" w:tooltip="Ousley, 2005 #367" w:history="1">
        <w:r w:rsidR="001633BC">
          <w:rPr>
            <w:noProof/>
          </w:rPr>
          <w:t>Ousley and Jantz, 2005</w:t>
        </w:r>
      </w:hyperlink>
      <w:r w:rsidR="00844D4E">
        <w:rPr>
          <w:noProof/>
        </w:rPr>
        <w:t>)</w:t>
      </w:r>
      <w:r>
        <w:fldChar w:fldCharType="end"/>
      </w:r>
      <w:r w:rsidR="00051B3F">
        <w:t>.  The program is most commonly used by</w:t>
      </w:r>
      <w:r w:rsidR="00844D4E">
        <w:t xml:space="preserve"> </w:t>
      </w:r>
      <w:r w:rsidR="00051B3F">
        <w:t>forensic anthropologists</w:t>
      </w:r>
      <w:r w:rsidR="00844D4E">
        <w:t xml:space="preserve"> due to the FDB reference sample’s more accurate representation of a contemporary American forensic population and the program’s flexibility for which and how many variables and reference groups are used.</w:t>
      </w:r>
    </w:p>
    <w:p w:rsidR="00844D4E" w:rsidRPr="00410AF5" w:rsidRDefault="00844D4E" w:rsidP="00410AF5">
      <w:pPr>
        <w:pStyle w:val="Heading2"/>
      </w:pPr>
      <w:bookmarkStart w:id="10" w:name="_Toc220641828"/>
      <w:bookmarkStart w:id="11" w:name="_Toc222419108"/>
      <w:bookmarkStart w:id="12" w:name="_Toc227982479"/>
      <w:r>
        <w:t xml:space="preserve">A Controversy in the Field: </w:t>
      </w:r>
      <w:r w:rsidRPr="006A7918">
        <w:t>Anthropology and Forensic Race Estimati</w:t>
      </w:r>
      <w:r>
        <w:t>on</w:t>
      </w:r>
      <w:bookmarkEnd w:id="10"/>
      <w:bookmarkEnd w:id="11"/>
      <w:bookmarkEnd w:id="12"/>
      <w:r>
        <w:t xml:space="preserve"> </w:t>
      </w:r>
    </w:p>
    <w:p w:rsidR="00844D4E" w:rsidRPr="003E5C5D" w:rsidRDefault="00844D4E" w:rsidP="00844D4E">
      <w:pPr>
        <w:ind w:firstLine="720"/>
      </w:pPr>
      <w:r>
        <w:t xml:space="preserve">Forensic anthropology is currently defined as, “the application of anthropological methods and theory - particularly those relating to the recovery and analysis of human remains - to resolve legal matters” </w:t>
      </w:r>
      <w:r w:rsidR="003731B6">
        <w:fldChar w:fldCharType="begin"/>
      </w:r>
      <w:r>
        <w:instrText xml:space="preserve"> ADDIN EN.CITE &lt;EndNote&gt;&lt;Cite&gt;&lt;Author&gt;SWGANTH&lt;/Author&gt;&lt;Year&gt;2012&lt;/Year&gt;&lt;RecNum&gt;368&lt;/RecNum&gt;&lt;DisplayText&gt;(SWGANTH, 2012)&lt;/DisplayText&gt;&lt;record&gt;&lt;rec-number&gt;368&lt;/rec-number&gt;&lt;foreign-keys&gt;&lt;key app="EN" db-id="20frpf5eyrpavaevz925sv9t29f5epa9pd2z"&gt;368&lt;/key&gt;&lt;/foreign-keys&gt;&lt;ref-type name="Web Page"&gt;12&lt;/ref-type&gt;&lt;contributors&gt;&lt;authors&gt;&lt;author&gt;SWGANTH&lt;/author&gt;&lt;/authors&gt;&lt;/contributors&gt;&lt;titles&gt;&lt;/titles&gt;&lt;number&gt;Feb. 6, 2012&lt;/number&gt;&lt;dates&gt;&lt;year&gt;2012&lt;/year&gt;&lt;pub-dates&gt;&lt;date&gt;Feb. 1, 2012&lt;/date&gt;&lt;/pub-dates&gt;&lt;/dates&gt;&lt;urls&gt;&lt;related-urls&gt;&lt;url&gt;http://www.swganth.org/&lt;/url&gt;&lt;/related-urls&gt;&lt;/urls&gt;&lt;/record&gt;&lt;/Cite&gt;&lt;/EndNote&gt;</w:instrText>
      </w:r>
      <w:r w:rsidR="003731B6">
        <w:fldChar w:fldCharType="separate"/>
      </w:r>
      <w:r>
        <w:rPr>
          <w:noProof/>
        </w:rPr>
        <w:t>(</w:t>
      </w:r>
      <w:hyperlink w:anchor="_ENREF_59" w:tooltip="SWGANTH, 2012 #368" w:history="1">
        <w:r w:rsidR="001633BC">
          <w:rPr>
            <w:noProof/>
          </w:rPr>
          <w:t>SWGANTH, 2012</w:t>
        </w:r>
      </w:hyperlink>
      <w:r>
        <w:rPr>
          <w:noProof/>
        </w:rPr>
        <w:t>)</w:t>
      </w:r>
      <w:r w:rsidR="003731B6">
        <w:fldChar w:fldCharType="end"/>
      </w:r>
      <w:r>
        <w:t xml:space="preserve">.  The traditional role of forensic anthropologists is to apply methods of physical anthropology to the identification of decomposed or skeletonized human remains for medico-legal death investigations </w:t>
      </w:r>
      <w:r w:rsidR="003731B6">
        <w:fldChar w:fldCharType="begin"/>
      </w:r>
      <w:r>
        <w:instrText xml:space="preserve"> ADDIN EN.CITE &lt;EndNote&gt;&lt;Cite&gt;&lt;Author&gt;Stewart&lt;/Author&gt;&lt;Year&gt;1979&lt;/Year&gt;&lt;RecNum&gt;69&lt;/RecNum&gt;&lt;DisplayText&gt;(Stewart, 1979)&lt;/DisplayText&gt;&lt;record&gt;&lt;rec-number&gt;69&lt;/rec-number&gt;&lt;foreign-keys&gt;&lt;key app="EN" db-id="20frpf5eyrpavaevz925sv9t29f5epa9pd2z"&gt;69&lt;/key&gt;&lt;/foreign-keys&gt;&lt;ref-type name="Book"&gt;6&lt;/ref-type&gt;&lt;contributors&gt;&lt;authors&gt;&lt;author&gt;Stewart, T.D.&lt;/author&gt;&lt;/authors&gt;&lt;/contributors&gt;&lt;titles&gt;&lt;title&gt;Essentials of Forensic Anthropology&lt;/title&gt;&lt;/titles&gt;&lt;dates&gt;&lt;year&gt;1979&lt;/year&gt;&lt;/dates&gt;&lt;pub-location&gt;Springfield, IL&lt;/pub-location&gt;&lt;publisher&gt;Charles C. Thomas&lt;/publisher&gt;&lt;urls&gt;&lt;/urls&gt;&lt;/record&gt;&lt;/Cite&gt;&lt;/EndNote&gt;</w:instrText>
      </w:r>
      <w:r w:rsidR="003731B6">
        <w:fldChar w:fldCharType="separate"/>
      </w:r>
      <w:r>
        <w:rPr>
          <w:noProof/>
        </w:rPr>
        <w:t>(</w:t>
      </w:r>
      <w:hyperlink w:anchor="_ENREF_58" w:tooltip="Stewart, 1979 #69" w:history="1">
        <w:r w:rsidR="001633BC">
          <w:rPr>
            <w:noProof/>
          </w:rPr>
          <w:t>Stewart, 1979</w:t>
        </w:r>
      </w:hyperlink>
      <w:r>
        <w:rPr>
          <w:noProof/>
        </w:rPr>
        <w:t>)</w:t>
      </w:r>
      <w:r w:rsidR="003731B6">
        <w:fldChar w:fldCharType="end"/>
      </w:r>
      <w:r>
        <w:t xml:space="preserve">.  </w:t>
      </w:r>
      <w:r w:rsidR="00B932E3">
        <w:t>Identifying unknown remains is</w:t>
      </w:r>
      <w:r>
        <w:t xml:space="preserve"> a significa</w:t>
      </w:r>
      <w:r w:rsidR="00B932E3">
        <w:t>nt part of forensic anthropological analyses</w:t>
      </w:r>
      <w:r>
        <w:t>, but the field has expanded to include other specialties, such as recovery</w:t>
      </w:r>
      <w:r w:rsidR="00B932E3">
        <w:t>, excavation, and skeletal trauma analysis</w:t>
      </w:r>
      <w:r>
        <w:t xml:space="preserve"> </w:t>
      </w:r>
      <w:r w:rsidR="003731B6">
        <w:fldChar w:fldCharType="begin"/>
      </w:r>
      <w:r>
        <w:instrText xml:space="preserve"> ADDIN EN.CITE &lt;EndNote&gt;&lt;Cite&gt;&lt;Author&gt;Grivas&lt;/Author&gt;&lt;Year&gt;2008&lt;/Year&gt;&lt;RecNum&gt;78&lt;/RecNum&gt;&lt;DisplayText&gt;(Grivas and Komar, 2008)&lt;/DisplayText&gt;&lt;record&gt;&lt;rec-number&gt;78&lt;/rec-number&gt;&lt;foreign-keys&gt;&lt;key app="EN" db-id="20frpf5eyrpavaevz925sv9t29f5epa9pd2z"&gt;78&lt;/key&gt;&lt;/foreign-keys&gt;&lt;ref-type name="Journal Article"&gt;17&lt;/ref-type&gt;&lt;contributors&gt;&lt;authors&gt;&lt;author&gt;Grivas, Christopher R.&lt;/author&gt;&lt;author&gt;Komar, Debra A.&lt;/author&gt;&lt;/authors&gt;&lt;/contributors&gt;&lt;titles&gt;&lt;title&gt;Kumho, Daubert, and the nature of scientific inquiry: implications for forensic anthropology&lt;/title&gt;&lt;secondary-title&gt;Journal of Forensic Sciences&lt;/secondary-title&gt;&lt;/titles&gt;&lt;periodical&gt;&lt;full-title&gt;Journal of Forensic Sciences&lt;/full-title&gt;&lt;/periodical&gt;&lt;pages&gt;771-776&lt;/pages&gt;&lt;volume&gt;53&lt;/volume&gt;&lt;number&gt;4&lt;/number&gt;&lt;dates&gt;&lt;year&gt;2008&lt;/year&gt;&lt;/dates&gt;&lt;urls&gt;&lt;/urls&gt;&lt;/record&gt;&lt;/Cite&gt;&lt;/EndNote&gt;</w:instrText>
      </w:r>
      <w:r w:rsidR="003731B6">
        <w:fldChar w:fldCharType="separate"/>
      </w:r>
      <w:r>
        <w:rPr>
          <w:noProof/>
        </w:rPr>
        <w:t>(</w:t>
      </w:r>
      <w:hyperlink w:anchor="_ENREF_21" w:tooltip="Grivas, 2008 #78" w:history="1">
        <w:r w:rsidR="001633BC">
          <w:rPr>
            <w:noProof/>
          </w:rPr>
          <w:t>Grivas and Komar, 2008</w:t>
        </w:r>
      </w:hyperlink>
      <w:r>
        <w:rPr>
          <w:noProof/>
        </w:rPr>
        <w:t>)</w:t>
      </w:r>
      <w:r w:rsidR="003731B6">
        <w:fldChar w:fldCharType="end"/>
      </w:r>
      <w:r>
        <w:t xml:space="preserve">.  The traditional role of the biological profile in identification </w:t>
      </w:r>
      <w:r w:rsidR="002F7591">
        <w:t>is not as significant as it once was</w:t>
      </w:r>
      <w:r>
        <w:t xml:space="preserve">; other techniques, such as dental </w:t>
      </w:r>
      <w:r w:rsidR="00EE4AFE">
        <w:t>comparisons</w:t>
      </w:r>
      <w:r>
        <w:t xml:space="preserve"> and</w:t>
      </w:r>
      <w:r w:rsidR="00EE4AFE">
        <w:t xml:space="preserve"> individualizing pathological</w:t>
      </w:r>
      <w:r>
        <w:t xml:space="preserve"> analysis, have been shown to</w:t>
      </w:r>
      <w:r w:rsidR="00EE4AFE">
        <w:t xml:space="preserve"> more significantly</w:t>
      </w:r>
      <w:r>
        <w:t xml:space="preserve"> improve the likelihood of positive identification </w:t>
      </w:r>
      <w:r w:rsidR="003731B6">
        <w:fldChar w:fldCharType="begin"/>
      </w:r>
      <w:r w:rsidR="00EB0C79">
        <w:instrText xml:space="preserve"> ADDIN EN.CITE &lt;EndNote&gt;&lt;Cite&gt;&lt;Author&gt;Steadman&lt;/Author&gt;&lt;Year&gt;2006&lt;/Year&gt;&lt;RecNum&gt;136&lt;/RecNum&gt;&lt;DisplayText&gt;(Steadman&lt;style face="italic"&gt; et al.&lt;/style&gt;, 2006)&lt;/DisplayText&gt;&lt;record&gt;&lt;rec-number&gt;136&lt;/rec-number&gt;&lt;foreign-keys&gt;&lt;key app="EN" db-id="20frpf5eyrpavaevz925sv9t29f5epa9pd2z"&gt;136&lt;/key&gt;&lt;/foreign-keys&gt;&lt;ref-type name="Journal Article"&gt;17&lt;/ref-type&gt;&lt;contributors&gt;&lt;authors&gt;&lt;author&gt;Steadman, D.W.&lt;/author&gt;&lt;author&gt;Adams, B.J.&lt;/author&gt;&lt;author&gt;Konigsberg, L.W.&lt;/author&gt;&lt;/authors&gt;&lt;/contributors&gt;&lt;titles&gt;&lt;title&gt;Statistical basis for positive identification in forensic anthropology&lt;/title&gt;&lt;secondary-title&gt;American Journal of Physical Anthropology&lt;/secondary-title&gt;&lt;/titles&gt;&lt;periodical&gt;&lt;full-title&gt;American Journal of Physical Anthropology&lt;/full-title&gt;&lt;/periodical&gt;&lt;pages&gt;15-26&lt;/pages&gt;&lt;volume&gt;131&lt;/volume&gt;&lt;number&gt;1&lt;/number&gt;&lt;dates&gt;&lt;year&gt;2006&lt;/year&gt;&lt;/dates&gt;&lt;publisher&gt;Wiley Online Library&lt;/publisher&gt;&lt;accession-num&gt;7662902096852209336related:uM54d9sYWGoJ&lt;/accession-num&gt;&lt;label&gt;r00063&lt;/label&gt;&lt;urls&gt;&lt;related-urls&gt;&lt;url&gt;http://onlinelibrary.wiley.com/doi/10.1002/ajpa.20393/abstract&lt;/url&gt;&lt;/related-urls&gt;&lt;pdf-urls&gt;&lt;url&gt;file://localhost/Users/mercergm/Library/Application%20Support/Papers2/Articles/2006/Steadman/Am.%20J.%20Phys.%20Anthropol.%202006%20Steadman.pdf&lt;/url&gt;&lt;/pdf-urls&gt;&lt;/urls&gt;&lt;custom3&gt;papers2://publication/uuid/709174AF-3534-4CDF-B2BA-4509502D823E&lt;/custom3&gt;&lt;electronic-resource-num&gt;10.1002/ajpa.20393&lt;/electronic-resource-num&gt;&lt;/record&gt;&lt;/Cite&gt;&lt;/EndNote&gt;</w:instrText>
      </w:r>
      <w:r w:rsidR="003731B6">
        <w:fldChar w:fldCharType="separate"/>
      </w:r>
      <w:r w:rsidR="00EB0C79">
        <w:rPr>
          <w:noProof/>
        </w:rPr>
        <w:t>(</w:t>
      </w:r>
      <w:hyperlink w:anchor="_ENREF_57" w:tooltip="Steadman, 2006 #136" w:history="1">
        <w:r w:rsidR="001633BC">
          <w:rPr>
            <w:noProof/>
          </w:rPr>
          <w:t>Steadman</w:t>
        </w:r>
        <w:r w:rsidR="001633BC" w:rsidRPr="00EB0C79">
          <w:rPr>
            <w:i/>
            <w:noProof/>
          </w:rPr>
          <w:t xml:space="preserve"> et al.</w:t>
        </w:r>
        <w:r w:rsidR="001633BC">
          <w:rPr>
            <w:noProof/>
          </w:rPr>
          <w:t>, 2006</w:t>
        </w:r>
      </w:hyperlink>
      <w:r w:rsidR="00EB0C79">
        <w:rPr>
          <w:noProof/>
        </w:rPr>
        <w:t>)</w:t>
      </w:r>
      <w:r w:rsidR="003731B6">
        <w:fldChar w:fldCharType="end"/>
      </w:r>
      <w:r>
        <w:t xml:space="preserve">.  However, the biological profile, typically including estimates of age, sex, stature, and </w:t>
      </w:r>
      <w:r w:rsidR="00DB7FF7">
        <w:t>ancestry</w:t>
      </w:r>
      <w:r>
        <w:t xml:space="preserve">, is still a </w:t>
      </w:r>
      <w:r w:rsidR="00DB7FF7">
        <w:t>necessary</w:t>
      </w:r>
      <w:r>
        <w:t xml:space="preserve"> </w:t>
      </w:r>
      <w:r w:rsidR="00DB7FF7">
        <w:t>tool because it narrows down the pool of unknowns</w:t>
      </w:r>
      <w:r>
        <w:t xml:space="preserve"> </w:t>
      </w:r>
      <w:r w:rsidR="003731B6">
        <w:fldChar w:fldCharType="begin">
          <w:fldData xml:space="preserve">PEVuZE5vdGU+PENpdGU+PEF1dGhvcj5TYXVlcjwvQXV0aG9yPjxZZWFyPjE5OTI8L1llYXI+PFJl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</w:fldData>
        </w:fldChar>
      </w:r>
      <w:r>
        <w:instrText xml:space="preserve"> ADDIN EN.CITE </w:instrText>
      </w:r>
      <w:r w:rsidR="003731B6">
        <w:fldChar w:fldCharType="begin">
          <w:fldData xml:space="preserve">PEVuZE5vdGU+PENpdGU+PEF1dGhvcj5TYXVlcjwvQXV0aG9yPjxZZWFyPjE5OTI8L1llYXI+PFJl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</w:fldData>
        </w:fldChar>
      </w:r>
      <w:r>
        <w:instrText xml:space="preserve"> ADDIN EN.CITE.DATA </w:instrText>
      </w:r>
      <w:r w:rsidR="003731B6">
        <w:fldChar w:fldCharType="end"/>
      </w:r>
      <w:r w:rsidR="003731B6">
        <w:fldChar w:fldCharType="separate"/>
      </w:r>
      <w:r>
        <w:rPr>
          <w:noProof/>
        </w:rPr>
        <w:t>(</w:t>
      </w:r>
      <w:hyperlink w:anchor="_ENREF_50" w:tooltip="Sauer, 1992 #65" w:history="1">
        <w:r w:rsidR="001633BC">
          <w:rPr>
            <w:noProof/>
          </w:rPr>
          <w:t>Sauer, 1992</w:t>
        </w:r>
      </w:hyperlink>
      <w:r>
        <w:rPr>
          <w:noProof/>
        </w:rPr>
        <w:t xml:space="preserve">; </w:t>
      </w:r>
      <w:hyperlink w:anchor="_ENREF_51" w:tooltip="Sauer, 2009 #59" w:history="1">
        <w:r w:rsidR="001633BC">
          <w:rPr>
            <w:noProof/>
          </w:rPr>
          <w:t>Sauer and Wankmiller, 2009</w:t>
        </w:r>
      </w:hyperlink>
      <w:r>
        <w:rPr>
          <w:noProof/>
        </w:rPr>
        <w:t xml:space="preserve">; </w:t>
      </w:r>
      <w:hyperlink w:anchor="_ENREF_4" w:tooltip="Algee-Hewitt, 2011 #369" w:history="1">
        <w:r w:rsidR="001633BC">
          <w:rPr>
            <w:noProof/>
          </w:rPr>
          <w:t>Algee-Hewitt, 2011</w:t>
        </w:r>
      </w:hyperlink>
      <w:r>
        <w:rPr>
          <w:noProof/>
        </w:rPr>
        <w:t>)</w:t>
      </w:r>
      <w:r w:rsidR="003731B6">
        <w:fldChar w:fldCharType="end"/>
      </w:r>
      <w:r>
        <w:t>.   While the</w:t>
      </w:r>
      <w:r w:rsidR="00DB7FF7">
        <w:t xml:space="preserve"> estimation of the</w:t>
      </w:r>
      <w:r>
        <w:t xml:space="preserve"> former three categories of the biological profile are not controversial</w:t>
      </w:r>
      <w:r w:rsidR="00DB7FF7">
        <w:t xml:space="preserve"> among practitioners</w:t>
      </w:r>
      <w:r>
        <w:t xml:space="preserve">, </w:t>
      </w:r>
      <w:r w:rsidR="00DB7FF7">
        <w:t>ancestry estimation is wrought with controversy</w:t>
      </w:r>
      <w:r>
        <w:t>.</w:t>
      </w:r>
      <w:r w:rsidR="00B35098">
        <w:t xml:space="preserve">  </w:t>
      </w:r>
      <w:r w:rsidR="00CB0C42">
        <w:t>Confusion and debate currently surround interpretation of craniometric variation.</w:t>
      </w:r>
    </w:p>
    <w:p w:rsidR="00844D4E" w:rsidRDefault="00844D4E" w:rsidP="00844D4E">
      <w:pPr>
        <w:rPr>
          <w:b/>
        </w:rPr>
      </w:pPr>
      <w:r>
        <w:rPr>
          <w:b/>
        </w:rPr>
        <w:tab/>
      </w:r>
      <w:r>
        <w:t xml:space="preserve">  It is generally accepted in the field that cranial shape and other morphometric characteristics of the human skeleton vary with geography.  However, whether or not this variation can be used to accurately classify individuals into</w:t>
      </w:r>
      <w:r w:rsidR="00B35098">
        <w:t xml:space="preserve"> “racial”</w:t>
      </w:r>
      <w:r>
        <w:t xml:space="preserve"> groups</w:t>
      </w:r>
      <w:r w:rsidR="00B35098">
        <w:t xml:space="preserve"> </w:t>
      </w:r>
      <w:r>
        <w:t>is a hotly debated topic.  While there are anthropologists who argue that ancestry can be estimated</w:t>
      </w:r>
      <w:r w:rsidR="00B35098">
        <w:t xml:space="preserve"> from craniometric traits and</w:t>
      </w:r>
      <w:r>
        <w:t xml:space="preserve"> is</w:t>
      </w:r>
      <w:r w:rsidR="00B35098">
        <w:t xml:space="preserve"> an important part of</w:t>
      </w:r>
      <w:r>
        <w:t xml:space="preserve"> forensic anthropological analyses, there are others who argue that it cannot be estimated accurately, that it should not be estimated because it reifies racist ideas, or both.</w:t>
      </w:r>
    </w:p>
    <w:p w:rsidR="00844D4E" w:rsidRDefault="00844D4E" w:rsidP="00844D4E">
      <w:r>
        <w:rPr>
          <w:b/>
        </w:rPr>
        <w:tab/>
      </w:r>
      <w:r>
        <w:t xml:space="preserve">The arguments against ancestry estimation range from philosophical discussions of its use to infer race to statistical analyses illustrating the difficulty of calculating accurate figures and the utility of the information in identification.  </w:t>
      </w:r>
      <w:r w:rsidR="003731B6">
        <w:fldChar w:fldCharType="begin"/>
      </w:r>
      <w:r w:rsidR="00EB0C79">
        <w:instrText xml:space="preserve"> ADDIN EN.CITE &lt;EndNote&gt;&lt;Cite AuthorYear="1"&gt;&lt;Author&gt;Steadman&lt;/Author&gt;&lt;Year&gt;2006&lt;/Year&gt;&lt;RecNum&gt;136&lt;/RecNum&gt;&lt;DisplayText&gt;Steadman&lt;style face="italic"&gt; et al.&lt;/style&gt; (2006)&lt;/DisplayText&gt;&lt;record&gt;&lt;rec-number&gt;136&lt;/rec-number&gt;&lt;foreign-keys&gt;&lt;key app="EN" db-id="20frpf5eyrpavaevz925sv9t29f5epa9pd2z"&gt;136&lt;/key&gt;&lt;/foreign-keys&gt;&lt;ref-type name="Journal Article"&gt;17&lt;/ref-type&gt;&lt;contributors&gt;&lt;authors&gt;&lt;author&gt;Steadman, D.W.&lt;/author&gt;&lt;author&gt;Adams, B.J.&lt;/author&gt;&lt;author&gt;Konigsberg, L.W.&lt;/author&gt;&lt;/authors&gt;&lt;/contributors&gt;&lt;titles&gt;&lt;title&gt;Statistical basis for positive identification in forensic anthropology&lt;/title&gt;&lt;secondary-title&gt;American Journal of Physical Anthropology&lt;/secondary-title&gt;&lt;/titles&gt;&lt;periodical&gt;&lt;full-title&gt;American Journal of Physical Anthropology&lt;/full-title&gt;&lt;/periodical&gt;&lt;pages&gt;15-26&lt;/pages&gt;&lt;volume&gt;131&lt;/volume&gt;&lt;number&gt;1&lt;/number&gt;&lt;dates&gt;&lt;year&gt;2006&lt;/year&gt;&lt;/dates&gt;&lt;publisher&gt;Wiley Online Library&lt;/publisher&gt;&lt;accession-num&gt;7662902096852209336related:uM54d9sYWGoJ&lt;/accession-num&gt;&lt;label&gt;r00063&lt;/label&gt;&lt;urls&gt;&lt;related-urls&gt;&lt;url&gt;http://onlinelibrary.wiley.com/doi/10.1002/ajpa.20393/abstract&lt;/url&gt;&lt;/related-urls&gt;&lt;pdf-urls&gt;&lt;url&gt;file://localhost/Users/mercergm/Library/Application%20Support/Papers2/Articles/2006/Steadman/Am.%20J.%20Phys.%20Anthropol.%202006%20Steadman.pdf&lt;/url&gt;&lt;/pdf-urls&gt;&lt;/urls&gt;&lt;custom3&gt;papers2://publication/uuid/709174AF-3534-4CDF-B2BA-4509502D823E&lt;/custom3&gt;&lt;electronic-resource-num&gt;10.1002/ajpa.20393&lt;/electronic-resource-num&gt;&lt;/record&gt;&lt;/Cite&gt;&lt;/EndNote&gt;</w:instrText>
      </w:r>
      <w:r w:rsidR="003731B6">
        <w:fldChar w:fldCharType="separate"/>
      </w:r>
      <w:hyperlink w:anchor="_ENREF_57" w:tooltip="Steadman, 2006 #136" w:history="1">
        <w:r w:rsidR="001633BC">
          <w:rPr>
            <w:noProof/>
          </w:rPr>
          <w:t>Steadman</w:t>
        </w:r>
        <w:r w:rsidR="001633BC" w:rsidRPr="00EB0C79">
          <w:rPr>
            <w:i/>
            <w:noProof/>
          </w:rPr>
          <w:t xml:space="preserve"> et al.</w:t>
        </w:r>
        <w:r w:rsidR="001633BC">
          <w:rPr>
            <w:noProof/>
          </w:rPr>
          <w:t xml:space="preserve"> (2006</w:t>
        </w:r>
      </w:hyperlink>
      <w:r w:rsidR="00EB0C79">
        <w:rPr>
          <w:noProof/>
        </w:rPr>
        <w:t>)</w:t>
      </w:r>
      <w:r w:rsidR="003731B6">
        <w:fldChar w:fldCharType="end"/>
      </w:r>
      <w:r w:rsidR="00EB0C79">
        <w:t xml:space="preserve"> </w:t>
      </w:r>
      <w:r>
        <w:t xml:space="preserve">discuss the difficulty of obtaining accurate posterior probabilities of group membership due to the treatment of ancestry as a categorical variable that does not account for admixture.  Furthermore, properly accounting for admixture makes defining the population at large (used to derive an accurate likelihood ratio) very difficult </w:t>
      </w:r>
      <w:r w:rsidR="003731B6">
        <w:fldChar w:fldCharType="begin"/>
      </w:r>
      <w:r w:rsidR="00EB0C79">
        <w:instrText xml:space="preserve"> ADDIN EN.CITE &lt;EndNote&gt;&lt;Cite&gt;&lt;Author&gt;Steadman&lt;/Author&gt;&lt;Year&gt;2006&lt;/Year&gt;&lt;RecNum&gt;136&lt;/RecNum&gt;&lt;DisplayText&gt;(Steadman&lt;style face="italic"&gt; et al.&lt;/style&gt;, 2006)&lt;/DisplayText&gt;&lt;record&gt;&lt;rec-number&gt;136&lt;/rec-number&gt;&lt;foreign-keys&gt;&lt;key app="EN" db-id="20frpf5eyrpavaevz925sv9t29f5epa9pd2z"&gt;136&lt;/key&gt;&lt;/foreign-keys&gt;&lt;ref-type name="Journal Article"&gt;17&lt;/ref-type&gt;&lt;contributors&gt;&lt;authors&gt;&lt;author&gt;Steadman, D.W.&lt;/author&gt;&lt;author&gt;Adams, B.J.&lt;/author&gt;&lt;author&gt;Konigsberg, L.W.&lt;/author&gt;&lt;/authors&gt;&lt;/contributors&gt;&lt;titles&gt;&lt;title&gt;Statistical basis for positive identification in forensic anthropology&lt;/title&gt;&lt;secondary-title&gt;American Journal of Physical Anthropology&lt;/secondary-title&gt;&lt;/titles&gt;&lt;periodical&gt;&lt;full-title&gt;American Journal of Physical Anthropology&lt;/full-title&gt;&lt;/periodical&gt;&lt;pages&gt;15-26&lt;/pages&gt;&lt;volume&gt;131&lt;/volume&gt;&lt;number&gt;1&lt;/number&gt;&lt;dates&gt;&lt;year&gt;2006&lt;/year&gt;&lt;/dates&gt;&lt;publisher&gt;Wiley Online Library&lt;/publisher&gt;&lt;accession-num&gt;7662902096852209336related:uM54d9sYWGoJ&lt;/accession-num&gt;&lt;label&gt;r00063&lt;/label&gt;&lt;urls&gt;&lt;related-urls&gt;&lt;url&gt;http://onlinelibrary.wiley.com/doi/10.1002/ajpa.20393/abstract&lt;/url&gt;&lt;/related-urls&gt;&lt;pdf-urls&gt;&lt;url&gt;file://localhost/Users/mercergm/Library/Application%20Support/Papers2/Articles/2006/Steadman/Am.%20J.%20Phys.%20Anthropol.%202006%20Steadman.pdf&lt;/url&gt;&lt;/pdf-urls&gt;&lt;/urls&gt;&lt;custom3&gt;papers2://publication/uuid/709174AF-3534-4CDF-B2BA-4509502D823E&lt;/custom3&gt;&lt;electronic-resource-num&gt;10.1002/ajpa.20393&lt;/electronic-resource-num&gt;&lt;/record&gt;&lt;/Cite&gt;&lt;/EndNote&gt;</w:instrText>
      </w:r>
      <w:r w:rsidR="003731B6">
        <w:fldChar w:fldCharType="separate"/>
      </w:r>
      <w:r w:rsidR="00EB0C79">
        <w:rPr>
          <w:noProof/>
        </w:rPr>
        <w:t>(</w:t>
      </w:r>
      <w:hyperlink w:anchor="_ENREF_57" w:tooltip="Steadman, 2006 #136" w:history="1">
        <w:r w:rsidR="001633BC">
          <w:rPr>
            <w:noProof/>
          </w:rPr>
          <w:t>Steadman</w:t>
        </w:r>
        <w:r w:rsidR="001633BC" w:rsidRPr="00EB0C79">
          <w:rPr>
            <w:i/>
            <w:noProof/>
          </w:rPr>
          <w:t xml:space="preserve"> et al.</w:t>
        </w:r>
        <w:r w:rsidR="001633BC">
          <w:rPr>
            <w:noProof/>
          </w:rPr>
          <w:t>, 2006</w:t>
        </w:r>
      </w:hyperlink>
      <w:r w:rsidR="00EB0C79">
        <w:rPr>
          <w:noProof/>
        </w:rPr>
        <w:t>)</w:t>
      </w:r>
      <w:r w:rsidR="003731B6">
        <w:fldChar w:fldCharType="end"/>
      </w:r>
      <w:r>
        <w:t xml:space="preserve">.  </w:t>
      </w:r>
      <w:r w:rsidR="003731B6">
        <w:fldChar w:fldCharType="begin"/>
      </w:r>
      <w:r w:rsidR="00EB0C79">
        <w:instrText xml:space="preserve"> ADDIN EN.CITE &lt;EndNote&gt;&lt;Cite AuthorYear="1"&gt;&lt;Author&gt;Konigsberg&lt;/Author&gt;&lt;Year&gt;2009&lt;/Year&gt;&lt;RecNum&gt;150&lt;/RecNum&gt;&lt;DisplayText&gt;Konigsberg&lt;style face="italic"&gt; et al.&lt;/style&gt; (2009)&lt;/DisplayText&gt;&lt;record&gt;&lt;rec-number&gt;150&lt;/rec-number&gt;&lt;foreign-keys&gt;&lt;key app="EN" db-id="20frpf5eyrpavaevz925sv9t29f5epa9pd2z"&gt;150&lt;/key&gt;&lt;/foreign-keys&gt;&lt;ref-type name="Journal Article"&gt;17&lt;/ref-type&gt;&lt;contributors&gt;&lt;authors&gt;&lt;author&gt;Konigsberg, Lyle W.&lt;/author&gt;&lt;author&gt;Algee-Hewitt, Bridget F B&lt;/author&gt;&lt;author&gt;Steadman, Dawnie Wolfe&lt;/author&gt;&lt;/authors&gt;&lt;/contributors&gt;&lt;titles&gt;&lt;title&gt;Estimation and evidence in forensic anthropology: Sex and race&lt;/title&gt;&lt;secondary-title&gt;American Journal of Physical Anthropology&lt;/secondary-title&gt;&lt;/titles&gt;&lt;periodical&gt;&lt;full-title&gt;American Journal of Physical Anthropology&lt;/full-title&gt;&lt;/periodical&gt;&lt;pages&gt;77-90&lt;/pages&gt;&lt;volume&gt;139&lt;/volume&gt;&lt;number&gt;1&lt;/number&gt;&lt;dates&gt;&lt;year&gt;2009&lt;/year&gt;&lt;pub-dates&gt;&lt;date&gt;Mar 18&lt;/date&gt;&lt;/pub-dates&gt;&lt;/dates&gt;&lt;label&gt;r00090&lt;/label&gt;&lt;urls&gt;&lt;related-urls&gt;&lt;url&gt;http://doi.wiley.com/10.1002/ajpa.20934&lt;/url&gt;&lt;/related-urls&gt;&lt;pdf-urls&gt;&lt;url&gt;file://localhost/Users/mercergm/Library/Application%20Support/Papers2/Articles/2009/Konigsberg/Am.%20J.%20Phys.%20Anthropol.%202009%20Konigsberg.pdf&lt;/url&gt;&lt;/pdf-urls&gt;&lt;/urls&gt;&lt;custom3&gt;papers2://publication/uuid/6A2E6A94-E355-4E1C-950A-D6EC957F7FCA&lt;/custom3&gt;&lt;electronic-resource-num&gt;10.1002/ajpa.20934&lt;/electronic-resource-num&gt;&lt;language&gt;English&lt;/language&gt;&lt;/record&gt;&lt;/Cite&gt;&lt;/EndNote&gt;</w:instrText>
      </w:r>
      <w:r w:rsidR="003731B6">
        <w:fldChar w:fldCharType="separate"/>
      </w:r>
      <w:hyperlink w:anchor="_ENREF_34" w:tooltip="Konigsberg, 2009 #150" w:history="1">
        <w:r w:rsidR="001633BC">
          <w:rPr>
            <w:noProof/>
          </w:rPr>
          <w:t>Konigsberg</w:t>
        </w:r>
        <w:r w:rsidR="001633BC" w:rsidRPr="00EB0C79">
          <w:rPr>
            <w:i/>
            <w:noProof/>
          </w:rPr>
          <w:t xml:space="preserve"> et al.</w:t>
        </w:r>
        <w:r w:rsidR="001633BC">
          <w:rPr>
            <w:noProof/>
          </w:rPr>
          <w:t xml:space="preserve"> (2009</w:t>
        </w:r>
      </w:hyperlink>
      <w:r w:rsidR="00EB0C79">
        <w:rPr>
          <w:noProof/>
        </w:rPr>
        <w:t>)</w:t>
      </w:r>
      <w:r w:rsidR="003731B6">
        <w:fldChar w:fldCharType="end"/>
      </w:r>
      <w:r>
        <w:t xml:space="preserve"> illustrate the calculation of an ancestry likelihood ratio in a case and how information on ancestry does not contribute </w:t>
      </w:r>
      <w:r w:rsidR="00EB0C79">
        <w:t>significantly</w:t>
      </w:r>
      <w:r>
        <w:t xml:space="preserve"> to identifications in terms of improving the likelihood o</w:t>
      </w:r>
      <w:r w:rsidR="00EB0C79">
        <w:t xml:space="preserve">f positive identification.  </w:t>
      </w:r>
      <w:r w:rsidR="003731B6">
        <w:fldChar w:fldCharType="begin"/>
      </w:r>
      <w:r w:rsidR="00EB0C79">
        <w:instrText xml:space="preserve"> ADDIN EN.CITE &lt;EndNote&gt;&lt;Cite AuthorYear="1"&gt;&lt;Author&gt;Steadman&lt;/Author&gt;&lt;Year&gt;2006&lt;/Year&gt;&lt;RecNum&gt;136&lt;/RecNum&gt;&lt;DisplayText&gt;Steadman&lt;style face="italic"&gt; et al.&lt;/style&gt; (2006)&lt;/DisplayText&gt;&lt;record&gt;&lt;rec-number&gt;136&lt;/rec-number&gt;&lt;foreign-keys&gt;&lt;key app="EN" db-id="20frpf5eyrpavaevz925sv9t29f5epa9pd2z"&gt;136&lt;/key&gt;&lt;/foreign-keys&gt;&lt;ref-type name="Journal Article"&gt;17&lt;/ref-type&gt;&lt;contributors&gt;&lt;authors&gt;&lt;author&gt;Steadman, D.W.&lt;/author&gt;&lt;author&gt;Adams, B.J.&lt;/author&gt;&lt;author&gt;Konigsberg, L.W.&lt;/author&gt;&lt;/authors&gt;&lt;/contributors&gt;&lt;titles&gt;&lt;title&gt;Statistical basis for positive identification in forensic anthropology&lt;/title&gt;&lt;secondary-title&gt;American Journal of Physical Anthropology&lt;/secondary-title&gt;&lt;/titles&gt;&lt;periodical&gt;&lt;full-title&gt;American Journal of Physical Anthropology&lt;/full-title&gt;&lt;/periodical&gt;&lt;pages&gt;15-26&lt;/pages&gt;&lt;volume&gt;131&lt;/volume&gt;&lt;number&gt;1&lt;/number&gt;&lt;dates&gt;&lt;year&gt;2006&lt;/year&gt;&lt;/dates&gt;&lt;publisher&gt;Wiley Online Library&lt;/publisher&gt;&lt;accession-num&gt;7662902096852209336related:uM54d9sYWGoJ&lt;/accession-num&gt;&lt;label&gt;r00063&lt;/label&gt;&lt;urls&gt;&lt;related-urls&gt;&lt;url&gt;http://onlinelibrary.wiley.com/doi/10.1002/ajpa.20393/abstract&lt;/url&gt;&lt;/related-urls&gt;&lt;pdf-urls&gt;&lt;url&gt;file://localhost/Users/mercergm/Library/Application%20Support/Papers2/Articles/2006/Steadman/Am.%20J.%20Phys.%20Anthropol.%202006%20Steadman.pdf&lt;/url&gt;&lt;/pdf-urls&gt;&lt;/urls&gt;&lt;custom3&gt;papers2://publication/uuid/709174AF-3534-4CDF-B2BA-4509502D823E&lt;/custom3&gt;&lt;electronic-resource-num&gt;10.1002/ajpa.20393&lt;/electronic-resource-num&gt;&lt;/record&gt;&lt;/Cite&gt;&lt;/EndNote&gt;</w:instrText>
      </w:r>
      <w:r w:rsidR="003731B6">
        <w:fldChar w:fldCharType="separate"/>
      </w:r>
      <w:hyperlink w:anchor="_ENREF_57" w:tooltip="Steadman, 2006 #136" w:history="1">
        <w:r w:rsidR="001633BC">
          <w:rPr>
            <w:noProof/>
          </w:rPr>
          <w:t>Steadman</w:t>
        </w:r>
        <w:r w:rsidR="001633BC" w:rsidRPr="00EB0C79">
          <w:rPr>
            <w:i/>
            <w:noProof/>
          </w:rPr>
          <w:t xml:space="preserve"> et al.</w:t>
        </w:r>
        <w:r w:rsidR="001633BC">
          <w:rPr>
            <w:noProof/>
          </w:rPr>
          <w:t xml:space="preserve"> (2006</w:t>
        </w:r>
      </w:hyperlink>
      <w:r w:rsidR="00EB0C79">
        <w:rPr>
          <w:noProof/>
        </w:rPr>
        <w:t>)</w:t>
      </w:r>
      <w:r w:rsidR="003731B6">
        <w:fldChar w:fldCharType="end"/>
      </w:r>
      <w:r w:rsidR="00EB0C79">
        <w:t xml:space="preserve"> and </w:t>
      </w:r>
      <w:r w:rsidR="003731B6">
        <w:fldChar w:fldCharType="begin"/>
      </w:r>
      <w:r w:rsidR="00EB0C79">
        <w:instrText xml:space="preserve"> ADDIN EN.CITE &lt;EndNote&gt;&lt;Cite AuthorYear="1"&gt;&lt;Author&gt;Konigsberg&lt;/Author&gt;&lt;Year&gt;2009&lt;/Year&gt;&lt;RecNum&gt;150&lt;/RecNum&gt;&lt;DisplayText&gt;Konigsberg&lt;style face="italic"&gt; et al.&lt;/style&gt; (2009)&lt;/DisplayText&gt;&lt;record&gt;&lt;rec-number&gt;150&lt;/rec-number&gt;&lt;foreign-keys&gt;&lt;key app="EN" db-id="20frpf5eyrpavaevz925sv9t29f5epa9pd2z"&gt;150&lt;/key&gt;&lt;/foreign-keys&gt;&lt;ref-type name="Journal Article"&gt;17&lt;/ref-type&gt;&lt;contributors&gt;&lt;authors&gt;&lt;author&gt;Konigsberg, Lyle W.&lt;/author&gt;&lt;author&gt;Algee-Hewitt, Bridget F B&lt;/author&gt;&lt;author&gt;Steadman, Dawnie Wolfe&lt;/author&gt;&lt;/authors&gt;&lt;/contributors&gt;&lt;titles&gt;&lt;title&gt;Estimation and evidence in forensic anthropology: Sex and race&lt;/title&gt;&lt;secondary-title&gt;American Journal of Physical Anthropology&lt;/secondary-title&gt;&lt;/titles&gt;&lt;periodical&gt;&lt;full-title&gt;American Journal of Physical Anthropology&lt;/full-title&gt;&lt;/periodical&gt;&lt;pages&gt;77-90&lt;/pages&gt;&lt;volume&gt;139&lt;/volume&gt;&lt;number&gt;1&lt;/number&gt;&lt;dates&gt;&lt;year&gt;2009&lt;/year&gt;&lt;pub-dates&gt;&lt;date&gt;Mar 18&lt;/date&gt;&lt;/pub-dates&gt;&lt;/dates&gt;&lt;label&gt;r00090&lt;/label&gt;&lt;urls&gt;&lt;related-urls&gt;&lt;url&gt;http://doi.wiley.com/10.1002/ajpa.20934&lt;/url&gt;&lt;/related-urls&gt;&lt;pdf-urls&gt;&lt;url&gt;file://localhost/Users/mercergm/Library/Application%20Support/Papers2/Articles/2009/Konigsberg/Am.%20J.%20Phys.%20Anthropol.%202009%20Konigsberg.pdf&lt;/url&gt;&lt;/pdf-urls&gt;&lt;/urls&gt;&lt;custom3&gt;papers2://publication/uuid/6A2E6A94-E355-4E1C-950A-D6EC957F7FCA&lt;/custom3&gt;&lt;electronic-resource-num&gt;10.1002/ajpa.20934&lt;/electronic-resource-num&gt;&lt;language&gt;English&lt;/language&gt;&lt;/record&gt;&lt;/Cite&gt;&lt;/EndNote&gt;</w:instrText>
      </w:r>
      <w:r w:rsidR="003731B6">
        <w:fldChar w:fldCharType="separate"/>
      </w:r>
      <w:hyperlink w:anchor="_ENREF_34" w:tooltip="Konigsberg, 2009 #150" w:history="1">
        <w:r w:rsidR="001633BC">
          <w:rPr>
            <w:noProof/>
          </w:rPr>
          <w:t>Konigsberg</w:t>
        </w:r>
        <w:r w:rsidR="001633BC" w:rsidRPr="00EB0C79">
          <w:rPr>
            <w:i/>
            <w:noProof/>
          </w:rPr>
          <w:t xml:space="preserve"> et al.</w:t>
        </w:r>
        <w:r w:rsidR="001633BC">
          <w:rPr>
            <w:noProof/>
          </w:rPr>
          <w:t xml:space="preserve"> (2009</w:t>
        </w:r>
      </w:hyperlink>
      <w:r w:rsidR="00EB0C79">
        <w:rPr>
          <w:noProof/>
        </w:rPr>
        <w:t>)</w:t>
      </w:r>
      <w:r w:rsidR="003731B6">
        <w:fldChar w:fldCharType="end"/>
      </w:r>
      <w:r>
        <w:t xml:space="preserve"> also discuss difficulties in obtaining prior and posterior probability estimates</w:t>
      </w:r>
      <w:r w:rsidR="00EB0C79">
        <w:t xml:space="preserve"> because of the</w:t>
      </w:r>
      <w:r>
        <w:t xml:space="preserve"> need to use bureaucratic race and census data to derive informative priors.  </w:t>
      </w:r>
      <w:r w:rsidR="003731B6">
        <w:fldChar w:fldCharType="begin"/>
      </w:r>
      <w:r>
        <w:instrText xml:space="preserve"> ADDIN EN.CITE &lt;EndNote&gt;&lt;Cite AuthorYear="1"&gt;&lt;Author&gt;Smay&lt;/Author&gt;&lt;Year&gt;2000&lt;/Year&gt;&lt;RecNum&gt;72&lt;/RecNum&gt;&lt;DisplayText&gt;Smay and Armelagos (2000)&lt;/DisplayText&gt;&lt;record&gt;&lt;rec-number&gt;72&lt;/rec-number&gt;&lt;foreign-keys&gt;&lt;key app="EN" db-id="20frpf5eyrpavaevz925sv9t29f5epa9pd2z"&gt;72&lt;/key&gt;&lt;/foreign-keys&gt;&lt;ref-type name="Journal Article"&gt;17&lt;/ref-type&gt;&lt;contributors&gt;&lt;authors&gt;&lt;author&gt;Smay, Diana&lt;/author&gt;&lt;author&gt;Armelagos, George&lt;/author&gt;&lt;/authors&gt;&lt;/contributors&gt;&lt;titles&gt;&lt;title&gt;Galileo wept: a critical assessment of the use of race in forensic anthropology&lt;/title&gt;&lt;secondary-title&gt;Transforming Anthropology&lt;/secondary-title&gt;&lt;/titles&gt;&lt;periodical&gt;&lt;full-title&gt;Transforming Anthropology&lt;/full-title&gt;&lt;/periodical&gt;&lt;pages&gt;19-29&lt;/pages&gt;&lt;volume&gt;9&lt;/volume&gt;&lt;number&gt;2&lt;/number&gt;&lt;dates&gt;&lt;year&gt;2000&lt;/year&gt;&lt;/dates&gt;&lt;urls&gt;&lt;/urls&gt;&lt;/record&gt;&lt;/Cite&gt;&lt;/EndNote&gt;</w:instrText>
      </w:r>
      <w:r w:rsidR="003731B6">
        <w:fldChar w:fldCharType="separate"/>
      </w:r>
      <w:hyperlink w:anchor="_ENREF_52" w:tooltip="Smay, 2000 #72" w:history="1">
        <w:r w:rsidR="001633BC">
          <w:rPr>
            <w:noProof/>
          </w:rPr>
          <w:t>Smay and Armelagos (2000</w:t>
        </w:r>
      </w:hyperlink>
      <w:r>
        <w:rPr>
          <w:noProof/>
        </w:rPr>
        <w:t>)</w:t>
      </w:r>
      <w:r w:rsidR="003731B6">
        <w:fldChar w:fldCharType="end"/>
      </w:r>
      <w:r>
        <w:t xml:space="preserve"> reference past genetic studies of human variation and discuss logical flaws that they see in arguments supporting the forensic estimation of race, while </w:t>
      </w:r>
      <w:r w:rsidR="003731B6">
        <w:fldChar w:fldCharType="begin"/>
      </w:r>
      <w:r>
        <w:instrText xml:space="preserve"> ADDIN EN.CITE &lt;EndNote&gt;&lt;Cite AuthorYear="1"&gt;&lt;Author&gt;Goodman&lt;/Author&gt;&lt;Year&gt;1997&lt;/Year&gt;&lt;RecNum&gt;81&lt;/RecNum&gt;&lt;DisplayText&gt;Goodman (1997)&lt;/DisplayText&gt;&lt;record&gt;&lt;rec-number&gt;81&lt;/rec-number&gt;&lt;foreign-keys&gt;&lt;key app="EN" db-id="20frpf5eyrpavaevz925sv9t29f5epa9pd2z"&gt;81&lt;/key&gt;&lt;/foreign-keys&gt;&lt;ref-type name="Journal Article"&gt;17&lt;/ref-type&gt;&lt;contributors&gt;&lt;authors&gt;&lt;author&gt;Goodman, Alan H.&lt;/author&gt;&lt;/authors&gt;&lt;/contributors&gt;&lt;titles&gt;&lt;title&gt;Bred in the bone?&lt;/title&gt;&lt;secondary-title&gt;The Sciences&lt;/secondary-title&gt;&lt;/titles&gt;&lt;periodical&gt;&lt;full-title&gt;The Sciences&lt;/full-title&gt;&lt;/periodical&gt;&lt;pages&gt;20-25&lt;/pages&gt;&lt;volume&gt;21&lt;/volume&gt;&lt;dates&gt;&lt;year&gt;1997&lt;/year&gt;&lt;/dates&gt;&lt;urls&gt;&lt;/urls&gt;&lt;/record&gt;&lt;/Cite&gt;&lt;/EndNote&gt;</w:instrText>
      </w:r>
      <w:r w:rsidR="003731B6">
        <w:fldChar w:fldCharType="separate"/>
      </w:r>
      <w:hyperlink w:anchor="_ENREF_20" w:tooltip="Goodman, 1997 #81" w:history="1">
        <w:r w:rsidR="001633BC">
          <w:rPr>
            <w:noProof/>
          </w:rPr>
          <w:t>Goodman (1997</w:t>
        </w:r>
      </w:hyperlink>
      <w:r>
        <w:rPr>
          <w:noProof/>
        </w:rPr>
        <w:t>)</w:t>
      </w:r>
      <w:r w:rsidR="003731B6">
        <w:fldChar w:fldCharType="end"/>
      </w:r>
      <w:r>
        <w:t xml:space="preserve"> discusses the disconnect between human bi</w:t>
      </w:r>
      <w:r w:rsidR="00CC5170">
        <w:t>ological variation and race.  Goodman</w:t>
      </w:r>
      <w:r>
        <w:t xml:space="preserve"> also argues that race is a bad scientific variable stating, “generalizations ought not be based on an ill-defined, constantly changing and contextually loaded variable” </w:t>
      </w:r>
      <w:r w:rsidR="003731B6">
        <w:fldChar w:fldCharType="begin"/>
      </w:r>
      <w:r>
        <w:instrText xml:space="preserve"> ADDIN EN.CITE &lt;EndNote&gt;&lt;Cite&gt;&lt;Author&gt;Goodman&lt;/Author&gt;&lt;Year&gt;1997&lt;/Year&gt;&lt;RecNum&gt;81&lt;/RecNum&gt;&lt;Suffix&gt;:23&lt;/Suffix&gt;&lt;DisplayText&gt;(Goodman, 1997:23)&lt;/DisplayText&gt;&lt;record&gt;&lt;rec-number&gt;81&lt;/rec-number&gt;&lt;foreign-keys&gt;&lt;key app="EN" db-id="20frpf5eyrpavaevz925sv9t29f5epa9pd2z"&gt;81&lt;/key&gt;&lt;/foreign-keys&gt;&lt;ref-type name="Journal Article"&gt;17&lt;/ref-type&gt;&lt;contributors&gt;&lt;authors&gt;&lt;author&gt;Goodman, Alan H.&lt;/author&gt;&lt;/authors&gt;&lt;/contributors&gt;&lt;titles&gt;&lt;title&gt;Bred in the bone?&lt;/title&gt;&lt;secondary-title&gt;The Sciences&lt;/secondary-title&gt;&lt;/titles&gt;&lt;periodical&gt;&lt;full-title&gt;The Sciences&lt;/full-title&gt;&lt;/periodical&gt;&lt;pages&gt;20-25&lt;/pages&gt;&lt;volume&gt;21&lt;/volume&gt;&lt;dates&gt;&lt;year&gt;1997&lt;/year&gt;&lt;/dates&gt;&lt;urls&gt;&lt;/urls&gt;&lt;/record&gt;&lt;/Cite&gt;&lt;/EndNote&gt;</w:instrText>
      </w:r>
      <w:r w:rsidR="003731B6">
        <w:fldChar w:fldCharType="separate"/>
      </w:r>
      <w:r>
        <w:rPr>
          <w:noProof/>
        </w:rPr>
        <w:t>(</w:t>
      </w:r>
      <w:hyperlink w:anchor="_ENREF_20" w:tooltip="Goodman, 1997 #81" w:history="1">
        <w:r w:rsidR="001633BC">
          <w:rPr>
            <w:noProof/>
          </w:rPr>
          <w:t>Goodman, 1997:23</w:t>
        </w:r>
      </w:hyperlink>
      <w:r>
        <w:rPr>
          <w:noProof/>
        </w:rPr>
        <w:t>)</w:t>
      </w:r>
      <w:r w:rsidR="003731B6">
        <w:fldChar w:fldCharType="end"/>
      </w:r>
      <w:r>
        <w:t xml:space="preserve"> and, “one cannot do predictive science based on a changing, indefinable cause” </w:t>
      </w:r>
      <w:r w:rsidR="003731B6">
        <w:fldChar w:fldCharType="begin"/>
      </w:r>
      <w:r>
        <w:instrText xml:space="preserve"> ADDIN EN.CITE &lt;EndNote&gt;&lt;Cite&gt;&lt;Author&gt;Goodman&lt;/Author&gt;&lt;Year&gt;1997&lt;/Year&gt;&lt;RecNum&gt;81&lt;/RecNum&gt;&lt;Suffix&gt;:24&lt;/Suffix&gt;&lt;DisplayText&gt;(Goodman, 1997:24)&lt;/DisplayText&gt;&lt;record&gt;&lt;rec-number&gt;81&lt;/rec-number&gt;&lt;foreign-keys&gt;&lt;key app="EN" db-id="20frpf5eyrpavaevz925sv9t29f5epa9pd2z"&gt;81&lt;/key&gt;&lt;/foreign-keys&gt;&lt;ref-type name="Journal Article"&gt;17&lt;/ref-type&gt;&lt;contributors&gt;&lt;authors&gt;&lt;author&gt;Goodman, Alan H.&lt;/author&gt;&lt;/authors&gt;&lt;/contributors&gt;&lt;titles&gt;&lt;title&gt;Bred in the bone?&lt;/title&gt;&lt;secondary-title&gt;The Sciences&lt;/secondary-title&gt;&lt;/titles&gt;&lt;periodical&gt;&lt;full-title&gt;The Sciences&lt;/full-title&gt;&lt;/periodical&gt;&lt;pages&gt;20-25&lt;/pages&gt;&lt;volume&gt;21&lt;/volume&gt;&lt;dates&gt;&lt;year&gt;1997&lt;/year&gt;&lt;/dates&gt;&lt;urls&gt;&lt;/urls&gt;&lt;/record&gt;&lt;/Cite&gt;&lt;/EndNote&gt;</w:instrText>
      </w:r>
      <w:r w:rsidR="003731B6">
        <w:fldChar w:fldCharType="separate"/>
      </w:r>
      <w:r>
        <w:rPr>
          <w:noProof/>
        </w:rPr>
        <w:t>(</w:t>
      </w:r>
      <w:hyperlink w:anchor="_ENREF_20" w:tooltip="Goodman, 1997 #81" w:history="1">
        <w:r w:rsidR="001633BC">
          <w:rPr>
            <w:noProof/>
          </w:rPr>
          <w:t>Goodman, 1997:24</w:t>
        </w:r>
      </w:hyperlink>
      <w:r>
        <w:rPr>
          <w:noProof/>
        </w:rPr>
        <w:t>)</w:t>
      </w:r>
      <w:r w:rsidR="003731B6">
        <w:fldChar w:fldCharType="end"/>
      </w:r>
      <w:r>
        <w:t xml:space="preserve">.  Finally, </w:t>
      </w:r>
      <w:r w:rsidR="003731B6">
        <w:fldChar w:fldCharType="begin"/>
      </w:r>
      <w:r w:rsidR="00EB0C79">
        <w:instrText xml:space="preserve"> ADDIN EN.CITE &lt;EndNote&gt;&lt;Cite AuthorYear="1"&gt;&lt;Author&gt;Williams&lt;/Author&gt;&lt;Year&gt;2005&lt;/Year&gt;&lt;RecNum&gt;110&lt;/RecNum&gt;&lt;DisplayText&gt;Williams&lt;style face="italic"&gt; et al.&lt;/style&gt; (2005)&lt;/DisplayText&gt;&lt;record&gt;&lt;rec-number&gt;110&lt;/rec-number&gt;&lt;foreign-keys&gt;&lt;key app="EN" db-id="20frpf5eyrpavaevz925sv9t29f5epa9pd2z"&gt;110&lt;/key&gt;&lt;/foreign-keys&gt;&lt;ref-type name="Journal Article"&gt;17&lt;/ref-type&gt;&lt;contributors&gt;&lt;authors&gt;&lt;author&gt;Williams, Frank L&amp;apos;Engle&lt;/author&gt;&lt;author&gt;Belcher, Robert L&lt;/author&gt;&lt;author&gt;Armelagos, George J&lt;/author&gt;&lt;/authors&gt;&lt;/contributors&gt;&lt;titles&gt;&lt;title&gt;Forensic misclassification of ancient Nubian crania: implications for assumptions about human variation&lt;/title&gt;&lt;secondary-title&gt;Current Anthropology&lt;/secondary-title&gt;&lt;/titles&gt;&lt;periodical&gt;&lt;full-title&gt;Current Anthropology&lt;/full-title&gt;&lt;/periodical&gt;&lt;pages&gt;340-346&lt;/pages&gt;&lt;volume&gt;46&lt;/volume&gt;&lt;number&gt;2&lt;/number&gt;&lt;dates&gt;&lt;year&gt;2005&lt;/year&gt;&lt;/dates&gt;&lt;accession-num&gt;10218163623028718232related:mPpxT601zo0J&lt;/accession-num&gt;&lt;label&gt;r03808&lt;/label&gt;&lt;urls&gt;&lt;related-urls&gt;&lt;url&gt;http://cat.inist.fr/?aModele=afficheN&amp;amp;amp;cpsidt=16850609&lt;/url&gt;&lt;/related-urls&gt;&lt;pdf-urls&gt;&lt;url&gt;file://localhost/Users/mercergm/Library/Application%20Support/Papers2/Articles/2005/Williams/2005%20Williams-1.pdf&lt;/url&gt;&lt;/pdf-urls&gt;&lt;/urls&gt;&lt;custom3&gt;papers2://publication/uuid/B23900EC-530E-4F57-B47C-99712F7EDB05&lt;/custom3&gt;&lt;/record&gt;&lt;/Cite&gt;&lt;/EndNote&gt;</w:instrText>
      </w:r>
      <w:r w:rsidR="003731B6">
        <w:fldChar w:fldCharType="separate"/>
      </w:r>
      <w:hyperlink w:anchor="_ENREF_65" w:tooltip="Williams, 2005 #110" w:history="1">
        <w:r w:rsidR="001633BC">
          <w:rPr>
            <w:noProof/>
          </w:rPr>
          <w:t>Williams</w:t>
        </w:r>
        <w:r w:rsidR="001633BC" w:rsidRPr="00EB0C79">
          <w:rPr>
            <w:i/>
            <w:noProof/>
          </w:rPr>
          <w:t xml:space="preserve"> et al.</w:t>
        </w:r>
        <w:r w:rsidR="001633BC">
          <w:rPr>
            <w:noProof/>
          </w:rPr>
          <w:t xml:space="preserve"> (2005</w:t>
        </w:r>
      </w:hyperlink>
      <w:r w:rsidR="00EB0C79">
        <w:rPr>
          <w:noProof/>
        </w:rPr>
        <w:t>)</w:t>
      </w:r>
      <w:r w:rsidR="003731B6">
        <w:fldChar w:fldCharType="end"/>
      </w:r>
      <w:r>
        <w:t xml:space="preserve"> and </w:t>
      </w:r>
      <w:r w:rsidR="003731B6">
        <w:fldChar w:fldCharType="begin"/>
      </w:r>
      <w:r>
        <w:instrText xml:space="preserve"> ADDIN EN.CITE &lt;EndNote&gt;&lt;Cite AuthorYear="1"&gt;&lt;Author&gt;Elliott&lt;/Author&gt;&lt;Year&gt;2009&lt;/Year&gt;&lt;RecNum&gt;334&lt;/RecNum&gt;&lt;DisplayText&gt;Elliott and Collard (2009)&lt;/DisplayText&gt;&lt;record&gt;&lt;rec-number&gt;334&lt;/rec-number&gt;&lt;foreign-keys&gt;&lt;key app="EN" db-id="20frpf5eyrpavaevz925sv9t29f5epa9pd2z"&gt;334&lt;/key&gt;&lt;/foreign-keys&gt;&lt;ref-type name="Journal Article"&gt;17&lt;/ref-type&gt;&lt;contributors&gt;&lt;authors&gt;&lt;author&gt;Elliott, M&lt;/author&gt;&lt;author&gt;Collard, M&lt;/author&gt;&lt;/authors&gt;&lt;/contributors&gt;&lt;titles&gt;&lt;title&gt;FORDISC and the determination of ancestry from cranial measurements&lt;/title&gt;&lt;/titles&gt;&lt;pages&gt;849-852&lt;/pages&gt;&lt;volume&gt;5&lt;/volume&gt;&lt;number&gt;6&lt;/number&gt;&lt;dates&gt;&lt;year&gt;2009&lt;/year&gt;&lt;pub-dates&gt;&lt;date&gt;Nov 11&lt;/date&gt;&lt;/pub-dates&gt;&lt;/dates&gt;&lt;accession-num&gt;10115290545770940283related:e0eLhCi7YIwJ&lt;/accession-num&gt;&lt;label&gt;r05253&lt;/label&gt;&lt;urls&gt;&lt;related-urls&gt;&lt;url&gt;http://rsbl.royalsocietypublishing.org/cgi/doi/10.1098/rsbl.2009.0462&lt;/url&gt;&lt;/related-urls&gt;&lt;pdf-urls&gt;&lt;url&gt;file://localhost/Users/mercergm/Library/Application%20Support/Papers2/Articles/2009/Elliott/Biology%20Letters%202009%20Elliott.pdf&lt;/url&gt;&lt;/pdf-urls&gt;&lt;/urls&gt;&lt;custom3&gt;papers2://publication/uuid/88DB4610-E5CA-4585-8DED-FEA07FEFC376&lt;/custom3&gt;&lt;electronic-resource-num&gt;10.1098/rsbl.2009.0462&lt;/electronic-resource-num&gt;&lt;language&gt;English&lt;/language&gt;&lt;/record&gt;&lt;/Cite&gt;&lt;/EndNote&gt;</w:instrText>
      </w:r>
      <w:r w:rsidR="003731B6">
        <w:fldChar w:fldCharType="separate"/>
      </w:r>
      <w:hyperlink w:anchor="_ENREF_14" w:tooltip="Elliott, 2009 #334" w:history="1">
        <w:r w:rsidR="001633BC">
          <w:rPr>
            <w:noProof/>
          </w:rPr>
          <w:t>Elliott and Collard (2009</w:t>
        </w:r>
      </w:hyperlink>
      <w:r>
        <w:rPr>
          <w:noProof/>
        </w:rPr>
        <w:t>)</w:t>
      </w:r>
      <w:r w:rsidR="003731B6">
        <w:fldChar w:fldCharType="end"/>
      </w:r>
      <w:r>
        <w:t xml:space="preserve"> have attempted to show that FORDISC performs poorly.  However, </w:t>
      </w:r>
      <w:r w:rsidR="003731B6">
        <w:fldChar w:fldCharType="begin"/>
      </w:r>
      <w:r w:rsidR="00EB0C79">
        <w:instrText xml:space="preserve"> ADDIN EN.CITE &lt;EndNote&gt;&lt;Cite AuthorYear="1"&gt;&lt;Author&gt;Williams&lt;/Author&gt;&lt;Year&gt;2005&lt;/Year&gt;&lt;RecNum&gt;110&lt;/RecNum&gt;&lt;DisplayText&gt;Williams&lt;style face="italic"&gt; et al.&lt;/style&gt; (2005)&lt;/DisplayText&gt;&lt;record&gt;&lt;rec-number&gt;110&lt;/rec-number&gt;&lt;foreign-keys&gt;&lt;key app="EN" db-id="20frpf5eyrpavaevz925sv9t29f5epa9pd2z"&gt;110&lt;/key&gt;&lt;/foreign-keys&gt;&lt;ref-type name="Journal Article"&gt;17&lt;/ref-type&gt;&lt;contributors&gt;&lt;authors&gt;&lt;author&gt;Williams, Frank L&amp;apos;Engle&lt;/author&gt;&lt;author&gt;Belcher, Robert L&lt;/author&gt;&lt;author&gt;Armelagos, George J&lt;/author&gt;&lt;/authors&gt;&lt;/contributors&gt;&lt;titles&gt;&lt;title&gt;Forensic misclassification of ancient Nubian crania: implications for assumptions about human variation&lt;/title&gt;&lt;secondary-title&gt;Current Anthropology&lt;/secondary-title&gt;&lt;/titles&gt;&lt;periodical&gt;&lt;full-title&gt;Current Anthropology&lt;/full-title&gt;&lt;/periodical&gt;&lt;pages&gt;340-346&lt;/pages&gt;&lt;volume&gt;46&lt;/volume&gt;&lt;number&gt;2&lt;/number&gt;&lt;dates&gt;&lt;year&gt;2005&lt;/year&gt;&lt;/dates&gt;&lt;accession-num&gt;10218163623028718232related:mPpxT601zo0J&lt;/accession-num&gt;&lt;label&gt;r03808&lt;/label&gt;&lt;urls&gt;&lt;related-urls&gt;&lt;url&gt;http://cat.inist.fr/?aModele=afficheN&amp;amp;amp;cpsidt=16850609&lt;/url&gt;&lt;/related-urls&gt;&lt;pdf-urls&gt;&lt;url&gt;file://localhost/Users/mercergm/Library/Application%20Support/Papers2/Articles/2005/Williams/2005%20Williams-1.pdf&lt;/url&gt;&lt;/pdf-urls&gt;&lt;/urls&gt;&lt;custom3&gt;papers2://publication/uuid/B23900EC-530E-4F57-B47C-99712F7EDB05&lt;/custom3&gt;&lt;/record&gt;&lt;/Cite&gt;&lt;/EndNote&gt;</w:instrText>
      </w:r>
      <w:r w:rsidR="003731B6">
        <w:fldChar w:fldCharType="separate"/>
      </w:r>
      <w:hyperlink w:anchor="_ENREF_65" w:tooltip="Williams, 2005 #110" w:history="1">
        <w:r w:rsidR="001633BC">
          <w:rPr>
            <w:noProof/>
          </w:rPr>
          <w:t>Williams</w:t>
        </w:r>
        <w:r w:rsidR="001633BC" w:rsidRPr="00EB0C79">
          <w:rPr>
            <w:i/>
            <w:noProof/>
          </w:rPr>
          <w:t xml:space="preserve"> et al.</w:t>
        </w:r>
        <w:r w:rsidR="001633BC">
          <w:rPr>
            <w:noProof/>
          </w:rPr>
          <w:t xml:space="preserve"> (2005</w:t>
        </w:r>
      </w:hyperlink>
      <w:r w:rsidR="00EB0C79">
        <w:rPr>
          <w:noProof/>
        </w:rPr>
        <w:t>)</w:t>
      </w:r>
      <w:r w:rsidR="003731B6">
        <w:fldChar w:fldCharType="end"/>
      </w:r>
      <w:r>
        <w:t xml:space="preserve"> have been heavily criticized for their statistical methodology </w:t>
      </w:r>
      <w:r w:rsidR="003731B6">
        <w:fldChar w:fldCharType="begin"/>
      </w:r>
      <w:r w:rsidR="00EB0C79">
        <w:instrText xml:space="preserve"> ADDIN EN.CITE &lt;EndNote&gt;&lt;Cite&gt;&lt;Author&gt;Ousley&lt;/Author&gt;&lt;Year&gt;2009&lt;/Year&gt;&lt;RecNum&gt;63&lt;/RecNum&gt;&lt;DisplayText&gt;(Ousley&lt;style face="italic"&gt; et al.&lt;/style&gt;, 2009)&lt;/DisplayText&gt;&lt;record&gt;&lt;rec-number&gt;63&lt;/rec-number&gt;&lt;foreign-keys&gt;&lt;key app="EN" db-id="20frpf5eyrpavaevz925sv9t29f5epa9pd2z"&gt;63&lt;/key&gt;&lt;/foreign-keys&gt;&lt;ref-type name="Journal Article"&gt;17&lt;/ref-type&gt;&lt;contributors&gt;&lt;authors&gt;&lt;author&gt;Ousley, Stephen&lt;/author&gt;&lt;author&gt;Jantz, Richard&lt;/author&gt;&lt;author&gt;Freid, Donna&lt;/author&gt;&lt;/authors&gt;&lt;/contributors&gt;&lt;titles&gt;&lt;title&gt;Understanding race and human variation: why forensic anthropologists are good at identifying race&lt;/title&gt;&lt;secondary-title&gt;American Journal of Physical Anthropology&lt;/secondary-title&gt;&lt;/titles&gt;&lt;periodical&gt;&lt;full-title&gt;American Journal of Physical Anthropology&lt;/full-title&gt;&lt;/periodical&gt;&lt;pages&gt;68-76&lt;/pages&gt;&lt;volume&gt;139&lt;/volume&gt;&lt;dates&gt;&lt;year&gt;2009&lt;/year&gt;&lt;/dates&gt;&lt;urls&gt;&lt;/urls&gt;&lt;/record&gt;&lt;/Cite&gt;&lt;/EndNote&gt;</w:instrText>
      </w:r>
      <w:r w:rsidR="003731B6">
        <w:fldChar w:fldCharType="separate"/>
      </w:r>
      <w:r w:rsidR="00EB0C79">
        <w:rPr>
          <w:noProof/>
        </w:rPr>
        <w:t>(</w:t>
      </w:r>
      <w:hyperlink w:anchor="_ENREF_42" w:tooltip="Ousley, 2009 #63" w:history="1">
        <w:r w:rsidR="001633BC">
          <w:rPr>
            <w:noProof/>
          </w:rPr>
          <w:t>Ousley</w:t>
        </w:r>
        <w:r w:rsidR="001633BC" w:rsidRPr="00EB0C79">
          <w:rPr>
            <w:i/>
            <w:noProof/>
          </w:rPr>
          <w:t xml:space="preserve"> et al.</w:t>
        </w:r>
        <w:r w:rsidR="001633BC">
          <w:rPr>
            <w:noProof/>
          </w:rPr>
          <w:t>, 2009</w:t>
        </w:r>
      </w:hyperlink>
      <w:r w:rsidR="00EB0C79">
        <w:rPr>
          <w:noProof/>
        </w:rPr>
        <w:t>)</w:t>
      </w:r>
      <w:r w:rsidR="003731B6">
        <w:fldChar w:fldCharType="end"/>
      </w:r>
      <w:r>
        <w:t xml:space="preserve"> and </w:t>
      </w:r>
      <w:r w:rsidR="003731B6">
        <w:fldChar w:fldCharType="begin"/>
      </w:r>
      <w:r>
        <w:instrText xml:space="preserve"> ADDIN EN.CITE &lt;EndNote&gt;&lt;Cite AuthorYear="1"&gt;&lt;Author&gt;Elliott&lt;/Author&gt;&lt;Year&gt;2009&lt;/Year&gt;&lt;RecNum&gt;334&lt;/RecNum&gt;&lt;DisplayText&gt;Elliott and Collard (2009)&lt;/DisplayText&gt;&lt;record&gt;&lt;rec-number&gt;334&lt;/rec-number&gt;&lt;foreign-keys&gt;&lt;key app="EN" db-id="20frpf5eyrpavaevz925sv9t29f5epa9pd2z"&gt;334&lt;/key&gt;&lt;/foreign-keys&gt;&lt;ref-type name="Journal Article"&gt;17&lt;/ref-type&gt;&lt;contributors&gt;&lt;authors&gt;&lt;author&gt;Elliott, M&lt;/author&gt;&lt;author&gt;Collard, M&lt;/author&gt;&lt;/authors&gt;&lt;/contributors&gt;&lt;titles&gt;&lt;title&gt;FORDISC and the determination of ancestry from cranial measurements&lt;/title&gt;&lt;/titles&gt;&lt;pages&gt;849-852&lt;/pages&gt;&lt;volume&gt;5&lt;/volume&gt;&lt;number&gt;6&lt;/number&gt;&lt;dates&gt;&lt;year&gt;2009&lt;/year&gt;&lt;pub-dates&gt;&lt;date&gt;Nov 11&lt;/date&gt;&lt;/pub-dates&gt;&lt;/dates&gt;&lt;accession-num&gt;10115290545770940283related:e0eLhCi7YIwJ&lt;/accession-num&gt;&lt;label&gt;r05253&lt;/label&gt;&lt;urls&gt;&lt;related-urls&gt;&lt;url&gt;http://rsbl.royalsocietypublishing.org/cgi/doi/10.1098/rsbl.2009.0462&lt;/url&gt;&lt;/related-urls&gt;&lt;pdf-urls&gt;&lt;url&gt;file://localhost/Users/mercergm/Library/Application%20Support/Papers2/Articles/2009/Elliott/Biology%20Letters%202009%20Elliott.pdf&lt;/url&gt;&lt;/pdf-urls&gt;&lt;/urls&gt;&lt;custom3&gt;papers2://publication/uuid/88DB4610-E5CA-4585-8DED-FEA07FEFC376&lt;/custom3&gt;&lt;electronic-resource-num&gt;10.1098/rsbl.2009.0462&lt;/electronic-resource-num&gt;&lt;language&gt;English&lt;/language&gt;&lt;/record&gt;&lt;/Cite&gt;&lt;/EndNote&gt;</w:instrText>
      </w:r>
      <w:r w:rsidR="003731B6">
        <w:fldChar w:fldCharType="separate"/>
      </w:r>
      <w:hyperlink w:anchor="_ENREF_14" w:tooltip="Elliott, 2009 #334" w:history="1">
        <w:r w:rsidR="001633BC">
          <w:rPr>
            <w:noProof/>
          </w:rPr>
          <w:t>Elliott and Collard (2009</w:t>
        </w:r>
      </w:hyperlink>
      <w:r>
        <w:rPr>
          <w:noProof/>
        </w:rPr>
        <w:t>)</w:t>
      </w:r>
      <w:r w:rsidR="003731B6">
        <w:fldChar w:fldCharType="end"/>
      </w:r>
      <w:r>
        <w:t xml:space="preserve"> have received some criticism for </w:t>
      </w:r>
      <w:r w:rsidR="00FD4E26">
        <w:t>over-fit</w:t>
      </w:r>
      <w:r>
        <w:t xml:space="preserve">ting </w:t>
      </w:r>
      <w:r w:rsidR="003731B6">
        <w:fldChar w:fldCharType="begin"/>
      </w:r>
      <w:r>
        <w:instrText xml:space="preserve"> ADDIN EN.CITE &lt;EndNote&gt;&lt;Cite&gt;&lt;Author&gt;Algee-Hewitt&lt;/Author&gt;&lt;Year&gt;2011&lt;/Year&gt;&lt;RecNum&gt;369&lt;/RecNum&gt;&lt;DisplayText&gt;(Algee-Hewitt, 2011)&lt;/DisplayText&gt;&lt;record&gt;&lt;rec-number&gt;369&lt;/rec-number&gt;&lt;foreign-keys&gt;&lt;key app="EN" db-id="20frpf5eyrpavaevz925sv9t29f5epa9pd2z"&gt;369&lt;/key&gt;&lt;/foreign-keys&gt;&lt;ref-type name="Thesis"&gt;32&lt;/ref-type&gt;&lt;contributors&gt;&lt;authors&gt;&lt;author&gt;Algee-Hewitt, Bridget Frances Beatrice&lt;/author&gt;&lt;/authors&gt;&lt;/contributors&gt;&lt;titles&gt;&lt;title&gt;If and How Many &amp;apos;Races&amp;apos;? The Application of Mixture Modeling to World-Wide Human Craniometric Variation.&lt;/title&gt;&lt;/titles&gt;&lt;pages&gt;814&lt;/pages&gt;&lt;dates&gt;&lt;year&gt;2011&lt;/year&gt;&lt;/dates&gt;&lt;pub-location&gt;Knoxville, TN&lt;/pub-location&gt;&lt;publisher&gt;University of Tennesse&lt;/publisher&gt;&lt;work-type&gt;dissertation&lt;/work-type&gt;&lt;urls&gt;&lt;related-urls&gt;&lt;url&gt;http://trace.tennessee.edu/utk_graddiss/1165&lt;/url&gt;&lt;/related-urls&gt;&lt;/urls&gt;&lt;/record&gt;&lt;/Cite&gt;&lt;/EndNote&gt;</w:instrText>
      </w:r>
      <w:r w:rsidR="003731B6">
        <w:fldChar w:fldCharType="separate"/>
      </w:r>
      <w:r>
        <w:rPr>
          <w:noProof/>
        </w:rPr>
        <w:t>(</w:t>
      </w:r>
      <w:hyperlink w:anchor="_ENREF_4" w:tooltip="Algee-Hewitt, 2011 #369" w:history="1">
        <w:r w:rsidR="001633BC">
          <w:rPr>
            <w:noProof/>
          </w:rPr>
          <w:t>Algee-Hewitt, 2011</w:t>
        </w:r>
      </w:hyperlink>
      <w:r>
        <w:rPr>
          <w:noProof/>
        </w:rPr>
        <w:t>)</w:t>
      </w:r>
      <w:r w:rsidR="003731B6">
        <w:fldChar w:fldCharType="end"/>
      </w:r>
      <w:r>
        <w:t xml:space="preserve"> and misunderstanding statements made at a FORDISC workshop </w:t>
      </w:r>
      <w:r w:rsidR="003731B6">
        <w:fldChar w:fldCharType="begin"/>
      </w:r>
      <w:r>
        <w:instrText xml:space="preserve"> ADDIN EN.CITE &lt;EndNote&gt;&lt;Cite&gt;&lt;Author&gt;Ousley&lt;/Author&gt;&lt;Year&gt;2012&lt;/Year&gt;&lt;RecNum&gt;345&lt;/RecNum&gt;&lt;DisplayText&gt;(Ousley and Jantz, 2012)&lt;/DisplayText&gt;&lt;record&gt;&lt;rec-number&gt;345&lt;/rec-number&gt;&lt;foreign-keys&gt;&lt;key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r>
        <w:rPr>
          <w:noProof/>
        </w:rPr>
        <w:t>(</w:t>
      </w:r>
      <w:hyperlink w:anchor="_ENREF_44" w:tooltip="Ousley, 2012 #345" w:history="1">
        <w:r w:rsidR="001633BC">
          <w:rPr>
            <w:noProof/>
          </w:rPr>
          <w:t>Ousley and Jantz, 2012</w:t>
        </w:r>
      </w:hyperlink>
      <w:r>
        <w:rPr>
          <w:noProof/>
        </w:rPr>
        <w:t>)</w:t>
      </w:r>
      <w:r w:rsidR="003731B6">
        <w:fldChar w:fldCharType="end"/>
      </w:r>
      <w:r>
        <w:t>.</w:t>
      </w:r>
    </w:p>
    <w:p w:rsidR="00844D4E" w:rsidRPr="00D52A10" w:rsidRDefault="00844D4E" w:rsidP="00844D4E">
      <w:pPr>
        <w:ind w:firstLine="720"/>
      </w:pPr>
      <w:r>
        <w:t>On the other hand, there are studies</w:t>
      </w:r>
      <w:r w:rsidR="00D353D0">
        <w:t xml:space="preserve"> that suggest cranial shape</w:t>
      </w:r>
      <w:r>
        <w:t xml:space="preserve"> does reflect geographic patterning and genetic variation to a degree.</w:t>
      </w:r>
      <w:r w:rsidR="00534AB6">
        <w:t xml:space="preserve">  Two</w:t>
      </w:r>
      <w:r>
        <w:t xml:space="preserve"> examples of such work are the studies done by </w:t>
      </w:r>
      <w:r w:rsidR="003731B6">
        <w:fldChar w:fldCharType="begin"/>
      </w:r>
      <w:r>
        <w:instrText xml:space="preserve"> ADDIN EN.CITE &lt;EndNote&gt;&lt;Cite AuthorYear="1"&gt;&lt;Author&gt;Howells&lt;/Author&gt;&lt;Year&gt;1973&lt;/Year&gt;&lt;RecNum&gt;60&lt;/RecNum&gt;&lt;DisplayText&gt;Howells (1973;1989)&lt;/DisplayText&gt;&lt;record&gt;&lt;rec-number&gt;60&lt;/rec-number&gt;&lt;foreign-keys&gt;&lt;key app="EN" db-id="20frpf5eyrpavaevz925sv9t29f5epa9pd2z"&gt;60&lt;/key&gt;&lt;/foreign-keys&gt;&lt;ref-type name="Manuscript"&gt;36&lt;/ref-type&gt;&lt;contributors&gt;&lt;authors&gt;&lt;author&gt;Howells, W. W.&lt;/author&gt;&lt;/authors&gt;&lt;/contributors&gt;&lt;titles&gt;&lt;title&gt;Cranial variation in man&lt;/title&gt;&lt;secondary-title&gt;Papers of the Peabody Museum of Archaeology and Ethnology&lt;/secondary-title&gt;&lt;/titles&gt;&lt;pages&gt;1-259&lt;/pages&gt;&lt;volume&gt;67&lt;/volume&gt;&lt;dates&gt;&lt;year&gt;1973&lt;/year&gt;&lt;/dates&gt;&lt;pub-location&gt;Cambridge, MA&lt;/pub-location&gt;&lt;urls&gt;&lt;/urls&gt;&lt;/record&gt;&lt;/Cite&gt;&lt;Cite AuthorYear="1"&gt;&lt;Author&gt;Howells&lt;/Author&gt;&lt;Year&gt;1989&lt;/Year&gt;&lt;RecNum&gt;61&lt;/RecNum&gt;&lt;record&gt;&lt;rec-number&gt;61&lt;/rec-number&gt;&lt;foreign-keys&gt;&lt;key app="EN" db-id="20frpf5eyrpavaevz925sv9t29f5epa9pd2z"&gt;61&lt;/key&gt;&lt;/foreign-keys&gt;&lt;ref-type name="Manuscript"&gt;36&lt;/ref-type&gt;&lt;contributors&gt;&lt;authors&gt;&lt;author&gt;Howells, W. W.&lt;/author&gt;&lt;/authors&gt;&lt;/contributors&gt;&lt;titles&gt;&lt;title&gt;Skull shpaes and the map&lt;/title&gt;&lt;secondary-title&gt;Papers of the Peabody Museum of Archaeology and Ethnology&lt;/secondary-title&gt;&lt;/titles&gt;&lt;pages&gt;1-189&lt;/pages&gt;&lt;volume&gt;79&lt;/volume&gt;&lt;dates&gt;&lt;year&gt;1989&lt;/year&gt;&lt;/dates&gt;&lt;pub-location&gt;Cambridge, MA&lt;/pub-location&gt;&lt;urls&gt;&lt;/urls&gt;&lt;/record&gt;&lt;/Cite&gt;&lt;/EndNote&gt;</w:instrText>
      </w:r>
      <w:r w:rsidR="003731B6">
        <w:fldChar w:fldCharType="separate"/>
      </w:r>
      <w:hyperlink w:anchor="_ENREF_24" w:tooltip="Howells, 1973 #60" w:history="1">
        <w:r w:rsidR="001633BC">
          <w:rPr>
            <w:noProof/>
          </w:rPr>
          <w:t>Howells (1973</w:t>
        </w:r>
      </w:hyperlink>
      <w:r>
        <w:rPr>
          <w:noProof/>
        </w:rPr>
        <w:t>;</w:t>
      </w:r>
      <w:hyperlink w:anchor="_ENREF_25" w:tooltip="Howells, 1989 #61" w:history="1">
        <w:r w:rsidR="001633BC">
          <w:rPr>
            <w:noProof/>
          </w:rPr>
          <w:t>1989</w:t>
        </w:r>
      </w:hyperlink>
      <w:r>
        <w:rPr>
          <w:noProof/>
        </w:rPr>
        <w:t>)</w:t>
      </w:r>
      <w:r w:rsidR="003731B6">
        <w:fldChar w:fldCharType="end"/>
      </w:r>
      <w:r>
        <w:t xml:space="preserve"> discussed above.  More recent examples include work conducted by Heather Smith and colleagues </w:t>
      </w:r>
      <w:r w:rsidR="003731B6">
        <w:fldChar w:fldCharType="begin">
          <w:fldData xml:space="preserve">PEVuZE5vdGU+PENpdGU+PEF1dGhvcj5TbWl0aDwvQXV0aG9yPjxZZWFyPjIwMDc8L1llYXI+PFJl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</w:fldData>
        </w:fldChar>
      </w:r>
      <w:r w:rsidR="00EB0C79">
        <w:instrText xml:space="preserve"> ADDIN EN.CITE </w:instrText>
      </w:r>
      <w:r w:rsidR="003731B6">
        <w:fldChar w:fldCharType="begin">
          <w:fldData xml:space="preserve">PEVuZE5vdGU+PENpdGU+PEF1dGhvcj5TbWl0aDwvQXV0aG9yPjxZZWFyPjIwMDc8L1llYXI+PFJl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</w:fldData>
        </w:fldChar>
      </w:r>
      <w:r w:rsidR="00EB0C79">
        <w:instrText xml:space="preserve"> ADDIN EN.CITE.DATA </w:instrText>
      </w:r>
      <w:r w:rsidR="003731B6">
        <w:fldChar w:fldCharType="end"/>
      </w:r>
      <w:r w:rsidR="003731B6">
        <w:fldChar w:fldCharType="separate"/>
      </w:r>
      <w:r w:rsidR="00EB0C79">
        <w:rPr>
          <w:noProof/>
        </w:rPr>
        <w:t>(</w:t>
      </w:r>
      <w:hyperlink w:anchor="_ENREF_54" w:tooltip="Smith, 2007 #290" w:history="1">
        <w:r w:rsidR="001633BC">
          <w:rPr>
            <w:noProof/>
          </w:rPr>
          <w:t>Smith</w:t>
        </w:r>
        <w:r w:rsidR="001633BC" w:rsidRPr="00EB0C79">
          <w:rPr>
            <w:i/>
            <w:noProof/>
          </w:rPr>
          <w:t xml:space="preserve"> et al.</w:t>
        </w:r>
        <w:r w:rsidR="001633BC">
          <w:rPr>
            <w:noProof/>
          </w:rPr>
          <w:t>, 2007</w:t>
        </w:r>
      </w:hyperlink>
      <w:r w:rsidR="00EB0C79">
        <w:rPr>
          <w:noProof/>
        </w:rPr>
        <w:t xml:space="preserve">; </w:t>
      </w:r>
      <w:hyperlink w:anchor="_ENREF_53" w:tooltip="Smith, 2009 #287" w:history="1">
        <w:r w:rsidR="001633BC">
          <w:rPr>
            <w:noProof/>
          </w:rPr>
          <w:t>Smith, 2009</w:t>
        </w:r>
      </w:hyperlink>
      <w:r w:rsidR="00EB0C79">
        <w:rPr>
          <w:noProof/>
        </w:rPr>
        <w:t>)</w:t>
      </w:r>
      <w:r w:rsidR="003731B6">
        <w:fldChar w:fldCharType="end"/>
      </w:r>
      <w:r>
        <w:t xml:space="preserve"> and </w:t>
      </w:r>
      <w:r w:rsidR="003731B6">
        <w:fldChar w:fldCharType="begin"/>
      </w:r>
      <w:r>
        <w:instrText xml:space="preserve"> ADDIN EN.CITE &lt;EndNote&gt;&lt;Cite AuthorYear="1"&gt;&lt;Author&gt;Roseman&lt;/Author&gt;&lt;Year&gt;2004&lt;/Year&gt;&lt;RecNum&gt;277&lt;/RecNum&gt;&lt;DisplayText&gt;Roseman and Weaver (2004)&lt;/DisplayText&gt;&lt;record&gt;&lt;rec-number&gt;277&lt;/rec-number&gt;&lt;foreign-keys&gt;&lt;key app="EN" db-id="20frpf5eyrpavaevz925sv9t29f5epa9pd2z"&gt;277&lt;/key&gt;&lt;/foreign-keys&gt;&lt;ref-type name="Journal Article"&gt;17&lt;/ref-type&gt;&lt;contributors&gt;&lt;authors&gt;&lt;author&gt;Roseman, Charles C&lt;/author&gt;&lt;author&gt;Weaver, Timothy D&lt;/author&gt;&lt;/authors&gt;&lt;/contributors&gt;&lt;titles&gt;&lt;title&gt;Multivariate apportionment of global human craniometric diversity&lt;/title&gt;&lt;secondary-title&gt;American Journal of Physical Anthropology&lt;/secondary-title&gt;&lt;/titles&gt;&lt;periodical&gt;&lt;full-title&gt;American Journal of Physical Anthropology&lt;/full-title&gt;&lt;/periodical&gt;&lt;pages&gt;257-263&lt;/pages&gt;&lt;volume&gt;125&lt;/volume&gt;&lt;dates&gt;&lt;year&gt;2004&lt;/year&gt;&lt;/dates&gt;&lt;accession-num&gt;542EA96F-456A-46EF-8D87-8F66B32DBBF2&lt;/accession-num&gt;&lt;label&gt;r00376&lt;/label&gt;&lt;urls&gt;&lt;related-urls&gt;&lt;url&gt;http://onlinelibrary.wiley.com/doi/10.1002/ajpa.10424/full&lt;/url&gt;&lt;/related-urls&gt;&lt;pdf-urls&gt;&lt;url&gt;file://localhost/Users/mercergm/Library/Application%20Support/Papers2/Articles/2004/Roseman/Am.%20J.%20Phys.%20Anthropol.%202004%20Roseman.pdf&lt;/url&gt;&lt;/pdf-urls&gt;&lt;/urls&gt;&lt;custom3&gt;papers2://publication/uuid/30B9C813-1EFF-41B7-A438-9BC529621CE4&lt;/custom3&gt;&lt;/record&gt;&lt;/Cite&gt;&lt;/EndNote&gt;</w:instrText>
      </w:r>
      <w:r w:rsidR="003731B6">
        <w:fldChar w:fldCharType="separate"/>
      </w:r>
      <w:hyperlink w:anchor="_ENREF_49" w:tooltip="Roseman, 2004 #277" w:history="1">
        <w:r w:rsidR="001633BC">
          <w:rPr>
            <w:noProof/>
          </w:rPr>
          <w:t>Roseman and Weaver (2004</w:t>
        </w:r>
      </w:hyperlink>
      <w:r>
        <w:rPr>
          <w:noProof/>
        </w:rPr>
        <w:t>)</w:t>
      </w:r>
      <w:r w:rsidR="003731B6">
        <w:fldChar w:fldCharType="end"/>
      </w:r>
      <w:r>
        <w:t xml:space="preserve">.  In their exploration of temporal bone morphology and variability </w:t>
      </w:r>
      <w:r w:rsidR="003731B6">
        <w:fldChar w:fldCharType="begin"/>
      </w:r>
      <w:r w:rsidR="00EB0C79">
        <w:instrText xml:space="preserve"> ADDIN EN.CITE &lt;EndNote&gt;&lt;Cite AuthorYear="1"&gt;&lt;Author&gt;Smith&lt;/Author&gt;&lt;Year&gt;2007&lt;/Year&gt;&lt;RecNum&gt;290&lt;/RecNum&gt;&lt;DisplayText&gt;Smith&lt;style face="italic"&gt; et al.&lt;/style&gt; (2007)&lt;/DisplayText&gt;&lt;record&gt;&lt;rec-number&gt;290&lt;/rec-number&gt;&lt;foreign-keys&gt;&lt;key app="EN" db-id="20frpf5eyrpavaevz925sv9t29f5epa9pd2z"&gt;290&lt;/key&gt;&lt;/foreign-keys&gt;&lt;ref-type name="Journal Article"&gt;17&lt;/ref-type&gt;&lt;contributors&gt;&lt;authors&gt;&lt;author&gt;Smith, H.F.&lt;/author&gt;&lt;author&gt;Terhune, C.E.&lt;/author&gt;&lt;author&gt;Lockwood, C.A.&lt;/author&gt;&lt;/authors&gt;&lt;/contributors&gt;&lt;titles&gt;&lt;title&gt;Genetic, geographic, and environmental correlates of human temporal bone variation&lt;/title&gt;&lt;secondary-title&gt;American Journal of Physical Anthropology&lt;/secondary-title&gt;&lt;/titles&gt;&lt;periodical&gt;&lt;full-title&gt;American Journal of Physical Anthropology&lt;/full-title&gt;&lt;/periodical&gt;&lt;pages&gt;312-322&lt;/pages&gt;&lt;volume&gt;134&lt;/volume&gt;&lt;number&gt;3&lt;/number&gt;&lt;dates&gt;&lt;year&gt;2007&lt;/year&gt;&lt;/dates&gt;&lt;publisher&gt;Wiley Online Library&lt;/publisher&gt;&lt;accession-num&gt;18046365776139762169related:-bmTRQ-ScfoJ&lt;/accession-num&gt;&lt;label&gt;r03071&lt;/label&gt;&lt;urls&gt;&lt;related-urls&gt;&lt;url&gt;http://onlinelibrary.wiley.com/doi/10.1002/ajpa.20671/abstract&lt;/url&gt;&lt;/related-urls&gt;&lt;pdf-urls&gt;&lt;url&gt;file://localhost/Users/mercergm/Library/Application%20Support/Papers2/Articles/2007/Smith/Am.%20J.%20Phys.%20Anthropol.%202007%20Smith.pdf&lt;/url&gt;&lt;/pdf-urls&gt;&lt;/urls&gt;&lt;custom3&gt;papers2://publication/uuid/0DB5EA9B-A362-4038-8015-9A2877AE5902&lt;/custom3&gt;&lt;/record&gt;&lt;/Cite&gt;&lt;/EndNote&gt;</w:instrText>
      </w:r>
      <w:r w:rsidR="003731B6">
        <w:fldChar w:fldCharType="separate"/>
      </w:r>
      <w:hyperlink w:anchor="_ENREF_54" w:tooltip="Smith, 2007 #290" w:history="1">
        <w:r w:rsidR="001633BC">
          <w:rPr>
            <w:noProof/>
          </w:rPr>
          <w:t>Smith</w:t>
        </w:r>
        <w:r w:rsidR="001633BC" w:rsidRPr="00EB0C79">
          <w:rPr>
            <w:i/>
            <w:noProof/>
          </w:rPr>
          <w:t xml:space="preserve"> et al.</w:t>
        </w:r>
        <w:r w:rsidR="001633BC">
          <w:rPr>
            <w:noProof/>
          </w:rPr>
          <w:t xml:space="preserve"> (2007</w:t>
        </w:r>
      </w:hyperlink>
      <w:r w:rsidR="00EB0C79">
        <w:rPr>
          <w:noProof/>
        </w:rPr>
        <w:t>)</w:t>
      </w:r>
      <w:r w:rsidR="003731B6">
        <w:fldChar w:fldCharType="end"/>
      </w:r>
      <w:r>
        <w:t xml:space="preserve"> find significant differences between modern human populations.  A discriminant analysis on 40 principal components achieved an overall classification rate of 73% with individual population hit rates ranging</w:t>
      </w:r>
      <w:r w:rsidR="00BF5657">
        <w:t xml:space="preserve"> </w:t>
      </w:r>
      <w:r>
        <w:t xml:space="preserve">from 56 to 85%.  The authors conclude that the temporal bone has significant discriminatory power amongst modern populations.  In her later study, </w:t>
      </w:r>
      <w:r w:rsidR="003731B6">
        <w:fldChar w:fldCharType="begin"/>
      </w:r>
      <w:r>
        <w:instrText xml:space="preserve"> ADDIN EN.CITE &lt;EndNote&gt;&lt;Cite AuthorYear="1"&gt;&lt;Author&gt;Smith&lt;/Author&gt;&lt;Year&gt;2009&lt;/Year&gt;&lt;RecNum&gt;287&lt;/RecNum&gt;&lt;DisplayText&gt;Smith (2009)&lt;/DisplayText&gt;&lt;record&gt;&lt;rec-number&gt;287&lt;/rec-number&gt;&lt;foreign-keys&gt;&lt;key app="EN" db-id="20frpf5eyrpavaevz925sv9t29f5epa9pd2z"&gt;287&lt;/key&gt;&lt;/foreign-keys&gt;&lt;ref-type name="Journal Article"&gt;17&lt;/ref-type&gt;&lt;contributors&gt;&lt;authors&gt;&lt;author&gt;Smith, H.F.&lt;/author&gt;&lt;/authors&gt;&lt;/contributors&gt;&lt;titles&gt;&lt;title&gt;Which cranial regions reflect molecular distances reliably in humans? Evidence from three</w:instrText>
      </w:r>
      <w:r>
        <w:rPr>
          <w:rFonts w:ascii="Monaco" w:hAnsi="Monaco" w:cs="Monaco"/>
        </w:rPr>
        <w:instrText>‐</w:instrText>
      </w:r>
      <w:r>
        <w:instrText>dimensional morphology&lt;/title&gt;&lt;secondary-title&gt;American Journal of Human Biology&lt;/secondary-title&gt;&lt;/titles&gt;&lt;periodical&gt;&lt;full-title&gt;American Journal of Human Biology&lt;/full-title&gt;&lt;/periodical&gt;&lt;pages&gt;36-47&lt;/pages&gt;&lt;volume&gt;21&lt;/volume&gt;&lt;number&gt;1&lt;/number&gt;&lt;dates&gt;&lt;year&gt;2009&lt;/year&gt;&lt;/dates&gt;&lt;publisher&gt;Wiley Online Library&lt;/publisher&gt;&lt;accession-num&gt;3789500149549055344related:cD0p8k4ClzQJ&lt;/accession-num&gt;&lt;label&gt;r03009&lt;/label&gt;&lt;urls&gt;&lt;related-urls&gt;&lt;url&gt;http://onlinelibrary.wiley.com/doi/10.1002/ajhb.20805/abstract&lt;/url&gt;&lt;/related-urls&gt;&lt;pdf-urls&gt;&lt;url&gt;file://localhost/Users/mercergm/Library/Application%20Support/Papers2/Articles/2009/Smith/Am.%20J.%20Hum.%20Biol.%202009%20Smith.pdf&lt;/url&gt;&lt;/pdf-urls&gt;&lt;/urls&gt;&lt;custom3&gt;papers2://publication/uuid/1824987A-DC29-4368-899D-CF11970A5D00&lt;/custom3&gt;&lt;/record&gt;&lt;/Cite&gt;&lt;/EndNote&gt;</w:instrText>
      </w:r>
      <w:r w:rsidR="003731B6">
        <w:fldChar w:fldCharType="separate"/>
      </w:r>
      <w:hyperlink w:anchor="_ENREF_53" w:tooltip="Smith, 2009 #287" w:history="1">
        <w:r w:rsidR="001633BC">
          <w:rPr>
            <w:noProof/>
          </w:rPr>
          <w:t>Smith (2009</w:t>
        </w:r>
      </w:hyperlink>
      <w:r>
        <w:rPr>
          <w:noProof/>
        </w:rPr>
        <w:t>)</w:t>
      </w:r>
      <w:r w:rsidR="003731B6">
        <w:fldChar w:fldCharType="end"/>
      </w:r>
      <w:r>
        <w:t xml:space="preserve"> assessed the utility of the entire skull as well as its various regions in differentiating modern human populations.  To do so she compared morphological distances of the cranium with genetic distances by correlation analysis.  The results show that the entire cranium, temporal bone, upper face, and basicranium are significantly correlated with molecular distances.  The correlations are not strong, however, and the </w:t>
      </w:r>
      <w:r>
        <w:rPr>
          <w:i/>
        </w:rPr>
        <w:t>r</w:t>
      </w:r>
      <w:r>
        <w:rPr>
          <w:i/>
          <w:vertAlign w:val="superscript"/>
        </w:rPr>
        <w:t>2</w:t>
      </w:r>
      <w:r>
        <w:t xml:space="preserve"> values are pretty small, indicating that </w:t>
      </w:r>
      <w:r w:rsidR="00DB45F9">
        <w:t>these</w:t>
      </w:r>
      <w:r>
        <w:t xml:space="preserve"> factors </w:t>
      </w:r>
      <w:r w:rsidR="00DB45F9">
        <w:t>do not</w:t>
      </w:r>
      <w:r>
        <w:t xml:space="preserve"> account for a </w:t>
      </w:r>
      <w:r w:rsidR="00DB45F9">
        <w:t>large</w:t>
      </w:r>
      <w:r>
        <w:t xml:space="preserve"> amount of variation in cranial morphology.  </w:t>
      </w:r>
      <w:r w:rsidR="003731B6">
        <w:fldChar w:fldCharType="begin"/>
      </w:r>
      <w:r>
        <w:instrText xml:space="preserve"> ADDIN EN.CITE &lt;EndNote&gt;&lt;Cite AuthorYear="1"&gt;&lt;Author&gt;Roseman&lt;/Author&gt;&lt;Year&gt;2004&lt;/Year&gt;&lt;RecNum&gt;277&lt;/RecNum&gt;&lt;DisplayText&gt;Roseman and Weaver (2004)&lt;/DisplayText&gt;&lt;record&gt;&lt;rec-number&gt;277&lt;/rec-number&gt;&lt;foreign-keys&gt;&lt;key app="EN" db-id="20frpf5eyrpavaevz925sv9t29f5epa9pd2z"&gt;277&lt;/key&gt;&lt;/foreign-keys&gt;&lt;ref-type name="Journal Article"&gt;17&lt;/ref-type&gt;&lt;contributors&gt;&lt;authors&gt;&lt;author&gt;Roseman, Charles C&lt;/author&gt;&lt;author&gt;Weaver, Timothy D&lt;/author&gt;&lt;/authors&gt;&lt;/contributors&gt;&lt;titles&gt;&lt;title&gt;Multivariate apportionment of global human craniometric diversity&lt;/title&gt;&lt;secondary-title&gt;American Journal of Physical Anthropology&lt;/secondary-title&gt;&lt;/titles&gt;&lt;periodical&gt;&lt;full-title&gt;American Journal of Physical Anthropology&lt;/full-title&gt;&lt;/periodical&gt;&lt;pages&gt;257-263&lt;/pages&gt;&lt;volume&gt;125&lt;/volume&gt;&lt;dates&gt;&lt;year&gt;2004&lt;/year&gt;&lt;/dates&gt;&lt;accession-num&gt;542EA96F-456A-46EF-8D87-8F66B32DBBF2&lt;/accession-num&gt;&lt;label&gt;r00376&lt;/label&gt;&lt;urls&gt;&lt;related-urls&gt;&lt;url&gt;http://onlinelibrary.wiley.com/doi/10.1002/ajpa.10424/full&lt;/url&gt;&lt;/related-urls&gt;&lt;pdf-urls&gt;&lt;url&gt;file://localhost/Users/mercergm/Library/Application%20Support/Papers2/Articles/2004/Roseman/Am.%20J.%20Phys.%20Anthropol.%202004%20Roseman.pdf&lt;/url&gt;&lt;/pdf-urls&gt;&lt;/urls&gt;&lt;custom3&gt;papers2://publication/uuid/30B9C813-1EFF-41B7-A438-9BC529621CE4&lt;/custom3&gt;&lt;/record&gt;&lt;/Cite&gt;&lt;/EndNote&gt;</w:instrText>
      </w:r>
      <w:r w:rsidR="003731B6">
        <w:fldChar w:fldCharType="separate"/>
      </w:r>
      <w:hyperlink w:anchor="_ENREF_49" w:tooltip="Roseman, 2004 #277" w:history="1">
        <w:r w:rsidR="001633BC">
          <w:rPr>
            <w:noProof/>
          </w:rPr>
          <w:t>Roseman and Weaver (2004</w:t>
        </w:r>
      </w:hyperlink>
      <w:r>
        <w:rPr>
          <w:noProof/>
        </w:rPr>
        <w:t>)</w:t>
      </w:r>
      <w:r w:rsidR="003731B6">
        <w:fldChar w:fldCharType="end"/>
      </w:r>
      <w:r>
        <w:t xml:space="preserve"> find that there are morphological features of the cranium that vary to a greater degree than is expected under selectively neutral conditions.  Though their F</w:t>
      </w:r>
      <w:r>
        <w:rPr>
          <w:vertAlign w:val="subscript"/>
        </w:rPr>
        <w:t>st</w:t>
      </w:r>
      <w:r>
        <w:t xml:space="preserve"> estimates are similar to those derived in works showing that among population craniometric variation is similar to that of neutral genetic markers </w:t>
      </w:r>
      <w:r w:rsidR="003731B6">
        <w:fldChar w:fldCharType="begin"/>
      </w:r>
      <w:r>
        <w:instrText xml:space="preserve"> ADDIN EN.CITE &lt;EndNote&gt;&lt;Cite&gt;&lt;Author&gt;Relethford&lt;/Author&gt;&lt;Year&gt;1994&lt;/Year&gt;&lt;RecNum&gt;92&lt;/RecNum&gt;&lt;DisplayText&gt;(Relethford, 1994;2002)&lt;/DisplayText&gt;&lt;record&gt;&lt;rec-number&gt;92&lt;/rec-number&gt;&lt;foreign-keys&gt;&lt;key app="EN" db-id="20frpf5eyrpavaevz925sv9t29f5epa9pd2z"&gt;92&lt;/key&gt;&lt;/foreign-keys&gt;&lt;ref-type name="Journal Article"&gt;17&lt;/ref-type&gt;&lt;contributors&gt;&lt;authors&gt;&lt;author&gt;Relethford, John H.&lt;/author&gt;&lt;/authors&gt;&lt;/contributors&gt;&lt;titles&gt;&lt;title&gt;Craniometric variation among modern human populations&lt;/title&gt;&lt;secondary-title&gt;American Journal of Physical Anthropology&lt;/secondary-title&gt;&lt;/titles&gt;&lt;periodical&gt;&lt;full-title&gt;American Journal of Physical Anthropology&lt;/full-title&gt;&lt;/periodical&gt;&lt;pages&gt;53-62&lt;/pages&gt;&lt;volume&gt;95&lt;/volume&gt;&lt;dates&gt;&lt;year&gt;1994&lt;/year&gt;&lt;/dates&gt;&lt;urls&gt;&lt;/urls&gt;&lt;/record&gt;&lt;/Cite&gt;&lt;Cite&gt;&lt;Author&gt;Relethford&lt;/Author&gt;&lt;Year&gt;2002&lt;/Year&gt;&lt;RecNum&gt;226&lt;/RecNum&gt;&lt;record&gt;&lt;rec-number&gt;226&lt;/rec-number&gt;&lt;foreign-keys&gt;&lt;key app="EN" db-id="20frpf5eyrpavaevz925sv9t29f5epa9pd2z"&gt;226&lt;/key&gt;&lt;/foreign-keys&gt;&lt;ref-type name="Journal Article"&gt;17&lt;/ref-type&gt;&lt;contributors&gt;&lt;authors&gt;&lt;author&gt;Relethford, John H.&lt;/author&gt;&lt;/authors&gt;&lt;/contributors&gt;&lt;titles&gt;&lt;title&gt;Apportionment of global human genetic diversity based on craniometrics and skin color&lt;/title&gt;&lt;secondary-title&gt;American Journal of Physical Anthropology&lt;/secondary-title&gt;&lt;/titles&gt;&lt;periodical&gt;&lt;full-title&gt;American Journal of Physical Anthropology&lt;/full-title&gt;&lt;/periodical&gt;&lt;pages&gt;393-398&lt;/pages&gt;&lt;volume&gt;118&lt;/volume&gt;&lt;number&gt;4&lt;/number&gt;&lt;dates&gt;&lt;year&gt;2002&lt;/year&gt;&lt;pub-dates&gt;&lt;date&gt;Jul 11&lt;/date&gt;&lt;/pub-dates&gt;&lt;/dates&gt;&lt;accession-num&gt;D9B575D8-14A9-44CE-B1A5-0A3EF390E081&lt;/accession-num&gt;&lt;label&gt;r00291&lt;/label&gt;&lt;urls&gt;&lt;related-urls&gt;&lt;url&gt;http://doi.wiley.com/10.1002/ajpa.10079&lt;/url&gt;&lt;/related-urls&gt;&lt;pdf-urls&gt;&lt;url&gt;file://localhost/Users/mercergm/Library/Application%20Support/Papers2/Articles/2002/Relethford/Am.%20J.%20Phys.%20Anthropol.%202002%20Relethford.pdf&lt;/url&gt;&lt;/pdf-urls&gt;&lt;/urls&gt;&lt;custom3&gt;papers2://publication/uuid/5A0FDE23-6FF7-42D1-953D-81EFC780B075&lt;/custom3&gt;&lt;language&gt;English&lt;/language&gt;&lt;/record&gt;&lt;/Cite&gt;&lt;/EndNote&gt;</w:instrText>
      </w:r>
      <w:r w:rsidR="003731B6">
        <w:fldChar w:fldCharType="separate"/>
      </w:r>
      <w:r>
        <w:rPr>
          <w:noProof/>
        </w:rPr>
        <w:t>(</w:t>
      </w:r>
      <w:hyperlink w:anchor="_ENREF_46" w:tooltip="Relethford, 1994 #92" w:history="1">
        <w:r w:rsidR="001633BC">
          <w:rPr>
            <w:noProof/>
          </w:rPr>
          <w:t>Relethford, 1994</w:t>
        </w:r>
      </w:hyperlink>
      <w:r>
        <w:rPr>
          <w:noProof/>
        </w:rPr>
        <w:t>;</w:t>
      </w:r>
      <w:hyperlink w:anchor="_ENREF_47" w:tooltip="Relethford, 2002 #226" w:history="1">
        <w:r w:rsidR="001633BC">
          <w:rPr>
            <w:noProof/>
          </w:rPr>
          <w:t>2002</w:t>
        </w:r>
      </w:hyperlink>
      <w:r>
        <w:rPr>
          <w:noProof/>
        </w:rPr>
        <w:t>)</w:t>
      </w:r>
      <w:r w:rsidR="003731B6">
        <w:fldChar w:fldCharType="end"/>
      </w:r>
      <w:r>
        <w:t xml:space="preserve">, they find that a number of individual traits do vary among populations to a greater degree.  Traits that have greater </w:t>
      </w:r>
      <w:r w:rsidR="00FC78F9">
        <w:t>between-</w:t>
      </w:r>
      <w:r>
        <w:t xml:space="preserve">group variance are from the </w:t>
      </w:r>
      <w:r w:rsidR="00FC78F9">
        <w:t xml:space="preserve">upper </w:t>
      </w:r>
      <w:r>
        <w:t xml:space="preserve">nasal region (greatest variance), mastoid size, and frontal curvature.  The authors </w:t>
      </w:r>
      <w:r w:rsidR="003731B6">
        <w:fldChar w:fldCharType="begin"/>
      </w:r>
      <w:r>
        <w:instrText xml:space="preserve"> ADDIN EN.CITE &lt;EndNote&gt;&lt;Cite&gt;&lt;Author&gt;Roseman&lt;/Author&gt;&lt;Year&gt;2004&lt;/Year&gt;&lt;RecNum&gt;277&lt;/RecNum&gt;&lt;DisplayText&gt;(Roseman and Weaver, 2004)&lt;/DisplayText&gt;&lt;record&gt;&lt;rec-number&gt;277&lt;/rec-number&gt;&lt;foreign-keys&gt;&lt;key app="EN" db-id="20frpf5eyrpavaevz925sv9t29f5epa9pd2z"&gt;277&lt;/key&gt;&lt;/foreign-keys&gt;&lt;ref-type name="Journal Article"&gt;17&lt;/ref-type&gt;&lt;contributors&gt;&lt;authors&gt;&lt;author&gt;Roseman, Charles C&lt;/author&gt;&lt;author&gt;Weaver, Timothy D&lt;/author&gt;&lt;/authors&gt;&lt;/contributors&gt;&lt;titles&gt;&lt;title&gt;Multivariate apportionment of global human craniometric diversity&lt;/title&gt;&lt;secondary-title&gt;American Journal of Physical Anthropology&lt;/secondary-title&gt;&lt;/titles&gt;&lt;periodical&gt;&lt;full-title&gt;American Journal of Physical Anthropology&lt;/full-title&gt;&lt;/periodical&gt;&lt;pages&gt;257-263&lt;/pages&gt;&lt;volume&gt;125&lt;/volume&gt;&lt;dates&gt;&lt;year&gt;2004&lt;/year&gt;&lt;/dates&gt;&lt;accession-num&gt;542EA96F-456A-46EF-8D87-8F66B32DBBF2&lt;/accession-num&gt;&lt;label&gt;r00376&lt;/label&gt;&lt;urls&gt;&lt;related-urls&gt;&lt;url&gt;http://onlinelibrary.wiley.com/doi/10.1002/ajpa.10424/full&lt;/url&gt;&lt;/related-urls&gt;&lt;pdf-urls&gt;&lt;url&gt;file://localhost/Users/mercergm/Library/Application%20Support/Papers2/Articles/2004/Roseman/Am.%20J.%20Phys.%20Anthropol.%202004%20Roseman.pdf&lt;/url&gt;&lt;/pdf-urls&gt;&lt;/urls&gt;&lt;custom3&gt;papers2://publication/uuid/30B9C813-1EFF-41B7-A438-9BC529621CE4&lt;/custom3&gt;&lt;/record&gt;&lt;/Cite&gt;&lt;/EndNote&gt;</w:instrText>
      </w:r>
      <w:r w:rsidR="003731B6">
        <w:fldChar w:fldCharType="separate"/>
      </w:r>
      <w:r>
        <w:rPr>
          <w:noProof/>
        </w:rPr>
        <w:t>(</w:t>
      </w:r>
      <w:hyperlink w:anchor="_ENREF_49" w:tooltip="Roseman, 2004 #277" w:history="1">
        <w:r w:rsidR="001633BC">
          <w:rPr>
            <w:noProof/>
          </w:rPr>
          <w:t>Roseman and Weaver, 2004</w:t>
        </w:r>
      </w:hyperlink>
      <w:r>
        <w:rPr>
          <w:noProof/>
        </w:rPr>
        <w:t>)</w:t>
      </w:r>
      <w:r w:rsidR="003731B6">
        <w:fldChar w:fldCharType="end"/>
      </w:r>
      <w:r>
        <w:t xml:space="preserve"> note that nasal variables are commonly used to estimate ancestry.  However, they also observe a large degree of overlap in the density plots, indicating that individuals from different regions can be quite similar.  As a final example, </w:t>
      </w:r>
      <w:r w:rsidR="003731B6">
        <w:fldChar w:fldCharType="begin"/>
      </w:r>
      <w:r w:rsidR="00EB0C79">
        <w:instrText xml:space="preserve"> ADDIN EN.CITE &lt;EndNote&gt;&lt;Cite AuthorYear="1"&gt;&lt;Author&gt;Spradley&lt;/Author&gt;&lt;Year&gt;2008&lt;/Year&gt;&lt;RecNum&gt;242&lt;/RecNum&gt;&lt;DisplayText&gt;Spradley&lt;style face="italic"&gt; et al.&lt;/style&gt; (2008)&lt;/DisplayText&gt;&lt;record&gt;&lt;rec-number&gt;242&lt;/rec-number&gt;&lt;foreign-keys&gt;&lt;key app="EN" db-id="20frpf5eyrpavaevz925sv9t29f5epa9pd2z"&gt;242&lt;/key&gt;&lt;/foreign-keys&gt;&lt;ref-type name="Journal Article"&gt;17&lt;/ref-type&gt;&lt;contributors&gt;&lt;authors&gt;&lt;author&gt;Spradley, M Katherine&lt;/author&gt;&lt;author&gt;Jantz, Richard L&lt;/author&gt;&lt;author&gt;Robinson, Alan&lt;/author&gt;&lt;author&gt;Peccerelli, Fredy&lt;/author&gt;&lt;/authors&gt;&lt;/contributors&gt;&lt;titles&gt;&lt;title&gt;Demographic Change and Forensic Identification: Problems in Metric Identification of Hispanic Skeletons&lt;/title&gt;&lt;secondary-title&gt;Journal of Forensic Sciences&lt;/secondary-title&gt;&lt;/titles&gt;&lt;periodical&gt;&lt;full-title&gt;Journal of Forensic Sciences&lt;/full-title&gt;&lt;/periodical&gt;&lt;pages&gt;21-28&lt;/pages&gt;&lt;volume&gt;53&lt;/volume&gt;&lt;number&gt;1&lt;/number&gt;&lt;dates&gt;&lt;year&gt;2008&lt;/year&gt;&lt;pub-dates&gt;&lt;date&gt;Feb&lt;/date&gt;&lt;/pub-dates&gt;&lt;/dates&gt;&lt;label&gt;r00315&lt;/label&gt;&lt;urls&gt;&lt;related-urls&gt;&lt;url&gt;http://doi.wiley.com/10.1111/j.1556-4029.2007.00614.x&lt;/url&gt;&lt;/related-urls&gt;&lt;pdf-urls&gt;&lt;url&gt;file://localhost/Users/mercergm/Library/Application%20Support/Papers2/Articles/2008/Spradley/Journal%20of%20Forensic%20Sciences%202008%20Spradley.pdf&lt;/url&gt;&lt;/pdf-urls&gt;&lt;/urls&gt;&lt;custom3&gt;papers2://publication/uuid/4899EB4D-F35C-40E5-8C4D-010C3426A47F&lt;/custom3&gt;&lt;electronic-resource-num&gt;10.1111/j.1556-4029.2007.00614.x&lt;/electronic-resource-num&gt;&lt;language&gt;English&lt;/language&gt;&lt;/record&gt;&lt;/Cite&gt;&lt;/EndNote&gt;</w:instrText>
      </w:r>
      <w:r w:rsidR="003731B6">
        <w:fldChar w:fldCharType="separate"/>
      </w:r>
      <w:hyperlink w:anchor="_ENREF_56" w:tooltip="Spradley, 2008 #242" w:history="1">
        <w:r w:rsidR="001633BC">
          <w:rPr>
            <w:noProof/>
          </w:rPr>
          <w:t>Spradley</w:t>
        </w:r>
        <w:r w:rsidR="001633BC" w:rsidRPr="00EB0C79">
          <w:rPr>
            <w:i/>
            <w:noProof/>
          </w:rPr>
          <w:t xml:space="preserve"> et al.</w:t>
        </w:r>
        <w:r w:rsidR="001633BC">
          <w:rPr>
            <w:noProof/>
          </w:rPr>
          <w:t xml:space="preserve"> (2008</w:t>
        </w:r>
      </w:hyperlink>
      <w:r w:rsidR="00EB0C79">
        <w:rPr>
          <w:noProof/>
        </w:rPr>
        <w:t>)</w:t>
      </w:r>
      <w:r w:rsidR="003731B6">
        <w:fldChar w:fldCharType="end"/>
      </w:r>
      <w:r>
        <w:t xml:space="preserve"> report fairly good classification rates using a stepwise LDA on a sample consisting of American Whites and Southwest Hispanics, though they</w:t>
      </w:r>
      <w:r w:rsidR="003330A6">
        <w:t xml:space="preserve"> report difficulty</w:t>
      </w:r>
      <w:r>
        <w:t xml:space="preserve"> classifying Southwest Hispanics when more reference populations are included.</w:t>
      </w:r>
    </w:p>
    <w:p w:rsidR="00844D4E" w:rsidRPr="00410AF5" w:rsidRDefault="00844D4E" w:rsidP="00410AF5">
      <w:pPr>
        <w:pStyle w:val="Heading2"/>
      </w:pPr>
      <w:bookmarkStart w:id="13" w:name="_Toc220641829"/>
      <w:bookmarkStart w:id="14" w:name="_Toc222419109"/>
      <w:bookmarkStart w:id="15" w:name="_Toc227982480"/>
      <w:r w:rsidRPr="006A7918">
        <w:t>The Biological Race Concept:  Con</w:t>
      </w:r>
      <w:r>
        <w:t>temporary Views in Anthropology</w:t>
      </w:r>
      <w:bookmarkEnd w:id="13"/>
      <w:bookmarkEnd w:id="14"/>
      <w:bookmarkEnd w:id="15"/>
    </w:p>
    <w:p w:rsidR="00E83B7D" w:rsidRDefault="00844D4E" w:rsidP="00844D4E">
      <w:r>
        <w:tab/>
        <w:t xml:space="preserve">The concept of human biological race, that subspecies exist within </w:t>
      </w:r>
      <w:r>
        <w:rPr>
          <w:i/>
        </w:rPr>
        <w:t>Homo sapiens</w:t>
      </w:r>
      <w:r>
        <w:t xml:space="preserve">, is currently accepted by very few physical anthropologists </w:t>
      </w:r>
      <w:r w:rsidR="003731B6">
        <w:fldChar w:fldCharType="begin"/>
      </w:r>
      <w:r w:rsidR="00EB0C79">
        <w:instrText xml:space="preserve"> ADDIN EN.CITE &lt;EndNote&gt;&lt;Cite&gt;&lt;Author&gt;Lieberman&lt;/Author&gt;&lt;Year&gt;2003&lt;/Year&gt;&lt;RecNum&gt;68&lt;/RecNum&gt;&lt;DisplayText&gt;(Lieberman&lt;style face="italic"&gt; et al.&lt;/style&gt;, 2003)&lt;/DisplayText&gt;&lt;record&gt;&lt;rec-number&gt;68&lt;/rec-number&gt;&lt;foreign-keys&gt;&lt;key app="EN" db-id="20frpf5eyrpavaevz925sv9t29f5epa9pd2z"&gt;68&lt;/key&gt;&lt;/foreign-keys&gt;&lt;ref-type name="Journal Article"&gt;17&lt;/ref-type&gt;&lt;contributors&gt;&lt;authors&gt;&lt;author&gt;Lieberman, Leonard&lt;/author&gt;&lt;author&gt;Kirk, Rodney C.&lt;/author&gt;&lt;author&gt;Littlefield, Alice&lt;/author&gt;&lt;/authors&gt;&lt;/contributors&gt;&lt;titles&gt;&lt;title&gt;Perishing Paradigm: Race - 1931-99&lt;/title&gt;&lt;secondary-title&gt;American Anthropologist&lt;/secondary-title&gt;&lt;/titles&gt;&lt;periodical&gt;&lt;full-title&gt;American Anthropologist&lt;/full-title&gt;&lt;/periodical&gt;&lt;pages&gt;110-113&lt;/pages&gt;&lt;volume&gt;105&lt;/volume&gt;&lt;number&gt;1&lt;/number&gt;&lt;dates&gt;&lt;year&gt;2003&lt;/year&gt;&lt;/dates&gt;&lt;urls&gt;&lt;/urls&gt;&lt;/record&gt;&lt;/Cite&gt;&lt;/EndNote&gt;</w:instrText>
      </w:r>
      <w:r w:rsidR="003731B6">
        <w:fldChar w:fldCharType="separate"/>
      </w:r>
      <w:r w:rsidR="00EB0C79">
        <w:rPr>
          <w:noProof/>
        </w:rPr>
        <w:t>(</w:t>
      </w:r>
      <w:hyperlink w:anchor="_ENREF_35" w:tooltip="Lieberman, 2003 #68" w:history="1">
        <w:r w:rsidR="001633BC">
          <w:rPr>
            <w:noProof/>
          </w:rPr>
          <w:t>Lieberman</w:t>
        </w:r>
        <w:r w:rsidR="001633BC" w:rsidRPr="00EB0C79">
          <w:rPr>
            <w:i/>
            <w:noProof/>
          </w:rPr>
          <w:t xml:space="preserve"> et al.</w:t>
        </w:r>
        <w:r w:rsidR="001633BC">
          <w:rPr>
            <w:noProof/>
          </w:rPr>
          <w:t>, 2003</w:t>
        </w:r>
      </w:hyperlink>
      <w:r w:rsidR="00EB0C79">
        <w:rPr>
          <w:noProof/>
        </w:rPr>
        <w:t>)</w:t>
      </w:r>
      <w:r w:rsidR="003731B6">
        <w:fldChar w:fldCharType="end"/>
      </w:r>
      <w:r>
        <w:t xml:space="preserve">.  Race is widely regarded as a dynamic social construct rather than a stable biological phenomenon </w:t>
      </w:r>
      <w:r w:rsidR="003731B6">
        <w:fldChar w:fldCharType="begin"/>
      </w:r>
      <w:r>
        <w:instrText xml:space="preserve"> ADDIN EN.CITE &lt;EndNote&gt;&lt;Cite&gt;&lt;Author&gt;Goodman&lt;/Author&gt;&lt;Year&gt;1997&lt;/Year&gt;&lt;RecNum&gt;81&lt;/RecNum&gt;&lt;DisplayText&gt;(Goodman, 1997)&lt;/DisplayText&gt;&lt;record&gt;&lt;rec-number&gt;81&lt;/rec-number&gt;&lt;foreign-keys&gt;&lt;key app="EN" db-id="20frpf5eyrpavaevz925sv9t29f5epa9pd2z"&gt;81&lt;/key&gt;&lt;/foreign-keys&gt;&lt;ref-type name="Journal Article"&gt;17&lt;/ref-type&gt;&lt;contributors&gt;&lt;authors&gt;&lt;author&gt;Goodman, Alan H.&lt;/author&gt;&lt;/authors&gt;&lt;/contributors&gt;&lt;titles&gt;&lt;title&gt;Bred in the bone?&lt;/title&gt;&lt;secondary-title&gt;The Sciences&lt;/secondary-title&gt;&lt;/titles&gt;&lt;periodical&gt;&lt;full-title&gt;The Sciences&lt;/full-title&gt;&lt;/periodical&gt;&lt;pages&gt;20-25&lt;/pages&gt;&lt;volume&gt;21&lt;/volume&gt;&lt;dates&gt;&lt;year&gt;1997&lt;/year&gt;&lt;/dates&gt;&lt;urls&gt;&lt;/urls&gt;&lt;/record&gt;&lt;/Cite&gt;&lt;/EndNote&gt;</w:instrText>
      </w:r>
      <w:r w:rsidR="003731B6">
        <w:fldChar w:fldCharType="separate"/>
      </w:r>
      <w:r>
        <w:rPr>
          <w:noProof/>
        </w:rPr>
        <w:t>(</w:t>
      </w:r>
      <w:hyperlink w:anchor="_ENREF_20" w:tooltip="Goodman, 1997 #81" w:history="1">
        <w:r w:rsidR="001633BC">
          <w:rPr>
            <w:noProof/>
          </w:rPr>
          <w:t>Goodman, 1997</w:t>
        </w:r>
      </w:hyperlink>
      <w:r>
        <w:rPr>
          <w:noProof/>
        </w:rPr>
        <w:t>)</w:t>
      </w:r>
      <w:r w:rsidR="003731B6">
        <w:fldChar w:fldCharType="end"/>
      </w:r>
      <w:r>
        <w:t xml:space="preserve">.  Nonetheless, anthropologists use skeletal data to gain insight into human evolutionary trends, population histories, and population structure.  There are, however, many anthropologists who frown upon the use of skeletal data in analyses of contemporary human groups, especially when they are culturally defined.  Algee-Hewitt </w:t>
      </w:r>
      <w:r w:rsidR="003731B6">
        <w:fldChar w:fldCharType="begin"/>
      </w:r>
      <w:r>
        <w:instrText xml:space="preserve"> ADDIN EN.CITE &lt;EndNote&gt;&lt;Cite ExcludeAuth="1"&gt;&lt;Author&gt;Algee-Hewitt&lt;/Author&gt;&lt;Year&gt;2011&lt;/Year&gt;&lt;RecNum&gt;369&lt;/RecNum&gt;&lt;Suffix&gt;:2&lt;/Suffix&gt;&lt;DisplayText&gt;(2011:2)&lt;/DisplayText&gt;&lt;record&gt;&lt;rec-number&gt;369&lt;/rec-number&gt;&lt;foreign-keys&gt;&lt;key app="EN" db-id="20frpf5eyrpavaevz925sv9t29f5epa9pd2z"&gt;369&lt;/key&gt;&lt;/foreign-keys&gt;&lt;ref-type name="Thesis"&gt;32&lt;/ref-type&gt;&lt;contributors&gt;&lt;authors&gt;&lt;author&gt;Algee-Hewitt, Bridget Frances Beatrice&lt;/author&gt;&lt;/authors&gt;&lt;/contributors&gt;&lt;titles&gt;&lt;title&gt;If and How Many &amp;apos;Races&amp;apos;? The Application of Mixture Modeling to World-Wide Human Craniometric Variation.&lt;/title&gt;&lt;/titles&gt;&lt;pages&gt;814&lt;/pages&gt;&lt;dates&gt;&lt;year&gt;2011&lt;/year&gt;&lt;/dates&gt;&lt;pub-location&gt;Knoxville, TN&lt;/pub-location&gt;&lt;publisher&gt;University of Tennesse&lt;/publisher&gt;&lt;work-type&gt;dissertation&lt;/work-type&gt;&lt;urls&gt;&lt;related-urls&gt;&lt;url&gt;http://trace.tennessee.edu/utk_graddiss/1165&lt;/url&gt;&lt;/related-urls&gt;&lt;/urls&gt;&lt;/record&gt;&lt;/Cite&gt;&lt;/EndNote&gt;</w:instrText>
      </w:r>
      <w:r w:rsidR="003731B6">
        <w:fldChar w:fldCharType="separate"/>
      </w:r>
      <w:r>
        <w:rPr>
          <w:noProof/>
        </w:rPr>
        <w:t>(</w:t>
      </w:r>
      <w:hyperlink w:anchor="_ENREF_4" w:tooltip="Algee-Hewitt, 2011 #369" w:history="1">
        <w:r w:rsidR="001633BC">
          <w:rPr>
            <w:noProof/>
          </w:rPr>
          <w:t>2011:2</w:t>
        </w:r>
      </w:hyperlink>
      <w:r>
        <w:rPr>
          <w:noProof/>
        </w:rPr>
        <w:t>)</w:t>
      </w:r>
      <w:r w:rsidR="003731B6">
        <w:fldChar w:fldCharType="end"/>
      </w:r>
      <w:r w:rsidR="00E83B7D">
        <w:t xml:space="preserve"> states: </w:t>
      </w:r>
    </w:p>
    <w:p w:rsidR="00E83B7D" w:rsidRDefault="00844D4E" w:rsidP="00E83B7D">
      <w:pPr>
        <w:ind w:left="720" w:right="720"/>
        <w:jc w:val="both"/>
      </w:pPr>
      <w:r>
        <w:t>A perceived gap exists</w:t>
      </w:r>
      <w:r w:rsidR="00291965">
        <w:t>…</w:t>
      </w:r>
      <w:r>
        <w:t>in contemporary anthropological thinking between what can be conceptualized intuitively based upon social constructions of human diversity and ideas of the self and others, and what can be tested and corroborated empirically using best practices and following accepted</w:t>
      </w:r>
      <w:r w:rsidR="00E83B7D">
        <w:t xml:space="preserve"> standards of scientific rigor.</w:t>
      </w:r>
    </w:p>
    <w:p w:rsidR="00844D4E" w:rsidRDefault="00844D4E" w:rsidP="00844D4E">
      <w:r>
        <w:t xml:space="preserve">Therefore, a dispute exists in forensic anthropology as to whether anthropologists should estimate race as part of the biological profile.  </w:t>
      </w:r>
    </w:p>
    <w:p w:rsidR="00844D4E" w:rsidRDefault="00C26C42" w:rsidP="00844D4E">
      <w:pPr>
        <w:ind w:firstLine="720"/>
      </w:pPr>
      <w:r>
        <w:t xml:space="preserve">While anthropologists </w:t>
      </w:r>
      <w:r w:rsidR="00844D4E">
        <w:t xml:space="preserve">agree that systematic, geographic human variation exists </w:t>
      </w:r>
      <w:r w:rsidR="003731B6">
        <w:fldChar w:fldCharType="begin"/>
      </w:r>
      <w:r w:rsidR="00844D4E">
        <w:instrText xml:space="preserve"> ADDIN EN.CITE &lt;EndNote&gt;&lt;Cite&gt;&lt;Author&gt;Sauer&lt;/Author&gt;&lt;Year&gt;1992&lt;/Year&gt;&lt;RecNum&gt;65&lt;/RecNum&gt;&lt;DisplayText&gt;(Sauer, 1992)&lt;/DisplayText&gt;&lt;record&gt;&lt;rec-number&gt;65&lt;/rec-number&gt;&lt;foreign-keys&gt;&lt;key app="EN" db-id="20frpf5eyrpavaevz925sv9t29f5epa9pd2z"&gt;65&lt;/key&gt;&lt;/foreign-keys&gt;&lt;ref-type name="Journal Article"&gt;17&lt;/ref-type&gt;&lt;contributors&gt;&lt;authors&gt;&lt;author&gt;Sauer, Norman J&lt;/author&gt;&lt;/authors&gt;&lt;/contributors&gt;&lt;titles&gt;&lt;title&gt;Forensic anthropology and the concept of race: if races don&amp;apos;t exist, why are forensic anthropologists so good at identifying them?&lt;/title&gt;&lt;secondary-title&gt;Social Science and Medicine&lt;/secondary-title&gt;&lt;/titles&gt;&lt;periodical&gt;&lt;full-title&gt;Social Science and Medicine&lt;/full-title&gt;&lt;/periodical&gt;&lt;pages&gt;107-111&lt;/pages&gt;&lt;volume&gt;34&lt;/volume&gt;&lt;number&gt;2&lt;/number&gt;&lt;dates&gt;&lt;year&gt;1992&lt;/year&gt;&lt;/dates&gt;&lt;urls&gt;&lt;/urls&gt;&lt;/record&gt;&lt;/Cite&gt;&lt;/EndNote&gt;</w:instrText>
      </w:r>
      <w:r w:rsidR="003731B6">
        <w:fldChar w:fldCharType="separate"/>
      </w:r>
      <w:r w:rsidR="00844D4E">
        <w:rPr>
          <w:noProof/>
        </w:rPr>
        <w:t>(</w:t>
      </w:r>
      <w:hyperlink w:anchor="_ENREF_50" w:tooltip="Sauer, 1992 #65" w:history="1">
        <w:r w:rsidR="001633BC">
          <w:rPr>
            <w:noProof/>
          </w:rPr>
          <w:t>Sauer, 1992</w:t>
        </w:r>
      </w:hyperlink>
      <w:r w:rsidR="00844D4E">
        <w:rPr>
          <w:noProof/>
        </w:rPr>
        <w:t>)</w:t>
      </w:r>
      <w:r w:rsidR="003731B6">
        <w:fldChar w:fldCharType="end"/>
      </w:r>
      <w:r w:rsidR="00712A28">
        <w:t>, some contend that these differences</w:t>
      </w:r>
      <w:r w:rsidR="00844D4E">
        <w:t xml:space="preserve"> can be used to estimate an individual’s geographic origin </w:t>
      </w:r>
      <w:r w:rsidR="003731B6">
        <w:fldChar w:fldCharType="begin"/>
      </w:r>
      <w:r w:rsidR="00EB0C79">
        <w:instrText xml:space="preserve"> ADDIN EN.CITE &lt;EndNote&gt;&lt;Cite&gt;&lt;Author&gt;Brace&lt;/Author&gt;&lt;Year&gt;1995&lt;/Year&gt;&lt;RecNum&gt;17&lt;/RecNum&gt;&lt;DisplayText&gt;(Brace, 1995; Ousley&lt;style face="italic"&gt; et al.&lt;/style&gt;, 2009)&lt;/DisplayText&gt;&lt;record&gt;&lt;rec-number&gt;17&lt;/rec-number&gt;&lt;foreign-keys&gt;&lt;key app="EN" db-id="20frpf5eyrpavaevz925sv9t29f5epa9pd2z"&gt;17&lt;/key&gt;&lt;/foreign-keys&gt;&lt;ref-type name="Journal Article"&gt;17&lt;/ref-type&gt;&lt;contributors&gt;&lt;authors&gt;&lt;author&gt;Brace, C. Loring&lt;/author&gt;&lt;/authors&gt;&lt;/contributors&gt;&lt;titles&gt;&lt;title&gt;Region Does Not mean &amp;quot;Race&amp;quot;—Reality Versus Convention in Forensic Anthropology&lt;/title&gt;&lt;secondary-title&gt;Journal of Forensic Sciences&lt;/secondary-title&gt;&lt;/titles&gt;&lt;periodical&gt;&lt;full-title&gt;Journal of Forensic Sciences&lt;/full-title&gt;&lt;/periodical&gt;&lt;pages&gt;171-175&lt;/pages&gt;&lt;volume&gt;40&lt;/volume&gt;&lt;number&gt;2&lt;/number&gt;&lt;dates&gt;&lt;year&gt;1995&lt;/year&gt;&lt;/dates&gt;&lt;urls&gt;&lt;pdf-urls&gt;&lt;url&gt;file://localhost/Users/mercergm/Documents/Biological%20Theory/Readings/Brace%20(1995)%20Region%20does%20not%20mean%20Race.pdf&lt;/url&gt;&lt;/pdf-urls&gt;&lt;/urls&gt;&lt;/record&gt;&lt;/Cite&gt;&lt;Cite&gt;&lt;Author&gt;Ousley&lt;/Author&gt;&lt;Year&gt;2009&lt;/Year&gt;&lt;RecNum&gt;63&lt;/RecNum&gt;&lt;record&gt;&lt;rec-number&gt;63&lt;/rec-number&gt;&lt;foreign-keys&gt;&lt;key app="EN" db-id="20frpf5eyrpavaevz925sv9t29f5epa9pd2z"&gt;63&lt;/key&gt;&lt;/foreign-keys&gt;&lt;ref-type name="Journal Article"&gt;17&lt;/ref-type&gt;&lt;contributors&gt;&lt;authors&gt;&lt;author&gt;Ousley, Stephen&lt;/author&gt;&lt;author&gt;Jantz, Richard&lt;/author&gt;&lt;author&gt;Freid, Donna&lt;/author&gt;&lt;/authors&gt;&lt;/contributors&gt;&lt;titles&gt;&lt;title&gt;Understanding race and human variation: why forensic anthropologists are good at identifying race&lt;/title&gt;&lt;secondary-title&gt;American Journal of Physical Anthropology&lt;/secondary-title&gt;&lt;/titles&gt;&lt;periodical&gt;&lt;full-title&gt;American Journal of Physical Anthropology&lt;/full-title&gt;&lt;/periodical&gt;&lt;pages&gt;68-76&lt;/pages&gt;&lt;volume&gt;139&lt;/volume&gt;&lt;dates&gt;&lt;year&gt;2009&lt;/year&gt;&lt;/dates&gt;&lt;urls&gt;&lt;/urls&gt;&lt;/record&gt;&lt;/Cite&gt;&lt;/EndNote&gt;</w:instrText>
      </w:r>
      <w:r w:rsidR="003731B6">
        <w:fldChar w:fldCharType="separate"/>
      </w:r>
      <w:r w:rsidR="00EB0C79">
        <w:rPr>
          <w:noProof/>
        </w:rPr>
        <w:t>(</w:t>
      </w:r>
      <w:hyperlink w:anchor="_ENREF_8" w:tooltip="Brace, 1995 #17" w:history="1">
        <w:r w:rsidR="001633BC">
          <w:rPr>
            <w:noProof/>
          </w:rPr>
          <w:t>Brace, 1995</w:t>
        </w:r>
      </w:hyperlink>
      <w:r w:rsidR="00EB0C79">
        <w:rPr>
          <w:noProof/>
        </w:rPr>
        <w:t xml:space="preserve">; </w:t>
      </w:r>
      <w:hyperlink w:anchor="_ENREF_42" w:tooltip="Ousley, 2009 #63" w:history="1">
        <w:r w:rsidR="001633BC">
          <w:rPr>
            <w:noProof/>
          </w:rPr>
          <w:t>Ousley</w:t>
        </w:r>
        <w:r w:rsidR="001633BC" w:rsidRPr="00EB0C79">
          <w:rPr>
            <w:i/>
            <w:noProof/>
          </w:rPr>
          <w:t xml:space="preserve"> et al.</w:t>
        </w:r>
        <w:r w:rsidR="001633BC">
          <w:rPr>
            <w:noProof/>
          </w:rPr>
          <w:t>, 2009</w:t>
        </w:r>
      </w:hyperlink>
      <w:r w:rsidR="00EB0C79">
        <w:rPr>
          <w:noProof/>
        </w:rPr>
        <w:t>)</w:t>
      </w:r>
      <w:r w:rsidR="003731B6">
        <w:fldChar w:fldCharType="end"/>
      </w:r>
      <w:r w:rsidR="003F749F">
        <w:t>.  Others argue</w:t>
      </w:r>
      <w:r w:rsidR="00844D4E">
        <w:t xml:space="preserve"> there is not enough </w:t>
      </w:r>
      <w:r w:rsidR="0020061E">
        <w:t xml:space="preserve">among group </w:t>
      </w:r>
      <w:r w:rsidR="00844D4E">
        <w:t xml:space="preserve">variation to enable classification </w:t>
      </w:r>
      <w:r w:rsidR="003731B6">
        <w:fldChar w:fldCharType="begin"/>
      </w:r>
      <w:r w:rsidR="00EB0C79">
        <w:instrText xml:space="preserve"> ADDIN EN.CITE &lt;EndNote&gt;&lt;Cite&gt;&lt;Author&gt;Smay&lt;/Author&gt;&lt;Year&gt;2000&lt;/Year&gt;&lt;RecNum&gt;72&lt;/RecNum&gt;&lt;DisplayText&gt;(Smay and Armelagos, 2000; Williams&lt;style face="italic"&gt; et al.&lt;/style&gt;, 2005)&lt;/DisplayText&gt;&lt;record&gt;&lt;rec-number&gt;72&lt;/rec-number&gt;&lt;foreign-keys&gt;&lt;key app="EN" db-id="20frpf5eyrpavaevz925sv9t29f5epa9pd2z"&gt;72&lt;/key&gt;&lt;/foreign-keys&gt;&lt;ref-type name="Journal Article"&gt;17&lt;/ref-type&gt;&lt;contributors&gt;&lt;authors&gt;&lt;author&gt;Smay, Diana&lt;/author&gt;&lt;author&gt;Armelagos, George&lt;/author&gt;&lt;/authors&gt;&lt;/contributors&gt;&lt;titles&gt;&lt;title&gt;Galileo wept: a critical assessment of the use of race in forensic anthropology&lt;/title&gt;&lt;secondary-title&gt;Transforming Anthropology&lt;/secondary-title&gt;&lt;/titles&gt;&lt;periodical&gt;&lt;full-title&gt;Transforming Anthropology&lt;/full-title&gt;&lt;/periodical&gt;&lt;pages&gt;19-29&lt;/pages&gt;&lt;volume&gt;9&lt;/volume&gt;&lt;number&gt;2&lt;/number&gt;&lt;dates&gt;&lt;year&gt;2000&lt;/year&gt;&lt;/dates&gt;&lt;urls&gt;&lt;/urls&gt;&lt;/record&gt;&lt;/Cite&gt;&lt;Cite&gt;&lt;Author&gt;Williams&lt;/Author&gt;&lt;Year&gt;2005&lt;/Year&gt;&lt;RecNum&gt;110&lt;/RecNum&gt;&lt;record&gt;&lt;rec-number&gt;110&lt;/rec-number&gt;&lt;foreign-keys&gt;&lt;key app="EN" db-id="20frpf5eyrpavaevz925sv9t29f5epa9pd2z"&gt;110&lt;/key&gt;&lt;/foreign-keys&gt;&lt;ref-type name="Journal Article"&gt;17&lt;/ref-type&gt;&lt;contributors&gt;&lt;authors&gt;&lt;author&gt;Williams, Frank L&amp;apos;Engle&lt;/author&gt;&lt;author&gt;Belcher, Robert L&lt;/author&gt;&lt;author&gt;Armelagos, George J&lt;/author&gt;&lt;/authors&gt;&lt;/contributors&gt;&lt;titles&gt;&lt;title&gt;Forensic misclassification of ancient Nubian crania: implications for assumptions about human variation&lt;/title&gt;&lt;secondary-title&gt;Current Anthropology&lt;/secondary-title&gt;&lt;/titles&gt;&lt;periodical&gt;&lt;full-title&gt;Current Anthropology&lt;/full-title&gt;&lt;/periodical&gt;&lt;pages&gt;340-346&lt;/pages&gt;&lt;volume&gt;46&lt;/volume&gt;&lt;number&gt;2&lt;/number&gt;&lt;dates&gt;&lt;year&gt;2005&lt;/year&gt;&lt;/dates&gt;&lt;accession-num&gt;10218163623028718232related:mPpxT601zo0J&lt;/accession-num&gt;&lt;label&gt;r03808&lt;/label&gt;&lt;urls&gt;&lt;related-urls&gt;&lt;url&gt;http://cat.inist.fr/?aModele=afficheN&amp;amp;amp;cpsidt=16850609&lt;/url&gt;&lt;/related-urls&gt;&lt;pdf-urls&gt;&lt;url&gt;file://localhost/Users/mercergm/Library/Application%20Support/Papers2/Articles/2005/Williams/2005%20Williams-1.pdf&lt;/url&gt;&lt;/pdf-urls&gt;&lt;/urls&gt;&lt;custom3&gt;papers2://publication/uuid/B23900EC-530E-4F57-B47C-99712F7EDB05&lt;/custom3&gt;&lt;/record&gt;&lt;/Cite&gt;&lt;/EndNote&gt;</w:instrText>
      </w:r>
      <w:r w:rsidR="003731B6">
        <w:fldChar w:fldCharType="separate"/>
      </w:r>
      <w:r w:rsidR="00EB0C79">
        <w:rPr>
          <w:noProof/>
        </w:rPr>
        <w:t>(</w:t>
      </w:r>
      <w:hyperlink w:anchor="_ENREF_52" w:tooltip="Smay, 2000 #72" w:history="1">
        <w:r w:rsidR="001633BC">
          <w:rPr>
            <w:noProof/>
          </w:rPr>
          <w:t>Smay and Armelagos, 2000</w:t>
        </w:r>
      </w:hyperlink>
      <w:r w:rsidR="00EB0C79">
        <w:rPr>
          <w:noProof/>
        </w:rPr>
        <w:t xml:space="preserve">; </w:t>
      </w:r>
      <w:hyperlink w:anchor="_ENREF_65" w:tooltip="Williams, 2005 #110" w:history="1">
        <w:r w:rsidR="001633BC">
          <w:rPr>
            <w:noProof/>
          </w:rPr>
          <w:t>Williams</w:t>
        </w:r>
        <w:r w:rsidR="001633BC" w:rsidRPr="00EB0C79">
          <w:rPr>
            <w:i/>
            <w:noProof/>
          </w:rPr>
          <w:t xml:space="preserve"> et al.</w:t>
        </w:r>
        <w:r w:rsidR="001633BC">
          <w:rPr>
            <w:noProof/>
          </w:rPr>
          <w:t>, 2005</w:t>
        </w:r>
      </w:hyperlink>
      <w:r w:rsidR="00EB0C79">
        <w:rPr>
          <w:noProof/>
        </w:rPr>
        <w:t>)</w:t>
      </w:r>
      <w:r w:rsidR="003731B6">
        <w:fldChar w:fldCharType="end"/>
      </w:r>
      <w:r w:rsidR="00844D4E">
        <w:t xml:space="preserve">.  Those who accept the idea of estimable ancestry and use it to predict race in forensics argue that knowing an individual’s ancestry allows anthropologists to make statements as to their probable racial classification in a social system </w:t>
      </w:r>
      <w:r w:rsidR="003731B6">
        <w:fldChar w:fldCharType="begin"/>
      </w:r>
      <w:r w:rsidR="00844D4E">
        <w:instrText xml:space="preserve"> ADDIN EN.CITE &lt;EndNote&gt;&lt;Cite&gt;&lt;Author&gt;Sauer&lt;/Author&gt;&lt;Year&gt;1992&lt;/Year&gt;&lt;RecNum&gt;65&lt;/RecNum&gt;&lt;DisplayText&gt;(Sauer, 1992)&lt;/DisplayText&gt;&lt;record&gt;&lt;rec-number&gt;65&lt;/rec-number&gt;&lt;foreign-keys&gt;&lt;key app="EN" db-id="20frpf5eyrpavaevz925sv9t29f5epa9pd2z"&gt;65&lt;/key&gt;&lt;/foreign-keys&gt;&lt;ref-type name="Journal Article"&gt;17&lt;/ref-type&gt;&lt;contributors&gt;&lt;authors&gt;&lt;author&gt;Sauer, Norman J&lt;/author&gt;&lt;/authors&gt;&lt;/contributors&gt;&lt;titles&gt;&lt;title&gt;Forensic anthropology and the concept of race: if races don&amp;apos;t exist, why are forensic anthropologists so good at identifying them?&lt;/title&gt;&lt;secondary-title&gt;Social Science and Medicine&lt;/secondary-title&gt;&lt;/titles&gt;&lt;periodical&gt;&lt;full-title&gt;Social Science and Medicine&lt;/full-title&gt;&lt;/periodical&gt;&lt;pages&gt;107-111&lt;/pages&gt;&lt;volume&gt;34&lt;/volume&gt;&lt;number&gt;2&lt;/number&gt;&lt;dates&gt;&lt;year&gt;1992&lt;/year&gt;&lt;/dates&gt;&lt;urls&gt;&lt;/urls&gt;&lt;/record&gt;&lt;/Cite&gt;&lt;/EndNote&gt;</w:instrText>
      </w:r>
      <w:r w:rsidR="003731B6">
        <w:fldChar w:fldCharType="separate"/>
      </w:r>
      <w:r w:rsidR="00844D4E">
        <w:rPr>
          <w:noProof/>
        </w:rPr>
        <w:t>(</w:t>
      </w:r>
      <w:hyperlink w:anchor="_ENREF_50" w:tooltip="Sauer, 1992 #65" w:history="1">
        <w:r w:rsidR="001633BC">
          <w:rPr>
            <w:noProof/>
          </w:rPr>
          <w:t>Sauer, 1992</w:t>
        </w:r>
      </w:hyperlink>
      <w:r w:rsidR="00844D4E">
        <w:rPr>
          <w:noProof/>
        </w:rPr>
        <w:t>)</w:t>
      </w:r>
      <w:r w:rsidR="003731B6">
        <w:fldChar w:fldCharType="end"/>
      </w:r>
      <w:r w:rsidR="00844D4E">
        <w:t xml:space="preserve">.  As </w:t>
      </w:r>
      <w:r w:rsidR="003731B6">
        <w:fldChar w:fldCharType="begin"/>
      </w:r>
      <w:r w:rsidR="00844D4E">
        <w:instrText xml:space="preserve"> ADDIN EN.CITE &lt;EndNote&gt;&lt;Cite AuthorYear="1"&gt;&lt;Author&gt;Ousley&lt;/Author&gt;&lt;Year&gt;2012&lt;/Year&gt;&lt;RecNum&gt;345&lt;/RecNum&gt;&lt;Suffix&gt;:311&lt;/Suffix&gt;&lt;DisplayText&gt;Ousley and Jantz (2012:311)&lt;/DisplayText&gt;&lt;record&gt;&lt;rec-number&gt;345&lt;/rec-number&gt;&lt;foreign-keys&gt;&lt;key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hyperlink w:anchor="_ENREF_44" w:tooltip="Ousley, 2012 #345" w:history="1">
        <w:r w:rsidR="001633BC">
          <w:rPr>
            <w:noProof/>
          </w:rPr>
          <w:t>Ousley and Jantz (2012:311</w:t>
        </w:r>
      </w:hyperlink>
      <w:r w:rsidR="00844D4E">
        <w:rPr>
          <w:noProof/>
        </w:rPr>
        <w:t>)</w:t>
      </w:r>
      <w:r w:rsidR="003731B6">
        <w:fldChar w:fldCharType="end"/>
      </w:r>
      <w:r w:rsidR="00844D4E">
        <w:t xml:space="preserve"> explain, “Sex and ancestry in forensic anthropology are </w:t>
      </w:r>
      <w:r w:rsidR="00844D4E">
        <w:rPr>
          <w:i/>
        </w:rPr>
        <w:t xml:space="preserve">estimated </w:t>
      </w:r>
      <w:r w:rsidR="00844D4E">
        <w:t>because they are determined or defined by other means”, such as the presence</w:t>
      </w:r>
      <w:r w:rsidR="00944E88">
        <w:t xml:space="preserve"> or absence</w:t>
      </w:r>
      <w:r w:rsidR="00844D4E">
        <w:t xml:space="preserve"> of a Y chromosome in the case of sex.</w:t>
      </w:r>
      <w:r w:rsidR="00342714">
        <w:t xml:space="preserve">  </w:t>
      </w:r>
      <w:r w:rsidR="003731B6">
        <w:fldChar w:fldCharType="begin"/>
      </w:r>
      <w:r w:rsidR="00EB0C79">
        <w:instrText xml:space="preserve"> ADDIN EN.CITE &lt;EndNote&gt;&lt;Cite AuthorYear="1"&gt;&lt;Author&gt;Konigsberg&lt;/Author&gt;&lt;Year&gt;2009&lt;/Year&gt;&lt;RecNum&gt;150&lt;/RecNum&gt;&lt;DisplayText&gt;Konigsberg&lt;style face="italic"&gt; et al.&lt;/style&gt; (2009)&lt;/DisplayText&gt;&lt;record&gt;&lt;rec-number&gt;150&lt;/rec-number&gt;&lt;foreign-keys&gt;&lt;key app="EN" db-id="20frpf5eyrpavaevz925sv9t29f5epa9pd2z"&gt;150&lt;/key&gt;&lt;/foreign-keys&gt;&lt;ref-type name="Journal Article"&gt;17&lt;/ref-type&gt;&lt;contributors&gt;&lt;authors&gt;&lt;author&gt;Konigsberg, Lyle W.&lt;/author&gt;&lt;author&gt;Algee-Hewitt, Bridget F B&lt;/author&gt;&lt;author&gt;Steadman, Dawnie Wolfe&lt;/author&gt;&lt;/authors&gt;&lt;/contributors&gt;&lt;titles&gt;&lt;title&gt;Estimation and evidence in forensic anthropology: Sex and race&lt;/title&gt;&lt;secondary-title&gt;American Journal of Physical Anthropology&lt;/secondary-title&gt;&lt;/titles&gt;&lt;periodical&gt;&lt;full-title&gt;American Journal of Physical Anthropology&lt;/full-title&gt;&lt;/periodical&gt;&lt;pages&gt;77-90&lt;/pages&gt;&lt;volume&gt;139&lt;/volume&gt;&lt;number&gt;1&lt;/number&gt;&lt;dates&gt;&lt;year&gt;2009&lt;/year&gt;&lt;pub-dates&gt;&lt;date&gt;Mar 18&lt;/date&gt;&lt;/pub-dates&gt;&lt;/dates&gt;&lt;label&gt;r00090&lt;/label&gt;&lt;urls&gt;&lt;related-urls&gt;&lt;url&gt;http://doi.wiley.com/10.1002/ajpa.20934&lt;/url&gt;&lt;/related-urls&gt;&lt;pdf-urls&gt;&lt;url&gt;file://localhost/Users/mercergm/Library/Application%20Support/Papers2/Articles/2009/Konigsberg/Am.%20J.%20Phys.%20Anthropol.%202009%20Konigsberg.pdf&lt;/url&gt;&lt;/pdf-urls&gt;&lt;/urls&gt;&lt;custom3&gt;papers2://publication/uuid/6A2E6A94-E355-4E1C-950A-D6EC957F7FCA&lt;/custom3&gt;&lt;electronic-resource-num&gt;10.1002/ajpa.20934&lt;/electronic-resource-num&gt;&lt;language&gt;English&lt;/language&gt;&lt;/record&gt;&lt;/Cite&gt;&lt;/EndNote&gt;</w:instrText>
      </w:r>
      <w:r w:rsidR="003731B6">
        <w:fldChar w:fldCharType="separate"/>
      </w:r>
      <w:hyperlink w:anchor="_ENREF_34" w:tooltip="Konigsberg, 2009 #150" w:history="1">
        <w:r w:rsidR="001633BC">
          <w:rPr>
            <w:noProof/>
          </w:rPr>
          <w:t>Konigsberg</w:t>
        </w:r>
        <w:r w:rsidR="001633BC" w:rsidRPr="00EB0C79">
          <w:rPr>
            <w:i/>
            <w:noProof/>
          </w:rPr>
          <w:t xml:space="preserve"> et al.</w:t>
        </w:r>
        <w:r w:rsidR="001633BC">
          <w:rPr>
            <w:noProof/>
          </w:rPr>
          <w:t xml:space="preserve"> (2009</w:t>
        </w:r>
      </w:hyperlink>
      <w:r w:rsidR="00EB0C79">
        <w:rPr>
          <w:noProof/>
        </w:rPr>
        <w:t>)</w:t>
      </w:r>
      <w:r w:rsidR="003731B6">
        <w:fldChar w:fldCharType="end"/>
      </w:r>
      <w:r w:rsidR="00342714">
        <w:t xml:space="preserve"> briefly touch on the controversy surro</w:t>
      </w:r>
      <w:r w:rsidR="00F11EDD">
        <w:t>unding forensic race estimation</w:t>
      </w:r>
      <w:r w:rsidR="00342714">
        <w:t>.</w:t>
      </w:r>
    </w:p>
    <w:p w:rsidR="00E3021E" w:rsidRDefault="00844D4E" w:rsidP="00DE6C3F">
      <w:r>
        <w:tab/>
        <w:t xml:space="preserve">The terms “race” and “ancestry” are often used interchangeably, and the latter may be viewed as a euphemism of the former, but </w:t>
      </w:r>
      <w:r w:rsidR="003731B6">
        <w:fldChar w:fldCharType="begin"/>
      </w:r>
      <w:r w:rsidR="00721795">
        <w:instrText xml:space="preserve"> ADDIN EN.CITE &lt;EndNote&gt;&lt;Cite AuthorYear="1"&gt;&lt;Author&gt;Konigsberg&lt;/Author&gt;&lt;Year&gt;2009&lt;/Year&gt;&lt;RecNum&gt;150&lt;/RecNum&gt;&lt;DisplayText&gt;Konigsberg&lt;style face="italic"&gt; et al.&lt;/style&gt; (2009)&lt;/DisplayText&gt;&lt;record&gt;&lt;rec-number&gt;150&lt;/rec-number&gt;&lt;foreign-keys&gt;&lt;key app="EN" db-id="20frpf5eyrpavaevz925sv9t29f5epa9pd2z"&gt;150&lt;/key&gt;&lt;/foreign-keys&gt;&lt;ref-type name="Journal Article"&gt;17&lt;/ref-type&gt;&lt;contributors&gt;&lt;authors&gt;&lt;author&gt;Konigsberg, Lyle W.&lt;/author&gt;&lt;author&gt;Algee-Hewitt, Bridget F B&lt;/author&gt;&lt;author&gt;Steadman, Dawnie Wolfe&lt;/author&gt;&lt;/authors&gt;&lt;/contributors&gt;&lt;titles&gt;&lt;title&gt;Estimation and evidence in forensic anthropology: Sex and race&lt;/title&gt;&lt;secondary-title&gt;American Journal of Physical Anthropology&lt;/secondary-title&gt;&lt;/titles&gt;&lt;periodical&gt;&lt;full-title&gt;American Journal of Physical Anthropology&lt;/full-title&gt;&lt;/periodical&gt;&lt;pages&gt;77-90&lt;/pages&gt;&lt;volume&gt;139&lt;/volume&gt;&lt;number&gt;1&lt;/number&gt;&lt;dates&gt;&lt;year&gt;2009&lt;/year&gt;&lt;pub-dates&gt;&lt;date&gt;Mar 18&lt;/date&gt;&lt;/pub-dates&gt;&lt;/dates&gt;&lt;label&gt;r00090&lt;/label&gt;&lt;urls&gt;&lt;related-urls&gt;&lt;url&gt;http://doi.wiley.com/10.1002/ajpa.20934&lt;/url&gt;&lt;/related-urls&gt;&lt;pdf-urls&gt;&lt;url&gt;file://localhost/Users/mercergm/Library/Application%20Support/Papers2/Articles/2009/Konigsberg/Am.%20J.%20Phys.%20Anthropol.%202009%20Konigsberg.pdf&lt;/url&gt;&lt;/pdf-urls&gt;&lt;/urls&gt;&lt;custom3&gt;papers2://publication/uuid/6A2E6A94-E355-4E1C-950A-D6EC957F7FCA&lt;/custom3&gt;&lt;electronic-resource-num&gt;10.1002/ajpa.20934&lt;/electronic-resource-num&gt;&lt;language&gt;English&lt;/language&gt;&lt;/record&gt;&lt;/Cite&gt;&lt;/EndNote&gt;</w:instrText>
      </w:r>
      <w:r w:rsidR="003731B6">
        <w:fldChar w:fldCharType="separate"/>
      </w:r>
      <w:hyperlink w:anchor="_ENREF_34" w:tooltip="Konigsberg, 2009 #150" w:history="1">
        <w:r w:rsidR="001633BC">
          <w:rPr>
            <w:noProof/>
          </w:rPr>
          <w:t>Konigsberg</w:t>
        </w:r>
        <w:r w:rsidR="001633BC" w:rsidRPr="00721795">
          <w:rPr>
            <w:i/>
            <w:noProof/>
          </w:rPr>
          <w:t xml:space="preserve"> et al.</w:t>
        </w:r>
        <w:r w:rsidR="001633BC">
          <w:rPr>
            <w:noProof/>
          </w:rPr>
          <w:t xml:space="preserve"> (2009</w:t>
        </w:r>
      </w:hyperlink>
      <w:r w:rsidR="00721795">
        <w:rPr>
          <w:noProof/>
        </w:rPr>
        <w:t>)</w:t>
      </w:r>
      <w:r w:rsidR="003731B6">
        <w:fldChar w:fldCharType="end"/>
      </w:r>
      <w:r w:rsidR="00721795">
        <w:t xml:space="preserve"> describe them as </w:t>
      </w:r>
      <w:r>
        <w:t xml:space="preserve">two different concepts.  Race is a socially constructed system of classification and self-identification, while ancestry has a biological basis, referring to observable variation in natural biological characteristics of the human form </w:t>
      </w:r>
      <w:r w:rsidR="003731B6">
        <w:fldChar w:fldCharType="begin"/>
      </w:r>
      <w:r w:rsidR="00EB0C79">
        <w:instrText xml:space="preserve"> ADDIN EN.CITE &lt;EndNote&gt;&lt;Cite&gt;&lt;Author&gt;Konigsberg&lt;/Author&gt;&lt;Year&gt;2009&lt;/Year&gt;&lt;RecNum&gt;150&lt;/RecNum&gt;&lt;DisplayText&gt;(Konigsberg&lt;style face="italic"&gt; et al.&lt;/style&gt;, 2009)&lt;/DisplayText&gt;&lt;record&gt;&lt;rec-number&gt;150&lt;/rec-number&gt;&lt;foreign-keys&gt;&lt;key app="EN" db-id="20frpf5eyrpavaevz925sv9t29f5epa9pd2z"&gt;150&lt;/key&gt;&lt;/foreign-keys&gt;&lt;ref-type name="Journal Article"&gt;17&lt;/ref-type&gt;&lt;contributors&gt;&lt;authors&gt;&lt;author&gt;Konigsberg, Lyle W.&lt;/author&gt;&lt;author&gt;Algee-Hewitt, Bridget F B&lt;/author&gt;&lt;author&gt;Steadman, Dawnie Wolfe&lt;/author&gt;&lt;/authors&gt;&lt;/contributors&gt;&lt;titles&gt;&lt;title&gt;Estimation and evidence in forensic anthropology: Sex and race&lt;/title&gt;&lt;secondary-title&gt;American Journal of Physical Anthropology&lt;/secondary-title&gt;&lt;/titles&gt;&lt;periodical&gt;&lt;full-title&gt;American Journal of Physical Anthropology&lt;/full-title&gt;&lt;/periodical&gt;&lt;pages&gt;77-90&lt;/pages&gt;&lt;volume&gt;139&lt;/volume&gt;&lt;number&gt;1&lt;/number&gt;&lt;dates&gt;&lt;year&gt;2009&lt;/year&gt;&lt;pub-dates&gt;&lt;date&gt;Mar 18&lt;/date&gt;&lt;/pub-dates&gt;&lt;/dates&gt;&lt;label&gt;r00090&lt;/label&gt;&lt;urls&gt;&lt;related-urls&gt;&lt;url&gt;http://doi.wiley.com/10.1002/ajpa.20934&lt;/url&gt;&lt;/related-urls&gt;&lt;pdf-urls&gt;&lt;url&gt;file://localhost/Users/mercergm/Library/Application%20Support/Papers2/Articles/2009/Konigsberg/Am.%20J.%20Phys.%20Anthropol.%202009%20Konigsberg.pdf&lt;/url&gt;&lt;/pdf-urls&gt;&lt;/urls&gt;&lt;custom3&gt;papers2://publication/uuid/6A2E6A94-E355-4E1C-950A-D6EC957F7FCA&lt;/custom3&gt;&lt;electronic-resource-num&gt;10.1002/ajpa.20934&lt;/electronic-resource-num&gt;&lt;language&gt;English&lt;/language&gt;&lt;/record&gt;&lt;/Cite&gt;&lt;/EndNote&gt;</w:instrText>
      </w:r>
      <w:r w:rsidR="003731B6">
        <w:fldChar w:fldCharType="separate"/>
      </w:r>
      <w:r w:rsidR="00EB0C79">
        <w:rPr>
          <w:noProof/>
        </w:rPr>
        <w:t>(</w:t>
      </w:r>
      <w:hyperlink w:anchor="_ENREF_34" w:tooltip="Konigsberg, 2009 #150" w:history="1">
        <w:r w:rsidR="001633BC">
          <w:rPr>
            <w:noProof/>
          </w:rPr>
          <w:t>Konigsberg</w:t>
        </w:r>
        <w:r w:rsidR="001633BC" w:rsidRPr="00EB0C79">
          <w:rPr>
            <w:i/>
            <w:noProof/>
          </w:rPr>
          <w:t xml:space="preserve"> et al.</w:t>
        </w:r>
        <w:r w:rsidR="001633BC">
          <w:rPr>
            <w:noProof/>
          </w:rPr>
          <w:t>, 2009</w:t>
        </w:r>
      </w:hyperlink>
      <w:r w:rsidR="00EB0C79">
        <w:rPr>
          <w:noProof/>
        </w:rPr>
        <w:t>)</w:t>
      </w:r>
      <w:r w:rsidR="003731B6">
        <w:fldChar w:fldCharType="end"/>
      </w:r>
      <w:r>
        <w:t xml:space="preserve">.  Anthropologists, therefore, can only estimate ancestry.  This is done by “using morphological signatures of population history that represent a complex accumulation of genetic variation shaped by generations of microevolution and environmental pressures” </w:t>
      </w:r>
      <w:r w:rsidR="003731B6">
        <w:fldChar w:fldCharType="begin"/>
      </w:r>
      <w:r w:rsidR="00EB0C79">
        <w:instrText xml:space="preserve"> ADDIN EN.CITE &lt;EndNote&gt;&lt;Cite&gt;&lt;Author&gt;Konigsberg&lt;/Author&gt;&lt;Year&gt;2009&lt;/Year&gt;&lt;RecNum&gt;150&lt;/RecNum&gt;&lt;Suffix&gt;:78&lt;/Suffix&gt;&lt;DisplayText&gt;(Konigsberg&lt;style face="italic"&gt; et al.&lt;/style&gt;, 2009:78)&lt;/DisplayText&gt;&lt;record&gt;&lt;rec-number&gt;150&lt;/rec-number&gt;&lt;foreign-keys&gt;&lt;key app="EN" db-id="20frpf5eyrpavaevz925sv9t29f5epa9pd2z"&gt;150&lt;/key&gt;&lt;/foreign-keys&gt;&lt;ref-type name="Journal Article"&gt;17&lt;/ref-type&gt;&lt;contributors&gt;&lt;authors&gt;&lt;author&gt;Konigsberg, Lyle W.&lt;/author&gt;&lt;author&gt;Algee-Hewitt, Bridget F B&lt;/author&gt;&lt;author&gt;Steadman, Dawnie Wolfe&lt;/author&gt;&lt;/authors&gt;&lt;/contributors&gt;&lt;titles&gt;&lt;title&gt;Estimation and evidence in forensic anthropology: Sex and race&lt;/title&gt;&lt;secondary-title&gt;American Journal of Physical Anthropology&lt;/secondary-title&gt;&lt;/titles&gt;&lt;periodical&gt;&lt;full-title&gt;American Journal of Physical Anthropology&lt;/full-title&gt;&lt;/periodical&gt;&lt;pages&gt;77-90&lt;/pages&gt;&lt;volume&gt;139&lt;/volume&gt;&lt;number&gt;1&lt;/number&gt;&lt;dates&gt;&lt;year&gt;2009&lt;/year&gt;&lt;pub-dates&gt;&lt;date&gt;Mar 18&lt;/date&gt;&lt;/pub-dates&gt;&lt;/dates&gt;&lt;label&gt;r00090&lt;/label&gt;&lt;urls&gt;&lt;related-urls&gt;&lt;url&gt;http://doi.wiley.com/10.1002/ajpa.20934&lt;/url&gt;&lt;/related-urls&gt;&lt;pdf-urls&gt;&lt;url&gt;file://localhost/Users/mercergm/Library/Application%20Support/Papers2/Articles/2009/Konigsberg/Am.%20J.%20Phys.%20Anthropol.%202009%20Konigsberg.pdf&lt;/url&gt;&lt;/pdf-urls&gt;&lt;/urls&gt;&lt;custom3&gt;papers2://publication/uuid/6A2E6A94-E355-4E1C-950A-D6EC957F7FCA&lt;/custom3&gt;&lt;electronic-resource-num&gt;10.1002/ajpa.20934&lt;/electronic-resource-num&gt;&lt;language&gt;English&lt;/language&gt;&lt;/record&gt;&lt;/Cite&gt;&lt;/EndNote&gt;</w:instrText>
      </w:r>
      <w:r w:rsidR="003731B6">
        <w:fldChar w:fldCharType="separate"/>
      </w:r>
      <w:r w:rsidR="00EB0C79">
        <w:rPr>
          <w:noProof/>
        </w:rPr>
        <w:t>(</w:t>
      </w:r>
      <w:hyperlink w:anchor="_ENREF_34" w:tooltip="Konigsberg, 2009 #150" w:history="1">
        <w:r w:rsidR="001633BC">
          <w:rPr>
            <w:noProof/>
          </w:rPr>
          <w:t>Konigsberg</w:t>
        </w:r>
        <w:r w:rsidR="001633BC" w:rsidRPr="00EB0C79">
          <w:rPr>
            <w:i/>
            <w:noProof/>
          </w:rPr>
          <w:t xml:space="preserve"> et al.</w:t>
        </w:r>
        <w:r w:rsidR="001633BC">
          <w:rPr>
            <w:noProof/>
          </w:rPr>
          <w:t>, 2009:78</w:t>
        </w:r>
      </w:hyperlink>
      <w:r w:rsidR="00EB0C79">
        <w:rPr>
          <w:noProof/>
        </w:rPr>
        <w:t>)</w:t>
      </w:r>
      <w:r w:rsidR="003731B6">
        <w:fldChar w:fldCharType="end"/>
      </w:r>
      <w:r>
        <w:t>.</w:t>
      </w:r>
      <w:r w:rsidR="00A174CC">
        <w:t xml:space="preserve">  </w:t>
      </w:r>
    </w:p>
    <w:p w:rsidR="00844D4E" w:rsidRPr="002513BA" w:rsidRDefault="00A174CC" w:rsidP="00E3021E">
      <w:pPr>
        <w:ind w:firstLine="720"/>
        <w:rPr>
          <w:u w:val="single"/>
        </w:rPr>
      </w:pPr>
      <w:r w:rsidRPr="006F3004">
        <w:t xml:space="preserve">However, what is ultimately being reported to law enforcement is a social race classification of White or Black, for example.  </w:t>
      </w:r>
      <w:r w:rsidR="00927F78" w:rsidRPr="006F3004">
        <w:t>There are</w:t>
      </w:r>
      <w:r w:rsidR="002513BA" w:rsidRPr="006F3004">
        <w:t xml:space="preserve"> biological signatures that are unique to various human p</w:t>
      </w:r>
      <w:r w:rsidR="00927F78" w:rsidRPr="006F3004">
        <w:t>opulations throughout the world.  However,</w:t>
      </w:r>
      <w:r w:rsidR="002513BA" w:rsidRPr="006F3004">
        <w:t xml:space="preserve"> in forensic </w:t>
      </w:r>
      <w:r w:rsidR="00927F78" w:rsidRPr="006F3004">
        <w:t>ancestry estimation,</w:t>
      </w:r>
      <w:r w:rsidR="002513BA" w:rsidRPr="006F3004">
        <w:t xml:space="preserve"> practitioners are </w:t>
      </w:r>
      <w:r w:rsidR="0009388D" w:rsidRPr="006F3004">
        <w:t>evaluating a far more limited range of variation, typically unique to one nation.</w:t>
      </w:r>
      <w:r w:rsidR="00927F78" w:rsidRPr="006F3004">
        <w:t xml:space="preserve">  Likewise, the predicted groups are those of that nation’s classificatory system.  While the social races in the United States were constructed and are primarily defined by skin color, the populations originated from divergent regions of the world.  Thus, they </w:t>
      </w:r>
      <w:r w:rsidR="00331359" w:rsidRPr="006F3004">
        <w:t>would likely</w:t>
      </w:r>
      <w:r w:rsidR="00927F78" w:rsidRPr="006F3004">
        <w:t xml:space="preserve"> have unique variations, morphological signatures, and historical patterns of microevolution.  Many of these signatures may be preserved in modern American populations due to selective mating.  </w:t>
      </w:r>
      <w:r w:rsidR="00331359" w:rsidRPr="006F3004">
        <w:t>However, these signatures may become far more difficult to recognize as intermixing increases.</w:t>
      </w:r>
      <w:r w:rsidR="00647075" w:rsidRPr="006F3004">
        <w:t xml:space="preserve">  An example of this can be seen with the difficulties in identifying individuals of Hispanic ancestry caused by the broad range of variation and genetic and population history represented amongst the individuals to which the term is currently ascribed.</w:t>
      </w:r>
    </w:p>
    <w:p w:rsidR="00844D4E" w:rsidRDefault="00844D4E" w:rsidP="00410AF5">
      <w:pPr>
        <w:pStyle w:val="Heading2"/>
      </w:pPr>
      <w:bookmarkStart w:id="16" w:name="_Toc220641831"/>
      <w:bookmarkStart w:id="17" w:name="_Toc222419111"/>
      <w:bookmarkStart w:id="18" w:name="_Toc227982481"/>
      <w:r>
        <w:t>FORDISC Methodology and Potential Limitations</w:t>
      </w:r>
      <w:bookmarkEnd w:id="16"/>
      <w:bookmarkEnd w:id="17"/>
      <w:bookmarkEnd w:id="18"/>
    </w:p>
    <w:p w:rsidR="00844D4E" w:rsidRDefault="00844D4E" w:rsidP="00844D4E">
      <w:r>
        <w:tab/>
        <w:t xml:space="preserve">FORDISC uses discriminant analysis for ancestry estimation </w:t>
      </w:r>
      <w:r w:rsidR="003731B6">
        <w:fldChar w:fldCharType="begin"/>
      </w:r>
      <w:r>
        <w:instrText xml:space="preserve"> ADDIN EN.CITE &lt;EndNote&gt;&lt;Cite&gt;&lt;Author&gt;Ousley&lt;/Author&gt;&lt;Year&gt;2005&lt;/Year&gt;&lt;RecNum&gt;367&lt;/RecNum&gt;&lt;DisplayText&gt;(Ousley and Jantz, 2005;2012)&lt;/DisplayText&gt;&lt;record&gt;&lt;rec-number&gt;367&lt;/rec-number&gt;&lt;foreign-keys&gt;&lt;key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Knoxville&lt;/publisher&gt;&lt;urls&gt;&lt;/urls&gt;&lt;/record&gt;&lt;/Cite&gt;&lt;Cite&gt;&lt;Author&gt;Ousley&lt;/Author&gt;&lt;Year&gt;2012&lt;/Year&gt;&lt;RecNum&gt;345&lt;/RecNum&gt;&lt;record&gt;&lt;rec-number&gt;345&lt;/rec-number&gt;&lt;foreign-keys&gt;&lt;key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r>
        <w:rPr>
          <w:noProof/>
        </w:rPr>
        <w:t>(</w:t>
      </w:r>
      <w:hyperlink w:anchor="_ENREF_43" w:tooltip="Ousley, 2005 #367" w:history="1">
        <w:r w:rsidR="001633BC">
          <w:rPr>
            <w:noProof/>
          </w:rPr>
          <w:t>Ousley and Jantz, 2005</w:t>
        </w:r>
      </w:hyperlink>
      <w:r>
        <w:rPr>
          <w:noProof/>
        </w:rPr>
        <w:t>;</w:t>
      </w:r>
      <w:hyperlink w:anchor="_ENREF_44" w:tooltip="Ousley, 2012 #345" w:history="1">
        <w:r w:rsidR="001633BC">
          <w:rPr>
            <w:noProof/>
          </w:rPr>
          <w:t>2012</w:t>
        </w:r>
      </w:hyperlink>
      <w:r>
        <w:rPr>
          <w:noProof/>
        </w:rPr>
        <w:t>)</w:t>
      </w:r>
      <w:r w:rsidR="003731B6">
        <w:fldChar w:fldCharType="end"/>
      </w:r>
      <w:r>
        <w:t xml:space="preserve">.  Discriminant analysis describes a category of statistical methods that assess the degree to which it is possible to separate two or more groups of observations given a set of variables </w:t>
      </w:r>
      <w:r w:rsidR="003731B6">
        <w:fldChar w:fldCharType="begin"/>
      </w:r>
      <w:r>
        <w:instrText xml:space="preserve"> ADDIN EN.CITE &lt;EndNote&gt;&lt;Cite&gt;&lt;Author&gt;Manly&lt;/Author&gt;&lt;Year&gt;2005&lt;/Year&gt;&lt;RecNum&gt;83&lt;/RecNum&gt;&lt;DisplayText&gt;(Rencher, 2002; Manly, 2005; Huberty and Olejnik, 2006)&lt;/DisplayText&gt;&lt;record&gt;&lt;rec-number&gt;83&lt;/rec-number&gt;&lt;foreign-keys&gt;&lt;key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Hall/CRC&lt;/publisher&gt;&lt;urls&gt;&lt;/urls&gt;&lt;/record&gt;&lt;/Cite&gt;&lt;Cite&gt;&lt;Author&gt;Huberty&lt;/Author&gt;&lt;Year&gt;2006&lt;/Year&gt;&lt;RecNum&gt;85&lt;/RecNum&gt;&lt;record&gt;&lt;rec-number&gt;85&lt;/rec-number&gt;&lt;foreign-keys&gt;&lt;key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Sons&lt;/publisher&gt;&lt;urls&gt;&lt;/urls&gt;&lt;/record&gt;&lt;/Cite&gt;&lt;Cite&gt;&lt;Author&gt;Rencher&lt;/Author&gt;&lt;Year&gt;2002&lt;/Year&gt;&lt;RecNum&gt;91&lt;/RecNum&gt;&lt;record&gt;&lt;rec-number&gt;91&lt;/rec-number&gt;&lt;foreign-keys&gt;&lt;key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Pr>
          <w:noProof/>
        </w:rPr>
        <w:t>(</w:t>
      </w:r>
      <w:hyperlink w:anchor="_ENREF_48" w:tooltip="Rencher, 2002 #91" w:history="1">
        <w:r w:rsidR="001633BC">
          <w:rPr>
            <w:noProof/>
          </w:rPr>
          <w:t>Rencher, 2002</w:t>
        </w:r>
      </w:hyperlink>
      <w:r>
        <w:rPr>
          <w:noProof/>
        </w:rPr>
        <w:t xml:space="preserve">; </w:t>
      </w:r>
      <w:hyperlink w:anchor="_ENREF_38" w:tooltip="Manly, 2005 #83" w:history="1">
        <w:r w:rsidR="001633BC">
          <w:rPr>
            <w:noProof/>
          </w:rPr>
          <w:t>Manly, 2005</w:t>
        </w:r>
      </w:hyperlink>
      <w:r>
        <w:rPr>
          <w:noProof/>
        </w:rPr>
        <w:t xml:space="preserve">; </w:t>
      </w:r>
      <w:hyperlink w:anchor="_ENREF_27" w:tooltip="Huberty, 2006 #85" w:history="1">
        <w:r w:rsidR="001633BC">
          <w:rPr>
            <w:noProof/>
          </w:rPr>
          <w:t>Huberty and Olejnik, 2006</w:t>
        </w:r>
      </w:hyperlink>
      <w:r>
        <w:rPr>
          <w:noProof/>
        </w:rPr>
        <w:t>)</w:t>
      </w:r>
      <w:r w:rsidR="003731B6">
        <w:fldChar w:fldCharType="end"/>
      </w:r>
      <w:r>
        <w:t xml:space="preserve">.  The specific analysis FORDISC performs is LDA.  While LDA may be a very popular discriminant method </w:t>
      </w:r>
      <w:r w:rsidR="003731B6">
        <w:fldChar w:fldCharType="begin"/>
      </w:r>
      <w:r>
        <w:instrText xml:space="preserve"> ADDIN EN.CITE &lt;EndNote&gt;&lt;Cite&gt;&lt;Author&gt;Ousley&lt;/Author&gt;&lt;Year&gt;2005&lt;/Year&gt;&lt;RecNum&gt;367&lt;/RecNum&gt;&lt;DisplayText&gt;(Ousley and Jantz, 2005;2012)&lt;/DisplayText&gt;&lt;record&gt;&lt;rec-number&gt;367&lt;/rec-number&gt;&lt;foreign-keys&gt;&lt;key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Knoxville&lt;/publisher&gt;&lt;urls&gt;&lt;/urls&gt;&lt;/record&gt;&lt;/Cite&gt;&lt;Cite&gt;&lt;Author&gt;Ousley&lt;/Author&gt;&lt;Year&gt;2012&lt;/Year&gt;&lt;RecNum&gt;345&lt;/RecNum&gt;&lt;record&gt;&lt;rec-number&gt;345&lt;/rec-number&gt;&lt;foreign-keys&gt;&lt;key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r>
        <w:rPr>
          <w:noProof/>
        </w:rPr>
        <w:t>(</w:t>
      </w:r>
      <w:hyperlink w:anchor="_ENREF_43" w:tooltip="Ousley, 2005 #367" w:history="1">
        <w:r w:rsidR="001633BC">
          <w:rPr>
            <w:noProof/>
          </w:rPr>
          <w:t>Ousley and Jantz, 2005</w:t>
        </w:r>
      </w:hyperlink>
      <w:r>
        <w:rPr>
          <w:noProof/>
        </w:rPr>
        <w:t>;</w:t>
      </w:r>
      <w:hyperlink w:anchor="_ENREF_44" w:tooltip="Ousley, 2012 #345" w:history="1">
        <w:r w:rsidR="001633BC">
          <w:rPr>
            <w:noProof/>
          </w:rPr>
          <w:t>2012</w:t>
        </w:r>
      </w:hyperlink>
      <w:r>
        <w:rPr>
          <w:noProof/>
        </w:rPr>
        <w:t>)</w:t>
      </w:r>
      <w:r w:rsidR="003731B6">
        <w:fldChar w:fldCharType="end"/>
      </w:r>
      <w:r>
        <w:t>, it makes a number of assumptions about the data that must be met for the results to be valid and interpretable.</w:t>
      </w:r>
    </w:p>
    <w:p w:rsidR="00844D4E" w:rsidRDefault="00844D4E" w:rsidP="00844D4E">
      <w:r>
        <w:tab/>
        <w:t xml:space="preserve">LDA is a parametric method that assumes that the data for each group have a multivariate normal distribution.  It also assumes homogeneity of variance, that the covariance matrices for all groups in the reference sample are equal </w:t>
      </w:r>
      <w:r w:rsidR="003731B6">
        <w:fldChar w:fldCharType="begin"/>
      </w:r>
      <w:r>
        <w:instrText xml:space="preserve"> ADDIN EN.CITE &lt;EndNote&gt;&lt;Cite&gt;&lt;Author&gt;Manly&lt;/Author&gt;&lt;Year&gt;2005&lt;/Year&gt;&lt;RecNum&gt;83&lt;/RecNum&gt;&lt;DisplayText&gt;(Rencher, 2002; Manly, 2005; Huberty and Olejnik, 2006)&lt;/DisplayText&gt;&lt;record&gt;&lt;rec-number&gt;83&lt;/rec-number&gt;&lt;foreign-keys&gt;&lt;key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Hall/CRC&lt;/publisher&gt;&lt;urls&gt;&lt;/urls&gt;&lt;/record&gt;&lt;/Cite&gt;&lt;Cite&gt;&lt;Author&gt;Rencher&lt;/Author&gt;&lt;Year&gt;2002&lt;/Year&gt;&lt;RecNum&gt;91&lt;/RecNum&gt;&lt;record&gt;&lt;rec-number&gt;91&lt;/rec-number&gt;&lt;foreign-keys&gt;&lt;key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Sons&lt;/publisher&gt;&lt;urls&gt;&lt;/urls&gt;&lt;/record&gt;&lt;/Cite&gt;&lt;Cite&gt;&lt;Author&gt;Huberty&lt;/Author&gt;&lt;Year&gt;2006&lt;/Year&gt;&lt;RecNum&gt;85&lt;/RecNum&gt;&lt;record&gt;&lt;rec-number&gt;85&lt;/rec-number&gt;&lt;foreign-keys&gt;&lt;key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Pr>
          <w:noProof/>
        </w:rPr>
        <w:t>(</w:t>
      </w:r>
      <w:hyperlink w:anchor="_ENREF_48" w:tooltip="Rencher, 2002 #91" w:history="1">
        <w:r w:rsidR="001633BC">
          <w:rPr>
            <w:noProof/>
          </w:rPr>
          <w:t>Rencher, 2002</w:t>
        </w:r>
      </w:hyperlink>
      <w:r>
        <w:rPr>
          <w:noProof/>
        </w:rPr>
        <w:t xml:space="preserve">; </w:t>
      </w:r>
      <w:hyperlink w:anchor="_ENREF_38" w:tooltip="Manly, 2005 #83" w:history="1">
        <w:r w:rsidR="001633BC">
          <w:rPr>
            <w:noProof/>
          </w:rPr>
          <w:t>Manly, 2005</w:t>
        </w:r>
      </w:hyperlink>
      <w:r>
        <w:rPr>
          <w:noProof/>
        </w:rPr>
        <w:t xml:space="preserve">; </w:t>
      </w:r>
      <w:hyperlink w:anchor="_ENREF_27" w:tooltip="Huberty, 2006 #85" w:history="1">
        <w:r w:rsidR="001633BC">
          <w:rPr>
            <w:noProof/>
          </w:rPr>
          <w:t>Huberty and Olejnik, 2006</w:t>
        </w:r>
      </w:hyperlink>
      <w:r>
        <w:rPr>
          <w:noProof/>
        </w:rPr>
        <w:t>)</w:t>
      </w:r>
      <w:r w:rsidR="003731B6">
        <w:fldChar w:fldCharType="end"/>
      </w:r>
      <w:r>
        <w:t xml:space="preserve">.  While these two phenomena can be difficult to test, a researcher or practitioner using LDA must evaluate the assumptions </w:t>
      </w:r>
      <w:r w:rsidR="003731B6">
        <w:fldChar w:fldCharType="begin"/>
      </w:r>
      <w:r>
        <w:instrText xml:space="preserve"> ADDIN EN.CITE &lt;EndNote&gt;&lt;Cite&gt;&lt;Author&gt;Ousley&lt;/Author&gt;&lt;Year&gt;2012&lt;/Year&gt;&lt;RecNum&gt;345&lt;/RecNum&gt;&lt;DisplayText&gt;(Ousley and Jantz, 2012)&lt;/DisplayText&gt;&lt;record&gt;&lt;rec-number&gt;345&lt;/rec-number&gt;&lt;foreign-keys&gt;&lt;key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r>
        <w:rPr>
          <w:noProof/>
        </w:rPr>
        <w:t>(</w:t>
      </w:r>
      <w:hyperlink w:anchor="_ENREF_44" w:tooltip="Ousley, 2012 #345" w:history="1">
        <w:r w:rsidR="001633BC">
          <w:rPr>
            <w:noProof/>
          </w:rPr>
          <w:t>Ousley and Jantz, 2012</w:t>
        </w:r>
      </w:hyperlink>
      <w:r>
        <w:rPr>
          <w:noProof/>
        </w:rPr>
        <w:t>)</w:t>
      </w:r>
      <w:r w:rsidR="003731B6">
        <w:fldChar w:fldCharType="end"/>
      </w:r>
      <w:r>
        <w:t xml:space="preserve">.  FORDISC 3.0 added a test for homogeneity of variance </w:t>
      </w:r>
      <w:r w:rsidR="003731B6">
        <w:fldChar w:fldCharType="begin"/>
      </w:r>
      <w:r>
        <w:instrText xml:space="preserve"> ADDIN EN.CITE &lt;EndNote&gt;&lt;Cite&gt;&lt;Author&gt;Ousley&lt;/Author&gt;&lt;Year&gt;2005&lt;/Year&gt;&lt;RecNum&gt;367&lt;/RecNum&gt;&lt;DisplayText&gt;(Ousley and Jantz, 2005)&lt;/DisplayText&gt;&lt;record&gt;&lt;rec-number&gt;367&lt;/rec-number&gt;&lt;foreign-keys&gt;&lt;key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Knoxville&lt;/publisher&gt;&lt;urls&gt;&lt;/urls&gt;&lt;/record&gt;&lt;/Cite&gt;&lt;/EndNote&gt;</w:instrText>
      </w:r>
      <w:r w:rsidR="003731B6">
        <w:fldChar w:fldCharType="separate"/>
      </w:r>
      <w:r>
        <w:rPr>
          <w:noProof/>
        </w:rPr>
        <w:t>(</w:t>
      </w:r>
      <w:hyperlink w:anchor="_ENREF_43" w:tooltip="Ousley, 2005 #367" w:history="1">
        <w:r w:rsidR="001633BC">
          <w:rPr>
            <w:noProof/>
          </w:rPr>
          <w:t>Ousley and Jantz, 2005</w:t>
        </w:r>
      </w:hyperlink>
      <w:r>
        <w:rPr>
          <w:noProof/>
        </w:rPr>
        <w:t>)</w:t>
      </w:r>
      <w:r w:rsidR="003731B6">
        <w:fldChar w:fldCharType="end"/>
      </w:r>
      <w:r>
        <w:t xml:space="preserve">.   However, it </w:t>
      </w:r>
      <w:r w:rsidR="00351FD6">
        <w:t>assumses</w:t>
      </w:r>
      <w:r>
        <w:t xml:space="preserve"> that multivariate normality holds for each of the groups in the FORDISC reference sample </w:t>
      </w:r>
      <w:r w:rsidR="003731B6">
        <w:fldChar w:fldCharType="begin"/>
      </w:r>
      <w:r>
        <w:instrText xml:space="preserve"> ADDIN EN.CITE &lt;EndNote&gt;&lt;Cite&gt;&lt;Author&gt;Ousley&lt;/Author&gt;&lt;Year&gt;2012&lt;/Year&gt;&lt;RecNum&gt;345&lt;/RecNum&gt;&lt;DisplayText&gt;(Ousley and Jantz, 2012)&lt;/DisplayText&gt;&lt;record&gt;&lt;rec-number&gt;345&lt;/rec-number&gt;&lt;foreign-keys&gt;&lt;key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r>
        <w:rPr>
          <w:noProof/>
        </w:rPr>
        <w:t>(</w:t>
      </w:r>
      <w:hyperlink w:anchor="_ENREF_44" w:tooltip="Ousley, 2012 #345" w:history="1">
        <w:r w:rsidR="001633BC">
          <w:rPr>
            <w:noProof/>
          </w:rPr>
          <w:t>Ousley and Jantz, 2012</w:t>
        </w:r>
      </w:hyperlink>
      <w:r>
        <w:rPr>
          <w:noProof/>
        </w:rPr>
        <w:t>)</w:t>
      </w:r>
      <w:r w:rsidR="003731B6">
        <w:fldChar w:fldCharType="end"/>
      </w:r>
      <w:r>
        <w:t xml:space="preserve">.  Nonetheless, </w:t>
      </w:r>
      <w:r w:rsidR="003731B6">
        <w:fldChar w:fldCharType="begin"/>
      </w:r>
      <w:r>
        <w:instrText xml:space="preserve"> ADDIN EN.CITE &lt;EndNote&gt;&lt;Cite AuthorYear="1"&gt;&lt;Author&gt;Ousley&lt;/Author&gt;&lt;Year&gt;2012&lt;/Year&gt;&lt;RecNum&gt;345&lt;/RecNum&gt;&lt;Suffix&gt;:324&lt;/Suffix&gt;&lt;DisplayText&gt;Ousley and Jantz (2012:324)&lt;/DisplayText&gt;&lt;record&gt;&lt;rec-number&gt;345&lt;/rec-number&gt;&lt;foreign-keys&gt;&lt;key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hyperlink w:anchor="_ENREF_44" w:tooltip="Ousley, 2012 #345" w:history="1">
        <w:r w:rsidR="001633BC">
          <w:rPr>
            <w:noProof/>
          </w:rPr>
          <w:t>Ousley and Jantz (2012:324</w:t>
        </w:r>
      </w:hyperlink>
      <w:r>
        <w:rPr>
          <w:noProof/>
        </w:rPr>
        <w:t>)</w:t>
      </w:r>
      <w:r w:rsidR="003731B6">
        <w:fldChar w:fldCharType="end"/>
      </w:r>
      <w:r>
        <w:t xml:space="preserve"> state, “</w:t>
      </w:r>
      <w:r w:rsidRPr="00464C16">
        <w:rPr>
          <w:i/>
        </w:rPr>
        <w:t>as long as the requirements are met</w:t>
      </w:r>
      <w:r>
        <w:t xml:space="preserve"> and other statistical results are acceptable, Fordisc will always indicate the most similar group based on the groups and measures used [emphasis added],” and “most importantly, no matter how good the apparent correct classification rate is, if certain rules are broken, there are reasons to doubt such performance will hold when applied to the individual being classified” </w:t>
      </w:r>
      <w:r w:rsidR="003731B6">
        <w:fldChar w:fldCharType="begin"/>
      </w:r>
      <w:r>
        <w:instrText xml:space="preserve"> ADDIN EN.CITE &lt;EndNote&gt;&lt;Cite&gt;&lt;Author&gt;Ousley&lt;/Author&gt;&lt;Year&gt;2012&lt;/Year&gt;&lt;RecNum&gt;345&lt;/RecNum&gt;&lt;Suffix&gt;:325&lt;/Suffix&gt;&lt;DisplayText&gt;(Ousley and Jantz, 2012:325)&lt;/DisplayText&gt;&lt;record&gt;&lt;rec-number&gt;345&lt;/rec-number&gt;&lt;foreign-keys&gt;&lt;key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r>
        <w:rPr>
          <w:noProof/>
        </w:rPr>
        <w:t>(</w:t>
      </w:r>
      <w:hyperlink w:anchor="_ENREF_44" w:tooltip="Ousley, 2012 #345" w:history="1">
        <w:r w:rsidR="001633BC">
          <w:rPr>
            <w:noProof/>
          </w:rPr>
          <w:t>Ousley and Jantz, 2012:325</w:t>
        </w:r>
      </w:hyperlink>
      <w:r>
        <w:rPr>
          <w:noProof/>
        </w:rPr>
        <w:t>)</w:t>
      </w:r>
      <w:r w:rsidR="003731B6">
        <w:fldChar w:fldCharType="end"/>
      </w:r>
      <w:r>
        <w:t>.  Thus, while not satisfying the assumptions does not necessarily preclude the LDA from yielding good estimates of classification accuracy, it calls into question the reported statistical results and out-of-sample performance of the classification rules.</w:t>
      </w:r>
    </w:p>
    <w:p w:rsidR="006C282A" w:rsidRDefault="00844D4E" w:rsidP="00844D4E">
      <w:r>
        <w:tab/>
        <w:t xml:space="preserve">There are a variety of alternatives to LDA.  </w:t>
      </w:r>
      <w:r w:rsidR="00DE1E30">
        <w:t>Some</w:t>
      </w:r>
      <w:r>
        <w:t xml:space="preserve"> researchers have utilized discriminant methods other than LDA, such as k-nearest neighbor analysis </w:t>
      </w:r>
      <w:r w:rsidR="003731B6">
        <w:fldChar w:fldCharType="begin"/>
      </w:r>
      <w:r w:rsidR="00EB0C79">
        <w:instrText xml:space="preserve"> ADDIN EN.CITE &lt;EndNote&gt;&lt;Cite&gt;&lt;Author&gt;Wright&lt;/Author&gt;&lt;Year&gt;1992&lt;/Year&gt;&lt;RecNum&gt;224&lt;/RecNum&gt;&lt;DisplayText&gt;(Wright, 1992; Ousley&lt;style face="italic"&gt; et al.&lt;/style&gt;, 2009)&lt;/DisplayText&gt;&lt;record&gt;&lt;rec-number&gt;224&lt;/rec-number&gt;&lt;foreign-keys&gt;&lt;key app="EN" db-id="20frpf5eyrpavaevz925sv9t29f5epa9pd2z"&gt;224&lt;/key&gt;&lt;/foreign-keys&gt;&lt;ref-type name="Journal Article"&gt;17&lt;/ref-type&gt;&lt;contributors&gt;&lt;authors&gt;&lt;author&gt;Wright, RVS&lt;/author&gt;&lt;/authors&gt;&lt;/contributors&gt;&lt;titles&gt;&lt;title&gt;Correlation between cranial form and geography in Homo sapiens: CRANID-a computer program for forensic and other applications&lt;/title&gt;&lt;secondary-title&gt;Archaeology in Oceania&lt;/secondary-title&gt;&lt;/titles&gt;&lt;periodical&gt;&lt;full-title&gt;Archaeology in Oceania&lt;/full-title&gt;&lt;/periodical&gt;&lt;pages&gt;128-134&lt;/pages&gt;&lt;dates&gt;&lt;year&gt;1992&lt;/year&gt;&lt;/dates&gt;&lt;publisher&gt;JSTOR&lt;/publisher&gt;&lt;accession-num&gt;6719806089424901208related:WJStBwmMQV0J&lt;/accession-num&gt;&lt;label&gt;r00289&lt;/label&gt;&lt;urls&gt;&lt;related-urls&gt;&lt;url&gt;http://www.jstor.org/stable/10.2307/40386951&lt;/url&gt;&lt;/related-urls&gt;&lt;pdf-urls&gt;&lt;url&gt;file://localhost/Users/mercergm/Library/Application%20Support/Papers2/Articles/1992/Wright/1992%20Wright.pdf&lt;/url&gt;&lt;/pdf-urls&gt;&lt;/urls&gt;&lt;custom3&gt;papers2://publication/uuid/009CA498-D353-4246-A81D-E672B3D1EE5D&lt;/custom3&gt;&lt;/record&gt;&lt;/Cite&gt;&lt;Cite&gt;&lt;Author&gt;Ousley&lt;/Author&gt;&lt;Year&gt;2009&lt;/Year&gt;&lt;RecNum&gt;63&lt;/RecNum&gt;&lt;record&gt;&lt;rec-number&gt;63&lt;/rec-number&gt;&lt;foreign-keys&gt;&lt;key app="EN" db-id="20frpf5eyrpavaevz925sv9t29f5epa9pd2z"&gt;63&lt;/key&gt;&lt;/foreign-keys&gt;&lt;ref-type name="Journal Article"&gt;17&lt;/ref-type&gt;&lt;contributors&gt;&lt;authors&gt;&lt;author&gt;Ousley, Stephen&lt;/author&gt;&lt;author&gt;Jantz, Richard&lt;/author&gt;&lt;author&gt;Freid, Donna&lt;/author&gt;&lt;/authors&gt;&lt;/contributors&gt;&lt;titles&gt;&lt;title&gt;Understanding race and human variation: why forensic anthropologists are good at identifying race&lt;/title&gt;&lt;secondary-title&gt;American Journal of Physical Anthropology&lt;/secondary-title&gt;&lt;/titles&gt;&lt;periodical&gt;&lt;full-title&gt;American Journal of Physical Anthropology&lt;/full-title&gt;&lt;/periodical&gt;&lt;pages&gt;68-76&lt;/pages&gt;&lt;volume&gt;139&lt;/volume&gt;&lt;dates&gt;&lt;year&gt;2009&lt;/year&gt;&lt;/dates&gt;&lt;urls&gt;&lt;/urls&gt;&lt;/record&gt;&lt;/Cite&gt;&lt;/EndNote&gt;</w:instrText>
      </w:r>
      <w:r w:rsidR="003731B6">
        <w:fldChar w:fldCharType="separate"/>
      </w:r>
      <w:r w:rsidR="00EB0C79">
        <w:rPr>
          <w:noProof/>
        </w:rPr>
        <w:t>(</w:t>
      </w:r>
      <w:hyperlink w:anchor="_ENREF_66" w:tooltip="Wright, 1992 #224" w:history="1">
        <w:r w:rsidR="001633BC">
          <w:rPr>
            <w:noProof/>
          </w:rPr>
          <w:t>Wright, 1992</w:t>
        </w:r>
      </w:hyperlink>
      <w:r w:rsidR="00EB0C79">
        <w:rPr>
          <w:noProof/>
        </w:rPr>
        <w:t xml:space="preserve">; </w:t>
      </w:r>
      <w:hyperlink w:anchor="_ENREF_42" w:tooltip="Ousley, 2009 #63" w:history="1">
        <w:r w:rsidR="001633BC">
          <w:rPr>
            <w:noProof/>
          </w:rPr>
          <w:t>Ousley</w:t>
        </w:r>
        <w:r w:rsidR="001633BC" w:rsidRPr="00EB0C79">
          <w:rPr>
            <w:i/>
            <w:noProof/>
          </w:rPr>
          <w:t xml:space="preserve"> et al.</w:t>
        </w:r>
        <w:r w:rsidR="001633BC">
          <w:rPr>
            <w:noProof/>
          </w:rPr>
          <w:t>, 2009</w:t>
        </w:r>
      </w:hyperlink>
      <w:r w:rsidR="00EB0C79">
        <w:rPr>
          <w:noProof/>
        </w:rPr>
        <w:t>)</w:t>
      </w:r>
      <w:r w:rsidR="003731B6">
        <w:fldChar w:fldCharType="end"/>
      </w:r>
      <w:r>
        <w:t xml:space="preserve"> and finite mixture analysis </w:t>
      </w:r>
      <w:r w:rsidR="003731B6">
        <w:fldChar w:fldCharType="begin"/>
      </w:r>
      <w:r w:rsidR="00EB0C79">
        <w:instrText xml:space="preserve"> ADDIN EN.CITE &lt;EndNote&gt;&lt;Cite&gt;&lt;Author&gt;Konigsberg&lt;/Author&gt;&lt;Year&gt;2009&lt;/Year&gt;&lt;RecNum&gt;150&lt;/RecNum&gt;&lt;DisplayText&gt;(Konigsberg&lt;style face="italic"&gt; et al.&lt;/style&gt;, 2009)&lt;/DisplayText&gt;&lt;record&gt;&lt;rec-number&gt;150&lt;/rec-number&gt;&lt;foreign-keys&gt;&lt;key app="EN" db-id="20frpf5eyrpavaevz925sv9t29f5epa9pd2z"&gt;150&lt;/key&gt;&lt;/foreign-keys&gt;&lt;ref-type name="Journal Article"&gt;17&lt;/ref-type&gt;&lt;contributors&gt;&lt;authors&gt;&lt;author&gt;Konigsberg, Lyle W.&lt;/author&gt;&lt;author&gt;Algee-Hewitt, Bridget F B&lt;/author&gt;&lt;author&gt;Steadman, Dawnie Wolfe&lt;/author&gt;&lt;/authors&gt;&lt;/contributors&gt;&lt;titles&gt;&lt;title&gt;Estimation and evidence in forensic anthropology: Sex and race&lt;/title&gt;&lt;secondary-title&gt;American Journal of Physical Anthropology&lt;/secondary-title&gt;&lt;/titles&gt;&lt;periodical&gt;&lt;full-title&gt;American Journal of Physical Anthropology&lt;/full-title&gt;&lt;/periodical&gt;&lt;pages&gt;77-90&lt;/pages&gt;&lt;volume&gt;139&lt;/volume&gt;&lt;number&gt;1&lt;/number&gt;&lt;dates&gt;&lt;year&gt;2009&lt;/year&gt;&lt;pub-dates&gt;&lt;date&gt;Mar 18&lt;/date&gt;&lt;/pub-dates&gt;&lt;/dates&gt;&lt;label&gt;r00090&lt;/label&gt;&lt;urls&gt;&lt;related-urls&gt;&lt;url&gt;http://doi.wiley.com/10.1002/ajpa.20934&lt;/url&gt;&lt;/related-urls&gt;&lt;pdf-urls&gt;&lt;url&gt;file://localhost/Users/mercergm/Library/Application%20Support/Papers2/Articles/2009/Konigsberg/Am.%20J.%20Phys.%20Anthropol.%202009%20Konigsberg.pdf&lt;/url&gt;&lt;/pdf-urls&gt;&lt;/urls&gt;&lt;custom3&gt;papers2://publication/uuid/6A2E6A94-E355-4E1C-950A-D6EC957F7FCA&lt;/custom3&gt;&lt;electronic-resource-num&gt;10.1002/ajpa.20934&lt;/electronic-resource-num&gt;&lt;language&gt;English&lt;/language&gt;&lt;/record&gt;&lt;/Cite&gt;&lt;/EndNote&gt;</w:instrText>
      </w:r>
      <w:r w:rsidR="003731B6">
        <w:fldChar w:fldCharType="separate"/>
      </w:r>
      <w:r w:rsidR="00EB0C79">
        <w:rPr>
          <w:noProof/>
        </w:rPr>
        <w:t>(</w:t>
      </w:r>
      <w:hyperlink w:anchor="_ENREF_34" w:tooltip="Konigsberg, 2009 #150" w:history="1">
        <w:r w:rsidR="001633BC">
          <w:rPr>
            <w:noProof/>
          </w:rPr>
          <w:t>Konigsberg</w:t>
        </w:r>
        <w:r w:rsidR="001633BC" w:rsidRPr="00EB0C79">
          <w:rPr>
            <w:i/>
            <w:noProof/>
          </w:rPr>
          <w:t xml:space="preserve"> et al.</w:t>
        </w:r>
        <w:r w:rsidR="001633BC">
          <w:rPr>
            <w:noProof/>
          </w:rPr>
          <w:t>, 2009</w:t>
        </w:r>
      </w:hyperlink>
      <w:r w:rsidR="00EB0C79">
        <w:rPr>
          <w:noProof/>
        </w:rPr>
        <w:t>)</w:t>
      </w:r>
      <w:r w:rsidR="003731B6">
        <w:fldChar w:fldCharType="end"/>
      </w:r>
      <w:r>
        <w:t xml:space="preserve">, </w:t>
      </w:r>
      <w:r w:rsidR="008E0416">
        <w:t xml:space="preserve">though </w:t>
      </w:r>
      <w:r>
        <w:t xml:space="preserve">an explicit evaluation and comparison of </w:t>
      </w:r>
      <w:r w:rsidR="008E0416">
        <w:t xml:space="preserve">which </w:t>
      </w:r>
      <w:r>
        <w:t>discriminant techniques</w:t>
      </w:r>
      <w:r w:rsidR="008E0416">
        <w:t xml:space="preserve"> are</w:t>
      </w:r>
      <w:r>
        <w:t xml:space="preserve"> useful in various situations has yet to be performed.  </w:t>
      </w:r>
      <w:r w:rsidR="003731B6">
        <w:fldChar w:fldCharType="begin"/>
      </w:r>
      <w:r w:rsidR="00721795">
        <w:instrText xml:space="preserve"> ADDIN EN.CITE &lt;EndNote&gt;&lt;Cite AuthorYear="1"&gt;&lt;Author&gt;Feldesman&lt;/Author&gt;&lt;Year&gt;2002&lt;/Year&gt;&lt;RecNum&gt;199&lt;/RecNum&gt;&lt;DisplayText&gt;Feldesman (2002)&lt;/DisplayText&gt;&lt;record&gt;&lt;rec-number&gt;199&lt;/rec-number&gt;&lt;foreign-keys&gt;&lt;key app="EN" db-id="20frpf5eyrpavaevz925sv9t29f5epa9pd2z"&gt;199&lt;/key&gt;&lt;/foreign-keys&gt;&lt;ref-type name="Journal Article"&gt;17&lt;/ref-type&gt;&lt;contributors&gt;&lt;authors&gt;&lt;author&gt;Feldesman, MR&lt;/author&gt;&lt;/authors&gt;&lt;/contributors&gt;&lt;titles&gt;&lt;title&gt;Classification trees as an alternative to linear discriminant analysis&lt;/title&gt;&lt;secondary-title&gt;American Journal of Physical Anthropology&lt;/secondary-title&gt;&lt;/titles&gt;&lt;periodical&gt;&lt;full-title&gt;American Journal of Physical Anthropology&lt;/full-title&gt;&lt;/periodical&gt;&lt;pages&gt;257-275&lt;/pages&gt;&lt;volume&gt;119&lt;/volume&gt;&lt;dates&gt;&lt;year&gt;2002&lt;/year&gt;&lt;/dates&gt;&lt;accession-num&gt;1169532793528322810related:-gptF-EDOxAJ&lt;/accession-num&gt;&lt;label&gt;r03359&lt;/label&gt;&lt;urls&gt;&lt;related-urls&gt;&lt;url&gt;http://onlinelibrary.wiley.com/doi/10.1002/ajpa.10102/abstract&lt;/url&gt;&lt;/related-urls&gt;&lt;pdf-urls&gt;&lt;url&gt;file://localhost/Users/mercergm/Library/Application%20Support/Papers2/Articles/2002/Feldesman/Am.%20J.%20Phys.%20Anthropol.%202002%20Feldesman.pdf&lt;/url&gt;&lt;/pdf-urls&gt;&lt;/urls&gt;&lt;custom3&gt;papers2://publication/uuid/EA3E1F34-5015-4302-A907-39A67616B1D2&lt;/custom3&gt;&lt;/record&gt;&lt;/Cite&gt;&lt;/EndNote&gt;</w:instrText>
      </w:r>
      <w:r w:rsidR="003731B6">
        <w:fldChar w:fldCharType="separate"/>
      </w:r>
      <w:hyperlink w:anchor="_ENREF_15" w:tooltip="Feldesman, 2002 #199" w:history="1">
        <w:r w:rsidR="001633BC">
          <w:rPr>
            <w:noProof/>
          </w:rPr>
          <w:t>Feldesman (2002</w:t>
        </w:r>
      </w:hyperlink>
      <w:r w:rsidR="006C282A">
        <w:rPr>
          <w:noProof/>
        </w:rPr>
        <w:t>)</w:t>
      </w:r>
      <w:r w:rsidR="003731B6">
        <w:fldChar w:fldCharType="end"/>
      </w:r>
      <w:r w:rsidR="008E0416">
        <w:t>, however,</w:t>
      </w:r>
      <w:r w:rsidR="00EB6F0D">
        <w:t xml:space="preserve"> </w:t>
      </w:r>
      <w:r w:rsidR="00332453">
        <w:t>conduct</w:t>
      </w:r>
      <w:r w:rsidR="00795D26">
        <w:t>ed</w:t>
      </w:r>
      <w:r w:rsidR="00332453">
        <w:t xml:space="preserve"> a comparative analysis of LDA and CT using 10 meas</w:t>
      </w:r>
      <w:r w:rsidR="00F640E5">
        <w:t>urements from the distal humer</w:t>
      </w:r>
      <w:r w:rsidR="00332453">
        <w:t>us on five groups of modern hominoids.</w:t>
      </w:r>
      <w:r w:rsidR="009F2212">
        <w:t xml:space="preserve">  While LDA and CT yielded very similar classification rates, CT was recommended </w:t>
      </w:r>
      <w:r w:rsidR="00703C46">
        <w:t>for use when LDA assumptions were</w:t>
      </w:r>
      <w:r w:rsidR="009F2212">
        <w:t xml:space="preserve"> violated or there </w:t>
      </w:r>
      <w:r w:rsidR="00703C46">
        <w:t>were</w:t>
      </w:r>
      <w:r w:rsidR="00DD77A5">
        <w:t xml:space="preserve"> missing values in the data</w:t>
      </w:r>
      <w:r w:rsidR="00DE6C3F">
        <w:t>.</w:t>
      </w:r>
    </w:p>
    <w:p w:rsidR="00DE6C3F" w:rsidRPr="00410AF5" w:rsidRDefault="00DE6C3F" w:rsidP="00DE6C3F">
      <w:pPr>
        <w:pStyle w:val="Heading2"/>
      </w:pPr>
      <w:bookmarkStart w:id="19" w:name="_Toc220641830"/>
      <w:bookmarkStart w:id="20" w:name="_Toc222419110"/>
      <w:bookmarkStart w:id="21" w:name="_Toc227982482"/>
      <w:r>
        <w:t>The Need for Accurate and Reliable Statistical Figures in Forensics</w:t>
      </w:r>
      <w:bookmarkEnd w:id="19"/>
      <w:bookmarkEnd w:id="20"/>
      <w:bookmarkEnd w:id="21"/>
    </w:p>
    <w:p w:rsidR="006F1E7B" w:rsidRPr="00EF328C" w:rsidRDefault="00DE6C3F" w:rsidP="00DE6C3F">
      <w:pPr>
        <w:ind w:firstLine="720"/>
      </w:pPr>
      <w:r>
        <w:t xml:space="preserve">The Supreme Court rulings of </w:t>
      </w:r>
      <w:r w:rsidRPr="001B00D5">
        <w:rPr>
          <w:i/>
        </w:rPr>
        <w:t>Daubert v. Merrill Dow Pharmaceuticals, Inc.</w:t>
      </w:r>
      <w:r>
        <w:t xml:space="preserve"> </w:t>
      </w:r>
      <w:r w:rsidR="003731B6">
        <w:fldChar w:fldCharType="begin"/>
      </w:r>
      <w:r>
        <w:instrText xml:space="preserve"> ADDIN EN.CITE &lt;EndNote&gt;&lt;Cite&gt;&lt;Year&gt;1993&lt;/Year&gt;&lt;RecNum&gt;370&lt;/RecNum&gt;&lt;DisplayText&gt;(1993)&lt;/DisplayText&gt;&lt;record&gt;&lt;rec-number&gt;370&lt;/rec-number&gt;&lt;foreign-keys&gt;&lt;key app="EN" db-id="20frpf5eyrpavaevz925sv9t29f5epa9pd2z"&gt;370&lt;/key&gt;&lt;/foreign-keys&gt;&lt;ref-type name="Case"&gt;7&lt;/ref-type&gt;&lt;contributors&gt;&lt;/contributors&gt;&lt;titles&gt;&lt;title&gt;Daubert v. Merrell Dow Pharmaceuticals&lt;/title&gt;&lt;/titles&gt;&lt;pages&gt;579&lt;/pages&gt;&lt;volume&gt;509&lt;/volume&gt;&lt;number&gt;2786&lt;/number&gt;&lt;dates&gt;&lt;year&gt;1993&lt;/year&gt;&lt;/dates&gt;&lt;publisher&gt;133 S. Ct.&lt;/publisher&gt;&lt;urls&gt;&lt;/urls&gt;&lt;/record&gt;&lt;/Cite&gt;&lt;/EndNote&gt;</w:instrText>
      </w:r>
      <w:r w:rsidR="003731B6">
        <w:fldChar w:fldCharType="separate"/>
      </w:r>
      <w:r>
        <w:rPr>
          <w:noProof/>
        </w:rPr>
        <w:t>(</w:t>
      </w:r>
      <w:hyperlink w:anchor="_ENREF_1" w:tooltip=", 1993 #370" w:history="1">
        <w:r w:rsidR="001633BC">
          <w:rPr>
            <w:noProof/>
          </w:rPr>
          <w:t>1993</w:t>
        </w:r>
      </w:hyperlink>
      <w:r>
        <w:rPr>
          <w:noProof/>
        </w:rPr>
        <w:t>)</w:t>
      </w:r>
      <w:r w:rsidR="003731B6">
        <w:fldChar w:fldCharType="end"/>
      </w:r>
      <w:r>
        <w:t xml:space="preserve"> and </w:t>
      </w:r>
      <w:r w:rsidRPr="00272CBB">
        <w:rPr>
          <w:rFonts w:cs="Times New Roman"/>
          <w:i/>
          <w:szCs w:val="19"/>
        </w:rPr>
        <w:t>Kumho Tire, Ltd v.Carmichael</w:t>
      </w:r>
      <w:r w:rsidRPr="00593DA3">
        <w:rPr>
          <w:rFonts w:cs="Times New Roman"/>
          <w:szCs w:val="19"/>
        </w:rPr>
        <w:t xml:space="preserve"> </w:t>
      </w:r>
      <w:r w:rsidR="003731B6">
        <w:rPr>
          <w:rFonts w:cs="Times New Roman"/>
          <w:szCs w:val="19"/>
        </w:rPr>
        <w:fldChar w:fldCharType="begin"/>
      </w:r>
      <w:r>
        <w:rPr>
          <w:rFonts w:cs="Times New Roman"/>
          <w:szCs w:val="19"/>
        </w:rPr>
        <w:instrText xml:space="preserve"> ADDIN EN.CITE &lt;EndNote&gt;&lt;Cite&gt;&lt;Year&gt;1999&lt;/Year&gt;&lt;RecNum&gt;371&lt;/RecNum&gt;&lt;DisplayText&gt;(1999)&lt;/DisplayText&gt;&lt;record&gt;&lt;rec-number&gt;371&lt;/rec-number&gt;&lt;foreign-keys&gt;&lt;key app="EN" db-id="20frpf5eyrpavaevz925sv9t29f5epa9pd2z"&gt;371&lt;/key&gt;&lt;/foreign-keys&gt;&lt;ref-type name="Case"&gt;7&lt;/ref-type&gt;&lt;contributors&gt;&lt;/contributors&gt;&lt;titles&gt;&lt;title&gt;Kumho Tire Company, Ltd. v. Carmichael&lt;/title&gt;&lt;/titles&gt;&lt;pages&gt;137&lt;/pages&gt;&lt;volume&gt;509&lt;/volume&gt;&lt;dates&gt;&lt;year&gt;1999&lt;/year&gt;&lt;/dates&gt;&lt;urls&gt;&lt;/urls&gt;&lt;/record&gt;&lt;/Cite&gt;&lt;/EndNote&gt;</w:instrText>
      </w:r>
      <w:r w:rsidR="003731B6">
        <w:rPr>
          <w:rFonts w:cs="Times New Roman"/>
          <w:szCs w:val="19"/>
        </w:rPr>
        <w:fldChar w:fldCharType="separate"/>
      </w:r>
      <w:r>
        <w:rPr>
          <w:rFonts w:cs="Times New Roman"/>
          <w:noProof/>
          <w:szCs w:val="19"/>
        </w:rPr>
        <w:t>(</w:t>
      </w:r>
      <w:hyperlink w:anchor="_ENREF_2" w:tooltip=", 1999 #371" w:history="1">
        <w:r w:rsidR="001633BC">
          <w:rPr>
            <w:rFonts w:cs="Times New Roman"/>
            <w:noProof/>
            <w:szCs w:val="19"/>
          </w:rPr>
          <w:t>1999</w:t>
        </w:r>
      </w:hyperlink>
      <w:r>
        <w:rPr>
          <w:rFonts w:cs="Times New Roman"/>
          <w:noProof/>
          <w:szCs w:val="19"/>
        </w:rPr>
        <w:t>)</w:t>
      </w:r>
      <w:r w:rsidR="003731B6">
        <w:rPr>
          <w:rFonts w:cs="Times New Roman"/>
          <w:szCs w:val="19"/>
        </w:rPr>
        <w:fldChar w:fldCharType="end"/>
      </w:r>
      <w:r w:rsidRPr="00593DA3">
        <w:t xml:space="preserve"> </w:t>
      </w:r>
      <w:r>
        <w:t xml:space="preserve">have significantly affected expert testimony and evidence admissibility in trials </w:t>
      </w:r>
      <w:r w:rsidR="003731B6">
        <w:fldChar w:fldCharType="begin"/>
      </w:r>
      <w:r>
        <w:instrText xml:space="preserve"> ADDIN EN.CITE &lt;EndNote&gt;&lt;Cite&gt;&lt;Author&gt;Christensen&lt;/Author&gt;&lt;Year&gt;2004&lt;/Year&gt;&lt;RecNum&gt;37&lt;/RecNum&gt;&lt;DisplayText&gt;(Christensen, 2004; Grivas and Komar, 2008)&lt;/DisplayText&gt;&lt;record&gt;&lt;rec-number&gt;37&lt;/rec-number&gt;&lt;foreign-keys&gt;&lt;key app="EN" db-id="20frpf5eyrpavaevz925sv9t29f5epa9pd2z"&gt;37&lt;/key&gt;&lt;/foreign-keys&gt;&lt;ref-type name="Journal Article"&gt;17&lt;/ref-type&gt;&lt;contributors&gt;&lt;authors&gt;&lt;author&gt;Christensen, Angi M.&lt;/author&gt;&lt;/authors&gt;&lt;/contributors&gt;&lt;titles&gt;&lt;title&gt;The impact of Daubert:  implications for testimony and research in forensic anthropology (and the use of frontal sinuses in person identification)&lt;/title&gt;&lt;secondary-title&gt;Journal of Forensic Sciences&lt;/secondary-title&gt;&lt;/titles&gt;&lt;periodical&gt;&lt;full-title&gt;Journal of Forensic Sciences&lt;/full-title&gt;&lt;/periodical&gt;&lt;pages&gt;1-4&lt;/pages&gt;&lt;volume&gt;49&lt;/volume&gt;&lt;number&gt;3&lt;/number&gt;&lt;dates&gt;&lt;year&gt;2004&lt;/year&gt;&lt;/dates&gt;&lt;urls&gt;&lt;/urls&gt;&lt;/record&gt;&lt;/Cite&gt;&lt;Cite&gt;&lt;Author&gt;Grivas&lt;/Author&gt;&lt;Year&gt;2008&lt;/Year&gt;&lt;RecNum&gt;78&lt;/RecNum&gt;&lt;record&gt;&lt;rec-number&gt;78&lt;/rec-number&gt;&lt;foreign-keys&gt;&lt;key app="EN" db-id="20frpf5eyrpavaevz925sv9t29f5epa9pd2z"&gt;78&lt;/key&gt;&lt;/foreign-keys&gt;&lt;ref-type name="Journal Article"&gt;17&lt;/ref-type&gt;&lt;contributors&gt;&lt;authors&gt;&lt;author&gt;Grivas, Christopher R.&lt;/author&gt;&lt;author&gt;Komar, Debra A.&lt;/author&gt;&lt;/authors&gt;&lt;/contributors&gt;&lt;titles&gt;&lt;title&gt;Kumho, Daubert, and the nature of scientific inquiry: implications for forensic anthropology&lt;/title&gt;&lt;secondary-title&gt;Journal of Forensic Sciences&lt;/secondary-title&gt;&lt;/titles&gt;&lt;periodical&gt;&lt;full-title&gt;Journal of Forensic Sciences&lt;/full-title&gt;&lt;/periodical&gt;&lt;pages&gt;771-776&lt;/pages&gt;&lt;volume&gt;53&lt;/volume&gt;&lt;number&gt;4&lt;/number&gt;&lt;dates&gt;&lt;year&gt;2008&lt;/year&gt;&lt;/dates&gt;&lt;urls&gt;&lt;/urls&gt;&lt;/record&gt;&lt;/Cite&gt;&lt;/EndNote&gt;</w:instrText>
      </w:r>
      <w:r w:rsidR="003731B6">
        <w:fldChar w:fldCharType="separate"/>
      </w:r>
      <w:r>
        <w:rPr>
          <w:noProof/>
        </w:rPr>
        <w:t>(</w:t>
      </w:r>
      <w:hyperlink w:anchor="_ENREF_10" w:tooltip="Christensen, 2004 #37" w:history="1">
        <w:r w:rsidR="001633BC">
          <w:rPr>
            <w:noProof/>
          </w:rPr>
          <w:t>Christensen, 2004</w:t>
        </w:r>
      </w:hyperlink>
      <w:r>
        <w:rPr>
          <w:noProof/>
        </w:rPr>
        <w:t xml:space="preserve">; </w:t>
      </w:r>
      <w:hyperlink w:anchor="_ENREF_21" w:tooltip="Grivas, 2008 #78" w:history="1">
        <w:r w:rsidR="001633BC">
          <w:rPr>
            <w:noProof/>
          </w:rPr>
          <w:t>Grivas and Komar, 2008</w:t>
        </w:r>
      </w:hyperlink>
      <w:r>
        <w:rPr>
          <w:noProof/>
        </w:rPr>
        <w:t>)</w:t>
      </w:r>
      <w:r w:rsidR="003731B6">
        <w:fldChar w:fldCharType="end"/>
      </w:r>
      <w:r>
        <w:t xml:space="preserve">.  </w:t>
      </w:r>
      <w:r w:rsidRPr="001B00D5">
        <w:rPr>
          <w:i/>
        </w:rPr>
        <w:t>Daubert</w:t>
      </w:r>
      <w:r>
        <w:rPr>
          <w:i/>
        </w:rPr>
        <w:t xml:space="preserve"> </w:t>
      </w:r>
      <w:r>
        <w:t xml:space="preserve">has received the most attention within forensic anthropology </w:t>
      </w:r>
      <w:r w:rsidR="003731B6">
        <w:fldChar w:fldCharType="begin"/>
      </w:r>
      <w:r>
        <w:instrText xml:space="preserve"> ADDIN EN.CITE &lt;EndNote&gt;&lt;Cite&gt;&lt;Author&gt;Grivas&lt;/Author&gt;&lt;Year&gt;2008&lt;/Year&gt;&lt;RecNum&gt;78&lt;/RecNum&gt;&lt;DisplayText&gt;(Grivas and Komar, 2008)&lt;/DisplayText&gt;&lt;record&gt;&lt;rec-number&gt;78&lt;/rec-number&gt;&lt;foreign-keys&gt;&lt;key app="EN" db-id="20frpf5eyrpavaevz925sv9t29f5epa9pd2z"&gt;78&lt;/key&gt;&lt;/foreign-keys&gt;&lt;ref-type name="Journal Article"&gt;17&lt;/ref-type&gt;&lt;contributors&gt;&lt;authors&gt;&lt;author&gt;Grivas, Christopher R.&lt;/author&gt;&lt;author&gt;Komar, Debra A.&lt;/author&gt;&lt;/authors&gt;&lt;/contributors&gt;&lt;titles&gt;&lt;title&gt;Kumho, Daubert, and the nature of scientific inquiry: implications for forensic anthropology&lt;/title&gt;&lt;secondary-title&gt;Journal of Forensic Sciences&lt;/secondary-title&gt;&lt;/titles&gt;&lt;periodical&gt;&lt;full-title&gt;Journal of Forensic Sciences&lt;/full-title&gt;&lt;/periodical&gt;&lt;pages&gt;771-776&lt;/pages&gt;&lt;volume&gt;53&lt;/volume&gt;&lt;number&gt;4&lt;/number&gt;&lt;dates&gt;&lt;year&gt;2008&lt;/year&gt;&lt;/dates&gt;&lt;urls&gt;&lt;/urls&gt;&lt;/record&gt;&lt;/Cite&gt;&lt;/EndNote&gt;</w:instrText>
      </w:r>
      <w:r w:rsidR="003731B6">
        <w:fldChar w:fldCharType="separate"/>
      </w:r>
      <w:r>
        <w:rPr>
          <w:noProof/>
        </w:rPr>
        <w:t>(</w:t>
      </w:r>
      <w:hyperlink w:anchor="_ENREF_21" w:tooltip="Grivas, 2008 #78" w:history="1">
        <w:r w:rsidR="001633BC">
          <w:rPr>
            <w:noProof/>
          </w:rPr>
          <w:t>Grivas and Komar, 2008</w:t>
        </w:r>
      </w:hyperlink>
      <w:r>
        <w:rPr>
          <w:noProof/>
        </w:rPr>
        <w:t>)</w:t>
      </w:r>
      <w:r w:rsidR="003731B6">
        <w:fldChar w:fldCharType="end"/>
      </w:r>
      <w:r>
        <w:t xml:space="preserve"> because it directly concerns scientific witness testimony.  It provides five guidelines by which testimony may be evaluated.  </w:t>
      </w:r>
      <w:r>
        <w:rPr>
          <w:i/>
        </w:rPr>
        <w:t>Daubert</w:t>
      </w:r>
      <w:r>
        <w:t xml:space="preserve"> states that the content of testimony must:  (1) be testable and have been tested through the scientific method; (2) have been subjected to the peer review process; (3) have established standards; (4) have a known or potential error rate; and (5) have widespread acceptance by the relevant scientific community </w:t>
      </w:r>
      <w:r w:rsidR="003731B6">
        <w:fldChar w:fldCharType="begin"/>
      </w:r>
      <w:r>
        <w:instrText xml:space="preserve"> ADDIN EN.CITE &lt;EndNote&gt;&lt;Cite&gt;&lt;Author&gt;Grivas&lt;/Author&gt;&lt;Year&gt;2008&lt;/Year&gt;&lt;RecNum&gt;78&lt;/RecNum&gt;&lt;DisplayText&gt;(Christensen, 2004; Grivas and Komar, 2008)&lt;/DisplayText&gt;&lt;record&gt;&lt;rec-number&gt;78&lt;/rec-number&gt;&lt;foreign-keys&gt;&lt;key app="EN" db-id="20frpf5eyrpavaevz925sv9t29f5epa9pd2z"&gt;78&lt;/key&gt;&lt;/foreign-keys&gt;&lt;ref-type name="Journal Article"&gt;17&lt;/ref-type&gt;&lt;contributors&gt;&lt;authors&gt;&lt;author&gt;Grivas, Christopher R.&lt;/author&gt;&lt;author&gt;Komar, Debra A.&lt;/author&gt;&lt;/authors&gt;&lt;/contributors&gt;&lt;titles&gt;&lt;title&gt;Kumho, Daubert, and the nature of scientific inquiry: implications for forensic anthropology&lt;/title&gt;&lt;secondary-title&gt;Journal of Forensic Sciences&lt;/secondary-title&gt;&lt;/titles&gt;&lt;periodical&gt;&lt;full-title&gt;Journal of Forensic Sciences&lt;/full-title&gt;&lt;/periodical&gt;&lt;pages&gt;771-776&lt;/pages&gt;&lt;volume&gt;53&lt;/volume&gt;&lt;number&gt;4&lt;/number&gt;&lt;dates&gt;&lt;year&gt;2008&lt;/year&gt;&lt;/dates&gt;&lt;urls&gt;&lt;/urls&gt;&lt;/record&gt;&lt;/Cite&gt;&lt;Cite&gt;&lt;Author&gt;Christensen&lt;/Author&gt;&lt;Year&gt;2004&lt;/Year&gt;&lt;RecNum&gt;37&lt;/RecNum&gt;&lt;record&gt;&lt;rec-number&gt;37&lt;/rec-number&gt;&lt;foreign-keys&gt;&lt;key app="EN" db-id="20frpf5eyrpavaevz925sv9t29f5epa9pd2z"&gt;37&lt;/key&gt;&lt;/foreign-keys&gt;&lt;ref-type name="Journal Article"&gt;17&lt;/ref-type&gt;&lt;contributors&gt;&lt;authors&gt;&lt;author&gt;Christensen, Angi M.&lt;/author&gt;&lt;/authors&gt;&lt;/contributors&gt;&lt;titles&gt;&lt;title&gt;The impact of Daubert:  implications for testimony and research in forensic anthropology (and the use of frontal sinuses in person identification)&lt;/title&gt;&lt;secondary-title&gt;Journal of Forensic Sciences&lt;/secondary-title&gt;&lt;/titles&gt;&lt;periodical&gt;&lt;full-title&gt;Journal of Forensic Sciences&lt;/full-title&gt;&lt;/periodical&gt;&lt;pages&gt;1-4&lt;/pages&gt;&lt;volume&gt;49&lt;/volume&gt;&lt;number&gt;3&lt;/number&gt;&lt;dates&gt;&lt;year&gt;2004&lt;/year&gt;&lt;/dates&gt;&lt;urls&gt;&lt;/urls&gt;&lt;/record&gt;&lt;/Cite&gt;&lt;/EndNote&gt;</w:instrText>
      </w:r>
      <w:r w:rsidR="003731B6">
        <w:fldChar w:fldCharType="separate"/>
      </w:r>
      <w:r>
        <w:rPr>
          <w:noProof/>
        </w:rPr>
        <w:t>(</w:t>
      </w:r>
      <w:hyperlink w:anchor="_ENREF_10" w:tooltip="Christensen, 2004 #37" w:history="1">
        <w:r w:rsidR="001633BC">
          <w:rPr>
            <w:noProof/>
          </w:rPr>
          <w:t>Christensen, 2004</w:t>
        </w:r>
      </w:hyperlink>
      <w:r>
        <w:rPr>
          <w:noProof/>
        </w:rPr>
        <w:t xml:space="preserve">; </w:t>
      </w:r>
      <w:hyperlink w:anchor="_ENREF_21" w:tooltip="Grivas, 2008 #78" w:history="1">
        <w:r w:rsidR="001633BC">
          <w:rPr>
            <w:noProof/>
          </w:rPr>
          <w:t>Grivas and Komar, 2008</w:t>
        </w:r>
      </w:hyperlink>
      <w:r>
        <w:rPr>
          <w:noProof/>
        </w:rPr>
        <w:t>)</w:t>
      </w:r>
      <w:r w:rsidR="003731B6">
        <w:fldChar w:fldCharType="end"/>
      </w:r>
      <w:r>
        <w:t xml:space="preserve">.  </w:t>
      </w:r>
      <w:r w:rsidR="00EF328C">
        <w:t xml:space="preserve">Thus, the application of valid and interpretable statistics is necessary for forensic anthropologists to adhere to the </w:t>
      </w:r>
      <w:r w:rsidR="00EF328C">
        <w:rPr>
          <w:i/>
        </w:rPr>
        <w:t>Daubert</w:t>
      </w:r>
      <w:r w:rsidR="00EF328C">
        <w:t xml:space="preserve"> guidelines.</w:t>
      </w:r>
    </w:p>
    <w:p w:rsidR="006F1E7B" w:rsidRDefault="006F1E7B" w:rsidP="00844D4E"/>
    <w:p w:rsidR="006F1E7B" w:rsidRDefault="006F1E7B" w:rsidP="00844D4E"/>
    <w:p w:rsidR="006F1E7B" w:rsidRDefault="006F1E7B" w:rsidP="00844D4E"/>
    <w:p w:rsidR="006F1E7B" w:rsidRDefault="006F1E7B" w:rsidP="00844D4E"/>
    <w:p w:rsidR="006F1E7B" w:rsidRDefault="006F1E7B" w:rsidP="00844D4E"/>
    <w:p w:rsidR="006F1E7B" w:rsidRDefault="006F1E7B" w:rsidP="00844D4E"/>
    <w:p w:rsidR="006F1E7B" w:rsidRDefault="006F1E7B" w:rsidP="00844D4E"/>
    <w:p w:rsidR="006F1E7B" w:rsidRDefault="006F1E7B" w:rsidP="00844D4E"/>
    <w:p w:rsidR="006F1E7B" w:rsidRDefault="006F1E7B" w:rsidP="00844D4E"/>
    <w:p w:rsidR="008F59A3" w:rsidRDefault="008F59A3" w:rsidP="00844D4E"/>
    <w:p w:rsidR="008F59A3" w:rsidRDefault="008F59A3" w:rsidP="00844D4E"/>
    <w:p w:rsidR="008F59A3" w:rsidRDefault="008F59A3" w:rsidP="00844D4E"/>
    <w:p w:rsidR="008F59A3" w:rsidRDefault="008F59A3" w:rsidP="00844D4E"/>
    <w:p w:rsidR="00844D4E" w:rsidRPr="00844D4E" w:rsidRDefault="00844D4E" w:rsidP="00844D4E"/>
    <w:p w:rsidR="000F6960" w:rsidRPr="000F6960" w:rsidRDefault="0024354B" w:rsidP="006D5165">
      <w:pPr>
        <w:pStyle w:val="Heading1"/>
      </w:pPr>
      <w:bookmarkStart w:id="22" w:name="_Toc222419112"/>
      <w:bookmarkStart w:id="23" w:name="_Toc227982483"/>
      <w:r>
        <w:t>CHAPTER II</w:t>
      </w:r>
      <w:r w:rsidR="000F6960">
        <w:br/>
        <w:t>MATERIALS AND METHODS</w:t>
      </w:r>
      <w:bookmarkEnd w:id="22"/>
      <w:bookmarkEnd w:id="23"/>
    </w:p>
    <w:p w:rsidR="00416E6C" w:rsidRPr="000F6960" w:rsidRDefault="00416E6C" w:rsidP="006D5165">
      <w:pPr>
        <w:pStyle w:val="Heading2"/>
      </w:pPr>
      <w:bookmarkStart w:id="24" w:name="_Toc222419113"/>
      <w:bookmarkStart w:id="25" w:name="_Toc227982484"/>
      <w:r>
        <w:t>Materials</w:t>
      </w:r>
      <w:bookmarkEnd w:id="24"/>
      <w:bookmarkEnd w:id="25"/>
    </w:p>
    <w:p w:rsidR="00A276E6" w:rsidRPr="0068344B" w:rsidRDefault="001E44E2" w:rsidP="008F59A3">
      <w:pPr>
        <w:ind w:firstLine="720"/>
      </w:pPr>
      <w:r>
        <w:t>The data are comprised</w:t>
      </w:r>
      <w:r w:rsidR="002E689D">
        <w:t xml:space="preserve"> of White, Black, and Hispanic males and females from the Forensic Data Bank</w:t>
      </w:r>
      <w:r w:rsidR="00C63870">
        <w:t xml:space="preserve"> (FDB)</w:t>
      </w:r>
      <w:r w:rsidR="002E689D">
        <w:t xml:space="preserve"> with observations on the 24 original caraniometric variables used in FORDISC (Ousley and Jantz, 2005) and outlined in “Data Collection Procedures for Forensic Skeletal Matrial” </w:t>
      </w:r>
      <w:r w:rsidR="003731B6">
        <w:fldChar w:fldCharType="begin"/>
      </w:r>
      <w:r w:rsidR="00EB0C79">
        <w:instrText xml:space="preserve"> ADDIN EN.CITE &lt;EndNote&gt;&lt;Cite&gt;&lt;Author&gt;Moore-Jansen&lt;/Author&gt;&lt;Year&gt;1994&lt;/Year&gt;&lt;RecNum&gt;95&lt;/RecNum&gt;&lt;DisplayText&gt;(Moore-Jansen&lt;style face="italic"&gt; et al.&lt;/style&gt;, 1994)&lt;/DisplayText&gt;&lt;record&gt;&lt;rec-number&gt;95&lt;/rec-number&gt;&lt;foreign-keys&gt;&lt;key app="EN" db-id="20frpf5eyrpavaevz925sv9t29f5epa9pd2z"&gt;95&lt;/key&gt;&lt;/foreign-keys&gt;&lt;ref-type name="Book"&gt;6&lt;/ref-type&gt;&lt;contributors&gt;&lt;authors&gt;&lt;author&gt;Moore-Jansen, Peer H.&lt;/author&gt;&lt;author&gt;Ousley, Stephen D.&lt;/author&gt;&lt;author&gt;Jantz, Richard L.&lt;/author&gt;&lt;/authors&gt;&lt;/contributors&gt;&lt;titles&gt;&lt;title&gt;Data Collection Procedures for Forensic Skeletal Material&lt;/title&gt;&lt;/titles&gt;&lt;edition&gt;3rd&lt;/edition&gt;&lt;dates&gt;&lt;year&gt;1994&lt;/year&gt;&lt;/dates&gt;&lt;pub-location&gt;Knoxville, TN&lt;/pub-location&gt;&lt;publisher&gt;The University of Tennessee Forensic Anthropology Series&lt;/publisher&gt;&lt;urls&gt;&lt;/urls&gt;&lt;/record&gt;&lt;/Cite&gt;&lt;/EndNote&gt;</w:instrText>
      </w:r>
      <w:r w:rsidR="003731B6">
        <w:fldChar w:fldCharType="separate"/>
      </w:r>
      <w:r w:rsidR="00EB0C79">
        <w:rPr>
          <w:noProof/>
        </w:rPr>
        <w:t>(</w:t>
      </w:r>
      <w:hyperlink w:anchor="_ENREF_40" w:tooltip="Moore-Jansen, 1994 #95" w:history="1">
        <w:r w:rsidR="001633BC">
          <w:rPr>
            <w:noProof/>
          </w:rPr>
          <w:t>Moore-Jansen</w:t>
        </w:r>
        <w:r w:rsidR="001633BC" w:rsidRPr="00EB0C79">
          <w:rPr>
            <w:i/>
            <w:noProof/>
          </w:rPr>
          <w:t xml:space="preserve"> et al.</w:t>
        </w:r>
        <w:r w:rsidR="001633BC">
          <w:rPr>
            <w:noProof/>
          </w:rPr>
          <w:t>, 1994</w:t>
        </w:r>
      </w:hyperlink>
      <w:r w:rsidR="00EB0C79">
        <w:rPr>
          <w:noProof/>
        </w:rPr>
        <w:t>)</w:t>
      </w:r>
      <w:r w:rsidR="003731B6">
        <w:fldChar w:fldCharType="end"/>
      </w:r>
      <w:r w:rsidR="002E689D">
        <w:t>.  The</w:t>
      </w:r>
      <w:r w:rsidR="00EE089C">
        <w:t xml:space="preserve"> dataset has a</w:t>
      </w:r>
      <w:r w:rsidR="002E689D">
        <w:t xml:space="preserve"> total of 3020 observations</w:t>
      </w:r>
      <w:r w:rsidR="00C63870">
        <w:t xml:space="preserve"> consisting of</w:t>
      </w:r>
      <w:r w:rsidR="00136A4D">
        <w:t xml:space="preserve"> 1925 males, 1093 females,</w:t>
      </w:r>
      <w:r w:rsidR="00273847">
        <w:t xml:space="preserve"> and</w:t>
      </w:r>
      <w:r w:rsidR="00136A4D">
        <w:t xml:space="preserve"> 2 individuals missing observations for sex</w:t>
      </w:r>
      <w:r w:rsidR="00EE089C">
        <w:t xml:space="preserve"> (all of the available FDB data for American Whites, American Blacks, and Hispanics at the time)</w:t>
      </w:r>
      <w:r w:rsidR="00273847">
        <w:t>.  There are</w:t>
      </w:r>
      <w:r w:rsidR="00136A4D">
        <w:t xml:space="preserve"> 1939</w:t>
      </w:r>
      <w:r w:rsidR="00273847">
        <w:t xml:space="preserve"> </w:t>
      </w:r>
      <w:r w:rsidR="00432FCE">
        <w:t xml:space="preserve">American </w:t>
      </w:r>
      <w:r w:rsidR="00136A4D">
        <w:t>Whites (1200 males, 739 females), 610</w:t>
      </w:r>
      <w:r w:rsidR="00273847">
        <w:t xml:space="preserve"> </w:t>
      </w:r>
      <w:r w:rsidR="00432FCE">
        <w:t xml:space="preserve">American </w:t>
      </w:r>
      <w:r w:rsidR="00136A4D">
        <w:t>Blacks (362 males, 248 females), and 469 Hispanics (363 males, 106 females).</w:t>
      </w:r>
      <w:r w:rsidR="00BE60DF">
        <w:t xml:space="preserve">  Finally, there are 2283 positively identified individuals, 183</w:t>
      </w:r>
      <w:r w:rsidR="00710E90">
        <w:t xml:space="preserve"> presumptive identifications, 499 </w:t>
      </w:r>
      <w:r w:rsidR="00A139A1">
        <w:t>unidentified individuals,</w:t>
      </w:r>
      <w:r w:rsidR="00710E90">
        <w:t xml:space="preserve"> and 55 observations</w:t>
      </w:r>
      <w:r w:rsidR="0004372E">
        <w:t xml:space="preserve"> missing values</w:t>
      </w:r>
      <w:r w:rsidR="00710E90">
        <w:t xml:space="preserve"> for ID Status.</w:t>
      </w:r>
      <w:r w:rsidR="008C7391">
        <w:t xml:space="preserve">  Tables</w:t>
      </w:r>
      <w:r w:rsidR="00850D85">
        <w:t xml:space="preserve"> 1 to 3</w:t>
      </w:r>
      <w:r w:rsidR="00AA09AA">
        <w:t xml:space="preserve"> </w:t>
      </w:r>
      <w:r w:rsidR="008C7391">
        <w:t>display this information.</w:t>
      </w:r>
    </w:p>
    <w:p w:rsidR="00EB6D7B" w:rsidRPr="0024354B" w:rsidRDefault="00EB6D7B" w:rsidP="00EB6D7B">
      <w:pPr>
        <w:pStyle w:val="Caption"/>
        <w:keepNext/>
      </w:pPr>
      <w:bookmarkStart w:id="26" w:name="_Toc227982509"/>
      <w:proofErr w:type="gramStart"/>
      <w:r w:rsidRPr="0024354B">
        <w:t xml:space="preserve">Table </w:t>
      </w:r>
      <w:r w:rsidR="003731B6" w:rsidRPr="0024354B">
        <w:fldChar w:fldCharType="begin"/>
      </w:r>
      <w:r w:rsidR="00552934" w:rsidRPr="0024354B">
        <w:instrText xml:space="preserve"> SEQ Table \* ARABIC </w:instrText>
      </w:r>
      <w:r w:rsidR="003731B6" w:rsidRPr="0024354B">
        <w:fldChar w:fldCharType="separate"/>
      </w:r>
      <w:r w:rsidR="001633BC" w:rsidRPr="0024354B">
        <w:rPr>
          <w:noProof/>
        </w:rPr>
        <w:t>1</w:t>
      </w:r>
      <w:r w:rsidR="003731B6" w:rsidRPr="0024354B">
        <w:rPr>
          <w:noProof/>
        </w:rPr>
        <w:fldChar w:fldCharType="end"/>
      </w:r>
      <w:r w:rsidRPr="0024354B">
        <w:t>.</w:t>
      </w:r>
      <w:proofErr w:type="gramEnd"/>
      <w:r w:rsidRPr="0024354B">
        <w:t xml:space="preserve">  </w:t>
      </w:r>
      <w:proofErr w:type="gramStart"/>
      <w:r w:rsidRPr="0024354B">
        <w:t>Sex, ID Status, and Race samples and missing values</w:t>
      </w:r>
      <w:r w:rsidR="000F6960" w:rsidRPr="0024354B">
        <w:t>.</w:t>
      </w:r>
      <w:bookmarkEnd w:id="26"/>
      <w:proofErr w:type="gramEnd"/>
    </w:p>
    <w:tbl>
      <w:tblPr>
        <w:tblW w:w="32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43"/>
        <w:gridCol w:w="658"/>
        <w:gridCol w:w="642"/>
        <w:gridCol w:w="688"/>
        <w:gridCol w:w="642"/>
      </w:tblGrid>
      <w:tr w:rsidR="00A276E6" w:rsidRPr="00A276E6">
        <w:trPr>
          <w:cantSplit/>
        </w:trPr>
        <w:tc>
          <w:tcPr>
            <w:tcW w:w="3273" w:type="dxa"/>
            <w:gridSpan w:val="5"/>
            <w:tcBorders>
              <w:top w:val="nil"/>
              <w:left w:val="nil"/>
              <w:bottom w:val="nil"/>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b/>
                <w:bCs/>
                <w:color w:val="000000"/>
                <w:sz w:val="14"/>
                <w:szCs w:val="14"/>
              </w:rPr>
              <w:t>Statistics</w:t>
            </w:r>
          </w:p>
        </w:tc>
      </w:tr>
      <w:tr w:rsidR="00A276E6" w:rsidRPr="00A276E6">
        <w:trPr>
          <w:cantSplit/>
        </w:trPr>
        <w:tc>
          <w:tcPr>
            <w:tcW w:w="1301" w:type="dxa"/>
            <w:gridSpan w:val="2"/>
            <w:tcBorders>
              <w:top w:val="double" w:sz="8" w:space="0" w:color="000000"/>
              <w:left w:val="nil"/>
              <w:bottom w:val="single" w:sz="16" w:space="0" w:color="000000"/>
              <w:right w:val="nil"/>
            </w:tcBorders>
            <w:shd w:val="clear" w:color="auto" w:fill="FFFFFF"/>
          </w:tcPr>
          <w:p w:rsidR="00A276E6" w:rsidRPr="00A276E6" w:rsidRDefault="00A276E6" w:rsidP="00A276E6">
            <w:pPr>
              <w:autoSpaceDE w:val="0"/>
              <w:autoSpaceDN w:val="0"/>
              <w:adjustRightInd w:val="0"/>
              <w:spacing w:after="0" w:line="240" w:lineRule="auto"/>
              <w:rPr>
                <w:rFonts w:cs="Times New Roman"/>
                <w:szCs w:val="24"/>
              </w:rPr>
            </w:pPr>
          </w:p>
        </w:tc>
        <w:tc>
          <w:tcPr>
            <w:tcW w:w="642" w:type="dxa"/>
            <w:tcBorders>
              <w:top w:val="double" w:sz="8" w:space="0" w:color="000000"/>
              <w:left w:val="nil"/>
              <w:bottom w:val="single" w:sz="16" w:space="0" w:color="000000"/>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color w:val="000000"/>
                <w:sz w:val="14"/>
                <w:szCs w:val="14"/>
              </w:rPr>
              <w:t>Sex</w:t>
            </w:r>
          </w:p>
        </w:tc>
        <w:tc>
          <w:tcPr>
            <w:tcW w:w="688" w:type="dxa"/>
            <w:tcBorders>
              <w:top w:val="double" w:sz="8" w:space="0" w:color="000000"/>
              <w:left w:val="nil"/>
              <w:bottom w:val="single" w:sz="16" w:space="0" w:color="000000"/>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color w:val="000000"/>
                <w:sz w:val="14"/>
                <w:szCs w:val="14"/>
              </w:rPr>
              <w:t>IDStatus</w:t>
            </w:r>
          </w:p>
        </w:tc>
        <w:tc>
          <w:tcPr>
            <w:tcW w:w="642" w:type="dxa"/>
            <w:tcBorders>
              <w:top w:val="double" w:sz="8" w:space="0" w:color="000000"/>
              <w:left w:val="nil"/>
              <w:bottom w:val="single" w:sz="16" w:space="0" w:color="000000"/>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color w:val="000000"/>
                <w:sz w:val="14"/>
                <w:szCs w:val="14"/>
              </w:rPr>
              <w:t>Race</w:t>
            </w:r>
          </w:p>
        </w:tc>
      </w:tr>
      <w:tr w:rsidR="001B5588" w:rsidRPr="00A276E6">
        <w:trPr>
          <w:cantSplit/>
        </w:trPr>
        <w:tc>
          <w:tcPr>
            <w:tcW w:w="1301" w:type="dxa"/>
            <w:gridSpan w:val="2"/>
            <w:tcBorders>
              <w:top w:val="double" w:sz="8" w:space="0" w:color="000000"/>
              <w:left w:val="nil"/>
              <w:bottom w:val="single" w:sz="16" w:space="0" w:color="000000"/>
              <w:right w:val="nil"/>
            </w:tcBorders>
            <w:shd w:val="clear" w:color="auto" w:fill="FFFFFF"/>
          </w:tcPr>
          <w:p w:rsidR="001B5588" w:rsidRPr="00A276E6" w:rsidRDefault="001B5588" w:rsidP="00A276E6">
            <w:pPr>
              <w:autoSpaceDE w:val="0"/>
              <w:autoSpaceDN w:val="0"/>
              <w:adjustRightInd w:val="0"/>
              <w:spacing w:after="0" w:line="240" w:lineRule="auto"/>
              <w:rPr>
                <w:rFonts w:cs="Times New Roman"/>
                <w:szCs w:val="24"/>
              </w:rPr>
            </w:pPr>
          </w:p>
        </w:tc>
        <w:tc>
          <w:tcPr>
            <w:tcW w:w="642" w:type="dxa"/>
            <w:tcBorders>
              <w:top w:val="double" w:sz="8" w:space="0" w:color="000000"/>
              <w:left w:val="nil"/>
              <w:bottom w:val="single" w:sz="16" w:space="0" w:color="000000"/>
              <w:right w:val="nil"/>
            </w:tcBorders>
            <w:shd w:val="clear" w:color="auto" w:fill="FFFFFF"/>
          </w:tcPr>
          <w:p w:rsidR="001B5588" w:rsidRPr="00A276E6" w:rsidRDefault="001B5588" w:rsidP="00A276E6">
            <w:pPr>
              <w:autoSpaceDE w:val="0"/>
              <w:autoSpaceDN w:val="0"/>
              <w:adjustRightInd w:val="0"/>
              <w:spacing w:after="0" w:line="240" w:lineRule="auto"/>
              <w:ind w:left="60" w:right="60"/>
              <w:jc w:val="center"/>
              <w:rPr>
                <w:rFonts w:cs="Times New Roman"/>
                <w:color w:val="000000"/>
                <w:sz w:val="14"/>
                <w:szCs w:val="14"/>
              </w:rPr>
            </w:pPr>
          </w:p>
        </w:tc>
        <w:tc>
          <w:tcPr>
            <w:tcW w:w="688" w:type="dxa"/>
            <w:tcBorders>
              <w:top w:val="double" w:sz="8" w:space="0" w:color="000000"/>
              <w:left w:val="nil"/>
              <w:bottom w:val="single" w:sz="16" w:space="0" w:color="000000"/>
              <w:right w:val="nil"/>
            </w:tcBorders>
            <w:shd w:val="clear" w:color="auto" w:fill="FFFFFF"/>
          </w:tcPr>
          <w:p w:rsidR="001B5588" w:rsidRPr="00A276E6" w:rsidRDefault="001B5588" w:rsidP="00A276E6">
            <w:pPr>
              <w:autoSpaceDE w:val="0"/>
              <w:autoSpaceDN w:val="0"/>
              <w:adjustRightInd w:val="0"/>
              <w:spacing w:after="0" w:line="240" w:lineRule="auto"/>
              <w:ind w:left="60" w:right="60"/>
              <w:jc w:val="center"/>
              <w:rPr>
                <w:rFonts w:cs="Times New Roman"/>
                <w:color w:val="000000"/>
                <w:sz w:val="14"/>
                <w:szCs w:val="14"/>
              </w:rPr>
            </w:pPr>
          </w:p>
        </w:tc>
        <w:tc>
          <w:tcPr>
            <w:tcW w:w="642" w:type="dxa"/>
            <w:tcBorders>
              <w:top w:val="double" w:sz="8" w:space="0" w:color="000000"/>
              <w:left w:val="nil"/>
              <w:bottom w:val="single" w:sz="16" w:space="0" w:color="000000"/>
              <w:right w:val="nil"/>
            </w:tcBorders>
            <w:shd w:val="clear" w:color="auto" w:fill="FFFFFF"/>
          </w:tcPr>
          <w:p w:rsidR="001B5588" w:rsidRPr="00A276E6" w:rsidRDefault="001B5588" w:rsidP="00A276E6">
            <w:pPr>
              <w:autoSpaceDE w:val="0"/>
              <w:autoSpaceDN w:val="0"/>
              <w:adjustRightInd w:val="0"/>
              <w:spacing w:after="0" w:line="240" w:lineRule="auto"/>
              <w:ind w:left="60" w:right="60"/>
              <w:jc w:val="center"/>
              <w:rPr>
                <w:rFonts w:cs="Times New Roman"/>
                <w:color w:val="000000"/>
                <w:sz w:val="14"/>
                <w:szCs w:val="14"/>
              </w:rPr>
            </w:pPr>
          </w:p>
        </w:tc>
      </w:tr>
      <w:tr w:rsidR="00A276E6" w:rsidRPr="00A276E6">
        <w:trPr>
          <w:cantSplit/>
        </w:trPr>
        <w:tc>
          <w:tcPr>
            <w:tcW w:w="643" w:type="dxa"/>
            <w:vMerge w:val="restart"/>
            <w:tcBorders>
              <w:top w:val="single" w:sz="16" w:space="0" w:color="000000"/>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rPr>
                <w:rFonts w:cs="Times New Roman"/>
                <w:color w:val="000000"/>
                <w:sz w:val="14"/>
                <w:szCs w:val="14"/>
              </w:rPr>
            </w:pPr>
            <w:r w:rsidRPr="00A276E6">
              <w:rPr>
                <w:rFonts w:cs="Times New Roman"/>
                <w:color w:val="000000"/>
                <w:sz w:val="14"/>
                <w:szCs w:val="14"/>
              </w:rPr>
              <w:t>N</w:t>
            </w:r>
          </w:p>
        </w:tc>
        <w:tc>
          <w:tcPr>
            <w:tcW w:w="658" w:type="dxa"/>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rPr>
                <w:rFonts w:cs="Times New Roman"/>
                <w:color w:val="000000"/>
                <w:sz w:val="14"/>
                <w:szCs w:val="14"/>
              </w:rPr>
            </w:pPr>
            <w:r w:rsidRPr="00A276E6">
              <w:rPr>
                <w:rFonts w:cs="Times New Roman"/>
                <w:color w:val="000000"/>
                <w:sz w:val="14"/>
                <w:szCs w:val="14"/>
              </w:rPr>
              <w:t>Valid</w:t>
            </w:r>
          </w:p>
        </w:tc>
        <w:tc>
          <w:tcPr>
            <w:tcW w:w="642" w:type="dxa"/>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3018</w:t>
            </w:r>
          </w:p>
        </w:tc>
        <w:tc>
          <w:tcPr>
            <w:tcW w:w="688" w:type="dxa"/>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2965</w:t>
            </w:r>
          </w:p>
        </w:tc>
        <w:tc>
          <w:tcPr>
            <w:tcW w:w="642" w:type="dxa"/>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3020</w:t>
            </w:r>
          </w:p>
        </w:tc>
      </w:tr>
      <w:tr w:rsidR="00A276E6" w:rsidRPr="00A276E6">
        <w:trPr>
          <w:cantSplit/>
        </w:trPr>
        <w:tc>
          <w:tcPr>
            <w:tcW w:w="643" w:type="dxa"/>
            <w:vMerge/>
            <w:tcBorders>
              <w:top w:val="single" w:sz="16" w:space="0" w:color="000000"/>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rPr>
                <w:rFonts w:cs="Times New Roman"/>
                <w:color w:val="000000"/>
                <w:sz w:val="14"/>
                <w:szCs w:val="14"/>
              </w:rPr>
            </w:pPr>
          </w:p>
        </w:tc>
        <w:tc>
          <w:tcPr>
            <w:tcW w:w="658" w:type="dxa"/>
            <w:tcBorders>
              <w:top w:val="nil"/>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rPr>
                <w:rFonts w:cs="Times New Roman"/>
                <w:color w:val="000000"/>
                <w:sz w:val="14"/>
                <w:szCs w:val="14"/>
              </w:rPr>
            </w:pPr>
            <w:r w:rsidRPr="00A276E6">
              <w:rPr>
                <w:rFonts w:cs="Times New Roman"/>
                <w:color w:val="000000"/>
                <w:sz w:val="14"/>
                <w:szCs w:val="14"/>
              </w:rPr>
              <w:t>Missing</w:t>
            </w:r>
          </w:p>
        </w:tc>
        <w:tc>
          <w:tcPr>
            <w:tcW w:w="642" w:type="dxa"/>
            <w:tcBorders>
              <w:top w:val="nil"/>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2</w:t>
            </w:r>
          </w:p>
        </w:tc>
        <w:tc>
          <w:tcPr>
            <w:tcW w:w="688" w:type="dxa"/>
            <w:tcBorders>
              <w:top w:val="nil"/>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55</w:t>
            </w:r>
          </w:p>
        </w:tc>
        <w:tc>
          <w:tcPr>
            <w:tcW w:w="642" w:type="dxa"/>
            <w:tcBorders>
              <w:top w:val="nil"/>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0</w:t>
            </w:r>
          </w:p>
        </w:tc>
      </w:tr>
    </w:tbl>
    <w:p w:rsidR="00023CBC" w:rsidRDefault="00023CBC" w:rsidP="00D807AC">
      <w:pPr>
        <w:autoSpaceDE w:val="0"/>
        <w:autoSpaceDN w:val="0"/>
        <w:adjustRightInd w:val="0"/>
        <w:spacing w:after="0" w:line="240" w:lineRule="auto"/>
        <w:rPr>
          <w:rFonts w:cs="Times New Roman"/>
          <w:szCs w:val="24"/>
        </w:rPr>
      </w:pPr>
    </w:p>
    <w:p w:rsidR="00D807AC" w:rsidRPr="00D807AC" w:rsidRDefault="00D807AC" w:rsidP="00D807AC">
      <w:pPr>
        <w:autoSpaceDE w:val="0"/>
        <w:autoSpaceDN w:val="0"/>
        <w:adjustRightInd w:val="0"/>
        <w:spacing w:after="0" w:line="240" w:lineRule="auto"/>
        <w:rPr>
          <w:rFonts w:cs="Times New Roman"/>
          <w:szCs w:val="24"/>
        </w:rPr>
      </w:pPr>
    </w:p>
    <w:p w:rsidR="00EB6D7B" w:rsidRPr="0024354B" w:rsidRDefault="00EB6D7B" w:rsidP="0024354B">
      <w:pPr>
        <w:rPr>
          <w:sz w:val="20"/>
        </w:rPr>
      </w:pPr>
      <w:bookmarkStart w:id="27" w:name="_Toc227982510"/>
      <w:proofErr w:type="gramStart"/>
      <w:r w:rsidRPr="0024354B">
        <w:rPr>
          <w:sz w:val="20"/>
        </w:rPr>
        <w:t xml:space="preserve">Table </w:t>
      </w:r>
      <w:r w:rsidR="003731B6" w:rsidRPr="0024354B">
        <w:rPr>
          <w:sz w:val="20"/>
        </w:rPr>
        <w:fldChar w:fldCharType="begin"/>
      </w:r>
      <w:r w:rsidR="00552934" w:rsidRPr="0024354B">
        <w:rPr>
          <w:sz w:val="20"/>
        </w:rPr>
        <w:instrText xml:space="preserve"> SEQ Table \* ARABIC </w:instrText>
      </w:r>
      <w:r w:rsidR="003731B6" w:rsidRPr="0024354B">
        <w:rPr>
          <w:sz w:val="20"/>
        </w:rPr>
        <w:fldChar w:fldCharType="separate"/>
      </w:r>
      <w:r w:rsidR="001633BC" w:rsidRPr="0024354B">
        <w:rPr>
          <w:noProof/>
          <w:sz w:val="20"/>
        </w:rPr>
        <w:t>2</w:t>
      </w:r>
      <w:r w:rsidR="003731B6" w:rsidRPr="0024354B">
        <w:rPr>
          <w:noProof/>
          <w:sz w:val="20"/>
        </w:rPr>
        <w:fldChar w:fldCharType="end"/>
      </w:r>
      <w:r w:rsidRPr="0024354B">
        <w:rPr>
          <w:sz w:val="20"/>
        </w:rPr>
        <w:t>.</w:t>
      </w:r>
      <w:proofErr w:type="gramEnd"/>
      <w:r w:rsidRPr="0024354B">
        <w:rPr>
          <w:sz w:val="20"/>
        </w:rPr>
        <w:t xml:space="preserve">  Group samples</w:t>
      </w:r>
      <w:r w:rsidR="000F6960" w:rsidRPr="0024354B">
        <w:rPr>
          <w:sz w:val="20"/>
        </w:rPr>
        <w:t>.</w:t>
      </w:r>
      <w:bookmarkEnd w:id="27"/>
    </w:p>
    <w:tbl>
      <w:tblPr>
        <w:tblW w:w="3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43"/>
        <w:gridCol w:w="643"/>
        <w:gridCol w:w="642"/>
        <w:gridCol w:w="642"/>
        <w:gridCol w:w="688"/>
        <w:gridCol w:w="642"/>
      </w:tblGrid>
      <w:tr w:rsidR="00D807AC" w:rsidRPr="00D807AC">
        <w:trPr>
          <w:cantSplit/>
        </w:trPr>
        <w:tc>
          <w:tcPr>
            <w:tcW w:w="3900" w:type="dxa"/>
            <w:gridSpan w:val="6"/>
            <w:tcBorders>
              <w:top w:val="nil"/>
              <w:left w:val="nil"/>
              <w:bottom w:val="nil"/>
              <w:right w:val="nil"/>
            </w:tcBorders>
            <w:shd w:val="clear" w:color="auto" w:fill="FFFFFF"/>
          </w:tcPr>
          <w:p w:rsidR="00D807AC" w:rsidRPr="00D807AC" w:rsidRDefault="00D807AC" w:rsidP="00D807AC">
            <w:pPr>
              <w:autoSpaceDE w:val="0"/>
              <w:autoSpaceDN w:val="0"/>
              <w:adjustRightInd w:val="0"/>
              <w:spacing w:after="0" w:line="240" w:lineRule="auto"/>
              <w:ind w:left="60" w:right="60"/>
              <w:jc w:val="center"/>
              <w:rPr>
                <w:rFonts w:cs="Times New Roman"/>
                <w:color w:val="000000"/>
                <w:sz w:val="14"/>
                <w:szCs w:val="14"/>
              </w:rPr>
            </w:pPr>
            <w:r w:rsidRPr="00D807AC">
              <w:rPr>
                <w:rFonts w:cs="Times New Roman"/>
                <w:b/>
                <w:bCs/>
                <w:color w:val="000000"/>
                <w:sz w:val="14"/>
                <w:szCs w:val="14"/>
              </w:rPr>
              <w:t>Sex * Race Crosstabulation</w:t>
            </w:r>
          </w:p>
        </w:tc>
      </w:tr>
      <w:tr w:rsidR="00D807AC" w:rsidRPr="00D807AC">
        <w:trPr>
          <w:cantSplit/>
        </w:trPr>
        <w:tc>
          <w:tcPr>
            <w:tcW w:w="3900" w:type="dxa"/>
            <w:gridSpan w:val="6"/>
            <w:tcBorders>
              <w:top w:val="nil"/>
              <w:left w:val="nil"/>
              <w:bottom w:val="nil"/>
              <w:right w:val="nil"/>
            </w:tcBorders>
            <w:shd w:val="clear" w:color="auto" w:fill="FFFFFF"/>
            <w:vAlign w:val="bottom"/>
          </w:tcPr>
          <w:p w:rsidR="00D807AC" w:rsidRPr="00D807AC" w:rsidRDefault="00D807AC" w:rsidP="00D807AC">
            <w:pPr>
              <w:autoSpaceDE w:val="0"/>
              <w:autoSpaceDN w:val="0"/>
              <w:adjustRightInd w:val="0"/>
              <w:spacing w:after="0" w:line="240" w:lineRule="auto"/>
              <w:rPr>
                <w:rFonts w:cs="Times New Roman"/>
                <w:szCs w:val="24"/>
              </w:rPr>
            </w:pPr>
            <w:r w:rsidRPr="00D807AC">
              <w:rPr>
                <w:rFonts w:cs="Times New Roman"/>
                <w:color w:val="000000"/>
                <w:sz w:val="14"/>
                <w:szCs w:val="14"/>
                <w:highlight w:val="white"/>
              </w:rPr>
              <w:t xml:space="preserve">Count  </w:t>
            </w:r>
          </w:p>
        </w:tc>
      </w:tr>
      <w:tr w:rsidR="00D807AC" w:rsidRPr="00D807AC">
        <w:trPr>
          <w:cantSplit/>
        </w:trPr>
        <w:tc>
          <w:tcPr>
            <w:tcW w:w="1286" w:type="dxa"/>
            <w:gridSpan w:val="2"/>
            <w:vMerge w:val="restart"/>
            <w:tcBorders>
              <w:top w:val="double" w:sz="8" w:space="0" w:color="000000"/>
              <w:left w:val="nil"/>
              <w:bottom w:val="nil"/>
              <w:right w:val="nil"/>
            </w:tcBorders>
            <w:shd w:val="clear" w:color="auto" w:fill="FFFFFF"/>
          </w:tcPr>
          <w:p w:rsidR="00D807AC" w:rsidRPr="00D807AC" w:rsidRDefault="00D807AC" w:rsidP="00D807AC">
            <w:pPr>
              <w:autoSpaceDE w:val="0"/>
              <w:autoSpaceDN w:val="0"/>
              <w:adjustRightInd w:val="0"/>
              <w:spacing w:after="0" w:line="240" w:lineRule="auto"/>
              <w:rPr>
                <w:rFonts w:cs="Times New Roman"/>
                <w:szCs w:val="24"/>
              </w:rPr>
            </w:pPr>
          </w:p>
        </w:tc>
        <w:tc>
          <w:tcPr>
            <w:tcW w:w="1972" w:type="dxa"/>
            <w:gridSpan w:val="3"/>
            <w:tcBorders>
              <w:top w:val="double" w:sz="8" w:space="0" w:color="000000"/>
              <w:left w:val="nil"/>
              <w:bottom w:val="nil"/>
              <w:right w:val="nil"/>
            </w:tcBorders>
            <w:shd w:val="clear" w:color="auto" w:fill="FFFFFF"/>
          </w:tcPr>
          <w:p w:rsidR="00D807AC" w:rsidRPr="00D807AC" w:rsidRDefault="00D807AC" w:rsidP="00D807AC">
            <w:pPr>
              <w:autoSpaceDE w:val="0"/>
              <w:autoSpaceDN w:val="0"/>
              <w:adjustRightInd w:val="0"/>
              <w:spacing w:after="0" w:line="240" w:lineRule="auto"/>
              <w:ind w:left="60" w:right="60"/>
              <w:jc w:val="center"/>
              <w:rPr>
                <w:rFonts w:cs="Times New Roman"/>
                <w:color w:val="000000"/>
                <w:sz w:val="14"/>
                <w:szCs w:val="14"/>
              </w:rPr>
            </w:pPr>
            <w:r w:rsidRPr="00D807AC">
              <w:rPr>
                <w:rFonts w:cs="Times New Roman"/>
                <w:color w:val="000000"/>
                <w:sz w:val="14"/>
                <w:szCs w:val="14"/>
              </w:rPr>
              <w:t>Race</w:t>
            </w:r>
          </w:p>
        </w:tc>
        <w:tc>
          <w:tcPr>
            <w:tcW w:w="642" w:type="dxa"/>
            <w:vMerge w:val="restart"/>
            <w:tcBorders>
              <w:top w:val="double" w:sz="8" w:space="0" w:color="000000"/>
              <w:left w:val="nil"/>
              <w:bottom w:val="nil"/>
              <w:right w:val="nil"/>
            </w:tcBorders>
            <w:shd w:val="clear" w:color="auto" w:fill="FFFFFF"/>
          </w:tcPr>
          <w:p w:rsidR="00D807AC" w:rsidRPr="00D807AC" w:rsidRDefault="00D807AC" w:rsidP="00D807AC">
            <w:pPr>
              <w:autoSpaceDE w:val="0"/>
              <w:autoSpaceDN w:val="0"/>
              <w:adjustRightInd w:val="0"/>
              <w:spacing w:after="0" w:line="240" w:lineRule="auto"/>
              <w:ind w:left="60" w:right="60"/>
              <w:jc w:val="center"/>
              <w:rPr>
                <w:rFonts w:cs="Times New Roman"/>
                <w:color w:val="000000"/>
                <w:sz w:val="14"/>
                <w:szCs w:val="14"/>
              </w:rPr>
            </w:pPr>
            <w:r w:rsidRPr="00D807AC">
              <w:rPr>
                <w:rFonts w:cs="Times New Roman"/>
                <w:color w:val="000000"/>
                <w:sz w:val="14"/>
                <w:szCs w:val="14"/>
              </w:rPr>
              <w:t>Total</w:t>
            </w:r>
          </w:p>
        </w:tc>
      </w:tr>
      <w:tr w:rsidR="00D807AC" w:rsidRPr="00D807AC">
        <w:trPr>
          <w:cantSplit/>
        </w:trPr>
        <w:tc>
          <w:tcPr>
            <w:tcW w:w="1286" w:type="dxa"/>
            <w:gridSpan w:val="2"/>
            <w:vMerge/>
            <w:tcBorders>
              <w:top w:val="double" w:sz="8" w:space="0" w:color="000000"/>
              <w:left w:val="nil"/>
              <w:bottom w:val="nil"/>
              <w:right w:val="nil"/>
            </w:tcBorders>
            <w:shd w:val="clear" w:color="auto" w:fill="FFFFFF"/>
          </w:tcPr>
          <w:p w:rsidR="00D807AC" w:rsidRPr="00D807AC" w:rsidRDefault="00D807AC" w:rsidP="00D807AC">
            <w:pPr>
              <w:autoSpaceDE w:val="0"/>
              <w:autoSpaceDN w:val="0"/>
              <w:adjustRightInd w:val="0"/>
              <w:spacing w:after="0" w:line="240" w:lineRule="auto"/>
              <w:rPr>
                <w:rFonts w:cs="Times New Roman"/>
                <w:color w:val="000000"/>
                <w:sz w:val="14"/>
                <w:szCs w:val="14"/>
              </w:rPr>
            </w:pPr>
          </w:p>
        </w:tc>
        <w:tc>
          <w:tcPr>
            <w:tcW w:w="642" w:type="dxa"/>
            <w:tcBorders>
              <w:top w:val="nil"/>
              <w:left w:val="nil"/>
              <w:bottom w:val="single" w:sz="16" w:space="0" w:color="000000"/>
              <w:right w:val="nil"/>
            </w:tcBorders>
            <w:shd w:val="clear" w:color="auto" w:fill="FFFFFF"/>
          </w:tcPr>
          <w:p w:rsidR="00D807AC" w:rsidRPr="00D807AC" w:rsidRDefault="00D807AC" w:rsidP="00D807AC">
            <w:pPr>
              <w:autoSpaceDE w:val="0"/>
              <w:autoSpaceDN w:val="0"/>
              <w:adjustRightInd w:val="0"/>
              <w:spacing w:after="0" w:line="240" w:lineRule="auto"/>
              <w:ind w:left="60" w:right="60"/>
              <w:jc w:val="center"/>
              <w:rPr>
                <w:rFonts w:cs="Times New Roman"/>
                <w:color w:val="000000"/>
                <w:sz w:val="14"/>
                <w:szCs w:val="14"/>
              </w:rPr>
            </w:pPr>
            <w:r w:rsidRPr="00D807AC">
              <w:rPr>
                <w:rFonts w:cs="Times New Roman"/>
                <w:color w:val="000000"/>
                <w:sz w:val="14"/>
                <w:szCs w:val="14"/>
              </w:rPr>
              <w:t>White</w:t>
            </w:r>
          </w:p>
        </w:tc>
        <w:tc>
          <w:tcPr>
            <w:tcW w:w="642" w:type="dxa"/>
            <w:tcBorders>
              <w:top w:val="nil"/>
              <w:left w:val="nil"/>
              <w:bottom w:val="single" w:sz="16" w:space="0" w:color="000000"/>
              <w:right w:val="nil"/>
            </w:tcBorders>
            <w:shd w:val="clear" w:color="auto" w:fill="FFFFFF"/>
          </w:tcPr>
          <w:p w:rsidR="00D807AC" w:rsidRPr="00D807AC" w:rsidRDefault="00D807AC" w:rsidP="00D807AC">
            <w:pPr>
              <w:autoSpaceDE w:val="0"/>
              <w:autoSpaceDN w:val="0"/>
              <w:adjustRightInd w:val="0"/>
              <w:spacing w:after="0" w:line="240" w:lineRule="auto"/>
              <w:ind w:left="60" w:right="60"/>
              <w:jc w:val="center"/>
              <w:rPr>
                <w:rFonts w:cs="Times New Roman"/>
                <w:color w:val="000000"/>
                <w:sz w:val="14"/>
                <w:szCs w:val="14"/>
              </w:rPr>
            </w:pPr>
            <w:r w:rsidRPr="00D807AC">
              <w:rPr>
                <w:rFonts w:cs="Times New Roman"/>
                <w:color w:val="000000"/>
                <w:sz w:val="14"/>
                <w:szCs w:val="14"/>
              </w:rPr>
              <w:t>Black</w:t>
            </w:r>
          </w:p>
        </w:tc>
        <w:tc>
          <w:tcPr>
            <w:tcW w:w="688" w:type="dxa"/>
            <w:tcBorders>
              <w:top w:val="nil"/>
              <w:left w:val="nil"/>
              <w:bottom w:val="single" w:sz="16" w:space="0" w:color="000000"/>
              <w:right w:val="nil"/>
            </w:tcBorders>
            <w:shd w:val="clear" w:color="auto" w:fill="FFFFFF"/>
          </w:tcPr>
          <w:p w:rsidR="00D807AC" w:rsidRPr="00D807AC" w:rsidRDefault="00D807AC" w:rsidP="00D807AC">
            <w:pPr>
              <w:autoSpaceDE w:val="0"/>
              <w:autoSpaceDN w:val="0"/>
              <w:adjustRightInd w:val="0"/>
              <w:spacing w:after="0" w:line="240" w:lineRule="auto"/>
              <w:ind w:left="60" w:right="60"/>
              <w:jc w:val="center"/>
              <w:rPr>
                <w:rFonts w:cs="Times New Roman"/>
                <w:color w:val="000000"/>
                <w:sz w:val="14"/>
                <w:szCs w:val="14"/>
              </w:rPr>
            </w:pPr>
            <w:r w:rsidRPr="00D807AC">
              <w:rPr>
                <w:rFonts w:cs="Times New Roman"/>
                <w:color w:val="000000"/>
                <w:sz w:val="14"/>
                <w:szCs w:val="14"/>
              </w:rPr>
              <w:t>Hispanic</w:t>
            </w:r>
          </w:p>
        </w:tc>
        <w:tc>
          <w:tcPr>
            <w:tcW w:w="642" w:type="dxa"/>
            <w:vMerge/>
            <w:tcBorders>
              <w:top w:val="double" w:sz="8" w:space="0" w:color="000000"/>
              <w:left w:val="nil"/>
              <w:bottom w:val="nil"/>
              <w:right w:val="nil"/>
            </w:tcBorders>
            <w:shd w:val="clear" w:color="auto" w:fill="FFFFFF"/>
          </w:tcPr>
          <w:p w:rsidR="00D807AC" w:rsidRPr="00D807AC" w:rsidRDefault="00D807AC" w:rsidP="00D807AC">
            <w:pPr>
              <w:autoSpaceDE w:val="0"/>
              <w:autoSpaceDN w:val="0"/>
              <w:adjustRightInd w:val="0"/>
              <w:spacing w:after="0" w:line="240" w:lineRule="auto"/>
              <w:rPr>
                <w:rFonts w:cs="Times New Roman"/>
                <w:color w:val="000000"/>
                <w:sz w:val="14"/>
                <w:szCs w:val="14"/>
              </w:rPr>
            </w:pPr>
          </w:p>
        </w:tc>
      </w:tr>
      <w:tr w:rsidR="00D807AC" w:rsidRPr="00D807AC">
        <w:trPr>
          <w:cantSplit/>
        </w:trPr>
        <w:tc>
          <w:tcPr>
            <w:tcW w:w="643" w:type="dxa"/>
            <w:vMerge w:val="restart"/>
            <w:tcBorders>
              <w:top w:val="single" w:sz="16" w:space="0" w:color="000000"/>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rPr>
                <w:rFonts w:cs="Times New Roman"/>
                <w:color w:val="000000"/>
                <w:sz w:val="14"/>
                <w:szCs w:val="14"/>
              </w:rPr>
            </w:pPr>
            <w:r w:rsidRPr="00D807AC">
              <w:rPr>
                <w:rFonts w:cs="Times New Roman"/>
                <w:color w:val="000000"/>
                <w:sz w:val="14"/>
                <w:szCs w:val="14"/>
              </w:rPr>
              <w:t>Sex</w:t>
            </w:r>
          </w:p>
        </w:tc>
        <w:tc>
          <w:tcPr>
            <w:tcW w:w="643" w:type="dxa"/>
            <w:tcBorders>
              <w:top w:val="single" w:sz="16" w:space="0" w:color="000000"/>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rPr>
                <w:rFonts w:cs="Times New Roman"/>
                <w:color w:val="000000"/>
                <w:sz w:val="14"/>
                <w:szCs w:val="14"/>
              </w:rPr>
            </w:pPr>
            <w:r w:rsidRPr="00D807AC">
              <w:rPr>
                <w:rFonts w:cs="Times New Roman"/>
                <w:color w:val="000000"/>
                <w:sz w:val="14"/>
                <w:szCs w:val="14"/>
              </w:rPr>
              <w:t>Male</w:t>
            </w:r>
          </w:p>
        </w:tc>
        <w:tc>
          <w:tcPr>
            <w:tcW w:w="642" w:type="dxa"/>
            <w:tcBorders>
              <w:top w:val="single" w:sz="16" w:space="0" w:color="000000"/>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1200</w:t>
            </w:r>
          </w:p>
        </w:tc>
        <w:tc>
          <w:tcPr>
            <w:tcW w:w="642" w:type="dxa"/>
            <w:tcBorders>
              <w:top w:val="single" w:sz="16" w:space="0" w:color="000000"/>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362</w:t>
            </w:r>
          </w:p>
        </w:tc>
        <w:tc>
          <w:tcPr>
            <w:tcW w:w="688" w:type="dxa"/>
            <w:tcBorders>
              <w:top w:val="single" w:sz="16" w:space="0" w:color="000000"/>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363</w:t>
            </w:r>
          </w:p>
        </w:tc>
        <w:tc>
          <w:tcPr>
            <w:tcW w:w="642" w:type="dxa"/>
            <w:tcBorders>
              <w:top w:val="single" w:sz="16" w:space="0" w:color="000000"/>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1925</w:t>
            </w:r>
          </w:p>
        </w:tc>
      </w:tr>
      <w:tr w:rsidR="00D807AC" w:rsidRPr="00D807AC">
        <w:trPr>
          <w:cantSplit/>
        </w:trPr>
        <w:tc>
          <w:tcPr>
            <w:tcW w:w="643" w:type="dxa"/>
            <w:vMerge/>
            <w:tcBorders>
              <w:top w:val="single" w:sz="16" w:space="0" w:color="000000"/>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rPr>
                <w:rFonts w:cs="Times New Roman"/>
                <w:color w:val="000000"/>
                <w:sz w:val="14"/>
                <w:szCs w:val="14"/>
              </w:rPr>
            </w:pPr>
          </w:p>
        </w:tc>
        <w:tc>
          <w:tcPr>
            <w:tcW w:w="643" w:type="dxa"/>
            <w:tcBorders>
              <w:top w:val="nil"/>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rPr>
                <w:rFonts w:cs="Times New Roman"/>
                <w:color w:val="000000"/>
                <w:sz w:val="14"/>
                <w:szCs w:val="14"/>
              </w:rPr>
            </w:pPr>
            <w:r w:rsidRPr="00D807AC">
              <w:rPr>
                <w:rFonts w:cs="Times New Roman"/>
                <w:color w:val="000000"/>
                <w:sz w:val="14"/>
                <w:szCs w:val="14"/>
              </w:rPr>
              <w:t>Female</w:t>
            </w:r>
          </w:p>
        </w:tc>
        <w:tc>
          <w:tcPr>
            <w:tcW w:w="642" w:type="dxa"/>
            <w:tcBorders>
              <w:top w:val="nil"/>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739</w:t>
            </w:r>
          </w:p>
        </w:tc>
        <w:tc>
          <w:tcPr>
            <w:tcW w:w="642" w:type="dxa"/>
            <w:tcBorders>
              <w:top w:val="nil"/>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248</w:t>
            </w:r>
          </w:p>
        </w:tc>
        <w:tc>
          <w:tcPr>
            <w:tcW w:w="688" w:type="dxa"/>
            <w:tcBorders>
              <w:top w:val="nil"/>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106</w:t>
            </w:r>
          </w:p>
        </w:tc>
        <w:tc>
          <w:tcPr>
            <w:tcW w:w="642" w:type="dxa"/>
            <w:tcBorders>
              <w:top w:val="nil"/>
              <w:left w:val="nil"/>
              <w:bottom w:val="nil"/>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1093</w:t>
            </w:r>
          </w:p>
        </w:tc>
      </w:tr>
      <w:tr w:rsidR="00D807AC" w:rsidRPr="00D807AC">
        <w:trPr>
          <w:cantSplit/>
        </w:trPr>
        <w:tc>
          <w:tcPr>
            <w:tcW w:w="1286" w:type="dxa"/>
            <w:gridSpan w:val="2"/>
            <w:tcBorders>
              <w:top w:val="nil"/>
              <w:left w:val="nil"/>
              <w:bottom w:val="double" w:sz="8" w:space="0" w:color="000000"/>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rPr>
                <w:rFonts w:cs="Times New Roman"/>
                <w:color w:val="000000"/>
                <w:sz w:val="14"/>
                <w:szCs w:val="14"/>
              </w:rPr>
            </w:pPr>
            <w:r w:rsidRPr="00D807AC">
              <w:rPr>
                <w:rFonts w:cs="Times New Roman"/>
                <w:color w:val="000000"/>
                <w:sz w:val="14"/>
                <w:szCs w:val="14"/>
              </w:rPr>
              <w:t>Total</w:t>
            </w:r>
          </w:p>
        </w:tc>
        <w:tc>
          <w:tcPr>
            <w:tcW w:w="642" w:type="dxa"/>
            <w:tcBorders>
              <w:top w:val="nil"/>
              <w:left w:val="nil"/>
              <w:bottom w:val="double" w:sz="8" w:space="0" w:color="000000"/>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1939</w:t>
            </w:r>
          </w:p>
        </w:tc>
        <w:tc>
          <w:tcPr>
            <w:tcW w:w="642" w:type="dxa"/>
            <w:tcBorders>
              <w:top w:val="nil"/>
              <w:left w:val="nil"/>
              <w:bottom w:val="double" w:sz="8" w:space="0" w:color="000000"/>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610</w:t>
            </w:r>
          </w:p>
        </w:tc>
        <w:tc>
          <w:tcPr>
            <w:tcW w:w="688" w:type="dxa"/>
            <w:tcBorders>
              <w:top w:val="nil"/>
              <w:left w:val="nil"/>
              <w:bottom w:val="double" w:sz="8" w:space="0" w:color="000000"/>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469</w:t>
            </w:r>
          </w:p>
        </w:tc>
        <w:tc>
          <w:tcPr>
            <w:tcW w:w="642" w:type="dxa"/>
            <w:tcBorders>
              <w:top w:val="nil"/>
              <w:left w:val="nil"/>
              <w:bottom w:val="double" w:sz="8" w:space="0" w:color="000000"/>
              <w:right w:val="nil"/>
            </w:tcBorders>
            <w:shd w:val="clear" w:color="auto" w:fill="FFFFFF"/>
            <w:vAlign w:val="center"/>
          </w:tcPr>
          <w:p w:rsidR="00D807AC" w:rsidRPr="00D807AC" w:rsidRDefault="00D807AC" w:rsidP="00D807AC">
            <w:pPr>
              <w:autoSpaceDE w:val="0"/>
              <w:autoSpaceDN w:val="0"/>
              <w:adjustRightInd w:val="0"/>
              <w:spacing w:after="0" w:line="240" w:lineRule="auto"/>
              <w:ind w:left="60" w:right="60"/>
              <w:jc w:val="right"/>
              <w:rPr>
                <w:rFonts w:cs="Times New Roman"/>
                <w:color w:val="000000"/>
                <w:sz w:val="14"/>
                <w:szCs w:val="14"/>
              </w:rPr>
            </w:pPr>
            <w:r w:rsidRPr="00D807AC">
              <w:rPr>
                <w:rFonts w:cs="Times New Roman"/>
                <w:color w:val="000000"/>
                <w:sz w:val="14"/>
                <w:szCs w:val="14"/>
              </w:rPr>
              <w:t>3018</w:t>
            </w:r>
          </w:p>
        </w:tc>
      </w:tr>
    </w:tbl>
    <w:p w:rsidR="006F1E7B" w:rsidRDefault="006F1E7B" w:rsidP="00A276E6">
      <w:pPr>
        <w:autoSpaceDE w:val="0"/>
        <w:autoSpaceDN w:val="0"/>
        <w:adjustRightInd w:val="0"/>
        <w:spacing w:after="0" w:line="240" w:lineRule="auto"/>
        <w:rPr>
          <w:rFonts w:cs="Times New Roman"/>
          <w:szCs w:val="24"/>
        </w:rPr>
      </w:pPr>
    </w:p>
    <w:p w:rsidR="00A276E6" w:rsidRPr="00A276E6" w:rsidRDefault="00A276E6" w:rsidP="00A276E6">
      <w:pPr>
        <w:autoSpaceDE w:val="0"/>
        <w:autoSpaceDN w:val="0"/>
        <w:adjustRightInd w:val="0"/>
        <w:spacing w:after="0" w:line="240" w:lineRule="auto"/>
        <w:rPr>
          <w:rFonts w:cs="Times New Roman"/>
          <w:szCs w:val="24"/>
        </w:rPr>
      </w:pPr>
    </w:p>
    <w:p w:rsidR="00EB6D7B" w:rsidRPr="0024354B" w:rsidRDefault="00EB6D7B" w:rsidP="00EB6D7B">
      <w:pPr>
        <w:pStyle w:val="Caption"/>
        <w:keepNext/>
      </w:pPr>
      <w:bookmarkStart w:id="28" w:name="_Toc227982511"/>
      <w:proofErr w:type="gramStart"/>
      <w:r w:rsidRPr="0024354B">
        <w:t xml:space="preserve">Table </w:t>
      </w:r>
      <w:r w:rsidR="003731B6" w:rsidRPr="0024354B">
        <w:fldChar w:fldCharType="begin"/>
      </w:r>
      <w:r w:rsidR="00552934" w:rsidRPr="0024354B">
        <w:instrText xml:space="preserve"> SEQ Table \* ARABIC </w:instrText>
      </w:r>
      <w:r w:rsidR="003731B6" w:rsidRPr="0024354B">
        <w:fldChar w:fldCharType="separate"/>
      </w:r>
      <w:r w:rsidR="001633BC" w:rsidRPr="0024354B">
        <w:rPr>
          <w:noProof/>
        </w:rPr>
        <w:t>3</w:t>
      </w:r>
      <w:r w:rsidR="003731B6" w:rsidRPr="0024354B">
        <w:rPr>
          <w:noProof/>
        </w:rPr>
        <w:fldChar w:fldCharType="end"/>
      </w:r>
      <w:r w:rsidR="00C50C54" w:rsidRPr="0024354B">
        <w:t>.</w:t>
      </w:r>
      <w:proofErr w:type="gramEnd"/>
      <w:r w:rsidR="00C50C54" w:rsidRPr="0024354B">
        <w:t xml:space="preserve">  ID Statuses by group</w:t>
      </w:r>
      <w:r w:rsidR="000F6960" w:rsidRPr="0024354B">
        <w:t>.</w:t>
      </w:r>
      <w:bookmarkEnd w:id="28"/>
    </w:p>
    <w:tbl>
      <w:tblPr>
        <w:tblW w:w="4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89"/>
        <w:gridCol w:w="919"/>
        <w:gridCol w:w="642"/>
        <w:gridCol w:w="642"/>
        <w:gridCol w:w="688"/>
        <w:gridCol w:w="642"/>
      </w:tblGrid>
      <w:tr w:rsidR="00A276E6" w:rsidRPr="00A276E6">
        <w:trPr>
          <w:cantSplit/>
        </w:trPr>
        <w:tc>
          <w:tcPr>
            <w:tcW w:w="4222" w:type="dxa"/>
            <w:gridSpan w:val="6"/>
            <w:tcBorders>
              <w:top w:val="nil"/>
              <w:left w:val="nil"/>
              <w:bottom w:val="nil"/>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b/>
                <w:bCs/>
                <w:color w:val="000000"/>
                <w:sz w:val="14"/>
                <w:szCs w:val="14"/>
              </w:rPr>
              <w:t>IDStatus * Race Crosstabulation</w:t>
            </w:r>
          </w:p>
        </w:tc>
      </w:tr>
      <w:tr w:rsidR="00A276E6" w:rsidRPr="00A276E6">
        <w:trPr>
          <w:cantSplit/>
        </w:trPr>
        <w:tc>
          <w:tcPr>
            <w:tcW w:w="4222" w:type="dxa"/>
            <w:gridSpan w:val="6"/>
            <w:tcBorders>
              <w:top w:val="nil"/>
              <w:left w:val="nil"/>
              <w:bottom w:val="nil"/>
              <w:right w:val="nil"/>
            </w:tcBorders>
            <w:shd w:val="clear" w:color="auto" w:fill="FFFFFF"/>
            <w:vAlign w:val="bottom"/>
          </w:tcPr>
          <w:p w:rsidR="00A276E6" w:rsidRPr="00A276E6" w:rsidRDefault="00A276E6" w:rsidP="00A276E6">
            <w:pPr>
              <w:autoSpaceDE w:val="0"/>
              <w:autoSpaceDN w:val="0"/>
              <w:adjustRightInd w:val="0"/>
              <w:spacing w:after="0" w:line="240" w:lineRule="auto"/>
              <w:rPr>
                <w:rFonts w:cs="Times New Roman"/>
                <w:szCs w:val="24"/>
              </w:rPr>
            </w:pPr>
            <w:r w:rsidRPr="00A276E6">
              <w:rPr>
                <w:rFonts w:cs="Times New Roman"/>
                <w:color w:val="000000"/>
                <w:sz w:val="14"/>
                <w:szCs w:val="14"/>
                <w:highlight w:val="white"/>
              </w:rPr>
              <w:t xml:space="preserve">Count  </w:t>
            </w:r>
          </w:p>
        </w:tc>
      </w:tr>
      <w:tr w:rsidR="00A276E6" w:rsidRPr="00A276E6">
        <w:trPr>
          <w:cantSplit/>
        </w:trPr>
        <w:tc>
          <w:tcPr>
            <w:tcW w:w="1608" w:type="dxa"/>
            <w:gridSpan w:val="2"/>
            <w:vMerge w:val="restart"/>
            <w:tcBorders>
              <w:top w:val="double" w:sz="8" w:space="0" w:color="000000"/>
              <w:left w:val="nil"/>
              <w:bottom w:val="nil"/>
              <w:right w:val="nil"/>
            </w:tcBorders>
            <w:shd w:val="clear" w:color="auto" w:fill="FFFFFF"/>
          </w:tcPr>
          <w:p w:rsidR="00A276E6" w:rsidRPr="00A276E6" w:rsidRDefault="00A276E6" w:rsidP="00A276E6">
            <w:pPr>
              <w:autoSpaceDE w:val="0"/>
              <w:autoSpaceDN w:val="0"/>
              <w:adjustRightInd w:val="0"/>
              <w:spacing w:after="0" w:line="240" w:lineRule="auto"/>
              <w:rPr>
                <w:rFonts w:cs="Times New Roman"/>
                <w:szCs w:val="24"/>
              </w:rPr>
            </w:pPr>
          </w:p>
        </w:tc>
        <w:tc>
          <w:tcPr>
            <w:tcW w:w="1972" w:type="dxa"/>
            <w:gridSpan w:val="3"/>
            <w:tcBorders>
              <w:top w:val="double" w:sz="8" w:space="0" w:color="000000"/>
              <w:left w:val="nil"/>
              <w:bottom w:val="nil"/>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color w:val="000000"/>
                <w:sz w:val="14"/>
                <w:szCs w:val="14"/>
              </w:rPr>
              <w:t>Race</w:t>
            </w:r>
          </w:p>
        </w:tc>
        <w:tc>
          <w:tcPr>
            <w:tcW w:w="642" w:type="dxa"/>
            <w:vMerge w:val="restart"/>
            <w:tcBorders>
              <w:top w:val="double" w:sz="8" w:space="0" w:color="000000"/>
              <w:left w:val="nil"/>
              <w:bottom w:val="nil"/>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color w:val="000000"/>
                <w:sz w:val="14"/>
                <w:szCs w:val="14"/>
              </w:rPr>
              <w:t>Total</w:t>
            </w:r>
          </w:p>
        </w:tc>
      </w:tr>
      <w:tr w:rsidR="00A276E6" w:rsidRPr="00A276E6">
        <w:trPr>
          <w:cantSplit/>
        </w:trPr>
        <w:tc>
          <w:tcPr>
            <w:tcW w:w="1608" w:type="dxa"/>
            <w:gridSpan w:val="2"/>
            <w:vMerge/>
            <w:tcBorders>
              <w:top w:val="double" w:sz="8" w:space="0" w:color="000000"/>
              <w:left w:val="nil"/>
              <w:bottom w:val="nil"/>
              <w:right w:val="nil"/>
            </w:tcBorders>
            <w:shd w:val="clear" w:color="auto" w:fill="FFFFFF"/>
          </w:tcPr>
          <w:p w:rsidR="00A276E6" w:rsidRPr="00A276E6" w:rsidRDefault="00A276E6" w:rsidP="00A276E6">
            <w:pPr>
              <w:autoSpaceDE w:val="0"/>
              <w:autoSpaceDN w:val="0"/>
              <w:adjustRightInd w:val="0"/>
              <w:spacing w:after="0" w:line="240" w:lineRule="auto"/>
              <w:rPr>
                <w:rFonts w:cs="Times New Roman"/>
                <w:color w:val="000000"/>
                <w:sz w:val="14"/>
                <w:szCs w:val="14"/>
              </w:rPr>
            </w:pPr>
          </w:p>
        </w:tc>
        <w:tc>
          <w:tcPr>
            <w:tcW w:w="642" w:type="dxa"/>
            <w:tcBorders>
              <w:top w:val="nil"/>
              <w:left w:val="nil"/>
              <w:bottom w:val="single" w:sz="16" w:space="0" w:color="000000"/>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color w:val="000000"/>
                <w:sz w:val="14"/>
                <w:szCs w:val="14"/>
              </w:rPr>
              <w:t>White</w:t>
            </w:r>
          </w:p>
        </w:tc>
        <w:tc>
          <w:tcPr>
            <w:tcW w:w="642" w:type="dxa"/>
            <w:tcBorders>
              <w:top w:val="nil"/>
              <w:left w:val="nil"/>
              <w:bottom w:val="single" w:sz="16" w:space="0" w:color="000000"/>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color w:val="000000"/>
                <w:sz w:val="14"/>
                <w:szCs w:val="14"/>
              </w:rPr>
              <w:t>Black</w:t>
            </w:r>
          </w:p>
        </w:tc>
        <w:tc>
          <w:tcPr>
            <w:tcW w:w="688" w:type="dxa"/>
            <w:tcBorders>
              <w:top w:val="nil"/>
              <w:left w:val="nil"/>
              <w:bottom w:val="single" w:sz="16" w:space="0" w:color="000000"/>
              <w:right w:val="nil"/>
            </w:tcBorders>
            <w:shd w:val="clear" w:color="auto" w:fill="FFFFFF"/>
          </w:tcPr>
          <w:p w:rsidR="00A276E6" w:rsidRPr="00A276E6" w:rsidRDefault="00A276E6" w:rsidP="00A276E6">
            <w:pPr>
              <w:autoSpaceDE w:val="0"/>
              <w:autoSpaceDN w:val="0"/>
              <w:adjustRightInd w:val="0"/>
              <w:spacing w:after="0" w:line="240" w:lineRule="auto"/>
              <w:ind w:left="60" w:right="60"/>
              <w:jc w:val="center"/>
              <w:rPr>
                <w:rFonts w:cs="Times New Roman"/>
                <w:color w:val="000000"/>
                <w:sz w:val="14"/>
                <w:szCs w:val="14"/>
              </w:rPr>
            </w:pPr>
            <w:r w:rsidRPr="00A276E6">
              <w:rPr>
                <w:rFonts w:cs="Times New Roman"/>
                <w:color w:val="000000"/>
                <w:sz w:val="14"/>
                <w:szCs w:val="14"/>
              </w:rPr>
              <w:t>Hispanic</w:t>
            </w:r>
          </w:p>
        </w:tc>
        <w:tc>
          <w:tcPr>
            <w:tcW w:w="642" w:type="dxa"/>
            <w:vMerge/>
            <w:tcBorders>
              <w:top w:val="double" w:sz="8" w:space="0" w:color="000000"/>
              <w:left w:val="nil"/>
              <w:bottom w:val="nil"/>
              <w:right w:val="nil"/>
            </w:tcBorders>
            <w:shd w:val="clear" w:color="auto" w:fill="FFFFFF"/>
          </w:tcPr>
          <w:p w:rsidR="00A276E6" w:rsidRPr="00A276E6" w:rsidRDefault="00A276E6" w:rsidP="00A276E6">
            <w:pPr>
              <w:autoSpaceDE w:val="0"/>
              <w:autoSpaceDN w:val="0"/>
              <w:adjustRightInd w:val="0"/>
              <w:spacing w:after="0" w:line="240" w:lineRule="auto"/>
              <w:rPr>
                <w:rFonts w:cs="Times New Roman"/>
                <w:color w:val="000000"/>
                <w:sz w:val="14"/>
                <w:szCs w:val="14"/>
              </w:rPr>
            </w:pPr>
          </w:p>
        </w:tc>
      </w:tr>
      <w:tr w:rsidR="00A276E6" w:rsidRPr="00A276E6">
        <w:trPr>
          <w:cantSplit/>
        </w:trPr>
        <w:tc>
          <w:tcPr>
            <w:tcW w:w="689" w:type="dxa"/>
            <w:vMerge w:val="restart"/>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rPr>
                <w:rFonts w:cs="Times New Roman"/>
                <w:color w:val="000000"/>
                <w:sz w:val="14"/>
                <w:szCs w:val="14"/>
              </w:rPr>
            </w:pPr>
            <w:r w:rsidRPr="00A276E6">
              <w:rPr>
                <w:rFonts w:cs="Times New Roman"/>
                <w:color w:val="000000"/>
                <w:sz w:val="14"/>
                <w:szCs w:val="14"/>
              </w:rPr>
              <w:t>IDStatus</w:t>
            </w:r>
          </w:p>
        </w:tc>
        <w:tc>
          <w:tcPr>
            <w:tcW w:w="919" w:type="dxa"/>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rPr>
                <w:rFonts w:cs="Times New Roman"/>
                <w:color w:val="000000"/>
                <w:sz w:val="14"/>
                <w:szCs w:val="14"/>
              </w:rPr>
            </w:pPr>
            <w:r w:rsidRPr="00A276E6">
              <w:rPr>
                <w:rFonts w:cs="Times New Roman"/>
                <w:color w:val="000000"/>
                <w:sz w:val="14"/>
                <w:szCs w:val="14"/>
              </w:rPr>
              <w:t>Positive</w:t>
            </w:r>
          </w:p>
        </w:tc>
        <w:tc>
          <w:tcPr>
            <w:tcW w:w="642" w:type="dxa"/>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1644</w:t>
            </w:r>
          </w:p>
        </w:tc>
        <w:tc>
          <w:tcPr>
            <w:tcW w:w="642" w:type="dxa"/>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458</w:t>
            </w:r>
          </w:p>
        </w:tc>
        <w:tc>
          <w:tcPr>
            <w:tcW w:w="688" w:type="dxa"/>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181</w:t>
            </w:r>
          </w:p>
        </w:tc>
        <w:tc>
          <w:tcPr>
            <w:tcW w:w="642" w:type="dxa"/>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2283</w:t>
            </w:r>
          </w:p>
        </w:tc>
      </w:tr>
      <w:tr w:rsidR="00A276E6" w:rsidRPr="00A276E6">
        <w:trPr>
          <w:cantSplit/>
        </w:trPr>
        <w:tc>
          <w:tcPr>
            <w:tcW w:w="689" w:type="dxa"/>
            <w:vMerge/>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rPr>
                <w:rFonts w:cs="Times New Roman"/>
                <w:color w:val="000000"/>
                <w:sz w:val="14"/>
                <w:szCs w:val="14"/>
              </w:rPr>
            </w:pPr>
          </w:p>
        </w:tc>
        <w:tc>
          <w:tcPr>
            <w:tcW w:w="919"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rPr>
                <w:rFonts w:cs="Times New Roman"/>
                <w:color w:val="000000"/>
                <w:sz w:val="14"/>
                <w:szCs w:val="14"/>
              </w:rPr>
            </w:pPr>
            <w:r w:rsidRPr="00A276E6">
              <w:rPr>
                <w:rFonts w:cs="Times New Roman"/>
                <w:color w:val="000000"/>
                <w:sz w:val="14"/>
                <w:szCs w:val="14"/>
              </w:rPr>
              <w:t>Presumptive</w:t>
            </w:r>
          </w:p>
        </w:tc>
        <w:tc>
          <w:tcPr>
            <w:tcW w:w="642"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102</w:t>
            </w:r>
          </w:p>
        </w:tc>
        <w:tc>
          <w:tcPr>
            <w:tcW w:w="642"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56</w:t>
            </w:r>
          </w:p>
        </w:tc>
        <w:tc>
          <w:tcPr>
            <w:tcW w:w="688"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25</w:t>
            </w:r>
          </w:p>
        </w:tc>
        <w:tc>
          <w:tcPr>
            <w:tcW w:w="642"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183</w:t>
            </w:r>
          </w:p>
        </w:tc>
      </w:tr>
      <w:tr w:rsidR="00A276E6" w:rsidRPr="00A276E6">
        <w:trPr>
          <w:cantSplit/>
        </w:trPr>
        <w:tc>
          <w:tcPr>
            <w:tcW w:w="689" w:type="dxa"/>
            <w:vMerge/>
            <w:tcBorders>
              <w:top w:val="single" w:sz="16" w:space="0" w:color="000000"/>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rPr>
                <w:rFonts w:cs="Times New Roman"/>
                <w:color w:val="000000"/>
                <w:sz w:val="14"/>
                <w:szCs w:val="14"/>
              </w:rPr>
            </w:pPr>
          </w:p>
        </w:tc>
        <w:tc>
          <w:tcPr>
            <w:tcW w:w="919"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rPr>
                <w:rFonts w:cs="Times New Roman"/>
                <w:color w:val="000000"/>
                <w:sz w:val="14"/>
                <w:szCs w:val="14"/>
              </w:rPr>
            </w:pPr>
            <w:r w:rsidRPr="00A276E6">
              <w:rPr>
                <w:rFonts w:cs="Times New Roman"/>
                <w:color w:val="000000"/>
                <w:sz w:val="14"/>
                <w:szCs w:val="14"/>
              </w:rPr>
              <w:t>Unidentified</w:t>
            </w:r>
          </w:p>
        </w:tc>
        <w:tc>
          <w:tcPr>
            <w:tcW w:w="642"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163</w:t>
            </w:r>
          </w:p>
        </w:tc>
        <w:tc>
          <w:tcPr>
            <w:tcW w:w="642"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78</w:t>
            </w:r>
          </w:p>
        </w:tc>
        <w:tc>
          <w:tcPr>
            <w:tcW w:w="688"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258</w:t>
            </w:r>
          </w:p>
        </w:tc>
        <w:tc>
          <w:tcPr>
            <w:tcW w:w="642" w:type="dxa"/>
            <w:tcBorders>
              <w:top w:val="nil"/>
              <w:left w:val="nil"/>
              <w:bottom w:val="nil"/>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499</w:t>
            </w:r>
          </w:p>
        </w:tc>
      </w:tr>
      <w:tr w:rsidR="00A276E6" w:rsidRPr="00A276E6">
        <w:trPr>
          <w:cantSplit/>
        </w:trPr>
        <w:tc>
          <w:tcPr>
            <w:tcW w:w="1608" w:type="dxa"/>
            <w:gridSpan w:val="2"/>
            <w:tcBorders>
              <w:top w:val="nil"/>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rPr>
                <w:rFonts w:cs="Times New Roman"/>
                <w:color w:val="000000"/>
                <w:sz w:val="14"/>
                <w:szCs w:val="14"/>
              </w:rPr>
            </w:pPr>
            <w:r w:rsidRPr="00A276E6">
              <w:rPr>
                <w:rFonts w:cs="Times New Roman"/>
                <w:color w:val="000000"/>
                <w:sz w:val="14"/>
                <w:szCs w:val="14"/>
              </w:rPr>
              <w:t>Total</w:t>
            </w:r>
          </w:p>
        </w:tc>
        <w:tc>
          <w:tcPr>
            <w:tcW w:w="642" w:type="dxa"/>
            <w:tcBorders>
              <w:top w:val="nil"/>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1909</w:t>
            </w:r>
          </w:p>
        </w:tc>
        <w:tc>
          <w:tcPr>
            <w:tcW w:w="642" w:type="dxa"/>
            <w:tcBorders>
              <w:top w:val="nil"/>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592</w:t>
            </w:r>
          </w:p>
        </w:tc>
        <w:tc>
          <w:tcPr>
            <w:tcW w:w="688" w:type="dxa"/>
            <w:tcBorders>
              <w:top w:val="nil"/>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464</w:t>
            </w:r>
          </w:p>
        </w:tc>
        <w:tc>
          <w:tcPr>
            <w:tcW w:w="642" w:type="dxa"/>
            <w:tcBorders>
              <w:top w:val="nil"/>
              <w:left w:val="nil"/>
              <w:bottom w:val="double" w:sz="8" w:space="0" w:color="000000"/>
              <w:right w:val="nil"/>
            </w:tcBorders>
            <w:shd w:val="clear" w:color="auto" w:fill="FFFFFF"/>
            <w:vAlign w:val="center"/>
          </w:tcPr>
          <w:p w:rsidR="00A276E6" w:rsidRPr="00A276E6" w:rsidRDefault="00A276E6" w:rsidP="00A276E6">
            <w:pPr>
              <w:autoSpaceDE w:val="0"/>
              <w:autoSpaceDN w:val="0"/>
              <w:adjustRightInd w:val="0"/>
              <w:spacing w:after="0" w:line="240" w:lineRule="auto"/>
              <w:ind w:left="60" w:right="60"/>
              <w:jc w:val="right"/>
              <w:rPr>
                <w:rFonts w:cs="Times New Roman"/>
                <w:color w:val="000000"/>
                <w:sz w:val="14"/>
                <w:szCs w:val="14"/>
              </w:rPr>
            </w:pPr>
            <w:r w:rsidRPr="00A276E6">
              <w:rPr>
                <w:rFonts w:cs="Times New Roman"/>
                <w:color w:val="000000"/>
                <w:sz w:val="14"/>
                <w:szCs w:val="14"/>
              </w:rPr>
              <w:t>2965</w:t>
            </w:r>
          </w:p>
        </w:tc>
      </w:tr>
    </w:tbl>
    <w:p w:rsidR="00233393" w:rsidRDefault="00233393" w:rsidP="008072E1">
      <w:pPr>
        <w:autoSpaceDE w:val="0"/>
        <w:autoSpaceDN w:val="0"/>
        <w:adjustRightInd w:val="0"/>
        <w:spacing w:after="0"/>
        <w:rPr>
          <w:rFonts w:cs="Times New Roman"/>
          <w:szCs w:val="24"/>
        </w:rPr>
      </w:pPr>
    </w:p>
    <w:p w:rsidR="0068344B" w:rsidRDefault="008072E1" w:rsidP="00BF1AF3">
      <w:pPr>
        <w:autoSpaceDE w:val="0"/>
        <w:autoSpaceDN w:val="0"/>
        <w:adjustRightInd w:val="0"/>
        <w:spacing w:after="0"/>
        <w:ind w:firstLine="720"/>
        <w:rPr>
          <w:rFonts w:cs="Times New Roman"/>
          <w:szCs w:val="24"/>
        </w:rPr>
      </w:pPr>
      <w:r>
        <w:rPr>
          <w:rFonts w:cs="Times New Roman"/>
          <w:szCs w:val="24"/>
        </w:rPr>
        <w:t xml:space="preserve">This analysis </w:t>
      </w:r>
      <w:r w:rsidR="00CD07D8">
        <w:rPr>
          <w:rFonts w:cs="Times New Roman"/>
          <w:szCs w:val="24"/>
        </w:rPr>
        <w:t>is</w:t>
      </w:r>
      <w:r>
        <w:rPr>
          <w:rFonts w:cs="Times New Roman"/>
          <w:szCs w:val="24"/>
        </w:rPr>
        <w:t xml:space="preserve"> limited to positively identified individuals</w:t>
      </w:r>
      <w:r w:rsidR="007479CC">
        <w:rPr>
          <w:rFonts w:cs="Times New Roman"/>
          <w:szCs w:val="24"/>
        </w:rPr>
        <w:t xml:space="preserve"> with known sex, race, and birth year</w:t>
      </w:r>
      <w:r>
        <w:rPr>
          <w:rFonts w:cs="Times New Roman"/>
          <w:szCs w:val="24"/>
        </w:rPr>
        <w:t>.  To control for secular change</w:t>
      </w:r>
      <w:r w:rsidR="00200A95">
        <w:rPr>
          <w:rFonts w:cs="Times New Roman"/>
          <w:szCs w:val="24"/>
        </w:rPr>
        <w:t xml:space="preserve"> </w:t>
      </w:r>
      <w:r w:rsidR="003731B6">
        <w:rPr>
          <w:rFonts w:cs="Times New Roman"/>
          <w:szCs w:val="24"/>
        </w:rPr>
        <w:fldChar w:fldCharType="begin"/>
      </w:r>
      <w:r w:rsidR="00FD6B3C">
        <w:rPr>
          <w:rFonts w:cs="Times New Roman"/>
          <w:szCs w:val="24"/>
        </w:rPr>
        <w:instrText xml:space="preserve"> ADDIN EN.CITE &lt;EndNote&gt;&lt;Cite&gt;&lt;Author&gt;Jantz&lt;/Author&gt;&lt;Year&gt;2001&lt;/Year&gt;&lt;RecNum&gt;87&lt;/RecNum&gt;&lt;DisplayText&gt;(Jantz and Jantz, 2000; Jantz, 2001)&lt;/DisplayText&gt;&lt;record&gt;&lt;rec-number&gt;87&lt;/rec-number&gt;&lt;foreign-keys&gt;&lt;key app="EN" db-id="20frpf5eyrpavaevz925sv9t29f5epa9pd2z"&gt;87&lt;/key&gt;&lt;/foreign-keys&gt;&lt;ref-type name="Journal Article"&gt;17&lt;/ref-type&gt;&lt;contributors&gt;&lt;authors&gt;&lt;author&gt;Jantz, Richard L.&lt;/author&gt;&lt;/authors&gt;&lt;/contributors&gt;&lt;titles&gt;&lt;title&gt;Cranial Change in Americans: 1850-1975&lt;/title&gt;&lt;secondary-title&gt;Journal of Forensic Sciences&lt;/secondary-title&gt;&lt;/titles&gt;&lt;periodical&gt;&lt;full-title&gt;Journal of Forensic Sciences&lt;/full-title&gt;&lt;/periodical&gt;&lt;pages&gt;784-787&lt;/pages&gt;&lt;volume&gt;46&lt;/volume&gt;&lt;number&gt;4&lt;/number&gt;&lt;dates&gt;&lt;year&gt;2001&lt;/year&gt;&lt;/dates&gt;&lt;urls&gt;&lt;/urls&gt;&lt;/record&gt;&lt;/Cite&gt;&lt;Cite&gt;&lt;Author&gt;Jantz&lt;/Author&gt;&lt;Year&gt;2000&lt;/Year&gt;&lt;RecNum&gt;66&lt;/RecNum&gt;&lt;record&gt;&lt;rec-number&gt;66&lt;/rec-number&gt;&lt;foreign-keys&gt;&lt;key app="EN" db-id="20frpf5eyrpavaevz925sv9t29f5epa9pd2z"&gt;66&lt;/key&gt;&lt;/foreign-keys&gt;&lt;ref-type name="Journal Article"&gt;17&lt;/ref-type&gt;&lt;contributors&gt;&lt;authors&gt;&lt;author&gt;Jantz, R.L.&lt;/author&gt;&lt;author&gt;Jantz, Lee Meadows&lt;/author&gt;&lt;/authors&gt;&lt;/contributors&gt;&lt;titles&gt;&lt;title&gt;Secular Change in Craniofacial Morphology&lt;/title&gt;&lt;secondary-title&gt;American Journal of Human Biology&lt;/secondary-title&gt;&lt;/titles&gt;&lt;periodical&gt;&lt;full-title&gt;American Journal of Human Biology&lt;/full-title&gt;&lt;/periodical&gt;&lt;pages&gt;327-338&lt;/pages&gt;&lt;volume&gt;12&lt;/volume&gt;&lt;dates&gt;&lt;year&gt;2000&lt;/year&gt;&lt;/dates&gt;&lt;urls&gt;&lt;/urls&gt;&lt;/record&gt;&lt;/Cite&gt;&lt;/EndNote&gt;</w:instrText>
      </w:r>
      <w:r w:rsidR="003731B6">
        <w:rPr>
          <w:rFonts w:cs="Times New Roman"/>
          <w:szCs w:val="24"/>
        </w:rPr>
        <w:fldChar w:fldCharType="separate"/>
      </w:r>
      <w:r w:rsidR="00FD6B3C">
        <w:rPr>
          <w:rFonts w:cs="Times New Roman"/>
          <w:noProof/>
          <w:szCs w:val="24"/>
        </w:rPr>
        <w:t>(</w:t>
      </w:r>
      <w:hyperlink w:anchor="_ENREF_30" w:tooltip="Jantz, 2000 #66" w:history="1">
        <w:r w:rsidR="001633BC">
          <w:rPr>
            <w:rFonts w:cs="Times New Roman"/>
            <w:noProof/>
            <w:szCs w:val="24"/>
          </w:rPr>
          <w:t>Jantz and Jantz, 2000</w:t>
        </w:r>
      </w:hyperlink>
      <w:r w:rsidR="00FD6B3C">
        <w:rPr>
          <w:rFonts w:cs="Times New Roman"/>
          <w:noProof/>
          <w:szCs w:val="24"/>
        </w:rPr>
        <w:t xml:space="preserve">; </w:t>
      </w:r>
      <w:hyperlink w:anchor="_ENREF_29" w:tooltip="Jantz, 2001 #87" w:history="1">
        <w:r w:rsidR="001633BC">
          <w:rPr>
            <w:rFonts w:cs="Times New Roman"/>
            <w:noProof/>
            <w:szCs w:val="24"/>
          </w:rPr>
          <w:t>Jantz, 2001</w:t>
        </w:r>
      </w:hyperlink>
      <w:r w:rsidR="00FD6B3C">
        <w:rPr>
          <w:rFonts w:cs="Times New Roman"/>
          <w:noProof/>
          <w:szCs w:val="24"/>
        </w:rPr>
        <w:t>)</w:t>
      </w:r>
      <w:r w:rsidR="003731B6">
        <w:rPr>
          <w:rFonts w:cs="Times New Roman"/>
          <w:szCs w:val="24"/>
        </w:rPr>
        <w:fldChar w:fldCharType="end"/>
      </w:r>
      <w:r>
        <w:rPr>
          <w:rFonts w:cs="Times New Roman"/>
          <w:szCs w:val="24"/>
        </w:rPr>
        <w:t>, only individuals</w:t>
      </w:r>
      <w:r w:rsidR="00C034AA">
        <w:rPr>
          <w:rFonts w:cs="Times New Roman"/>
          <w:szCs w:val="24"/>
        </w:rPr>
        <w:t xml:space="preserve"> </w:t>
      </w:r>
      <w:r>
        <w:rPr>
          <w:rFonts w:cs="Times New Roman"/>
          <w:szCs w:val="24"/>
        </w:rPr>
        <w:t>born after 1930 will be used.</w:t>
      </w:r>
      <w:r w:rsidR="008C7391">
        <w:rPr>
          <w:rFonts w:cs="Times New Roman"/>
          <w:szCs w:val="24"/>
        </w:rPr>
        <w:t xml:space="preserve">  Though there is no formal analysis of an appropriate cutoff to ensure contemporaneity,</w:t>
      </w:r>
      <w:r w:rsidR="009716FD">
        <w:rPr>
          <w:rFonts w:cs="Times New Roman"/>
          <w:szCs w:val="24"/>
        </w:rPr>
        <w:t xml:space="preserve"> </w:t>
      </w:r>
      <w:r w:rsidR="008C7391">
        <w:rPr>
          <w:rFonts w:cs="Times New Roman"/>
          <w:szCs w:val="24"/>
        </w:rPr>
        <w:t>FORDISC (Ousley and Jantz, 2005) us</w:t>
      </w:r>
      <w:r w:rsidR="009E0438">
        <w:rPr>
          <w:rFonts w:cs="Times New Roman"/>
          <w:szCs w:val="24"/>
        </w:rPr>
        <w:t>es this cutoff and other analyse</w:t>
      </w:r>
      <w:r w:rsidR="008C7391">
        <w:rPr>
          <w:rFonts w:cs="Times New Roman"/>
          <w:szCs w:val="24"/>
        </w:rPr>
        <w:t xml:space="preserve">s have used similar cutoff points </w:t>
      </w:r>
      <w:r w:rsidR="003731B6">
        <w:rPr>
          <w:rFonts w:cs="Times New Roman"/>
          <w:szCs w:val="24"/>
        </w:rPr>
        <w:fldChar w:fldCharType="begin"/>
      </w:r>
      <w:r w:rsidR="00EB0C79">
        <w:rPr>
          <w:rFonts w:cs="Times New Roman"/>
          <w:szCs w:val="24"/>
        </w:rPr>
        <w:instrText xml:space="preserve"> ADDIN EN.CITE &lt;EndNote&gt;&lt;Cite&gt;&lt;Author&gt;Spradley&lt;/Author&gt;&lt;Year&gt;2008&lt;/Year&gt;&lt;RecNum&gt;242&lt;/RecNum&gt;&lt;DisplayText&gt;(Spradley&lt;style face="italic"&gt; et al.&lt;/style&gt;, 2008)&lt;/DisplayText&gt;&lt;record&gt;&lt;rec-number&gt;242&lt;/rec-number&gt;&lt;foreign-keys&gt;&lt;key app="EN" db-id="20frpf5eyrpavaevz925sv9t29f5epa9pd2z"&gt;242&lt;/key&gt;&lt;/foreign-keys&gt;&lt;ref-type name="Journal Article"&gt;17&lt;/ref-type&gt;&lt;contributors&gt;&lt;authors&gt;&lt;author&gt;Spradley, M Katherine&lt;/author&gt;&lt;author&gt;Jantz, Richard L&lt;/author&gt;&lt;author&gt;Robinson, Alan&lt;/author&gt;&lt;author&gt;Peccerelli, Fredy&lt;/author&gt;&lt;/authors&gt;&lt;/contributors&gt;&lt;titles&gt;&lt;title&gt;Demographic Change and Forensic Identification: Problems in Metric Identification of Hispanic Skeletons&lt;/title&gt;&lt;secondary-title&gt;Journal of Forensic Sciences&lt;/secondary-title&gt;&lt;/titles&gt;&lt;periodical&gt;&lt;full-title&gt;Journal of Forensic Sciences&lt;/full-title&gt;&lt;/periodical&gt;&lt;pages&gt;21-28&lt;/pages&gt;&lt;volume&gt;53&lt;/volume&gt;&lt;number&gt;1&lt;/number&gt;&lt;dates&gt;&lt;year&gt;2008&lt;/year&gt;&lt;pub-dates&gt;&lt;date&gt;Feb&lt;/date&gt;&lt;/pub-dates&gt;&lt;/dates&gt;&lt;label&gt;r00315&lt;/label&gt;&lt;urls&gt;&lt;related-urls&gt;&lt;url&gt;http://doi.wiley.com/10.1111/j.1556-4029.2007.00614.x&lt;/url&gt;&lt;/related-urls&gt;&lt;pdf-urls&gt;&lt;url&gt;file://localhost/Users/mercergm/Library/Application%20Support/Papers2/Articles/2008/Spradley/Journal%20of%20Forensic%20Sciences%202008%20Spradley.pdf&lt;/url&gt;&lt;/pdf-urls&gt;&lt;/urls&gt;&lt;custom3&gt;papers2://publication/uuid/4899EB4D-F35C-40E5-8C4D-010C3426A47F&lt;/custom3&gt;&lt;electronic-resource-num&gt;10.1111/j.1556-4029.2007.00614.x&lt;/electronic-resource-num&gt;&lt;language&gt;English&lt;/language&gt;&lt;/record&gt;&lt;/Cite&gt;&lt;/EndNote&gt;</w:instrText>
      </w:r>
      <w:r w:rsidR="003731B6">
        <w:rPr>
          <w:rFonts w:cs="Times New Roman"/>
          <w:szCs w:val="24"/>
        </w:rPr>
        <w:fldChar w:fldCharType="separate"/>
      </w:r>
      <w:r w:rsidR="00EB0C79">
        <w:rPr>
          <w:rFonts w:cs="Times New Roman"/>
          <w:noProof/>
          <w:szCs w:val="24"/>
        </w:rPr>
        <w:t>(</w:t>
      </w:r>
      <w:hyperlink w:anchor="_ENREF_56" w:tooltip="Spradley, 2008 #242" w:history="1">
        <w:r w:rsidR="001633BC">
          <w:rPr>
            <w:rFonts w:cs="Times New Roman"/>
            <w:noProof/>
            <w:szCs w:val="24"/>
          </w:rPr>
          <w:t>Spradley</w:t>
        </w:r>
        <w:r w:rsidR="001633BC" w:rsidRPr="00EB0C79">
          <w:rPr>
            <w:rFonts w:cs="Times New Roman"/>
            <w:i/>
            <w:noProof/>
            <w:szCs w:val="24"/>
          </w:rPr>
          <w:t xml:space="preserve"> et al.</w:t>
        </w:r>
        <w:r w:rsidR="001633BC">
          <w:rPr>
            <w:rFonts w:cs="Times New Roman"/>
            <w:noProof/>
            <w:szCs w:val="24"/>
          </w:rPr>
          <w:t>, 2008</w:t>
        </w:r>
      </w:hyperlink>
      <w:r w:rsidR="00EB0C79">
        <w:rPr>
          <w:rFonts w:cs="Times New Roman"/>
          <w:noProof/>
          <w:szCs w:val="24"/>
        </w:rPr>
        <w:t>)</w:t>
      </w:r>
      <w:r w:rsidR="003731B6">
        <w:rPr>
          <w:rFonts w:cs="Times New Roman"/>
          <w:szCs w:val="24"/>
        </w:rPr>
        <w:fldChar w:fldCharType="end"/>
      </w:r>
      <w:r w:rsidR="008C7391">
        <w:rPr>
          <w:rFonts w:cs="Times New Roman"/>
          <w:szCs w:val="24"/>
        </w:rPr>
        <w:t xml:space="preserve">.  </w:t>
      </w:r>
      <w:r w:rsidR="00C034AA">
        <w:rPr>
          <w:rFonts w:cs="Times New Roman"/>
          <w:szCs w:val="24"/>
        </w:rPr>
        <w:t>Of the positively identified observations, 232 are missing values for birth year and will be excluded.  Applying these criteria leaves 1480 observations.</w:t>
      </w:r>
      <w:r w:rsidR="000B5BD1">
        <w:rPr>
          <w:rFonts w:cs="Times New Roman"/>
          <w:szCs w:val="24"/>
        </w:rPr>
        <w:t xml:space="preserve">  The </w:t>
      </w:r>
      <w:r w:rsidR="00ED31A5">
        <w:rPr>
          <w:rFonts w:cs="Times New Roman"/>
          <w:szCs w:val="24"/>
        </w:rPr>
        <w:t>group</w:t>
      </w:r>
      <w:r w:rsidR="007E186E">
        <w:rPr>
          <w:rFonts w:cs="Times New Roman"/>
          <w:szCs w:val="24"/>
        </w:rPr>
        <w:t xml:space="preserve"> sample sizes</w:t>
      </w:r>
      <w:r w:rsidR="00ED31A5">
        <w:rPr>
          <w:rFonts w:cs="Times New Roman"/>
          <w:szCs w:val="24"/>
        </w:rPr>
        <w:t xml:space="preserve"> are displayed in T</w:t>
      </w:r>
      <w:r w:rsidR="000B5BD1">
        <w:rPr>
          <w:rFonts w:cs="Times New Roman"/>
          <w:szCs w:val="24"/>
        </w:rPr>
        <w:t>able</w:t>
      </w:r>
      <w:r w:rsidR="00ED31A5">
        <w:rPr>
          <w:rFonts w:cs="Times New Roman"/>
          <w:szCs w:val="24"/>
        </w:rPr>
        <w:t xml:space="preserve"> 4</w:t>
      </w:r>
      <w:r w:rsidR="000B5BD1">
        <w:rPr>
          <w:rFonts w:cs="Times New Roman"/>
          <w:szCs w:val="24"/>
        </w:rPr>
        <w:t>.</w:t>
      </w:r>
    </w:p>
    <w:p w:rsidR="000B5BD1" w:rsidRPr="000B5BD1" w:rsidRDefault="000B5BD1" w:rsidP="0068344B">
      <w:pPr>
        <w:autoSpaceDE w:val="0"/>
        <w:autoSpaceDN w:val="0"/>
        <w:adjustRightInd w:val="0"/>
        <w:spacing w:after="0"/>
        <w:rPr>
          <w:rFonts w:cs="Times New Roman"/>
          <w:szCs w:val="24"/>
        </w:rPr>
      </w:pPr>
    </w:p>
    <w:p w:rsidR="00AA2B0A" w:rsidRPr="000F6960" w:rsidRDefault="00AA2B0A" w:rsidP="0024354B">
      <w:pPr>
        <w:pStyle w:val="Caption"/>
      </w:pPr>
      <w:bookmarkStart w:id="29" w:name="_Toc227982512"/>
      <w:proofErr w:type="gramStart"/>
      <w:r w:rsidRPr="000F6960">
        <w:t xml:space="preserve">Table </w:t>
      </w:r>
      <w:r w:rsidR="003731B6" w:rsidRPr="000F6960">
        <w:fldChar w:fldCharType="begin"/>
      </w:r>
      <w:r w:rsidR="00552934" w:rsidRPr="000F6960">
        <w:instrText xml:space="preserve"> SEQ Table \* ARABIC </w:instrText>
      </w:r>
      <w:r w:rsidR="003731B6" w:rsidRPr="000F6960">
        <w:fldChar w:fldCharType="separate"/>
      </w:r>
      <w:r w:rsidR="001633BC">
        <w:rPr>
          <w:noProof/>
        </w:rPr>
        <w:t>4</w:t>
      </w:r>
      <w:r w:rsidR="003731B6" w:rsidRPr="000F6960">
        <w:rPr>
          <w:noProof/>
        </w:rPr>
        <w:fldChar w:fldCharType="end"/>
      </w:r>
      <w:r w:rsidRPr="000F6960">
        <w:t>.</w:t>
      </w:r>
      <w:proofErr w:type="gramEnd"/>
      <w:r w:rsidRPr="000F6960">
        <w:t xml:space="preserve">  Group samples using only positive IDs</w:t>
      </w:r>
      <w:r w:rsidR="000F6960" w:rsidRPr="000F6960">
        <w:t>.</w:t>
      </w:r>
      <w:bookmarkEnd w:id="29"/>
    </w:p>
    <w:tbl>
      <w:tblPr>
        <w:tblW w:w="3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43"/>
        <w:gridCol w:w="643"/>
        <w:gridCol w:w="642"/>
        <w:gridCol w:w="642"/>
        <w:gridCol w:w="688"/>
        <w:gridCol w:w="642"/>
      </w:tblGrid>
      <w:tr w:rsidR="000B5BD1" w:rsidRPr="000B5BD1">
        <w:trPr>
          <w:cantSplit/>
        </w:trPr>
        <w:tc>
          <w:tcPr>
            <w:tcW w:w="3900" w:type="dxa"/>
            <w:gridSpan w:val="6"/>
            <w:tcBorders>
              <w:top w:val="nil"/>
              <w:left w:val="nil"/>
              <w:bottom w:val="nil"/>
              <w:right w:val="nil"/>
            </w:tcBorders>
            <w:shd w:val="clear" w:color="auto" w:fill="FFFFFF"/>
          </w:tcPr>
          <w:p w:rsidR="000B5BD1" w:rsidRPr="000B5BD1" w:rsidRDefault="000B5BD1" w:rsidP="000B5BD1">
            <w:pPr>
              <w:autoSpaceDE w:val="0"/>
              <w:autoSpaceDN w:val="0"/>
              <w:adjustRightInd w:val="0"/>
              <w:spacing w:after="0" w:line="240" w:lineRule="auto"/>
              <w:ind w:left="60" w:right="60"/>
              <w:jc w:val="center"/>
              <w:rPr>
                <w:rFonts w:cs="Times New Roman"/>
                <w:color w:val="000000"/>
                <w:sz w:val="14"/>
                <w:szCs w:val="14"/>
              </w:rPr>
            </w:pPr>
            <w:r w:rsidRPr="000B5BD1">
              <w:rPr>
                <w:rFonts w:cs="Times New Roman"/>
                <w:b/>
                <w:bCs/>
                <w:color w:val="000000"/>
                <w:sz w:val="14"/>
                <w:szCs w:val="14"/>
              </w:rPr>
              <w:t>Sex * Race Crosstabulation</w:t>
            </w:r>
          </w:p>
        </w:tc>
      </w:tr>
      <w:tr w:rsidR="000B5BD1" w:rsidRPr="000B5BD1">
        <w:trPr>
          <w:cantSplit/>
        </w:trPr>
        <w:tc>
          <w:tcPr>
            <w:tcW w:w="3900" w:type="dxa"/>
            <w:gridSpan w:val="6"/>
            <w:tcBorders>
              <w:top w:val="nil"/>
              <w:left w:val="nil"/>
              <w:bottom w:val="nil"/>
              <w:right w:val="nil"/>
            </w:tcBorders>
            <w:shd w:val="clear" w:color="auto" w:fill="FFFFFF"/>
            <w:vAlign w:val="bottom"/>
          </w:tcPr>
          <w:p w:rsidR="000B5BD1" w:rsidRPr="000B5BD1" w:rsidRDefault="000B5BD1" w:rsidP="000B5BD1">
            <w:pPr>
              <w:autoSpaceDE w:val="0"/>
              <w:autoSpaceDN w:val="0"/>
              <w:adjustRightInd w:val="0"/>
              <w:spacing w:after="0" w:line="240" w:lineRule="auto"/>
              <w:rPr>
                <w:rFonts w:cs="Times New Roman"/>
                <w:szCs w:val="24"/>
              </w:rPr>
            </w:pPr>
            <w:r w:rsidRPr="000B5BD1">
              <w:rPr>
                <w:rFonts w:cs="Times New Roman"/>
                <w:color w:val="000000"/>
                <w:sz w:val="14"/>
                <w:szCs w:val="14"/>
                <w:highlight w:val="white"/>
              </w:rPr>
              <w:t xml:space="preserve">Count  </w:t>
            </w:r>
          </w:p>
        </w:tc>
      </w:tr>
      <w:tr w:rsidR="000B5BD1" w:rsidRPr="000B5BD1">
        <w:trPr>
          <w:cantSplit/>
        </w:trPr>
        <w:tc>
          <w:tcPr>
            <w:tcW w:w="1286" w:type="dxa"/>
            <w:gridSpan w:val="2"/>
            <w:vMerge w:val="restart"/>
            <w:tcBorders>
              <w:top w:val="double" w:sz="8" w:space="0" w:color="000000"/>
              <w:left w:val="nil"/>
              <w:bottom w:val="nil"/>
              <w:right w:val="nil"/>
            </w:tcBorders>
            <w:shd w:val="clear" w:color="auto" w:fill="FFFFFF"/>
          </w:tcPr>
          <w:p w:rsidR="000B5BD1" w:rsidRPr="000B5BD1" w:rsidRDefault="000B5BD1" w:rsidP="000B5BD1">
            <w:pPr>
              <w:autoSpaceDE w:val="0"/>
              <w:autoSpaceDN w:val="0"/>
              <w:adjustRightInd w:val="0"/>
              <w:spacing w:after="0" w:line="240" w:lineRule="auto"/>
              <w:rPr>
                <w:rFonts w:cs="Times New Roman"/>
                <w:szCs w:val="24"/>
              </w:rPr>
            </w:pPr>
          </w:p>
        </w:tc>
        <w:tc>
          <w:tcPr>
            <w:tcW w:w="1972" w:type="dxa"/>
            <w:gridSpan w:val="3"/>
            <w:tcBorders>
              <w:top w:val="double" w:sz="8" w:space="0" w:color="000000"/>
              <w:left w:val="nil"/>
              <w:bottom w:val="nil"/>
              <w:right w:val="nil"/>
            </w:tcBorders>
            <w:shd w:val="clear" w:color="auto" w:fill="FFFFFF"/>
          </w:tcPr>
          <w:p w:rsidR="000B5BD1" w:rsidRPr="000B5BD1" w:rsidRDefault="000B5BD1" w:rsidP="000B5BD1">
            <w:pPr>
              <w:autoSpaceDE w:val="0"/>
              <w:autoSpaceDN w:val="0"/>
              <w:adjustRightInd w:val="0"/>
              <w:spacing w:after="0" w:line="240" w:lineRule="auto"/>
              <w:ind w:left="60" w:right="60"/>
              <w:jc w:val="center"/>
              <w:rPr>
                <w:rFonts w:cs="Times New Roman"/>
                <w:color w:val="000000"/>
                <w:sz w:val="14"/>
                <w:szCs w:val="14"/>
              </w:rPr>
            </w:pPr>
            <w:r w:rsidRPr="000B5BD1">
              <w:rPr>
                <w:rFonts w:cs="Times New Roman"/>
                <w:color w:val="000000"/>
                <w:sz w:val="14"/>
                <w:szCs w:val="14"/>
              </w:rPr>
              <w:t>Race</w:t>
            </w:r>
          </w:p>
        </w:tc>
        <w:tc>
          <w:tcPr>
            <w:tcW w:w="642" w:type="dxa"/>
            <w:vMerge w:val="restart"/>
            <w:tcBorders>
              <w:top w:val="double" w:sz="8" w:space="0" w:color="000000"/>
              <w:left w:val="nil"/>
              <w:bottom w:val="nil"/>
              <w:right w:val="nil"/>
            </w:tcBorders>
            <w:shd w:val="clear" w:color="auto" w:fill="FFFFFF"/>
          </w:tcPr>
          <w:p w:rsidR="000B5BD1" w:rsidRPr="000B5BD1" w:rsidRDefault="000B5BD1" w:rsidP="000B5BD1">
            <w:pPr>
              <w:autoSpaceDE w:val="0"/>
              <w:autoSpaceDN w:val="0"/>
              <w:adjustRightInd w:val="0"/>
              <w:spacing w:after="0" w:line="240" w:lineRule="auto"/>
              <w:ind w:left="60" w:right="60"/>
              <w:jc w:val="center"/>
              <w:rPr>
                <w:rFonts w:cs="Times New Roman"/>
                <w:color w:val="000000"/>
                <w:sz w:val="14"/>
                <w:szCs w:val="14"/>
              </w:rPr>
            </w:pPr>
            <w:r w:rsidRPr="000B5BD1">
              <w:rPr>
                <w:rFonts w:cs="Times New Roman"/>
                <w:color w:val="000000"/>
                <w:sz w:val="14"/>
                <w:szCs w:val="14"/>
              </w:rPr>
              <w:t>Total</w:t>
            </w:r>
          </w:p>
        </w:tc>
      </w:tr>
      <w:tr w:rsidR="000B5BD1" w:rsidRPr="000B5BD1">
        <w:trPr>
          <w:cantSplit/>
        </w:trPr>
        <w:tc>
          <w:tcPr>
            <w:tcW w:w="1286" w:type="dxa"/>
            <w:gridSpan w:val="2"/>
            <w:vMerge/>
            <w:tcBorders>
              <w:top w:val="double" w:sz="8" w:space="0" w:color="000000"/>
              <w:left w:val="nil"/>
              <w:bottom w:val="nil"/>
              <w:right w:val="nil"/>
            </w:tcBorders>
            <w:shd w:val="clear" w:color="auto" w:fill="FFFFFF"/>
          </w:tcPr>
          <w:p w:rsidR="000B5BD1" w:rsidRPr="000B5BD1" w:rsidRDefault="000B5BD1" w:rsidP="000B5BD1">
            <w:pPr>
              <w:autoSpaceDE w:val="0"/>
              <w:autoSpaceDN w:val="0"/>
              <w:adjustRightInd w:val="0"/>
              <w:spacing w:after="0" w:line="240" w:lineRule="auto"/>
              <w:rPr>
                <w:rFonts w:cs="Times New Roman"/>
                <w:color w:val="000000"/>
                <w:sz w:val="14"/>
                <w:szCs w:val="14"/>
              </w:rPr>
            </w:pPr>
          </w:p>
        </w:tc>
        <w:tc>
          <w:tcPr>
            <w:tcW w:w="642" w:type="dxa"/>
            <w:tcBorders>
              <w:top w:val="nil"/>
              <w:left w:val="nil"/>
              <w:bottom w:val="single" w:sz="16" w:space="0" w:color="000000"/>
              <w:right w:val="nil"/>
            </w:tcBorders>
            <w:shd w:val="clear" w:color="auto" w:fill="FFFFFF"/>
          </w:tcPr>
          <w:p w:rsidR="000B5BD1" w:rsidRPr="000B5BD1" w:rsidRDefault="000B5BD1" w:rsidP="000B5BD1">
            <w:pPr>
              <w:autoSpaceDE w:val="0"/>
              <w:autoSpaceDN w:val="0"/>
              <w:adjustRightInd w:val="0"/>
              <w:spacing w:after="0" w:line="240" w:lineRule="auto"/>
              <w:ind w:left="60" w:right="60"/>
              <w:jc w:val="center"/>
              <w:rPr>
                <w:rFonts w:cs="Times New Roman"/>
                <w:color w:val="000000"/>
                <w:sz w:val="14"/>
                <w:szCs w:val="14"/>
              </w:rPr>
            </w:pPr>
            <w:r w:rsidRPr="000B5BD1">
              <w:rPr>
                <w:rFonts w:cs="Times New Roman"/>
                <w:color w:val="000000"/>
                <w:sz w:val="14"/>
                <w:szCs w:val="14"/>
              </w:rPr>
              <w:t>White</w:t>
            </w:r>
          </w:p>
        </w:tc>
        <w:tc>
          <w:tcPr>
            <w:tcW w:w="642" w:type="dxa"/>
            <w:tcBorders>
              <w:top w:val="nil"/>
              <w:left w:val="nil"/>
              <w:bottom w:val="single" w:sz="16" w:space="0" w:color="000000"/>
              <w:right w:val="nil"/>
            </w:tcBorders>
            <w:shd w:val="clear" w:color="auto" w:fill="FFFFFF"/>
          </w:tcPr>
          <w:p w:rsidR="000B5BD1" w:rsidRPr="000B5BD1" w:rsidRDefault="000B5BD1" w:rsidP="000B5BD1">
            <w:pPr>
              <w:autoSpaceDE w:val="0"/>
              <w:autoSpaceDN w:val="0"/>
              <w:adjustRightInd w:val="0"/>
              <w:spacing w:after="0" w:line="240" w:lineRule="auto"/>
              <w:ind w:left="60" w:right="60"/>
              <w:jc w:val="center"/>
              <w:rPr>
                <w:rFonts w:cs="Times New Roman"/>
                <w:color w:val="000000"/>
                <w:sz w:val="14"/>
                <w:szCs w:val="14"/>
              </w:rPr>
            </w:pPr>
            <w:r w:rsidRPr="000B5BD1">
              <w:rPr>
                <w:rFonts w:cs="Times New Roman"/>
                <w:color w:val="000000"/>
                <w:sz w:val="14"/>
                <w:szCs w:val="14"/>
              </w:rPr>
              <w:t>Black</w:t>
            </w:r>
          </w:p>
        </w:tc>
        <w:tc>
          <w:tcPr>
            <w:tcW w:w="688" w:type="dxa"/>
            <w:tcBorders>
              <w:top w:val="nil"/>
              <w:left w:val="nil"/>
              <w:bottom w:val="single" w:sz="16" w:space="0" w:color="000000"/>
              <w:right w:val="nil"/>
            </w:tcBorders>
            <w:shd w:val="clear" w:color="auto" w:fill="FFFFFF"/>
          </w:tcPr>
          <w:p w:rsidR="000B5BD1" w:rsidRPr="000B5BD1" w:rsidRDefault="000B5BD1" w:rsidP="000B5BD1">
            <w:pPr>
              <w:autoSpaceDE w:val="0"/>
              <w:autoSpaceDN w:val="0"/>
              <w:adjustRightInd w:val="0"/>
              <w:spacing w:after="0" w:line="240" w:lineRule="auto"/>
              <w:ind w:left="60" w:right="60"/>
              <w:jc w:val="center"/>
              <w:rPr>
                <w:rFonts w:cs="Times New Roman"/>
                <w:color w:val="000000"/>
                <w:sz w:val="14"/>
                <w:szCs w:val="14"/>
              </w:rPr>
            </w:pPr>
            <w:r w:rsidRPr="000B5BD1">
              <w:rPr>
                <w:rFonts w:cs="Times New Roman"/>
                <w:color w:val="000000"/>
                <w:sz w:val="14"/>
                <w:szCs w:val="14"/>
              </w:rPr>
              <w:t>Hispanic</w:t>
            </w:r>
          </w:p>
        </w:tc>
        <w:tc>
          <w:tcPr>
            <w:tcW w:w="642" w:type="dxa"/>
            <w:vMerge/>
            <w:tcBorders>
              <w:top w:val="double" w:sz="8" w:space="0" w:color="000000"/>
              <w:left w:val="nil"/>
              <w:bottom w:val="nil"/>
              <w:right w:val="nil"/>
            </w:tcBorders>
            <w:shd w:val="clear" w:color="auto" w:fill="FFFFFF"/>
          </w:tcPr>
          <w:p w:rsidR="000B5BD1" w:rsidRPr="000B5BD1" w:rsidRDefault="000B5BD1" w:rsidP="000B5BD1">
            <w:pPr>
              <w:autoSpaceDE w:val="0"/>
              <w:autoSpaceDN w:val="0"/>
              <w:adjustRightInd w:val="0"/>
              <w:spacing w:after="0" w:line="240" w:lineRule="auto"/>
              <w:rPr>
                <w:rFonts w:cs="Times New Roman"/>
                <w:color w:val="000000"/>
                <w:sz w:val="14"/>
                <w:szCs w:val="14"/>
              </w:rPr>
            </w:pPr>
          </w:p>
        </w:tc>
      </w:tr>
      <w:tr w:rsidR="000B5BD1" w:rsidRPr="000B5BD1">
        <w:trPr>
          <w:cantSplit/>
        </w:trPr>
        <w:tc>
          <w:tcPr>
            <w:tcW w:w="643" w:type="dxa"/>
            <w:vMerge w:val="restart"/>
            <w:tcBorders>
              <w:top w:val="single" w:sz="16" w:space="0" w:color="000000"/>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rPr>
                <w:rFonts w:cs="Times New Roman"/>
                <w:color w:val="000000"/>
                <w:sz w:val="14"/>
                <w:szCs w:val="14"/>
              </w:rPr>
            </w:pPr>
            <w:r w:rsidRPr="000B5BD1">
              <w:rPr>
                <w:rFonts w:cs="Times New Roman"/>
                <w:color w:val="000000"/>
                <w:sz w:val="14"/>
                <w:szCs w:val="14"/>
              </w:rPr>
              <w:t>Sex</w:t>
            </w:r>
          </w:p>
        </w:tc>
        <w:tc>
          <w:tcPr>
            <w:tcW w:w="643" w:type="dxa"/>
            <w:tcBorders>
              <w:top w:val="single" w:sz="16" w:space="0" w:color="000000"/>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rPr>
                <w:rFonts w:cs="Times New Roman"/>
                <w:color w:val="000000"/>
                <w:sz w:val="14"/>
                <w:szCs w:val="14"/>
              </w:rPr>
            </w:pPr>
            <w:r w:rsidRPr="000B5BD1">
              <w:rPr>
                <w:rFonts w:cs="Times New Roman"/>
                <w:color w:val="000000"/>
                <w:sz w:val="14"/>
                <w:szCs w:val="14"/>
              </w:rPr>
              <w:t>Male</w:t>
            </w:r>
          </w:p>
        </w:tc>
        <w:tc>
          <w:tcPr>
            <w:tcW w:w="642" w:type="dxa"/>
            <w:tcBorders>
              <w:top w:val="single" w:sz="16" w:space="0" w:color="000000"/>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715</w:t>
            </w:r>
          </w:p>
        </w:tc>
        <w:tc>
          <w:tcPr>
            <w:tcW w:w="642" w:type="dxa"/>
            <w:tcBorders>
              <w:top w:val="single" w:sz="16" w:space="0" w:color="000000"/>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143</w:t>
            </w:r>
          </w:p>
        </w:tc>
        <w:tc>
          <w:tcPr>
            <w:tcW w:w="688" w:type="dxa"/>
            <w:tcBorders>
              <w:top w:val="single" w:sz="16" w:space="0" w:color="000000"/>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88</w:t>
            </w:r>
          </w:p>
        </w:tc>
        <w:tc>
          <w:tcPr>
            <w:tcW w:w="642" w:type="dxa"/>
            <w:tcBorders>
              <w:top w:val="single" w:sz="16" w:space="0" w:color="000000"/>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946</w:t>
            </w:r>
          </w:p>
        </w:tc>
      </w:tr>
      <w:tr w:rsidR="000B5BD1" w:rsidRPr="000B5BD1">
        <w:trPr>
          <w:cantSplit/>
        </w:trPr>
        <w:tc>
          <w:tcPr>
            <w:tcW w:w="643" w:type="dxa"/>
            <w:vMerge/>
            <w:tcBorders>
              <w:top w:val="single" w:sz="16" w:space="0" w:color="000000"/>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rPr>
                <w:rFonts w:cs="Times New Roman"/>
                <w:color w:val="000000"/>
                <w:sz w:val="14"/>
                <w:szCs w:val="14"/>
              </w:rPr>
            </w:pPr>
          </w:p>
        </w:tc>
        <w:tc>
          <w:tcPr>
            <w:tcW w:w="643" w:type="dxa"/>
            <w:tcBorders>
              <w:top w:val="nil"/>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rPr>
                <w:rFonts w:cs="Times New Roman"/>
                <w:color w:val="000000"/>
                <w:sz w:val="14"/>
                <w:szCs w:val="14"/>
              </w:rPr>
            </w:pPr>
            <w:r w:rsidRPr="000B5BD1">
              <w:rPr>
                <w:rFonts w:cs="Times New Roman"/>
                <w:color w:val="000000"/>
                <w:sz w:val="14"/>
                <w:szCs w:val="14"/>
              </w:rPr>
              <w:t>Female</w:t>
            </w:r>
          </w:p>
        </w:tc>
        <w:tc>
          <w:tcPr>
            <w:tcW w:w="642" w:type="dxa"/>
            <w:tcBorders>
              <w:top w:val="nil"/>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407</w:t>
            </w:r>
          </w:p>
        </w:tc>
        <w:tc>
          <w:tcPr>
            <w:tcW w:w="642" w:type="dxa"/>
            <w:tcBorders>
              <w:top w:val="nil"/>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94</w:t>
            </w:r>
          </w:p>
        </w:tc>
        <w:tc>
          <w:tcPr>
            <w:tcW w:w="688" w:type="dxa"/>
            <w:tcBorders>
              <w:top w:val="nil"/>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33</w:t>
            </w:r>
          </w:p>
        </w:tc>
        <w:tc>
          <w:tcPr>
            <w:tcW w:w="642" w:type="dxa"/>
            <w:tcBorders>
              <w:top w:val="nil"/>
              <w:left w:val="nil"/>
              <w:bottom w:val="nil"/>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534</w:t>
            </w:r>
          </w:p>
        </w:tc>
      </w:tr>
      <w:tr w:rsidR="000B5BD1" w:rsidRPr="000B5BD1">
        <w:trPr>
          <w:cantSplit/>
        </w:trPr>
        <w:tc>
          <w:tcPr>
            <w:tcW w:w="1286" w:type="dxa"/>
            <w:gridSpan w:val="2"/>
            <w:tcBorders>
              <w:top w:val="nil"/>
              <w:left w:val="nil"/>
              <w:bottom w:val="double" w:sz="8" w:space="0" w:color="000000"/>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rPr>
                <w:rFonts w:cs="Times New Roman"/>
                <w:color w:val="000000"/>
                <w:sz w:val="14"/>
                <w:szCs w:val="14"/>
              </w:rPr>
            </w:pPr>
            <w:r w:rsidRPr="000B5BD1">
              <w:rPr>
                <w:rFonts w:cs="Times New Roman"/>
                <w:color w:val="000000"/>
                <w:sz w:val="14"/>
                <w:szCs w:val="14"/>
              </w:rPr>
              <w:t>Total</w:t>
            </w:r>
          </w:p>
        </w:tc>
        <w:tc>
          <w:tcPr>
            <w:tcW w:w="642" w:type="dxa"/>
            <w:tcBorders>
              <w:top w:val="nil"/>
              <w:left w:val="nil"/>
              <w:bottom w:val="double" w:sz="8" w:space="0" w:color="000000"/>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1122</w:t>
            </w:r>
          </w:p>
        </w:tc>
        <w:tc>
          <w:tcPr>
            <w:tcW w:w="642" w:type="dxa"/>
            <w:tcBorders>
              <w:top w:val="nil"/>
              <w:left w:val="nil"/>
              <w:bottom w:val="double" w:sz="8" w:space="0" w:color="000000"/>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237</w:t>
            </w:r>
          </w:p>
        </w:tc>
        <w:tc>
          <w:tcPr>
            <w:tcW w:w="688" w:type="dxa"/>
            <w:tcBorders>
              <w:top w:val="nil"/>
              <w:left w:val="nil"/>
              <w:bottom w:val="double" w:sz="8" w:space="0" w:color="000000"/>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121</w:t>
            </w:r>
          </w:p>
        </w:tc>
        <w:tc>
          <w:tcPr>
            <w:tcW w:w="642" w:type="dxa"/>
            <w:tcBorders>
              <w:top w:val="nil"/>
              <w:left w:val="nil"/>
              <w:bottom w:val="double" w:sz="8" w:space="0" w:color="000000"/>
              <w:right w:val="nil"/>
            </w:tcBorders>
            <w:shd w:val="clear" w:color="auto" w:fill="FFFFFF"/>
            <w:vAlign w:val="center"/>
          </w:tcPr>
          <w:p w:rsidR="000B5BD1" w:rsidRPr="000B5BD1" w:rsidRDefault="000B5BD1" w:rsidP="000B5BD1">
            <w:pPr>
              <w:autoSpaceDE w:val="0"/>
              <w:autoSpaceDN w:val="0"/>
              <w:adjustRightInd w:val="0"/>
              <w:spacing w:after="0" w:line="240" w:lineRule="auto"/>
              <w:ind w:left="60" w:right="60"/>
              <w:jc w:val="right"/>
              <w:rPr>
                <w:rFonts w:cs="Times New Roman"/>
                <w:color w:val="000000"/>
                <w:sz w:val="14"/>
                <w:szCs w:val="14"/>
              </w:rPr>
            </w:pPr>
            <w:r w:rsidRPr="000B5BD1">
              <w:rPr>
                <w:rFonts w:cs="Times New Roman"/>
                <w:color w:val="000000"/>
                <w:sz w:val="14"/>
                <w:szCs w:val="14"/>
              </w:rPr>
              <w:t>1480</w:t>
            </w:r>
          </w:p>
        </w:tc>
      </w:tr>
    </w:tbl>
    <w:p w:rsidR="008F59A3" w:rsidRDefault="008F59A3" w:rsidP="008072E1">
      <w:pPr>
        <w:autoSpaceDE w:val="0"/>
        <w:autoSpaceDN w:val="0"/>
        <w:adjustRightInd w:val="0"/>
        <w:spacing w:after="0"/>
        <w:rPr>
          <w:rFonts w:cs="Times New Roman"/>
          <w:szCs w:val="24"/>
        </w:rPr>
      </w:pPr>
    </w:p>
    <w:p w:rsidR="008F59A3" w:rsidRDefault="008F59A3" w:rsidP="008072E1">
      <w:pPr>
        <w:autoSpaceDE w:val="0"/>
        <w:autoSpaceDN w:val="0"/>
        <w:adjustRightInd w:val="0"/>
        <w:spacing w:after="0"/>
        <w:rPr>
          <w:rFonts w:cs="Times New Roman"/>
          <w:szCs w:val="24"/>
        </w:rPr>
      </w:pPr>
    </w:p>
    <w:p w:rsidR="008F59A3" w:rsidRDefault="008F59A3" w:rsidP="008072E1">
      <w:pPr>
        <w:autoSpaceDE w:val="0"/>
        <w:autoSpaceDN w:val="0"/>
        <w:adjustRightInd w:val="0"/>
        <w:spacing w:after="0"/>
        <w:rPr>
          <w:rFonts w:cs="Times New Roman"/>
          <w:szCs w:val="24"/>
        </w:rPr>
      </w:pPr>
    </w:p>
    <w:p w:rsidR="007C14C7" w:rsidRDefault="007C14C7" w:rsidP="008072E1">
      <w:pPr>
        <w:autoSpaceDE w:val="0"/>
        <w:autoSpaceDN w:val="0"/>
        <w:adjustRightInd w:val="0"/>
        <w:spacing w:after="0"/>
        <w:rPr>
          <w:rFonts w:cs="Times New Roman"/>
          <w:szCs w:val="24"/>
        </w:rPr>
      </w:pPr>
    </w:p>
    <w:p w:rsidR="007C14C7" w:rsidRPr="000F6960" w:rsidRDefault="007C14C7" w:rsidP="006D5165">
      <w:pPr>
        <w:pStyle w:val="Heading2"/>
      </w:pPr>
      <w:bookmarkStart w:id="30" w:name="_Toc222419114"/>
      <w:bookmarkStart w:id="31" w:name="_Toc227982485"/>
      <w:r w:rsidRPr="007C14C7">
        <w:t xml:space="preserve">Missing Value </w:t>
      </w:r>
      <w:r w:rsidR="00445951">
        <w:t>Analysis and Imputation</w:t>
      </w:r>
      <w:bookmarkEnd w:id="30"/>
      <w:bookmarkEnd w:id="31"/>
    </w:p>
    <w:p w:rsidR="008F59A3" w:rsidRDefault="0080161D" w:rsidP="008F59A3">
      <w:pPr>
        <w:autoSpaceDE w:val="0"/>
        <w:autoSpaceDN w:val="0"/>
        <w:adjustRightInd w:val="0"/>
        <w:spacing w:after="0"/>
        <w:ind w:firstLine="720"/>
        <w:rPr>
          <w:rFonts w:cs="Times New Roman"/>
          <w:szCs w:val="24"/>
        </w:rPr>
      </w:pPr>
      <w:r>
        <w:rPr>
          <w:rFonts w:cs="Times New Roman"/>
          <w:szCs w:val="24"/>
        </w:rPr>
        <w:t xml:space="preserve">A missing value analysis in SPSS 20 </w:t>
      </w:r>
      <w:r w:rsidR="003731B6">
        <w:rPr>
          <w:rFonts w:cs="Times New Roman"/>
          <w:szCs w:val="24"/>
        </w:rPr>
        <w:fldChar w:fldCharType="begin"/>
      </w:r>
      <w:r>
        <w:rPr>
          <w:rFonts w:cs="Times New Roman"/>
          <w:szCs w:val="24"/>
        </w:rPr>
        <w:instrText xml:space="preserve"> ADDIN EN.CITE &lt;EndNote&gt;&lt;Cite&gt;&lt;Author&gt;Corp.&lt;/Author&gt;&lt;Year&gt;2011&lt;/Year&gt;&lt;RecNum&gt;313&lt;/RecNum&gt;&lt;DisplayText&gt;(Corp., 2011)&lt;/DisplayText&gt;&lt;record&gt;&lt;rec-number&gt;313&lt;/rec-number&gt;&lt;foreign-keys&gt;&lt;key app="EN" db-id="20frpf5eyrpavaevz925sv9t29f5epa9pd2z"&gt;313&lt;/key&gt;&lt;/foreign-keys&gt;&lt;ref-type name="Computer Program"&gt;9&lt;/ref-type&gt;&lt;contributors&gt;&lt;authors&gt;&lt;author&gt;IBM Corp.&lt;/author&gt;&lt;/authors&gt;&lt;/contributors&gt;&lt;titles&gt;&lt;title&gt;IBM SPSS Statistics 20&lt;/title&gt;&lt;/titles&gt;&lt;edition&gt;20.0.0.1&lt;/edition&gt;&lt;dates&gt;&lt;year&gt;2011&lt;/year&gt;&lt;/dates&gt;&lt;urls&gt;&lt;/urls&gt;&lt;/record&gt;&lt;/Cite&gt;&lt;/EndNote&gt;</w:instrText>
      </w:r>
      <w:r w:rsidR="003731B6">
        <w:rPr>
          <w:rFonts w:cs="Times New Roman"/>
          <w:szCs w:val="24"/>
        </w:rPr>
        <w:fldChar w:fldCharType="separate"/>
      </w:r>
      <w:r>
        <w:rPr>
          <w:rFonts w:cs="Times New Roman"/>
          <w:noProof/>
          <w:szCs w:val="24"/>
        </w:rPr>
        <w:t>(</w:t>
      </w:r>
      <w:hyperlink w:anchor="_ENREF_12" w:tooltip="Corp., 2011 #313" w:history="1">
        <w:r w:rsidR="001633BC">
          <w:rPr>
            <w:rFonts w:cs="Times New Roman"/>
            <w:noProof/>
            <w:szCs w:val="24"/>
          </w:rPr>
          <w:t>Corp., 2011</w:t>
        </w:r>
      </w:hyperlink>
      <w:r>
        <w:rPr>
          <w:rFonts w:cs="Times New Roman"/>
          <w:noProof/>
          <w:szCs w:val="24"/>
        </w:rPr>
        <w:t>)</w:t>
      </w:r>
      <w:r w:rsidR="003731B6">
        <w:rPr>
          <w:rFonts w:cs="Times New Roman"/>
          <w:szCs w:val="24"/>
        </w:rPr>
        <w:fldChar w:fldCharType="end"/>
      </w:r>
      <w:r>
        <w:rPr>
          <w:rFonts w:cs="Times New Roman"/>
          <w:szCs w:val="24"/>
        </w:rPr>
        <w:t xml:space="preserve"> shows that the percent of missing values on the variables ranges from 3.5-34.5% (Table 5).  A missing value matrix was created with binary variables indicating whether a value is present (0) or absent (1) to help observe missingness on observations.  The values for these variables were summed across rows to yield a total number of missing values on each</w:t>
      </w:r>
      <w:r w:rsidR="0077705E">
        <w:rPr>
          <w:rFonts w:cs="Times New Roman"/>
          <w:szCs w:val="24"/>
        </w:rPr>
        <w:t xml:space="preserve"> observation.  The </w:t>
      </w:r>
      <w:proofErr w:type="gramStart"/>
      <w:r w:rsidR="0077705E">
        <w:rPr>
          <w:rFonts w:cs="Times New Roman"/>
          <w:szCs w:val="24"/>
        </w:rPr>
        <w:t>sum was divided by the total number of variables to give a percentage of observed values for each observation</w:t>
      </w:r>
      <w:proofErr w:type="gramEnd"/>
      <w:r w:rsidR="0077705E">
        <w:rPr>
          <w:rFonts w:cs="Times New Roman"/>
          <w:szCs w:val="24"/>
        </w:rPr>
        <w:t>.  Analyzing missingness by observation for all 24 variables with a h</w:t>
      </w:r>
      <w:r w:rsidR="00803FB7">
        <w:rPr>
          <w:rFonts w:cs="Times New Roman"/>
          <w:szCs w:val="24"/>
        </w:rPr>
        <w:t xml:space="preserve">istogram (Figure 1) shows that about </w:t>
      </w:r>
      <w:r w:rsidR="0077705E">
        <w:rPr>
          <w:rFonts w:cs="Times New Roman"/>
          <w:szCs w:val="24"/>
        </w:rPr>
        <w:t>68% of observations are missin</w:t>
      </w:r>
      <w:r w:rsidR="00803FB7">
        <w:rPr>
          <w:rFonts w:cs="Times New Roman"/>
          <w:szCs w:val="24"/>
        </w:rPr>
        <w:t xml:space="preserve">g 5% or fewer values.  </w:t>
      </w:r>
      <w:r w:rsidR="00760CD7">
        <w:rPr>
          <w:rFonts w:cs="Times New Roman"/>
          <w:szCs w:val="24"/>
        </w:rPr>
        <w:t xml:space="preserve">About </w:t>
      </w:r>
      <w:r w:rsidR="0077705E">
        <w:rPr>
          <w:rFonts w:cs="Times New Roman"/>
          <w:szCs w:val="24"/>
        </w:rPr>
        <w:t>22% of observations are missing between 5% and 21%</w:t>
      </w:r>
      <w:r w:rsidR="00584282">
        <w:rPr>
          <w:rFonts w:cs="Times New Roman"/>
          <w:szCs w:val="24"/>
        </w:rPr>
        <w:t>, while</w:t>
      </w:r>
      <w:r w:rsidR="0077705E">
        <w:rPr>
          <w:rFonts w:cs="Times New Roman"/>
          <w:szCs w:val="24"/>
        </w:rPr>
        <w:t xml:space="preserve"> the rest </w:t>
      </w:r>
      <w:r w:rsidR="00584282">
        <w:rPr>
          <w:rFonts w:cs="Times New Roman"/>
          <w:szCs w:val="24"/>
        </w:rPr>
        <w:t>range</w:t>
      </w:r>
      <w:r w:rsidR="0077705E">
        <w:rPr>
          <w:rFonts w:cs="Times New Roman"/>
          <w:szCs w:val="24"/>
        </w:rPr>
        <w:t xml:space="preserve"> from 21% to 96% of values missing.</w:t>
      </w:r>
    </w:p>
    <w:p w:rsidR="008F59A3" w:rsidRDefault="008F59A3" w:rsidP="008F59A3">
      <w:pPr>
        <w:ind w:firstLine="720"/>
      </w:pPr>
      <w:r>
        <w:rPr>
          <w:rFonts w:cs="Times New Roman"/>
          <w:szCs w:val="24"/>
        </w:rPr>
        <w:tab/>
      </w:r>
      <w:r>
        <w:t xml:space="preserve">The presence of missing values in a data set can affect the results of a statistical analysis.  In the case of discriminant analyses, classifier accuracy on out of sample observations can be significantly reduced </w:t>
      </w:r>
      <w:r w:rsidR="003731B6">
        <w:fldChar w:fldCharType="begin">
          <w:fldData xml:space="preserve">PEVuZE5vdGU+PENpdGU+PEF1dGhvcj5BY3XDsWE8L0F1dGhvcj48WWVhcj4yMDA0PC9ZZWFyPjxS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==
</w:fldData>
        </w:fldChar>
      </w:r>
      <w:r>
        <w:instrText xml:space="preserve"> ADDIN EN.CITE </w:instrText>
      </w:r>
      <w:r w:rsidR="003731B6">
        <w:fldChar w:fldCharType="begin">
          <w:fldData xml:space="preserve">PEVuZE5vdGU+PENpdGU+PEF1dGhvcj5BY3XDsWE8L0F1dGhvcj48WWVhcj4yMDA0PC9ZZWFyPjxS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==
</w:fldData>
        </w:fldChar>
      </w:r>
      <w:r>
        <w:instrText xml:space="preserve"> ADDIN EN.CITE.DATA </w:instrText>
      </w:r>
      <w:r w:rsidR="003731B6">
        <w:fldChar w:fldCharType="end"/>
      </w:r>
      <w:r w:rsidR="003731B6">
        <w:fldChar w:fldCharType="separate"/>
      </w:r>
      <w:r>
        <w:rPr>
          <w:noProof/>
        </w:rPr>
        <w:t>(</w:t>
      </w:r>
      <w:hyperlink w:anchor="_ENREF_64" w:tooltip="Twedt, 1992 #283" w:history="1">
        <w:r w:rsidR="001633BC">
          <w:rPr>
            <w:noProof/>
          </w:rPr>
          <w:t>Twedt and Gill, 1992</w:t>
        </w:r>
      </w:hyperlink>
      <w:r>
        <w:rPr>
          <w:noProof/>
        </w:rPr>
        <w:t xml:space="preserve">; </w:t>
      </w:r>
      <w:hyperlink w:anchor="_ENREF_3" w:tooltip="Acuña, 2004 #211" w:history="1">
        <w:r w:rsidR="001633BC">
          <w:rPr>
            <w:noProof/>
          </w:rPr>
          <w:t>Acuña and Rodriguez, 2004</w:t>
        </w:r>
      </w:hyperlink>
      <w:r>
        <w:rPr>
          <w:noProof/>
        </w:rPr>
        <w:t>)</w:t>
      </w:r>
      <w:r w:rsidR="003731B6">
        <w:fldChar w:fldCharType="end"/>
      </w:r>
      <w:r>
        <w:t xml:space="preserve">.   Whenever there are missing values in a data set, the analyst must come up with a strategy for dealing with them that depends on the pattern, mechanism, and degree of missingness.  Acuña and Rodriguez </w:t>
      </w:r>
      <w:r w:rsidR="003731B6">
        <w:fldChar w:fldCharType="begin"/>
      </w:r>
      <w:r>
        <w:instrText xml:space="preserve"> ADDIN EN.CITE &lt;EndNote&gt;&lt;Cite ExcludeAuth="1"&gt;&lt;Author&gt;Acuña&lt;/Author&gt;&lt;Year&gt;2004&lt;/Year&gt;&lt;RecNum&gt;211&lt;/RecNum&gt;&lt;DisplayText&gt;(2004)&lt;/DisplayText&gt;&lt;record&gt;&lt;rec-number&gt;211&lt;/rec-number&gt;&lt;foreign-keys&gt;&lt;key app="EN" db-id="20frpf5eyrpavaevz925sv9t29f5epa9pd2z"&gt;211&lt;/key&gt;&lt;/foreign-keys&gt;&lt;ref-type name="Journal Article"&gt;17&lt;/ref-type&gt;&lt;contributors&gt;&lt;authors&gt;&lt;author&gt;Acuña, E&lt;/author&gt;&lt;author&gt;Rodriguez, C.&lt;/author&gt;&lt;/authors&gt;&lt;/contributors&gt;&lt;titles&gt;&lt;title&gt;The treatment of missing values and its effect on classifier accuracy&lt;/title&gt;&lt;secondary-title&gt;Classification, Clustering, and Data Mining Applications&lt;/secondary-title&gt;&lt;/titles&gt;&lt;periodical&gt;&lt;full-title&gt;Classification, Clustering, and Data Mining Applications&lt;/full-title&gt;&lt;/periodical&gt;&lt;pages&gt;639-647&lt;/pages&gt;&lt;dates&gt;&lt;year&gt;2004&lt;/year&gt;&lt;/dates&gt;&lt;publisher&gt;Springer&lt;/publisher&gt;&lt;accession-num&gt;16302329974621801940related:1A2JDL2CPeIJ&lt;/accession-num&gt;&lt;label&gt;r03402&lt;/label&gt;&lt;urls&gt;&lt;related-urls&gt;&lt;url&gt;http://www.springerlink.com/index/R5716059P702735L.pdf&lt;/url&gt;&lt;/related-urls&gt;&lt;pdf-urls&gt;&lt;url&gt;file://localhost/Users/mercergm/Library/Application%20Support/Papers2/Articles/2004/Acu%C3%B1a/2004%20Acu%C3%B1a.pdf&lt;/url&gt;&lt;/pdf-urls&gt;&lt;/urls&gt;&lt;custom3&gt;papers2://publication/uuid/3CC9C21B-5436-460F-AEFF-C55E99FE972E&lt;/custom3&gt;&lt;/record&gt;&lt;/Cite&gt;&lt;/EndNote&gt;</w:instrText>
      </w:r>
      <w:r w:rsidR="003731B6">
        <w:fldChar w:fldCharType="separate"/>
      </w:r>
      <w:r>
        <w:rPr>
          <w:noProof/>
        </w:rPr>
        <w:t>(</w:t>
      </w:r>
      <w:hyperlink w:anchor="_ENREF_3" w:tooltip="Acuña, 2004 #211" w:history="1">
        <w:r w:rsidR="001633BC">
          <w:rPr>
            <w:noProof/>
          </w:rPr>
          <w:t>2004</w:t>
        </w:r>
      </w:hyperlink>
      <w:r>
        <w:rPr>
          <w:noProof/>
        </w:rPr>
        <w:t>)</w:t>
      </w:r>
      <w:r w:rsidR="003731B6">
        <w:fldChar w:fldCharType="end"/>
      </w:r>
      <w:r>
        <w:t xml:space="preserve"> describe three general classes of methods for handling missing values:  (1) case deletion; (2) parameter estimation; and (3) imputation techniques.  Various methods fall under each category, such as complete-case analysis for the first, expectation maximization for the second, and regression estimation for the third.  They also describe the impact that degrees of missingness can have on selecting an imputation method stating, “Rates of less than 1% missing data are generally considered trivial, 1-5% manageable.  However, 5-15% require sophisticated methods to handle, and more than 15% may severely impact any kind of interpretation” </w:t>
      </w:r>
      <w:r w:rsidR="003731B6">
        <w:fldChar w:fldCharType="begin"/>
      </w:r>
      <w:r>
        <w:instrText xml:space="preserve"> ADDIN EN.CITE &lt;EndNote&gt;&lt;Cite&gt;&lt;Author&gt;Acuña&lt;/Author&gt;&lt;Year&gt;2004&lt;/Year&gt;&lt;RecNum&gt;211&lt;/RecNum&gt;&lt;Suffix&gt;:639&lt;/Suffix&gt;&lt;DisplayText&gt;(Acuña and Rodriguez, 2004:639)&lt;/DisplayText&gt;&lt;record&gt;&lt;rec-number&gt;211&lt;/rec-number&gt;&lt;foreign-keys&gt;&lt;key app="EN" db-id="20frpf5eyrpavaevz925sv9t29f5epa9pd2z"&gt;211&lt;/key&gt;&lt;/foreign-keys&gt;&lt;ref-type name="Journal Article"&gt;17&lt;/ref-type&gt;&lt;contributors&gt;&lt;authors&gt;&lt;author&gt;Acuña, E&lt;/author&gt;&lt;author&gt;Rodriguez, C.&lt;/author&gt;&lt;/authors&gt;&lt;/contributors&gt;&lt;titles&gt;&lt;title&gt;The treatment of missing values and its effect on classifier accuracy&lt;/title&gt;&lt;secondary-title&gt;Classification, Clustering, and Data Mining Applications&lt;/secondary-title&gt;&lt;/titles&gt;&lt;periodical&gt;&lt;full-title&gt;Classification, Clustering, and Data Mining Applications&lt;/full-title&gt;&lt;/periodical&gt;&lt;pages&gt;639-647&lt;/pages&gt;&lt;dates&gt;&lt;year&gt;2004&lt;/year&gt;&lt;/dates&gt;&lt;publisher&gt;Springer&lt;/publisher&gt;&lt;accession-num&gt;16302329974621801940related:1A2JDL2CPeIJ&lt;/accession-num&gt;&lt;label&gt;r03402&lt;/label&gt;&lt;urls&gt;&lt;related-urls&gt;&lt;url&gt;http://www.springerlink.com/index/R5716059P702735L.pdf&lt;/url&gt;&lt;/related-urls&gt;&lt;pdf-urls&gt;&lt;url&gt;file://localhost/Users/mercergm/Library/Application%20Support/Papers2/Articles/2004/Acu%C3%B1a/2004%20Acu%C3%B1a.pdf&lt;/url&gt;&lt;/pdf-urls&gt;&lt;/urls&gt;&lt;custom3&gt;papers2://publication/uuid/3CC9C21B-5436-460F-AEFF-C55E99FE972E&lt;/custom3&gt;&lt;/record&gt;&lt;/Cite&gt;&lt;/EndNote&gt;</w:instrText>
      </w:r>
      <w:r w:rsidR="003731B6">
        <w:fldChar w:fldCharType="separate"/>
      </w:r>
      <w:r>
        <w:rPr>
          <w:noProof/>
        </w:rPr>
        <w:t>(</w:t>
      </w:r>
      <w:hyperlink w:anchor="_ENREF_3" w:tooltip="Acuña, 2004 #211" w:history="1">
        <w:r w:rsidR="001633BC">
          <w:rPr>
            <w:noProof/>
          </w:rPr>
          <w:t>Acuña and Rodriguez, 2004:639</w:t>
        </w:r>
      </w:hyperlink>
      <w:r>
        <w:rPr>
          <w:noProof/>
        </w:rPr>
        <w:t>)</w:t>
      </w:r>
      <w:r w:rsidR="003731B6">
        <w:fldChar w:fldCharType="end"/>
      </w:r>
      <w:r>
        <w:t>.  The problem of missing values in this analysis is handled with a combination of case deletion and regression imputation techniques.</w:t>
      </w:r>
    </w:p>
    <w:p w:rsidR="00DF5C93" w:rsidRPr="008512A3" w:rsidRDefault="00DF5C93" w:rsidP="0024354B">
      <w:pPr>
        <w:pStyle w:val="Caption"/>
      </w:pPr>
      <w:bookmarkStart w:id="32" w:name="_Toc227982513"/>
      <w:proofErr w:type="gramStart"/>
      <w:r w:rsidRPr="008512A3">
        <w:t xml:space="preserve">Table </w:t>
      </w:r>
      <w:r w:rsidR="003731B6" w:rsidRPr="008512A3">
        <w:fldChar w:fldCharType="begin"/>
      </w:r>
      <w:r w:rsidRPr="008512A3">
        <w:instrText xml:space="preserve"> SEQ Table \* ARABIC </w:instrText>
      </w:r>
      <w:r w:rsidR="003731B6" w:rsidRPr="008512A3">
        <w:fldChar w:fldCharType="separate"/>
      </w:r>
      <w:r w:rsidR="001633BC">
        <w:rPr>
          <w:noProof/>
        </w:rPr>
        <w:t>5</w:t>
      </w:r>
      <w:r w:rsidR="003731B6" w:rsidRPr="008512A3">
        <w:fldChar w:fldCharType="end"/>
      </w:r>
      <w:r w:rsidRPr="008512A3">
        <w:t>.</w:t>
      </w:r>
      <w:proofErr w:type="gramEnd"/>
      <w:r w:rsidRPr="008512A3">
        <w:t xml:space="preserve">  Missing values by variable.</w:t>
      </w:r>
      <w:bookmarkEnd w:id="32"/>
    </w:p>
    <w:tbl>
      <w:tblPr>
        <w:tblW w:w="55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43"/>
        <w:gridCol w:w="643"/>
        <w:gridCol w:w="642"/>
        <w:gridCol w:w="1056"/>
        <w:gridCol w:w="642"/>
        <w:gridCol w:w="642"/>
        <w:gridCol w:w="642"/>
        <w:gridCol w:w="642"/>
      </w:tblGrid>
      <w:tr w:rsidR="00DF5C93" w:rsidRPr="008B41C8">
        <w:trPr>
          <w:cantSplit/>
        </w:trPr>
        <w:tc>
          <w:tcPr>
            <w:tcW w:w="5552" w:type="dxa"/>
            <w:gridSpan w:val="8"/>
            <w:tcBorders>
              <w:top w:val="nil"/>
              <w:left w:val="nil"/>
              <w:bottom w:val="nil"/>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b/>
                <w:bCs/>
                <w:color w:val="000000"/>
                <w:sz w:val="14"/>
                <w:szCs w:val="14"/>
              </w:rPr>
              <w:t>Univariate Statistics</w:t>
            </w:r>
          </w:p>
        </w:tc>
      </w:tr>
      <w:tr w:rsidR="00DF5C93" w:rsidRPr="008B41C8">
        <w:trPr>
          <w:cantSplit/>
        </w:trPr>
        <w:tc>
          <w:tcPr>
            <w:tcW w:w="643" w:type="dxa"/>
            <w:vMerge w:val="restart"/>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240" w:lineRule="auto"/>
              <w:rPr>
                <w:rFonts w:cs="Times New Roman"/>
                <w:szCs w:val="24"/>
              </w:rPr>
            </w:pPr>
          </w:p>
        </w:tc>
        <w:tc>
          <w:tcPr>
            <w:tcW w:w="643" w:type="dxa"/>
            <w:vMerge w:val="restart"/>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color w:val="000000"/>
                <w:sz w:val="14"/>
                <w:szCs w:val="14"/>
              </w:rPr>
              <w:t>N</w:t>
            </w:r>
          </w:p>
        </w:tc>
        <w:tc>
          <w:tcPr>
            <w:tcW w:w="642" w:type="dxa"/>
            <w:vMerge w:val="restart"/>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color w:val="000000"/>
                <w:sz w:val="14"/>
                <w:szCs w:val="14"/>
              </w:rPr>
              <w:t>Mean</w:t>
            </w:r>
          </w:p>
        </w:tc>
        <w:tc>
          <w:tcPr>
            <w:tcW w:w="1056" w:type="dxa"/>
            <w:vMerge w:val="restart"/>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color w:val="000000"/>
                <w:sz w:val="14"/>
                <w:szCs w:val="14"/>
              </w:rPr>
              <w:t>Std. Deviation</w:t>
            </w:r>
          </w:p>
        </w:tc>
        <w:tc>
          <w:tcPr>
            <w:tcW w:w="1284" w:type="dxa"/>
            <w:gridSpan w:val="2"/>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color w:val="000000"/>
                <w:sz w:val="14"/>
                <w:szCs w:val="14"/>
              </w:rPr>
              <w:t>Missing</w:t>
            </w:r>
          </w:p>
        </w:tc>
        <w:tc>
          <w:tcPr>
            <w:tcW w:w="1284" w:type="dxa"/>
            <w:gridSpan w:val="2"/>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color w:val="000000"/>
                <w:sz w:val="14"/>
                <w:szCs w:val="14"/>
              </w:rPr>
              <w:t xml:space="preserve">No. </w:t>
            </w:r>
            <w:proofErr w:type="gramStart"/>
            <w:r w:rsidRPr="008B41C8">
              <w:rPr>
                <w:rFonts w:cs="Times New Roman"/>
                <w:color w:val="000000"/>
                <w:sz w:val="14"/>
                <w:szCs w:val="14"/>
              </w:rPr>
              <w:t>of</w:t>
            </w:r>
            <w:proofErr w:type="gramEnd"/>
            <w:r w:rsidRPr="008B41C8">
              <w:rPr>
                <w:rFonts w:cs="Times New Roman"/>
                <w:color w:val="000000"/>
                <w:sz w:val="14"/>
                <w:szCs w:val="14"/>
              </w:rPr>
              <w:t xml:space="preserve"> Extremes</w:t>
            </w:r>
            <w:r w:rsidRPr="008B41C8">
              <w:rPr>
                <w:rFonts w:cs="Times New Roman"/>
                <w:color w:val="000000"/>
                <w:sz w:val="14"/>
                <w:szCs w:val="14"/>
                <w:vertAlign w:val="superscript"/>
              </w:rPr>
              <w:t>a</w:t>
            </w:r>
          </w:p>
        </w:tc>
      </w:tr>
      <w:tr w:rsidR="00DF5C93" w:rsidRPr="008B41C8">
        <w:trPr>
          <w:cantSplit/>
        </w:trPr>
        <w:tc>
          <w:tcPr>
            <w:tcW w:w="643" w:type="dxa"/>
            <w:vMerge/>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240" w:lineRule="auto"/>
              <w:rPr>
                <w:rFonts w:cs="Times New Roman"/>
                <w:color w:val="000000"/>
                <w:sz w:val="14"/>
                <w:szCs w:val="14"/>
              </w:rPr>
            </w:pPr>
          </w:p>
        </w:tc>
        <w:tc>
          <w:tcPr>
            <w:tcW w:w="643" w:type="dxa"/>
            <w:vMerge/>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240" w:lineRule="auto"/>
              <w:rPr>
                <w:rFonts w:cs="Times New Roman"/>
                <w:color w:val="000000"/>
                <w:sz w:val="14"/>
                <w:szCs w:val="14"/>
              </w:rPr>
            </w:pPr>
          </w:p>
        </w:tc>
        <w:tc>
          <w:tcPr>
            <w:tcW w:w="642" w:type="dxa"/>
            <w:vMerge/>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240" w:lineRule="auto"/>
              <w:rPr>
                <w:rFonts w:cs="Times New Roman"/>
                <w:color w:val="000000"/>
                <w:sz w:val="14"/>
                <w:szCs w:val="14"/>
              </w:rPr>
            </w:pPr>
          </w:p>
        </w:tc>
        <w:tc>
          <w:tcPr>
            <w:tcW w:w="1056" w:type="dxa"/>
            <w:vMerge/>
            <w:tcBorders>
              <w:top w:val="double" w:sz="8" w:space="0" w:color="000000"/>
              <w:left w:val="nil"/>
              <w:bottom w:val="nil"/>
              <w:right w:val="nil"/>
            </w:tcBorders>
            <w:shd w:val="clear" w:color="auto" w:fill="FFFFFF"/>
          </w:tcPr>
          <w:p w:rsidR="00DF5C93" w:rsidRPr="008B41C8" w:rsidRDefault="00DF5C93" w:rsidP="008B41C8">
            <w:pPr>
              <w:autoSpaceDE w:val="0"/>
              <w:autoSpaceDN w:val="0"/>
              <w:adjustRightInd w:val="0"/>
              <w:spacing w:after="0" w:line="240" w:lineRule="auto"/>
              <w:rPr>
                <w:rFonts w:cs="Times New Roman"/>
                <w:color w:val="000000"/>
                <w:sz w:val="14"/>
                <w:szCs w:val="14"/>
              </w:rPr>
            </w:pPr>
          </w:p>
        </w:tc>
        <w:tc>
          <w:tcPr>
            <w:tcW w:w="642" w:type="dxa"/>
            <w:tcBorders>
              <w:top w:val="nil"/>
              <w:left w:val="nil"/>
              <w:bottom w:val="single" w:sz="16" w:space="0" w:color="000000"/>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color w:val="000000"/>
                <w:sz w:val="14"/>
                <w:szCs w:val="14"/>
              </w:rPr>
              <w:t>Count</w:t>
            </w:r>
          </w:p>
        </w:tc>
        <w:tc>
          <w:tcPr>
            <w:tcW w:w="642" w:type="dxa"/>
            <w:tcBorders>
              <w:top w:val="nil"/>
              <w:left w:val="nil"/>
              <w:bottom w:val="single" w:sz="16" w:space="0" w:color="000000"/>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color w:val="000000"/>
                <w:sz w:val="14"/>
                <w:szCs w:val="14"/>
              </w:rPr>
              <w:t>Percent</w:t>
            </w:r>
          </w:p>
        </w:tc>
        <w:tc>
          <w:tcPr>
            <w:tcW w:w="642" w:type="dxa"/>
            <w:tcBorders>
              <w:top w:val="nil"/>
              <w:left w:val="nil"/>
              <w:bottom w:val="single" w:sz="16" w:space="0" w:color="000000"/>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color w:val="000000"/>
                <w:sz w:val="14"/>
                <w:szCs w:val="14"/>
              </w:rPr>
              <w:t>Low</w:t>
            </w:r>
          </w:p>
        </w:tc>
        <w:tc>
          <w:tcPr>
            <w:tcW w:w="642" w:type="dxa"/>
            <w:tcBorders>
              <w:top w:val="nil"/>
              <w:left w:val="nil"/>
              <w:bottom w:val="single" w:sz="16" w:space="0" w:color="000000"/>
              <w:right w:val="nil"/>
            </w:tcBorders>
            <w:shd w:val="clear" w:color="auto" w:fill="FFFFFF"/>
          </w:tcPr>
          <w:p w:rsidR="00DF5C93" w:rsidRPr="008B41C8" w:rsidRDefault="00DF5C93" w:rsidP="008B41C8">
            <w:pPr>
              <w:autoSpaceDE w:val="0"/>
              <w:autoSpaceDN w:val="0"/>
              <w:adjustRightInd w:val="0"/>
              <w:spacing w:after="0" w:line="320" w:lineRule="atLeast"/>
              <w:ind w:left="60" w:right="60"/>
              <w:jc w:val="center"/>
              <w:rPr>
                <w:rFonts w:cs="Times New Roman"/>
                <w:color w:val="000000"/>
                <w:sz w:val="14"/>
                <w:szCs w:val="14"/>
              </w:rPr>
            </w:pPr>
            <w:r w:rsidRPr="008B41C8">
              <w:rPr>
                <w:rFonts w:cs="Times New Roman"/>
                <w:color w:val="000000"/>
                <w:sz w:val="14"/>
                <w:szCs w:val="14"/>
              </w:rPr>
              <w:t>High</w:t>
            </w:r>
          </w:p>
        </w:tc>
      </w:tr>
      <w:tr w:rsidR="00DF5C93" w:rsidRPr="008B41C8">
        <w:trPr>
          <w:cantSplit/>
        </w:trPr>
        <w:tc>
          <w:tcPr>
            <w:tcW w:w="643" w:type="dxa"/>
            <w:tcBorders>
              <w:top w:val="single" w:sz="16" w:space="0" w:color="000000"/>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GOL</w:t>
            </w:r>
          </w:p>
        </w:tc>
        <w:tc>
          <w:tcPr>
            <w:tcW w:w="643" w:type="dxa"/>
            <w:tcBorders>
              <w:top w:val="single" w:sz="16" w:space="0" w:color="000000"/>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1428</w:t>
            </w:r>
          </w:p>
        </w:tc>
        <w:tc>
          <w:tcPr>
            <w:tcW w:w="642" w:type="dxa"/>
            <w:tcBorders>
              <w:top w:val="single" w:sz="16" w:space="0" w:color="000000"/>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183.17</w:t>
            </w:r>
          </w:p>
        </w:tc>
        <w:tc>
          <w:tcPr>
            <w:tcW w:w="1056" w:type="dxa"/>
            <w:tcBorders>
              <w:top w:val="single" w:sz="16" w:space="0" w:color="000000"/>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9.008</w:t>
            </w:r>
          </w:p>
        </w:tc>
        <w:tc>
          <w:tcPr>
            <w:tcW w:w="642" w:type="dxa"/>
            <w:tcBorders>
              <w:top w:val="single" w:sz="16" w:space="0" w:color="000000"/>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52</w:t>
            </w:r>
          </w:p>
        </w:tc>
        <w:tc>
          <w:tcPr>
            <w:tcW w:w="642" w:type="dxa"/>
            <w:tcBorders>
              <w:top w:val="single" w:sz="16" w:space="0" w:color="000000"/>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3.5</w:t>
            </w:r>
          </w:p>
        </w:tc>
        <w:tc>
          <w:tcPr>
            <w:tcW w:w="642" w:type="dxa"/>
            <w:tcBorders>
              <w:top w:val="single" w:sz="16" w:space="0" w:color="000000"/>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w:t>
            </w:r>
          </w:p>
        </w:tc>
        <w:tc>
          <w:tcPr>
            <w:tcW w:w="642" w:type="dxa"/>
            <w:tcBorders>
              <w:top w:val="single" w:sz="16" w:space="0" w:color="000000"/>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XCB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1419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137.73</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6.230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17</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ZYB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1367</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126.56</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7.181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113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BBH</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1414</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137.84</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6.456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BNL</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1408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102.66</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5.861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BPL</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1256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95.93</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7.221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224</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15.1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MAB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970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61.24</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5.108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510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34.5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MAL</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1185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52.99</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4.751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295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19.9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AUB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1332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120.70</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6.085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148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10.0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UFHT</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1175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69.79</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7.380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305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20.6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WFB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1387</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95.19</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7.476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UFBR</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1201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103.17</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5.183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279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18.9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18</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NLH</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1359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51.17</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3.813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8.2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NLB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1390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23.86</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2.352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11</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OBB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1368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40.20</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2.565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112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8</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OBH</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1377</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34.09</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2.255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103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EKB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1302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96.41</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4.743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178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DKB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1324</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21.04</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2.747</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156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10.5</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FRC</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1374</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112.34</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5.941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106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6</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PAC</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1372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115.45</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7.119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108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OCC</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1364</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99.22</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5.959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116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14</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FOL</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1364</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36.65</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2.663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116</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7.8</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20</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22</w:t>
            </w:r>
          </w:p>
        </w:tc>
      </w:tr>
      <w:tr w:rsidR="00DF5C93" w:rsidRPr="008B41C8">
        <w:trPr>
          <w:cantSplit/>
        </w:trPr>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FOB</w:t>
            </w:r>
          </w:p>
        </w:tc>
        <w:tc>
          <w:tcPr>
            <w:tcW w:w="643"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1271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31.07</w:t>
            </w:r>
          </w:p>
        </w:tc>
        <w:tc>
          <w:tcPr>
            <w:tcW w:w="1056"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2.573</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209</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14.1</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2</w:t>
            </w:r>
          </w:p>
        </w:tc>
        <w:tc>
          <w:tcPr>
            <w:tcW w:w="642" w:type="dxa"/>
            <w:tcBorders>
              <w:top w:val="nil"/>
              <w:left w:val="nil"/>
              <w:bottom w:val="nil"/>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w:t>
            </w:r>
          </w:p>
        </w:tc>
      </w:tr>
      <w:tr w:rsidR="00DF5C93" w:rsidRPr="008B41C8">
        <w:trPr>
          <w:cantSplit/>
        </w:trPr>
        <w:tc>
          <w:tcPr>
            <w:tcW w:w="643" w:type="dxa"/>
            <w:tcBorders>
              <w:top w:val="nil"/>
              <w:left w:val="nil"/>
              <w:bottom w:val="double" w:sz="8" w:space="0" w:color="000000"/>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MDH</w:t>
            </w:r>
          </w:p>
        </w:tc>
        <w:tc>
          <w:tcPr>
            <w:tcW w:w="643" w:type="dxa"/>
            <w:tcBorders>
              <w:top w:val="nil"/>
              <w:left w:val="nil"/>
              <w:bottom w:val="double" w:sz="8" w:space="0" w:color="000000"/>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1356</w:t>
            </w:r>
          </w:p>
        </w:tc>
        <w:tc>
          <w:tcPr>
            <w:tcW w:w="642" w:type="dxa"/>
            <w:tcBorders>
              <w:top w:val="nil"/>
              <w:left w:val="nil"/>
              <w:bottom w:val="double" w:sz="8" w:space="0" w:color="000000"/>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30.10</w:t>
            </w:r>
          </w:p>
        </w:tc>
        <w:tc>
          <w:tcPr>
            <w:tcW w:w="1056" w:type="dxa"/>
            <w:tcBorders>
              <w:top w:val="nil"/>
              <w:left w:val="nil"/>
              <w:bottom w:val="double" w:sz="8" w:space="0" w:color="000000"/>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4.891</w:t>
            </w:r>
          </w:p>
        </w:tc>
        <w:tc>
          <w:tcPr>
            <w:tcW w:w="642" w:type="dxa"/>
            <w:tcBorders>
              <w:top w:val="nil"/>
              <w:left w:val="nil"/>
              <w:bottom w:val="double" w:sz="8" w:space="0" w:color="000000"/>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124</w:t>
            </w:r>
          </w:p>
        </w:tc>
        <w:tc>
          <w:tcPr>
            <w:tcW w:w="642" w:type="dxa"/>
            <w:tcBorders>
              <w:top w:val="nil"/>
              <w:left w:val="nil"/>
              <w:bottom w:val="double" w:sz="8" w:space="0" w:color="000000"/>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8.4</w:t>
            </w:r>
          </w:p>
        </w:tc>
        <w:tc>
          <w:tcPr>
            <w:tcW w:w="642" w:type="dxa"/>
            <w:tcBorders>
              <w:top w:val="nil"/>
              <w:left w:val="nil"/>
              <w:bottom w:val="double" w:sz="8" w:space="0" w:color="000000"/>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12</w:t>
            </w:r>
          </w:p>
        </w:tc>
        <w:tc>
          <w:tcPr>
            <w:tcW w:w="642" w:type="dxa"/>
            <w:tcBorders>
              <w:top w:val="nil"/>
              <w:left w:val="nil"/>
              <w:bottom w:val="double" w:sz="8" w:space="0" w:color="000000"/>
              <w:right w:val="nil"/>
            </w:tcBorders>
            <w:shd w:val="clear" w:color="auto" w:fill="FFFFFF"/>
            <w:vAlign w:val="center"/>
          </w:tcPr>
          <w:p w:rsidR="00DF5C93" w:rsidRPr="008B41C8" w:rsidRDefault="00DF5C93" w:rsidP="008B41C8">
            <w:pPr>
              <w:autoSpaceDE w:val="0"/>
              <w:autoSpaceDN w:val="0"/>
              <w:adjustRightInd w:val="0"/>
              <w:spacing w:after="0" w:line="320" w:lineRule="atLeast"/>
              <w:ind w:left="60" w:right="60"/>
              <w:jc w:val="right"/>
              <w:rPr>
                <w:rFonts w:cs="Times New Roman"/>
                <w:color w:val="000000"/>
                <w:sz w:val="14"/>
                <w:szCs w:val="14"/>
              </w:rPr>
            </w:pPr>
            <w:r w:rsidRPr="008B41C8">
              <w:rPr>
                <w:rFonts w:cs="Times New Roman"/>
                <w:color w:val="000000"/>
                <w:sz w:val="14"/>
                <w:szCs w:val="14"/>
              </w:rPr>
              <w:t>8</w:t>
            </w:r>
          </w:p>
        </w:tc>
      </w:tr>
      <w:tr w:rsidR="00DF5C93" w:rsidRPr="008B41C8">
        <w:trPr>
          <w:cantSplit/>
        </w:trPr>
        <w:tc>
          <w:tcPr>
            <w:tcW w:w="5552" w:type="dxa"/>
            <w:gridSpan w:val="8"/>
            <w:tcBorders>
              <w:top w:val="nil"/>
              <w:left w:val="nil"/>
              <w:bottom w:val="nil"/>
              <w:right w:val="nil"/>
            </w:tcBorders>
            <w:shd w:val="clear" w:color="auto" w:fill="FFFFFF"/>
          </w:tcPr>
          <w:p w:rsidR="00DF5C93" w:rsidRPr="008B41C8" w:rsidRDefault="00DF5C93" w:rsidP="008B41C8">
            <w:pPr>
              <w:autoSpaceDE w:val="0"/>
              <w:autoSpaceDN w:val="0"/>
              <w:adjustRightInd w:val="0"/>
              <w:spacing w:after="0" w:line="320" w:lineRule="atLeast"/>
              <w:ind w:left="60" w:right="60"/>
              <w:rPr>
                <w:rFonts w:cs="Times New Roman"/>
                <w:color w:val="000000"/>
                <w:sz w:val="14"/>
                <w:szCs w:val="14"/>
              </w:rPr>
            </w:pPr>
            <w:r w:rsidRPr="008B41C8">
              <w:rPr>
                <w:rFonts w:cs="Times New Roman"/>
                <w:color w:val="000000"/>
                <w:sz w:val="14"/>
                <w:szCs w:val="14"/>
              </w:rPr>
              <w:t>a. Number of cases outside the range (Q1 - 1.5*IQR, Q3 + 1.5*IQR).</w:t>
            </w:r>
          </w:p>
        </w:tc>
      </w:tr>
    </w:tbl>
    <w:p w:rsidR="008F59A3" w:rsidRDefault="008F59A3" w:rsidP="008F59A3"/>
    <w:p w:rsidR="008F59A3" w:rsidRDefault="008F59A3" w:rsidP="008F59A3"/>
    <w:p w:rsidR="008F59A3" w:rsidRDefault="008F59A3" w:rsidP="008F59A3">
      <w:pPr>
        <w:keepNext/>
      </w:pPr>
      <w:r w:rsidRPr="008F59A3">
        <w:rPr>
          <w:noProof/>
        </w:rPr>
        <w:drawing>
          <wp:inline distT="0" distB="0" distL="0" distR="0">
            <wp:extent cx="4933950" cy="3838575"/>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3950" cy="3838575"/>
                    </a:xfrm>
                    <a:prstGeom prst="rect">
                      <a:avLst/>
                    </a:prstGeom>
                    <a:noFill/>
                    <a:ln>
                      <a:noFill/>
                    </a:ln>
                  </pic:spPr>
                </pic:pic>
              </a:graphicData>
            </a:graphic>
          </wp:inline>
        </w:drawing>
      </w:r>
    </w:p>
    <w:p w:rsidR="008F59A3" w:rsidRDefault="008F59A3" w:rsidP="008F59A3">
      <w:pPr>
        <w:pStyle w:val="Caption"/>
      </w:pPr>
      <w:bookmarkStart w:id="33" w:name="_Toc227139298"/>
      <w:proofErr w:type="gramStart"/>
      <w:r>
        <w:t xml:space="preserve">Figure </w:t>
      </w:r>
      <w:fldSimple w:instr=" SEQ Figure \* ARABIC ">
        <w:r w:rsidR="001633BC">
          <w:rPr>
            <w:noProof/>
          </w:rPr>
          <w:t>1</w:t>
        </w:r>
      </w:fldSimple>
      <w:r>
        <w:t>.</w:t>
      </w:r>
      <w:proofErr w:type="gramEnd"/>
      <w:r>
        <w:t xml:space="preserve"> Percent of observations by percent missing values</w:t>
      </w:r>
      <w:bookmarkEnd w:id="33"/>
    </w:p>
    <w:p w:rsidR="00ED7770" w:rsidRPr="008F59A3" w:rsidRDefault="00ED7770" w:rsidP="008F59A3"/>
    <w:p w:rsidR="00F074B2" w:rsidRPr="00F074B2" w:rsidRDefault="00F074B2" w:rsidP="005F2F7C">
      <w:pPr>
        <w:pStyle w:val="Heading3"/>
      </w:pPr>
      <w:bookmarkStart w:id="34" w:name="_Toc222419115"/>
      <w:bookmarkStart w:id="35" w:name="_Toc227982486"/>
      <w:r>
        <w:t>Case Deletion</w:t>
      </w:r>
      <w:bookmarkEnd w:id="34"/>
      <w:bookmarkEnd w:id="35"/>
    </w:p>
    <w:p w:rsidR="00392D2D" w:rsidRDefault="00A67D6D" w:rsidP="00F074B2">
      <w:pPr>
        <w:ind w:firstLine="720"/>
      </w:pPr>
      <w:r>
        <w:t xml:space="preserve">Case deletion techniques are easy to use and widely applied </w:t>
      </w:r>
      <w:r w:rsidR="003731B6">
        <w:fldChar w:fldCharType="begin"/>
      </w:r>
      <w:r>
        <w:instrText xml:space="preserve"> ADDIN EN.CITE &lt;EndNote&gt;&lt;Cite&gt;&lt;Author&gt;Acuña&lt;/Author&gt;&lt;Year&gt;2004&lt;/Year&gt;&lt;RecNum&gt;211&lt;/RecNum&gt;&lt;DisplayText&gt;(Acuña and Rodriguez, 2004)&lt;/DisplayText&gt;&lt;record&gt;&lt;rec-number&gt;211&lt;/rec-number&gt;&lt;foreign-keys&gt;&lt;key app="EN" db-id="20frpf5eyrpavaevz925sv9t29f5epa9pd2z"&gt;211&lt;/key&gt;&lt;/foreign-keys&gt;&lt;ref-type name="Journal Article"&gt;17&lt;/ref-type&gt;&lt;contributors&gt;&lt;authors&gt;&lt;author&gt;Acuña, E&lt;/author&gt;&lt;author&gt;Rodriguez, C.&lt;/author&gt;&lt;/authors&gt;&lt;/contributors&gt;&lt;titles&gt;&lt;title&gt;The treatment of missing values and its effect on classifier accuracy&lt;/title&gt;&lt;secondary-title&gt;Classification, Clustering, and Data Mining Applications&lt;/secondary-title&gt;&lt;/titles&gt;&lt;periodical&gt;&lt;full-title&gt;Classification, Clustering, and Data Mining Applications&lt;/full-title&gt;&lt;/periodical&gt;&lt;pages&gt;639-647&lt;/pages&gt;&lt;dates&gt;&lt;year&gt;2004&lt;/year&gt;&lt;/dates&gt;&lt;publisher&gt;Springer&lt;/publisher&gt;&lt;accession-num&gt;16302329974621801940related:1A2JDL2CPeIJ&lt;/accession-num&gt;&lt;label&gt;r03402&lt;/label&gt;&lt;urls&gt;&lt;related-urls&gt;&lt;url&gt;http://www.springerlink.com/index/R5716059P702735L.pdf&lt;/url&gt;&lt;/related-urls&gt;&lt;pdf-urls&gt;&lt;url&gt;file://localhost/Users/mercergm/Library/Application%20Support/Papers2/Articles/2004/Acu%C3%B1a/2004%20Acu%C3%B1a.pdf&lt;/url&gt;&lt;/pdf-urls&gt;&lt;/urls&gt;&lt;custom3&gt;papers2://publication/uuid/3CC9C21B-5436-460F-AEFF-C55E99FE972E&lt;/custom3&gt;&lt;/record&gt;&lt;/Cite&gt;&lt;/EndNote&gt;</w:instrText>
      </w:r>
      <w:r w:rsidR="003731B6">
        <w:fldChar w:fldCharType="separate"/>
      </w:r>
      <w:r>
        <w:rPr>
          <w:noProof/>
        </w:rPr>
        <w:t>(</w:t>
      </w:r>
      <w:hyperlink w:anchor="_ENREF_3" w:tooltip="Acuña, 2004 #211" w:history="1">
        <w:r w:rsidR="001633BC">
          <w:rPr>
            <w:noProof/>
          </w:rPr>
          <w:t>Acuña and Rodriguez, 2004</w:t>
        </w:r>
      </w:hyperlink>
      <w:r>
        <w:rPr>
          <w:noProof/>
        </w:rPr>
        <w:t>)</w:t>
      </w:r>
      <w:r w:rsidR="003731B6">
        <w:fldChar w:fldCharType="end"/>
      </w:r>
      <w:r>
        <w:t xml:space="preserve">.  They tend to limit the analysis to include only </w:t>
      </w:r>
      <w:r w:rsidR="00110DD8">
        <w:t>cases</w:t>
      </w:r>
      <w:r w:rsidR="00B322EF">
        <w:t xml:space="preserve"> </w:t>
      </w:r>
      <w:r>
        <w:t>with observed values on all variables</w:t>
      </w:r>
      <w:r w:rsidR="00356276">
        <w:t xml:space="preserve"> (complete-case analysis)</w:t>
      </w:r>
      <w:r w:rsidR="00110DD8">
        <w:t xml:space="preserve"> or, in the case of variable deletion, variables with observed values on all cases</w:t>
      </w:r>
      <w:r w:rsidR="00356276">
        <w:t xml:space="preserve"> (complete-variable analysis)</w:t>
      </w:r>
      <w:r>
        <w:t xml:space="preserve">.  </w:t>
      </w:r>
      <w:r w:rsidR="00C36058">
        <w:t xml:space="preserve">Rather than deleting all cases or variables with missing observations, the analyst may choose to identify and delete only those with large degrees of missingness </w:t>
      </w:r>
      <w:r w:rsidR="003731B6">
        <w:fldChar w:fldCharType="begin"/>
      </w:r>
      <w:r w:rsidR="00C36058">
        <w:instrText xml:space="preserve"> ADDIN EN.CITE &lt;EndNote&gt;&lt;Cite&gt;&lt;Author&gt;Acuña&lt;/Author&gt;&lt;Year&gt;2004&lt;/Year&gt;&lt;RecNum&gt;211&lt;/RecNum&gt;&lt;DisplayText&gt;(Acuña and Rodriguez, 2004)&lt;/DisplayText&gt;&lt;record&gt;&lt;rec-number&gt;211&lt;/rec-number&gt;&lt;foreign-keys&gt;&lt;key app="EN" db-id="20frpf5eyrpavaevz925sv9t29f5epa9pd2z"&gt;211&lt;/key&gt;&lt;/foreign-keys&gt;&lt;ref-type name="Journal Article"&gt;17&lt;/ref-type&gt;&lt;contributors&gt;&lt;authors&gt;&lt;author&gt;Acuña, E&lt;/author&gt;&lt;author&gt;Rodriguez, C.&lt;/author&gt;&lt;/authors&gt;&lt;/contributors&gt;&lt;titles&gt;&lt;title&gt;The treatment of missing values and its effect on classifier accuracy&lt;/title&gt;&lt;secondary-title&gt;Classification, Clustering, and Data Mining Applications&lt;/secondary-title&gt;&lt;/titles&gt;&lt;periodical&gt;&lt;full-title&gt;Classification, Clustering, and Data Mining Applications&lt;/full-title&gt;&lt;/periodical&gt;&lt;pages&gt;639-647&lt;/pages&gt;&lt;dates&gt;&lt;year&gt;2004&lt;/year&gt;&lt;/dates&gt;&lt;publisher&gt;Springer&lt;/publisher&gt;&lt;accession-num&gt;16302329974621801940related:1A2JDL2CPeIJ&lt;/accession-num&gt;&lt;label&gt;r03402&lt;/label&gt;&lt;urls&gt;&lt;related-urls&gt;&lt;url&gt;http://www.springerlink.com/index/R5716059P702735L.pdf&lt;/url&gt;&lt;/related-urls&gt;&lt;pdf-urls&gt;&lt;url&gt;file://localhost/Users/mercergm/Library/Application%20Support/Papers2/Articles/2004/Acu%C3%B1a/2004%20Acu%C3%B1a.pdf&lt;/url&gt;&lt;/pdf-urls&gt;&lt;/urls&gt;&lt;custom3&gt;papers2://publication/uuid/3CC9C21B-5436-460F-AEFF-C55E99FE972E&lt;/custom3&gt;&lt;/record&gt;&lt;/Cite&gt;&lt;/EndNote&gt;</w:instrText>
      </w:r>
      <w:r w:rsidR="003731B6">
        <w:fldChar w:fldCharType="separate"/>
      </w:r>
      <w:r w:rsidR="00C36058">
        <w:rPr>
          <w:noProof/>
        </w:rPr>
        <w:t>(</w:t>
      </w:r>
      <w:hyperlink w:anchor="_ENREF_3" w:tooltip="Acuña, 2004 #211" w:history="1">
        <w:r w:rsidR="001633BC">
          <w:rPr>
            <w:noProof/>
          </w:rPr>
          <w:t>Acuña and Rodriguez, 2004</w:t>
        </w:r>
      </w:hyperlink>
      <w:r w:rsidR="00C36058">
        <w:rPr>
          <w:noProof/>
        </w:rPr>
        <w:t>)</w:t>
      </w:r>
      <w:r w:rsidR="003731B6">
        <w:fldChar w:fldCharType="end"/>
      </w:r>
      <w:r w:rsidR="00C36058">
        <w:t xml:space="preserve">.  </w:t>
      </w:r>
    </w:p>
    <w:p w:rsidR="003B3186" w:rsidRPr="00ED7770" w:rsidRDefault="00A67D6D" w:rsidP="00ED7770">
      <w:pPr>
        <w:ind w:firstLine="720"/>
      </w:pPr>
      <w:r>
        <w:t xml:space="preserve">Case deletion is simple because there is no need to </w:t>
      </w:r>
      <w:r w:rsidR="00497C74">
        <w:t>estimate</w:t>
      </w:r>
      <w:r>
        <w:t xml:space="preserve"> data</w:t>
      </w:r>
      <w:r w:rsidR="00A32796">
        <w:t>,</w:t>
      </w:r>
      <w:r>
        <w:t xml:space="preserve"> and it facilitates comparison because the statistics are calculated on a common sample </w:t>
      </w:r>
      <w:r w:rsidR="003731B6">
        <w:fldChar w:fldCharType="begin"/>
      </w:r>
      <w:r>
        <w:instrText xml:space="preserve"> ADDIN EN.CITE &lt;EndNote&gt;&lt;Cite&gt;&lt;Author&gt;Little&lt;/Author&gt;&lt;Year&gt;2002&lt;/Year&gt;&lt;RecNum&gt;97&lt;/RecNum&gt;&lt;DisplayText&gt;(Little and Ruban, 2002)&lt;/DisplayText&gt;&lt;record&gt;&lt;rec-number&gt;97&lt;/rec-number&gt;&lt;foreign-keys&gt;&lt;key app="EN" db-id="20frpf5eyrpavaevz925sv9t29f5epa9pd2z"&gt;97&lt;/key&gt;&lt;/foreign-keys&gt;&lt;ref-type name="Book"&gt;6&lt;/ref-type&gt;&lt;contributors&gt;&lt;authors&gt;&lt;author&gt;Little, Roderick J. A.&lt;/author&gt;&lt;author&gt;Ruban, Donald B.&lt;/author&gt;&lt;/authors&gt;&lt;/contributors&gt;&lt;titles&gt;&lt;title&gt;Statistical analysis with missing data&lt;/title&gt;&lt;/titles&gt;&lt;dates&gt;&lt;year&gt;2002&lt;/year&gt;&lt;/dates&gt;&lt;pub-location&gt;Hoboken, NJ&lt;/pub-location&gt;&lt;publisher&gt;John Wiley &amp;amp; Sons Inc.&lt;/publisher&gt;&lt;urls&gt;&lt;/urls&gt;&lt;/record&gt;&lt;/Cite&gt;&lt;/EndNote&gt;</w:instrText>
      </w:r>
      <w:r w:rsidR="003731B6">
        <w:fldChar w:fldCharType="separate"/>
      </w:r>
      <w:r>
        <w:rPr>
          <w:noProof/>
        </w:rPr>
        <w:t>(</w:t>
      </w:r>
      <w:hyperlink w:anchor="_ENREF_36" w:tooltip="Little, 2002 #97" w:history="1">
        <w:r w:rsidR="001633BC">
          <w:rPr>
            <w:noProof/>
          </w:rPr>
          <w:t>Little and Ruban, 2002</w:t>
        </w:r>
      </w:hyperlink>
      <w:r>
        <w:rPr>
          <w:noProof/>
        </w:rPr>
        <w:t>)</w:t>
      </w:r>
      <w:r w:rsidR="003731B6">
        <w:fldChar w:fldCharType="end"/>
      </w:r>
      <w:r>
        <w:t xml:space="preserve">.  However, if there is a large degree of missingness in the data or the sample size is small, then case deletion can cause </w:t>
      </w:r>
      <w:r w:rsidR="001B10FC">
        <w:t>large amounts</w:t>
      </w:r>
      <w:r w:rsidR="00AB280C">
        <w:t xml:space="preserve"> of data loss</w:t>
      </w:r>
      <w:r>
        <w:t xml:space="preserve"> by significantly reducing the sample size and</w:t>
      </w:r>
      <w:r w:rsidR="008E7C0B">
        <w:t xml:space="preserve"> deleting cases with observed values</w:t>
      </w:r>
      <w:r>
        <w:t xml:space="preserve"> for other variables </w:t>
      </w:r>
      <w:r w:rsidR="003731B6">
        <w:fldChar w:fldCharType="begin">
          <w:fldData xml:space="preserve">PEVuZE5vdGU+PENpdGU+PEF1dGhvcj5MaXR0bGU8L0F1dGhvcj48WWVhcj4yMDAyPC9ZZWFyPjxS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</w:fldData>
        </w:fldChar>
      </w:r>
      <w:r w:rsidR="00EB0C79">
        <w:instrText xml:space="preserve"> ADDIN EN.CITE </w:instrText>
      </w:r>
      <w:r w:rsidR="003731B6">
        <w:fldChar w:fldCharType="begin">
          <w:fldData xml:space="preserve">PEVuZE5vdGU+PENpdGU+PEF1dGhvcj5MaXR0bGU8L0F1dGhvcj48WWVhcj4yMDAyPC9ZZWFyPjxS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</w:fldData>
        </w:fldChar>
      </w:r>
      <w:r w:rsidR="00EB0C79">
        <w:instrText xml:space="preserve"> ADDIN EN.CITE.DATA </w:instrText>
      </w:r>
      <w:r w:rsidR="003731B6">
        <w:fldChar w:fldCharType="end"/>
      </w:r>
      <w:r w:rsidR="003731B6">
        <w:fldChar w:fldCharType="separate"/>
      </w:r>
      <w:r w:rsidR="00EB0C79">
        <w:rPr>
          <w:noProof/>
        </w:rPr>
        <w:t>(</w:t>
      </w:r>
      <w:hyperlink w:anchor="_ENREF_64" w:tooltip="Twedt, 1992 #283" w:history="1">
        <w:r w:rsidR="001633BC">
          <w:rPr>
            <w:noProof/>
          </w:rPr>
          <w:t>Twedt and Gill, 1992</w:t>
        </w:r>
      </w:hyperlink>
      <w:r w:rsidR="00EB0C79">
        <w:rPr>
          <w:noProof/>
        </w:rPr>
        <w:t xml:space="preserve">; </w:t>
      </w:r>
      <w:hyperlink w:anchor="_ENREF_36" w:tooltip="Little, 2002 #97" w:history="1">
        <w:r w:rsidR="001633BC">
          <w:rPr>
            <w:noProof/>
          </w:rPr>
          <w:t>Little and Ruban, 2002</w:t>
        </w:r>
      </w:hyperlink>
      <w:r w:rsidR="00EB0C79">
        <w:rPr>
          <w:noProof/>
        </w:rPr>
        <w:t xml:space="preserve">; </w:t>
      </w:r>
      <w:hyperlink w:anchor="_ENREF_3" w:tooltip="Acuña, 2004 #211" w:history="1">
        <w:r w:rsidR="001633BC">
          <w:rPr>
            <w:noProof/>
          </w:rPr>
          <w:t>Acuña and Rodriguez, 2004</w:t>
        </w:r>
      </w:hyperlink>
      <w:r w:rsidR="00EB0C79">
        <w:rPr>
          <w:noProof/>
        </w:rPr>
        <w:t xml:space="preserve">; </w:t>
      </w:r>
      <w:hyperlink w:anchor="_ENREF_62" w:tooltip="Templ, 2011 #132" w:history="1">
        <w:r w:rsidR="001633BC">
          <w:rPr>
            <w:noProof/>
          </w:rPr>
          <w:t>Templ</w:t>
        </w:r>
        <w:r w:rsidR="001633BC" w:rsidRPr="00EB0C79">
          <w:rPr>
            <w:i/>
            <w:noProof/>
          </w:rPr>
          <w:t xml:space="preserve"> et al.</w:t>
        </w:r>
        <w:r w:rsidR="001633BC">
          <w:rPr>
            <w:noProof/>
          </w:rPr>
          <w:t>, 2011</w:t>
        </w:r>
      </w:hyperlink>
      <w:r w:rsidR="00EB0C79">
        <w:rPr>
          <w:noProof/>
        </w:rPr>
        <w:t>)</w:t>
      </w:r>
      <w:r w:rsidR="003731B6">
        <w:fldChar w:fldCharType="end"/>
      </w:r>
      <w:r>
        <w:t xml:space="preserve">.  The information loss can reduce the accuracy of the analysis and introduce bias when the missingness mechanism is not missing completely at random (MCAR) </w:t>
      </w:r>
      <w:r w:rsidR="003731B6">
        <w:fldChar w:fldCharType="begin"/>
      </w:r>
      <w:r>
        <w:instrText xml:space="preserve"> ADDIN EN.CITE &lt;EndNote&gt;&lt;Cite&gt;&lt;Author&gt;Little&lt;/Author&gt;&lt;Year&gt;2002&lt;/Year&gt;&lt;RecNum&gt;97&lt;/RecNum&gt;&lt;DisplayText&gt;(Little and Ruban, 2002)&lt;/DisplayText&gt;&lt;record&gt;&lt;rec-number&gt;97&lt;/rec-number&gt;&lt;foreign-keys&gt;&lt;key app="EN" db-id="20frpf5eyrpavaevz925sv9t29f5epa9pd2z"&gt;97&lt;/key&gt;&lt;/foreign-keys&gt;&lt;ref-type name="Book"&gt;6&lt;/ref-type&gt;&lt;contributors&gt;&lt;authors&gt;&lt;author&gt;Little, Roderick J. A.&lt;/author&gt;&lt;author&gt;Ruban, Donald B.&lt;/author&gt;&lt;/authors&gt;&lt;/contributors&gt;&lt;titles&gt;&lt;title&gt;Statistical analysis with missing data&lt;/title&gt;&lt;/titles&gt;&lt;dates&gt;&lt;year&gt;2002&lt;/year&gt;&lt;/dates&gt;&lt;pub-location&gt;Hoboken, NJ&lt;/pub-location&gt;&lt;publisher&gt;John Wiley &amp;amp; Sons Inc.&lt;/publisher&gt;&lt;urls&gt;&lt;/urls&gt;&lt;/record&gt;&lt;/Cite&gt;&lt;/EndNote&gt;</w:instrText>
      </w:r>
      <w:r w:rsidR="003731B6">
        <w:fldChar w:fldCharType="separate"/>
      </w:r>
      <w:r>
        <w:rPr>
          <w:noProof/>
        </w:rPr>
        <w:t>(</w:t>
      </w:r>
      <w:hyperlink w:anchor="_ENREF_36" w:tooltip="Little, 2002 #97" w:history="1">
        <w:r w:rsidR="001633BC">
          <w:rPr>
            <w:noProof/>
          </w:rPr>
          <w:t>Little and Ruban, 2002</w:t>
        </w:r>
      </w:hyperlink>
      <w:r>
        <w:rPr>
          <w:noProof/>
        </w:rPr>
        <w:t>)</w:t>
      </w:r>
      <w:r w:rsidR="003731B6">
        <w:fldChar w:fldCharType="end"/>
      </w:r>
      <w:r>
        <w:t>.</w:t>
      </w:r>
    </w:p>
    <w:p w:rsidR="002F2A7B" w:rsidRDefault="007779EB" w:rsidP="003B3186">
      <w:pPr>
        <w:autoSpaceDE w:val="0"/>
        <w:autoSpaceDN w:val="0"/>
        <w:adjustRightInd w:val="0"/>
        <w:spacing w:after="0"/>
        <w:ind w:firstLine="720"/>
        <w:rPr>
          <w:rFonts w:cs="Times New Roman"/>
          <w:szCs w:val="24"/>
        </w:rPr>
      </w:pPr>
      <w:r>
        <w:rPr>
          <w:rFonts w:cs="Times New Roman"/>
          <w:szCs w:val="24"/>
        </w:rPr>
        <w:t>A complet</w:t>
      </w:r>
      <w:r w:rsidR="00792EB4">
        <w:rPr>
          <w:rFonts w:cs="Times New Roman"/>
          <w:szCs w:val="24"/>
        </w:rPr>
        <w:t>e-case analysis would reduce this</w:t>
      </w:r>
      <w:r>
        <w:rPr>
          <w:rFonts w:cs="Times New Roman"/>
          <w:szCs w:val="24"/>
        </w:rPr>
        <w:t xml:space="preserve"> sample to 542 observations</w:t>
      </w:r>
      <w:r w:rsidR="00A65D5B">
        <w:rPr>
          <w:rFonts w:cs="Times New Roman"/>
          <w:szCs w:val="24"/>
        </w:rPr>
        <w:t xml:space="preserve"> (down from 1480)</w:t>
      </w:r>
      <w:r>
        <w:rPr>
          <w:rFonts w:cs="Times New Roman"/>
          <w:szCs w:val="24"/>
        </w:rPr>
        <w:t xml:space="preserve">, significantly reducing the </w:t>
      </w:r>
      <w:r w:rsidR="00840751">
        <w:rPr>
          <w:rFonts w:cs="Times New Roman"/>
          <w:szCs w:val="24"/>
        </w:rPr>
        <w:t xml:space="preserve">overall </w:t>
      </w:r>
      <w:r>
        <w:rPr>
          <w:rFonts w:cs="Times New Roman"/>
          <w:szCs w:val="24"/>
        </w:rPr>
        <w:t xml:space="preserve">sample size and </w:t>
      </w:r>
      <w:r w:rsidR="00840751">
        <w:rPr>
          <w:rFonts w:cs="Times New Roman"/>
          <w:szCs w:val="24"/>
        </w:rPr>
        <w:t>mak</w:t>
      </w:r>
      <w:r>
        <w:rPr>
          <w:rFonts w:cs="Times New Roman"/>
          <w:szCs w:val="24"/>
        </w:rPr>
        <w:t xml:space="preserve">ing some group samples </w:t>
      </w:r>
      <w:r w:rsidR="00840751">
        <w:rPr>
          <w:rFonts w:cs="Times New Roman"/>
          <w:szCs w:val="24"/>
        </w:rPr>
        <w:t>unacceptably small</w:t>
      </w:r>
      <w:r>
        <w:rPr>
          <w:rFonts w:cs="Times New Roman"/>
          <w:szCs w:val="24"/>
        </w:rPr>
        <w:t>.</w:t>
      </w:r>
      <w:r w:rsidR="000A7B67">
        <w:rPr>
          <w:rFonts w:cs="Times New Roman"/>
          <w:szCs w:val="24"/>
        </w:rPr>
        <w:t xml:space="preserve">  Therefore, variables and observations with excessive degrees of missingness </w:t>
      </w:r>
      <w:r w:rsidR="00A92F63">
        <w:rPr>
          <w:rFonts w:cs="Times New Roman"/>
          <w:szCs w:val="24"/>
        </w:rPr>
        <w:t>were</w:t>
      </w:r>
      <w:r w:rsidR="000A7B67">
        <w:rPr>
          <w:rFonts w:cs="Times New Roman"/>
          <w:szCs w:val="24"/>
        </w:rPr>
        <w:t xml:space="preserve"> identified and deleted in the h</w:t>
      </w:r>
      <w:r w:rsidR="00F369FA">
        <w:rPr>
          <w:rFonts w:cs="Times New Roman"/>
          <w:szCs w:val="24"/>
        </w:rPr>
        <w:t>opes that far fewer observation</w:t>
      </w:r>
      <w:r w:rsidR="000A7B67">
        <w:rPr>
          <w:rFonts w:cs="Times New Roman"/>
          <w:szCs w:val="24"/>
        </w:rPr>
        <w:t xml:space="preserve"> deletions are required.</w:t>
      </w:r>
      <w:r>
        <w:rPr>
          <w:rFonts w:cs="Times New Roman"/>
          <w:szCs w:val="24"/>
        </w:rPr>
        <w:t xml:space="preserve">  </w:t>
      </w:r>
      <w:r w:rsidR="008A5602">
        <w:rPr>
          <w:rFonts w:cs="Times New Roman"/>
          <w:szCs w:val="24"/>
        </w:rPr>
        <w:t xml:space="preserve">Observations with large degrees of missingness cannot have their missing values reliably estimated and have to be deleted. </w:t>
      </w:r>
    </w:p>
    <w:p w:rsidR="002F2A7B" w:rsidRPr="002F2A7B" w:rsidRDefault="002F2A7B" w:rsidP="005F2F7C">
      <w:pPr>
        <w:pStyle w:val="Heading3"/>
      </w:pPr>
      <w:bookmarkStart w:id="36" w:name="_Toc222419116"/>
      <w:bookmarkStart w:id="37" w:name="_Toc227982487"/>
      <w:r>
        <w:t>Which Varia</w:t>
      </w:r>
      <w:r w:rsidR="00682F3B">
        <w:t>bles and Observations to Retain</w:t>
      </w:r>
      <w:r w:rsidR="006C7DE5">
        <w:t>?</w:t>
      </w:r>
      <w:bookmarkEnd w:id="36"/>
      <w:bookmarkEnd w:id="37"/>
    </w:p>
    <w:p w:rsidR="00114F9A" w:rsidRDefault="00D0102F" w:rsidP="008A5602">
      <w:pPr>
        <w:autoSpaceDE w:val="0"/>
        <w:autoSpaceDN w:val="0"/>
        <w:adjustRightInd w:val="0"/>
        <w:spacing w:after="0"/>
        <w:ind w:firstLine="720"/>
        <w:rPr>
          <w:rFonts w:cs="Times New Roman"/>
          <w:szCs w:val="24"/>
        </w:rPr>
      </w:pPr>
      <w:r>
        <w:rPr>
          <w:rFonts w:cs="Times New Roman"/>
          <w:szCs w:val="24"/>
        </w:rPr>
        <w:t>The first step taken to address the missingness was to find a key subset of variables that past researchers have found useful in ancestry estimation.  Hopefully, reducing the data set to the key subset removes some of the variables with</w:t>
      </w:r>
      <w:r w:rsidR="00114F9A">
        <w:rPr>
          <w:rFonts w:cs="Times New Roman"/>
          <w:szCs w:val="24"/>
        </w:rPr>
        <w:t xml:space="preserve"> high degrees of missingness, reducing</w:t>
      </w:r>
      <w:r>
        <w:rPr>
          <w:rFonts w:cs="Times New Roman"/>
          <w:szCs w:val="24"/>
        </w:rPr>
        <w:t xml:space="preserve"> the missingness on observations, </w:t>
      </w:r>
      <w:r w:rsidR="00114F9A">
        <w:rPr>
          <w:rFonts w:cs="Times New Roman"/>
          <w:szCs w:val="24"/>
        </w:rPr>
        <w:t xml:space="preserve">and </w:t>
      </w:r>
      <w:r>
        <w:rPr>
          <w:rFonts w:cs="Times New Roman"/>
          <w:szCs w:val="24"/>
        </w:rPr>
        <w:t xml:space="preserve">allowing for </w:t>
      </w:r>
      <w:r w:rsidR="0065540A">
        <w:rPr>
          <w:rFonts w:cs="Times New Roman"/>
          <w:szCs w:val="24"/>
        </w:rPr>
        <w:t xml:space="preserve">the retention of </w:t>
      </w:r>
      <w:r>
        <w:rPr>
          <w:rFonts w:cs="Times New Roman"/>
          <w:szCs w:val="24"/>
        </w:rPr>
        <w:t>more observations.</w:t>
      </w:r>
      <w:r w:rsidR="00D12481">
        <w:rPr>
          <w:rFonts w:cs="Times New Roman"/>
          <w:szCs w:val="24"/>
        </w:rPr>
        <w:t xml:space="preserve">  </w:t>
      </w:r>
      <w:r w:rsidR="008A5602">
        <w:rPr>
          <w:rFonts w:cs="Times New Roman"/>
          <w:szCs w:val="24"/>
        </w:rPr>
        <w:t xml:space="preserve">By observing missingness on a key subset, the deletion of observations is evaluated on important variables, reducing the likelihood that important information is </w:t>
      </w:r>
      <w:r w:rsidR="00B40504">
        <w:rPr>
          <w:rFonts w:cs="Times New Roman"/>
          <w:szCs w:val="24"/>
        </w:rPr>
        <w:t>lost</w:t>
      </w:r>
      <w:r w:rsidR="008A5602">
        <w:rPr>
          <w:rFonts w:cs="Times New Roman"/>
          <w:szCs w:val="24"/>
        </w:rPr>
        <w:t xml:space="preserve"> due to missingness on potentially uninformative variables.</w:t>
      </w:r>
    </w:p>
    <w:p w:rsidR="000E62CC" w:rsidRDefault="00543493" w:rsidP="00552934">
      <w:pPr>
        <w:autoSpaceDE w:val="0"/>
        <w:autoSpaceDN w:val="0"/>
        <w:adjustRightInd w:val="0"/>
        <w:spacing w:after="0"/>
        <w:ind w:firstLine="720"/>
        <w:rPr>
          <w:rFonts w:cs="Times New Roman"/>
          <w:szCs w:val="24"/>
        </w:rPr>
      </w:pPr>
      <w:r>
        <w:rPr>
          <w:rFonts w:cs="Times New Roman"/>
          <w:szCs w:val="24"/>
        </w:rPr>
        <w:t xml:space="preserve">Ousley </w:t>
      </w:r>
      <w:r w:rsidR="00596111">
        <w:rPr>
          <w:rFonts w:cs="Times New Roman"/>
          <w:szCs w:val="24"/>
        </w:rPr>
        <w:t>et al.</w:t>
      </w:r>
      <w:r>
        <w:rPr>
          <w:rFonts w:cs="Times New Roman"/>
          <w:szCs w:val="24"/>
        </w:rPr>
        <w:t xml:space="preserve"> </w:t>
      </w:r>
      <w:r w:rsidR="003731B6">
        <w:rPr>
          <w:rFonts w:cs="Times New Roman"/>
          <w:szCs w:val="24"/>
        </w:rPr>
        <w:fldChar w:fldCharType="begin"/>
      </w:r>
      <w:r w:rsidR="00596111">
        <w:rPr>
          <w:rFonts w:cs="Times New Roman"/>
          <w:szCs w:val="24"/>
        </w:rPr>
        <w:instrText xml:space="preserve"> ADDIN EN.CITE &lt;EndNote&gt;&lt;Cite ExcludeAuth="1"&gt;&lt;Author&gt;Ousley&lt;/Author&gt;&lt;Year&gt;2009&lt;/Year&gt;&lt;RecNum&gt;63&lt;/RecNum&gt;&lt;DisplayText&gt;(2009)&lt;/DisplayText&gt;&lt;record&gt;&lt;rec-number&gt;63&lt;/rec-number&gt;&lt;foreign-keys&gt;&lt;key app="EN" db-id="20frpf5eyrpavaevz925sv9t29f5epa9pd2z"&gt;63&lt;/key&gt;&lt;/foreign-keys&gt;&lt;ref-type name="Journal Article"&gt;17&lt;/ref-type&gt;&lt;contributors&gt;&lt;authors&gt;&lt;author&gt;Ousley, Stephen&lt;/author&gt;&lt;author&gt;Jantz, Richard&lt;/author&gt;&lt;author&gt;Freid, Donna&lt;/author&gt;&lt;/authors&gt;&lt;/contributors&gt;&lt;titles&gt;&lt;title&gt;Understanding race and human variation: why forensic anthropologists are good at identifying race&lt;/title&gt;&lt;secondary-title&gt;American Journal of Physical Anthropology&lt;/secondary-title&gt;&lt;/titles&gt;&lt;periodical&gt;&lt;full-title&gt;American Journal of Physical Anthropology&lt;/full-title&gt;&lt;/periodical&gt;&lt;pages&gt;68-76&lt;/pages&gt;&lt;volume&gt;139&lt;/volume&gt;&lt;dates&gt;&lt;year&gt;2009&lt;/year&gt;&lt;/dates&gt;&lt;urls&gt;&lt;/urls&gt;&lt;/record&gt;&lt;/Cite&gt;&lt;/EndNote&gt;</w:instrText>
      </w:r>
      <w:r w:rsidR="003731B6">
        <w:rPr>
          <w:rFonts w:cs="Times New Roman"/>
          <w:szCs w:val="24"/>
        </w:rPr>
        <w:fldChar w:fldCharType="separate"/>
      </w:r>
      <w:r w:rsidR="00596111">
        <w:rPr>
          <w:rFonts w:cs="Times New Roman"/>
          <w:noProof/>
          <w:szCs w:val="24"/>
        </w:rPr>
        <w:t>(</w:t>
      </w:r>
      <w:hyperlink w:anchor="_ENREF_42" w:tooltip="Ousley, 2009 #63" w:history="1">
        <w:r w:rsidR="001633BC">
          <w:rPr>
            <w:rFonts w:cs="Times New Roman"/>
            <w:noProof/>
            <w:szCs w:val="24"/>
          </w:rPr>
          <w:t>2009</w:t>
        </w:r>
      </w:hyperlink>
      <w:r w:rsidR="00596111">
        <w:rPr>
          <w:rFonts w:cs="Times New Roman"/>
          <w:noProof/>
          <w:szCs w:val="24"/>
        </w:rPr>
        <w:t>)</w:t>
      </w:r>
      <w:r w:rsidR="003731B6">
        <w:rPr>
          <w:rFonts w:cs="Times New Roman"/>
          <w:szCs w:val="24"/>
        </w:rPr>
        <w:fldChar w:fldCharType="end"/>
      </w:r>
      <w:r w:rsidR="00596111">
        <w:rPr>
          <w:rFonts w:cs="Times New Roman"/>
          <w:szCs w:val="24"/>
        </w:rPr>
        <w:t xml:space="preserve"> </w:t>
      </w:r>
      <w:r>
        <w:rPr>
          <w:rFonts w:cs="Times New Roman"/>
          <w:szCs w:val="24"/>
        </w:rPr>
        <w:t>report that a stepwise discriminant analysis conducted on American Whites and American Blacks re</w:t>
      </w:r>
      <w:r w:rsidR="00ED6D88">
        <w:rPr>
          <w:rFonts w:cs="Times New Roman"/>
          <w:szCs w:val="24"/>
        </w:rPr>
        <w:t>sulted in a 95% hit rate using 6</w:t>
      </w:r>
      <w:r>
        <w:rPr>
          <w:rFonts w:cs="Times New Roman"/>
          <w:szCs w:val="24"/>
        </w:rPr>
        <w:t xml:space="preserve"> variables:  cranial base length (BNL); basion-prosthion length (BPL); biauricular breadth (AUB); nasal breadth (NLB); maxillo-alveolar breadth (MAB); and orbital height (OBH).</w:t>
      </w:r>
      <w:r w:rsidR="002D48D0">
        <w:rPr>
          <w:rFonts w:cs="Times New Roman"/>
          <w:szCs w:val="24"/>
        </w:rPr>
        <w:t xml:space="preserve">  However, their analysis only included American Blacks and American Whites.</w:t>
      </w:r>
      <w:r w:rsidR="00567DAF">
        <w:rPr>
          <w:rFonts w:cs="Times New Roman"/>
          <w:szCs w:val="24"/>
        </w:rPr>
        <w:t xml:space="preserve">  </w:t>
      </w:r>
      <w:r w:rsidR="003731B6">
        <w:rPr>
          <w:rFonts w:cs="Times New Roman"/>
          <w:szCs w:val="24"/>
        </w:rPr>
        <w:fldChar w:fldCharType="begin"/>
      </w:r>
      <w:r w:rsidR="00EB0C79">
        <w:rPr>
          <w:rFonts w:cs="Times New Roman"/>
          <w:szCs w:val="24"/>
        </w:rPr>
        <w:instrText xml:space="preserve"> ADDIN EN.CITE &lt;EndNote&gt;&lt;Cite AuthorYear="1"&gt;&lt;Author&gt;Spradley&lt;/Author&gt;&lt;Year&gt;2008&lt;/Year&gt;&lt;RecNum&gt;242&lt;/RecNum&gt;&lt;DisplayText&gt;Spradley&lt;style face="italic"&gt; et al.&lt;/style&gt; (2008)&lt;/DisplayText&gt;&lt;record&gt;&lt;rec-number&gt;242&lt;/rec-number&gt;&lt;foreign-keys&gt;&lt;key app="EN" db-id="20frpf5eyrpavaevz925sv9t29f5epa9pd2z"&gt;242&lt;/key&gt;&lt;/foreign-keys&gt;&lt;ref-type name="Journal Article"&gt;17&lt;/ref-type&gt;&lt;contributors&gt;&lt;authors&gt;&lt;author&gt;Spradley, M Katherine&lt;/author&gt;&lt;author&gt;Jantz, Richard L&lt;/author&gt;&lt;author&gt;Robinson, Alan&lt;/author&gt;&lt;author&gt;Peccerelli, Fredy&lt;/author&gt;&lt;/authors&gt;&lt;/contributors&gt;&lt;titles&gt;&lt;title&gt;Demographic Change and Forensic Identification: Problems in Metric Identification of Hispanic Skeletons&lt;/title&gt;&lt;secondary-title&gt;Journal of Forensic Sciences&lt;/secondary-title&gt;&lt;/titles&gt;&lt;periodical&gt;&lt;full-title&gt;Journal of Forensic Sciences&lt;/full-title&gt;&lt;/periodical&gt;&lt;pages&gt;21-28&lt;/pages&gt;&lt;volume&gt;53&lt;/volume&gt;&lt;number&gt;1&lt;/number&gt;&lt;dates&gt;&lt;year&gt;2008&lt;/year&gt;&lt;pub-dates&gt;&lt;date&gt;Feb&lt;/date&gt;&lt;/pub-dates&gt;&lt;/dates&gt;&lt;label&gt;r00315&lt;/label&gt;&lt;urls&gt;&lt;related-urls&gt;&lt;url&gt;http://doi.wiley.com/10.1111/j.1556-4029.2007.00614.x&lt;/url&gt;&lt;/related-urls&gt;&lt;pdf-urls&gt;&lt;url&gt;file://localhost/Users/mercergm/Library/Application%20Support/Papers2/Articles/2008/Spradley/Journal%20of%20Forensic%20Sciences%202008%20Spradley.pdf&lt;/url&gt;&lt;/pdf-urls&gt;&lt;/urls&gt;&lt;custom3&gt;papers2://publication/uuid/4899EB4D-F35C-40E5-8C4D-010C3426A47F&lt;/custom3&gt;&lt;electronic-resource-num&gt;10.1111/j.1556-4029.2007.00614.x&lt;/electronic-resource-num&gt;&lt;language&gt;English&lt;/language&gt;&lt;/record&gt;&lt;/Cite&gt;&lt;/EndNote&gt;</w:instrText>
      </w:r>
      <w:r w:rsidR="003731B6">
        <w:rPr>
          <w:rFonts w:cs="Times New Roman"/>
          <w:szCs w:val="24"/>
        </w:rPr>
        <w:fldChar w:fldCharType="separate"/>
      </w:r>
      <w:hyperlink w:anchor="_ENREF_56" w:tooltip="Spradley, 2008 #242" w:history="1">
        <w:r w:rsidR="001633BC">
          <w:rPr>
            <w:rFonts w:cs="Times New Roman"/>
            <w:noProof/>
            <w:szCs w:val="24"/>
          </w:rPr>
          <w:t>Spradley</w:t>
        </w:r>
        <w:r w:rsidR="001633BC" w:rsidRPr="00EB0C79">
          <w:rPr>
            <w:rFonts w:cs="Times New Roman"/>
            <w:i/>
            <w:noProof/>
            <w:szCs w:val="24"/>
          </w:rPr>
          <w:t xml:space="preserve"> et al.</w:t>
        </w:r>
        <w:r w:rsidR="001633BC">
          <w:rPr>
            <w:rFonts w:cs="Times New Roman"/>
            <w:noProof/>
            <w:szCs w:val="24"/>
          </w:rPr>
          <w:t xml:space="preserve"> (2008</w:t>
        </w:r>
      </w:hyperlink>
      <w:r w:rsidR="00EB0C79">
        <w:rPr>
          <w:rFonts w:cs="Times New Roman"/>
          <w:noProof/>
          <w:szCs w:val="24"/>
        </w:rPr>
        <w:t>)</w:t>
      </w:r>
      <w:r w:rsidR="003731B6">
        <w:rPr>
          <w:rFonts w:cs="Times New Roman"/>
          <w:szCs w:val="24"/>
        </w:rPr>
        <w:fldChar w:fldCharType="end"/>
      </w:r>
      <w:r w:rsidR="00286D6C">
        <w:rPr>
          <w:rFonts w:cs="Times New Roman"/>
          <w:szCs w:val="24"/>
        </w:rPr>
        <w:t xml:space="preserve"> </w:t>
      </w:r>
      <w:r w:rsidR="0045772C">
        <w:rPr>
          <w:rFonts w:cs="Times New Roman"/>
          <w:szCs w:val="24"/>
        </w:rPr>
        <w:t>conducted an analysis on American Blacks, American Whites, Hispanics and</w:t>
      </w:r>
      <w:r w:rsidR="00ED6D88">
        <w:rPr>
          <w:rFonts w:cs="Times New Roman"/>
          <w:szCs w:val="24"/>
        </w:rPr>
        <w:t xml:space="preserve"> Guatemalans.  </w:t>
      </w:r>
      <w:r w:rsidR="00423C9F">
        <w:rPr>
          <w:rFonts w:cs="Times New Roman"/>
          <w:szCs w:val="24"/>
        </w:rPr>
        <w:t>Their</w:t>
      </w:r>
      <w:r w:rsidR="006B0D34">
        <w:rPr>
          <w:rFonts w:cs="Times New Roman"/>
          <w:szCs w:val="24"/>
        </w:rPr>
        <w:t xml:space="preserve"> significant variables</w:t>
      </w:r>
      <w:r w:rsidR="00ED6D88">
        <w:rPr>
          <w:rFonts w:cs="Times New Roman"/>
          <w:szCs w:val="24"/>
        </w:rPr>
        <w:t xml:space="preserve"> may help predict Hispanic ancestry.  They </w:t>
      </w:r>
      <w:r w:rsidR="00567DAF">
        <w:rPr>
          <w:rFonts w:cs="Times New Roman"/>
          <w:szCs w:val="24"/>
        </w:rPr>
        <w:t>found maximum cranial leng</w:t>
      </w:r>
      <w:r w:rsidR="00AE737F">
        <w:rPr>
          <w:rFonts w:cs="Times New Roman"/>
          <w:szCs w:val="24"/>
        </w:rPr>
        <w:t>th (GOL), orbital breadth (OBB),</w:t>
      </w:r>
      <w:r w:rsidR="00567DAF">
        <w:rPr>
          <w:rFonts w:cs="Times New Roman"/>
          <w:szCs w:val="24"/>
        </w:rPr>
        <w:t xml:space="preserve"> bizygomatic breadth (ZYB)</w:t>
      </w:r>
      <w:r w:rsidR="00AE737F">
        <w:rPr>
          <w:rFonts w:cs="Times New Roman"/>
          <w:szCs w:val="24"/>
        </w:rPr>
        <w:t>, biorbital breadth (EKB), maximum cranial breadth (XCB),</w:t>
      </w:r>
      <w:r w:rsidR="00567DAF">
        <w:rPr>
          <w:rFonts w:cs="Times New Roman"/>
          <w:szCs w:val="24"/>
        </w:rPr>
        <w:t xml:space="preserve"> and interorbital breadth (DKB)</w:t>
      </w:r>
      <w:r w:rsidR="00AE737F">
        <w:rPr>
          <w:rFonts w:cs="Times New Roman"/>
          <w:szCs w:val="24"/>
        </w:rPr>
        <w:t xml:space="preserve"> significant in predicting group membership</w:t>
      </w:r>
      <w:r w:rsidR="005360FE">
        <w:rPr>
          <w:rFonts w:cs="Times New Roman"/>
          <w:szCs w:val="24"/>
        </w:rPr>
        <w:t>.  These were</w:t>
      </w:r>
      <w:r w:rsidR="00AE737F">
        <w:rPr>
          <w:rFonts w:cs="Times New Roman"/>
          <w:szCs w:val="24"/>
        </w:rPr>
        <w:t xml:space="preserve"> in addition to the above</w:t>
      </w:r>
      <w:r w:rsidR="00567DAF">
        <w:rPr>
          <w:rFonts w:cs="Times New Roman"/>
          <w:szCs w:val="24"/>
        </w:rPr>
        <w:t xml:space="preserve"> variables reported by </w:t>
      </w:r>
      <w:r w:rsidR="003731B6">
        <w:rPr>
          <w:rFonts w:cs="Times New Roman"/>
          <w:szCs w:val="24"/>
        </w:rPr>
        <w:fldChar w:fldCharType="begin"/>
      </w:r>
      <w:r w:rsidR="00EB0C79">
        <w:rPr>
          <w:rFonts w:cs="Times New Roman"/>
          <w:szCs w:val="24"/>
        </w:rPr>
        <w:instrText xml:space="preserve"> ADDIN EN.CITE &lt;EndNote&gt;&lt;Cite AuthorYear="1"&gt;&lt;Author&gt;Ousley&lt;/Author&gt;&lt;Year&gt;2009&lt;/Year&gt;&lt;RecNum&gt;63&lt;/RecNum&gt;&lt;DisplayText&gt;Ousley&lt;style face="italic"&gt; et al.&lt;/style&gt; (2009)&lt;/DisplayText&gt;&lt;record&gt;&lt;rec-number&gt;63&lt;/rec-number&gt;&lt;foreign-keys&gt;&lt;key app="EN" db-id="20frpf5eyrpavaevz925sv9t29f5epa9pd2z"&gt;63&lt;/key&gt;&lt;/foreign-keys&gt;&lt;ref-type name="Journal Article"&gt;17&lt;/ref-type&gt;&lt;contributors&gt;&lt;authors&gt;&lt;author&gt;Ousley, Stephen&lt;/author&gt;&lt;author&gt;Jantz, Richard&lt;/author&gt;&lt;author&gt;Freid, Donna&lt;/author&gt;&lt;/authors&gt;&lt;/contributors&gt;&lt;titles&gt;&lt;title&gt;Understanding race and human variation: why forensic anthropologists are good at identifying race&lt;/title&gt;&lt;secondary-title&gt;American Journal of Physical Anthropology&lt;/secondary-title&gt;&lt;/titles&gt;&lt;periodical&gt;&lt;full-title&gt;American Journal of Physical Anthropology&lt;/full-title&gt;&lt;/periodical&gt;&lt;pages&gt;68-76&lt;/pages&gt;&lt;volume&gt;139&lt;/volume&gt;&lt;dates&gt;&lt;year&gt;2009&lt;/year&gt;&lt;/dates&gt;&lt;urls&gt;&lt;/urls&gt;&lt;/record&gt;&lt;/Cite&gt;&lt;/EndNote&gt;</w:instrText>
      </w:r>
      <w:r w:rsidR="003731B6">
        <w:rPr>
          <w:rFonts w:cs="Times New Roman"/>
          <w:szCs w:val="24"/>
        </w:rPr>
        <w:fldChar w:fldCharType="separate"/>
      </w:r>
      <w:hyperlink w:anchor="_ENREF_42" w:tooltip="Ousley, 2009 #63" w:history="1">
        <w:r w:rsidR="001633BC">
          <w:rPr>
            <w:rFonts w:cs="Times New Roman"/>
            <w:noProof/>
            <w:szCs w:val="24"/>
          </w:rPr>
          <w:t>Ousley</w:t>
        </w:r>
        <w:r w:rsidR="001633BC" w:rsidRPr="00EB0C79">
          <w:rPr>
            <w:rFonts w:cs="Times New Roman"/>
            <w:i/>
            <w:noProof/>
            <w:szCs w:val="24"/>
          </w:rPr>
          <w:t xml:space="preserve"> et al.</w:t>
        </w:r>
        <w:r w:rsidR="001633BC">
          <w:rPr>
            <w:rFonts w:cs="Times New Roman"/>
            <w:noProof/>
            <w:szCs w:val="24"/>
          </w:rPr>
          <w:t xml:space="preserve"> (2009</w:t>
        </w:r>
      </w:hyperlink>
      <w:r w:rsidR="00EB0C79">
        <w:rPr>
          <w:rFonts w:cs="Times New Roman"/>
          <w:noProof/>
          <w:szCs w:val="24"/>
        </w:rPr>
        <w:t>)</w:t>
      </w:r>
      <w:r w:rsidR="003731B6">
        <w:rPr>
          <w:rFonts w:cs="Times New Roman"/>
          <w:szCs w:val="24"/>
        </w:rPr>
        <w:fldChar w:fldCharType="end"/>
      </w:r>
      <w:r w:rsidR="00AE737F">
        <w:rPr>
          <w:rFonts w:cs="Times New Roman"/>
          <w:szCs w:val="24"/>
        </w:rPr>
        <w:t xml:space="preserve">.  </w:t>
      </w:r>
      <w:r w:rsidR="00286D6C">
        <w:rPr>
          <w:rFonts w:cs="Times New Roman"/>
          <w:szCs w:val="24"/>
        </w:rPr>
        <w:t xml:space="preserve"> </w:t>
      </w:r>
      <w:r w:rsidR="00FD4508">
        <w:rPr>
          <w:rFonts w:cs="Times New Roman"/>
          <w:szCs w:val="24"/>
        </w:rPr>
        <w:t>Some other variables</w:t>
      </w:r>
      <w:r w:rsidR="00567DAF">
        <w:rPr>
          <w:rFonts w:cs="Times New Roman"/>
          <w:szCs w:val="24"/>
        </w:rPr>
        <w:t xml:space="preserve"> not used by FORDISC</w:t>
      </w:r>
      <w:r w:rsidR="001D0F80">
        <w:rPr>
          <w:rFonts w:cs="Times New Roman"/>
          <w:szCs w:val="24"/>
        </w:rPr>
        <w:t xml:space="preserve"> were also included.  </w:t>
      </w:r>
      <w:r w:rsidR="003731B6">
        <w:rPr>
          <w:rFonts w:cs="Times New Roman"/>
          <w:szCs w:val="24"/>
        </w:rPr>
        <w:fldChar w:fldCharType="begin"/>
      </w:r>
      <w:r w:rsidR="0015693A">
        <w:rPr>
          <w:rFonts w:cs="Times New Roman"/>
          <w:szCs w:val="24"/>
        </w:rPr>
        <w:instrText xml:space="preserve"> ADDIN EN.CITE &lt;EndNote&gt;&lt;Cite AuthorYear="1"&gt;&lt;Author&gt;Spradley&lt;/Author&gt;&lt;Year&gt;2008&lt;/Year&gt;&lt;RecNum&gt;242&lt;/RecNum&gt;&lt;DisplayText&gt;Spradley&lt;style face="italic"&gt; et al.&lt;/style&gt; (2008)&lt;/DisplayText&gt;&lt;record&gt;&lt;rec-number&gt;242&lt;/rec-number&gt;&lt;foreign-keys&gt;&lt;key app="EN" db-id="20frpf5eyrpavaevz925sv9t29f5epa9pd2z"&gt;242&lt;/key&gt;&lt;/foreign-keys&gt;&lt;ref-type name="Journal Article"&gt;17&lt;/ref-type&gt;&lt;contributors&gt;&lt;authors&gt;&lt;author&gt;Spradley, M Katherine&lt;/author&gt;&lt;author&gt;Jantz, Richard L&lt;/author&gt;&lt;author&gt;Robinson, Alan&lt;/author&gt;&lt;author&gt;Peccerelli, Fredy&lt;/author&gt;&lt;/authors&gt;&lt;/contributors&gt;&lt;titles&gt;&lt;title&gt;Demographic Change and Forensic Identification: Problems in Metric Identification of Hispanic Skeletons&lt;/title&gt;&lt;secondary-title&gt;Journal of Forensic Sciences&lt;/secondary-title&gt;&lt;/titles&gt;&lt;periodical&gt;&lt;full-title&gt;Journal of Forensic Sciences&lt;/full-title&gt;&lt;/periodical&gt;&lt;pages&gt;21-28&lt;/pages&gt;&lt;volume&gt;53&lt;/volume&gt;&lt;number&gt;1&lt;/number&gt;&lt;dates&gt;&lt;year&gt;2008&lt;/year&gt;&lt;pub-dates&gt;&lt;date&gt;Feb&lt;/date&gt;&lt;/pub-dates&gt;&lt;/dates&gt;&lt;label&gt;r00315&lt;/label&gt;&lt;urls&gt;&lt;related-urls&gt;&lt;url&gt;http://doi.wiley.com/10.1111/j.1556-4029.2007.00614.x&lt;/url&gt;&lt;/related-urls&gt;&lt;pdf-urls&gt;&lt;url&gt;file://localhost/Users/mercergm/Library/Application%20Support/Papers2/Articles/2008/Spradley/Journal%20of%20Forensic%20Sciences%202008%20Spradley.pdf&lt;/url&gt;&lt;/pdf-urls&gt;&lt;/urls&gt;&lt;custom3&gt;papers2://publication/uuid/4899EB4D-F35C-40E5-8C4D-010C3426A47F&lt;/custom3&gt;&lt;electronic-resource-num&gt;10.1111/j.1556-4029.2007.00614.x&lt;/electronic-resource-num&gt;&lt;language&gt;English&lt;/language&gt;&lt;/record&gt;&lt;/Cite&gt;&lt;/EndNote&gt;</w:instrText>
      </w:r>
      <w:r w:rsidR="003731B6">
        <w:rPr>
          <w:rFonts w:cs="Times New Roman"/>
          <w:szCs w:val="24"/>
        </w:rPr>
        <w:fldChar w:fldCharType="separate"/>
      </w:r>
      <w:hyperlink w:anchor="_ENREF_56" w:tooltip="Spradley, 2008 #242" w:history="1">
        <w:r w:rsidR="001633BC">
          <w:rPr>
            <w:rFonts w:cs="Times New Roman"/>
            <w:noProof/>
            <w:szCs w:val="24"/>
          </w:rPr>
          <w:t>Spradley</w:t>
        </w:r>
        <w:r w:rsidR="001633BC" w:rsidRPr="0015693A">
          <w:rPr>
            <w:rFonts w:cs="Times New Roman"/>
            <w:i/>
            <w:noProof/>
            <w:szCs w:val="24"/>
          </w:rPr>
          <w:t xml:space="preserve"> et al.</w:t>
        </w:r>
        <w:r w:rsidR="001633BC">
          <w:rPr>
            <w:rFonts w:cs="Times New Roman"/>
            <w:noProof/>
            <w:szCs w:val="24"/>
          </w:rPr>
          <w:t xml:space="preserve"> (2008</w:t>
        </w:r>
      </w:hyperlink>
      <w:r w:rsidR="0015693A">
        <w:rPr>
          <w:rFonts w:cs="Times New Roman"/>
          <w:noProof/>
          <w:szCs w:val="24"/>
        </w:rPr>
        <w:t>)</w:t>
      </w:r>
      <w:r w:rsidR="003731B6">
        <w:rPr>
          <w:rFonts w:cs="Times New Roman"/>
          <w:szCs w:val="24"/>
        </w:rPr>
        <w:fldChar w:fldCharType="end"/>
      </w:r>
      <w:r w:rsidR="00751845">
        <w:rPr>
          <w:rFonts w:cs="Times New Roman"/>
          <w:szCs w:val="24"/>
        </w:rPr>
        <w:t xml:space="preserve"> used a stepwise discriminant analysis, but report </w:t>
      </w:r>
      <w:r w:rsidR="004E5453">
        <w:rPr>
          <w:rFonts w:cs="Times New Roman"/>
          <w:szCs w:val="24"/>
        </w:rPr>
        <w:t>lower</w:t>
      </w:r>
      <w:r w:rsidR="00751845">
        <w:rPr>
          <w:rFonts w:cs="Times New Roman"/>
          <w:szCs w:val="24"/>
        </w:rPr>
        <w:t xml:space="preserve"> </w:t>
      </w:r>
      <w:r w:rsidR="004E5453">
        <w:rPr>
          <w:rFonts w:cs="Times New Roman"/>
          <w:szCs w:val="24"/>
        </w:rPr>
        <w:t>classification</w:t>
      </w:r>
      <w:r w:rsidR="00751845">
        <w:rPr>
          <w:rFonts w:cs="Times New Roman"/>
          <w:szCs w:val="24"/>
        </w:rPr>
        <w:t xml:space="preserve"> rates</w:t>
      </w:r>
      <w:r w:rsidR="0015693A">
        <w:rPr>
          <w:rFonts w:cs="Times New Roman"/>
          <w:szCs w:val="24"/>
        </w:rPr>
        <w:t xml:space="preserve"> than </w:t>
      </w:r>
      <w:r w:rsidR="003731B6">
        <w:rPr>
          <w:rFonts w:cs="Times New Roman"/>
          <w:szCs w:val="24"/>
        </w:rPr>
        <w:fldChar w:fldCharType="begin"/>
      </w:r>
      <w:r w:rsidR="0015693A">
        <w:rPr>
          <w:rFonts w:cs="Times New Roman"/>
          <w:szCs w:val="24"/>
        </w:rPr>
        <w:instrText xml:space="preserve"> ADDIN EN.CITE &lt;EndNote&gt;&lt;Cite AuthorYear="1"&gt;&lt;Author&gt;Ousley&lt;/Author&gt;&lt;Year&gt;2009&lt;/Year&gt;&lt;RecNum&gt;63&lt;/RecNum&gt;&lt;DisplayText&gt;Ousley&lt;style face="italic"&gt; et al.&lt;/style&gt; (2009)&lt;/DisplayText&gt;&lt;record&gt;&lt;rec-number&gt;63&lt;/rec-number&gt;&lt;foreign-keys&gt;&lt;key app="EN" db-id="20frpf5eyrpavaevz925sv9t29f5epa9pd2z"&gt;63&lt;/key&gt;&lt;/foreign-keys&gt;&lt;ref-type name="Journal Article"&gt;17&lt;/ref-type&gt;&lt;contributors&gt;&lt;authors&gt;&lt;author&gt;Ousley, Stephen&lt;/author&gt;&lt;author&gt;Jantz, Richard&lt;/author&gt;&lt;author&gt;Freid, Donna&lt;/author&gt;&lt;/authors&gt;&lt;/contributors&gt;&lt;titles&gt;&lt;title&gt;Understanding race and human variation: why forensic anthropologists are good at identifying race&lt;/title&gt;&lt;secondary-title&gt;American Journal of Physical Anthropology&lt;/secondary-title&gt;&lt;/titles&gt;&lt;periodical&gt;&lt;full-title&gt;American Journal of Physical Anthropology&lt;/full-title&gt;&lt;/periodical&gt;&lt;pages&gt;68-76&lt;/pages&gt;&lt;volume&gt;139&lt;/volume&gt;&lt;dates&gt;&lt;year&gt;2009&lt;/year&gt;&lt;/dates&gt;&lt;urls&gt;&lt;/urls&gt;&lt;/record&gt;&lt;/Cite&gt;&lt;/EndNote&gt;</w:instrText>
      </w:r>
      <w:r w:rsidR="003731B6">
        <w:rPr>
          <w:rFonts w:cs="Times New Roman"/>
          <w:szCs w:val="24"/>
        </w:rPr>
        <w:fldChar w:fldCharType="separate"/>
      </w:r>
      <w:hyperlink w:anchor="_ENREF_42" w:tooltip="Ousley, 2009 #63" w:history="1">
        <w:r w:rsidR="001633BC">
          <w:rPr>
            <w:rFonts w:cs="Times New Roman"/>
            <w:noProof/>
            <w:szCs w:val="24"/>
          </w:rPr>
          <w:t>Ousley</w:t>
        </w:r>
        <w:r w:rsidR="001633BC" w:rsidRPr="0015693A">
          <w:rPr>
            <w:rFonts w:cs="Times New Roman"/>
            <w:i/>
            <w:noProof/>
            <w:szCs w:val="24"/>
          </w:rPr>
          <w:t xml:space="preserve"> et al.</w:t>
        </w:r>
        <w:r w:rsidR="001633BC">
          <w:rPr>
            <w:rFonts w:cs="Times New Roman"/>
            <w:noProof/>
            <w:szCs w:val="24"/>
          </w:rPr>
          <w:t xml:space="preserve"> (2009</w:t>
        </w:r>
      </w:hyperlink>
      <w:r w:rsidR="0015693A">
        <w:rPr>
          <w:rFonts w:cs="Times New Roman"/>
          <w:noProof/>
          <w:szCs w:val="24"/>
        </w:rPr>
        <w:t>)</w:t>
      </w:r>
      <w:r w:rsidR="003731B6">
        <w:rPr>
          <w:rFonts w:cs="Times New Roman"/>
          <w:szCs w:val="24"/>
        </w:rPr>
        <w:fldChar w:fldCharType="end"/>
      </w:r>
      <w:r w:rsidR="00751845">
        <w:rPr>
          <w:rFonts w:cs="Times New Roman"/>
          <w:szCs w:val="24"/>
        </w:rPr>
        <w:t xml:space="preserve"> and weak posterior probabilities.</w:t>
      </w:r>
      <w:r w:rsidR="000E62CC">
        <w:rPr>
          <w:rFonts w:cs="Times New Roman"/>
          <w:szCs w:val="24"/>
        </w:rPr>
        <w:t xml:space="preserve">  </w:t>
      </w:r>
    </w:p>
    <w:p w:rsidR="002C68E0" w:rsidRDefault="00400F2B" w:rsidP="00BB2CB0">
      <w:pPr>
        <w:autoSpaceDE w:val="0"/>
        <w:autoSpaceDN w:val="0"/>
        <w:adjustRightInd w:val="0"/>
        <w:spacing w:after="0"/>
        <w:ind w:firstLine="720"/>
        <w:rPr>
          <w:rFonts w:cs="Times New Roman"/>
          <w:szCs w:val="24"/>
        </w:rPr>
      </w:pPr>
      <w:r>
        <w:rPr>
          <w:rFonts w:cs="Times New Roman"/>
          <w:szCs w:val="24"/>
        </w:rPr>
        <w:t xml:space="preserve">Figure 2 and Table 6 </w:t>
      </w:r>
      <w:r w:rsidR="00375A9F">
        <w:rPr>
          <w:rFonts w:cs="Times New Roman"/>
          <w:szCs w:val="24"/>
        </w:rPr>
        <w:t>show that the</w:t>
      </w:r>
      <w:r w:rsidR="000E62CC">
        <w:rPr>
          <w:rFonts w:cs="Times New Roman"/>
          <w:szCs w:val="24"/>
        </w:rPr>
        <w:t xml:space="preserve"> key subset of 12 variables </w:t>
      </w:r>
      <w:r w:rsidR="00DD2E2C">
        <w:rPr>
          <w:rFonts w:cs="Times New Roman"/>
          <w:szCs w:val="24"/>
        </w:rPr>
        <w:t xml:space="preserve">has </w:t>
      </w:r>
      <w:r w:rsidR="004E5168">
        <w:rPr>
          <w:rFonts w:cs="Times New Roman"/>
          <w:szCs w:val="24"/>
        </w:rPr>
        <w:t>greater rates of</w:t>
      </w:r>
      <w:r w:rsidR="000E62CC">
        <w:rPr>
          <w:rFonts w:cs="Times New Roman"/>
          <w:szCs w:val="24"/>
        </w:rPr>
        <w:t xml:space="preserve"> missingness than the overall data set.  Only about 52% of observation</w:t>
      </w:r>
      <w:r w:rsidR="005B6B63">
        <w:rPr>
          <w:rFonts w:cs="Times New Roman"/>
          <w:szCs w:val="24"/>
        </w:rPr>
        <w:t xml:space="preserve">s have 6% or less missingness, about </w:t>
      </w:r>
      <w:r w:rsidR="000E62CC">
        <w:rPr>
          <w:rFonts w:cs="Times New Roman"/>
          <w:szCs w:val="24"/>
        </w:rPr>
        <w:t>30%</w:t>
      </w:r>
      <w:r w:rsidR="007C7CEC">
        <w:rPr>
          <w:rFonts w:cs="Times New Roman"/>
          <w:szCs w:val="24"/>
        </w:rPr>
        <w:t xml:space="preserve"> </w:t>
      </w:r>
      <w:r w:rsidR="005B6B63">
        <w:rPr>
          <w:rFonts w:cs="Times New Roman"/>
          <w:szCs w:val="24"/>
        </w:rPr>
        <w:t xml:space="preserve">of observations are </w:t>
      </w:r>
      <w:r w:rsidR="007C7CEC">
        <w:rPr>
          <w:rFonts w:cs="Times New Roman"/>
          <w:szCs w:val="24"/>
        </w:rPr>
        <w:t>missing between 6</w:t>
      </w:r>
      <w:r w:rsidR="004A5932">
        <w:rPr>
          <w:rFonts w:cs="Times New Roman"/>
          <w:szCs w:val="24"/>
        </w:rPr>
        <w:t>%</w:t>
      </w:r>
      <w:r w:rsidR="007C7CEC">
        <w:rPr>
          <w:rFonts w:cs="Times New Roman"/>
          <w:szCs w:val="24"/>
        </w:rPr>
        <w:t>-</w:t>
      </w:r>
      <w:r w:rsidR="000E62CC">
        <w:rPr>
          <w:rFonts w:cs="Times New Roman"/>
          <w:szCs w:val="24"/>
        </w:rPr>
        <w:t xml:space="preserve">25% of </w:t>
      </w:r>
      <w:r w:rsidR="007C7CEC">
        <w:rPr>
          <w:rFonts w:cs="Times New Roman"/>
          <w:szCs w:val="24"/>
        </w:rPr>
        <w:t xml:space="preserve">their </w:t>
      </w:r>
      <w:r w:rsidR="000E62CC">
        <w:rPr>
          <w:rFonts w:cs="Times New Roman"/>
          <w:szCs w:val="24"/>
        </w:rPr>
        <w:t>values, and the rest missing up to 100%</w:t>
      </w:r>
      <w:r w:rsidR="00F845C9">
        <w:rPr>
          <w:rFonts w:cs="Times New Roman"/>
          <w:szCs w:val="24"/>
        </w:rPr>
        <w:t xml:space="preserve">.  </w:t>
      </w:r>
      <w:r w:rsidR="009B35EA">
        <w:rPr>
          <w:rFonts w:cs="Times New Roman"/>
          <w:szCs w:val="24"/>
        </w:rPr>
        <w:t>L</w:t>
      </w:r>
      <w:r w:rsidR="00C649C1">
        <w:rPr>
          <w:rFonts w:cs="Times New Roman"/>
          <w:szCs w:val="24"/>
        </w:rPr>
        <w:t>imiting the analysis to these variables does not mitigate the problem of missing values by observation.</w:t>
      </w:r>
      <w:r w:rsidR="00650D11">
        <w:rPr>
          <w:rFonts w:cs="Times New Roman"/>
          <w:szCs w:val="24"/>
        </w:rPr>
        <w:t xml:space="preserve">  Therefore, </w:t>
      </w:r>
      <w:r w:rsidR="004A2358">
        <w:rPr>
          <w:rFonts w:cs="Times New Roman"/>
          <w:szCs w:val="24"/>
        </w:rPr>
        <w:t>a strategy employing a combination of variable and case deletion based upon degree of missingness will be used</w:t>
      </w:r>
      <w:r w:rsidR="00F65ADA">
        <w:rPr>
          <w:rFonts w:cs="Times New Roman"/>
          <w:szCs w:val="24"/>
        </w:rPr>
        <w:t xml:space="preserve"> to reduce the missingness to a more manageable </w:t>
      </w:r>
      <w:r w:rsidR="003F788E">
        <w:rPr>
          <w:rFonts w:cs="Times New Roman"/>
          <w:szCs w:val="24"/>
        </w:rPr>
        <w:t>level</w:t>
      </w:r>
      <w:r w:rsidR="004A2358">
        <w:rPr>
          <w:rFonts w:cs="Times New Roman"/>
          <w:szCs w:val="24"/>
        </w:rPr>
        <w:t>.</w:t>
      </w:r>
    </w:p>
    <w:p w:rsidR="002C68E0" w:rsidRDefault="002C68E0" w:rsidP="002C68E0">
      <w:pPr>
        <w:autoSpaceDE w:val="0"/>
        <w:autoSpaceDN w:val="0"/>
        <w:adjustRightInd w:val="0"/>
        <w:spacing w:after="0"/>
        <w:rPr>
          <w:rFonts w:cs="Times New Roman"/>
          <w:szCs w:val="24"/>
        </w:rPr>
      </w:pPr>
    </w:p>
    <w:p w:rsidR="002C68E0" w:rsidRDefault="002C68E0" w:rsidP="002C68E0">
      <w:pPr>
        <w:autoSpaceDE w:val="0"/>
        <w:autoSpaceDN w:val="0"/>
        <w:adjustRightInd w:val="0"/>
        <w:spacing w:after="0"/>
        <w:rPr>
          <w:rFonts w:cs="Times New Roman"/>
          <w:szCs w:val="24"/>
        </w:rPr>
      </w:pPr>
    </w:p>
    <w:p w:rsidR="00E812E6" w:rsidRDefault="00E812E6" w:rsidP="002C68E0">
      <w:pPr>
        <w:autoSpaceDE w:val="0"/>
        <w:autoSpaceDN w:val="0"/>
        <w:adjustRightInd w:val="0"/>
        <w:spacing w:after="0"/>
        <w:rPr>
          <w:rFonts w:cs="Times New Roman"/>
          <w:szCs w:val="24"/>
        </w:rPr>
      </w:pPr>
    </w:p>
    <w:p w:rsidR="002C68E0" w:rsidRDefault="002C68E0" w:rsidP="002C68E0">
      <w:pPr>
        <w:autoSpaceDE w:val="0"/>
        <w:autoSpaceDN w:val="0"/>
        <w:adjustRightInd w:val="0"/>
        <w:spacing w:after="0"/>
        <w:rPr>
          <w:rFonts w:cs="Times New Roman"/>
          <w:szCs w:val="24"/>
        </w:rPr>
      </w:pPr>
    </w:p>
    <w:p w:rsidR="002C68E0" w:rsidRDefault="002C68E0" w:rsidP="002C68E0">
      <w:pPr>
        <w:autoSpaceDE w:val="0"/>
        <w:autoSpaceDN w:val="0"/>
        <w:adjustRightInd w:val="0"/>
        <w:spacing w:after="0"/>
        <w:rPr>
          <w:rFonts w:cs="Times New Roman"/>
          <w:szCs w:val="24"/>
        </w:rPr>
      </w:pPr>
    </w:p>
    <w:p w:rsidR="002C68E0" w:rsidRPr="000F6960" w:rsidRDefault="002C68E0" w:rsidP="0024354B">
      <w:pPr>
        <w:pStyle w:val="Caption"/>
      </w:pPr>
      <w:bookmarkStart w:id="38" w:name="_Toc227982514"/>
      <w:proofErr w:type="gramStart"/>
      <w:r w:rsidRPr="000F6960">
        <w:t xml:space="preserve">Table </w:t>
      </w:r>
      <w:r w:rsidR="003731B6" w:rsidRPr="000F6960">
        <w:fldChar w:fldCharType="begin"/>
      </w:r>
      <w:r w:rsidRPr="000F6960">
        <w:instrText xml:space="preserve"> SEQ Table \* ARABIC </w:instrText>
      </w:r>
      <w:r w:rsidR="003731B6" w:rsidRPr="000F6960">
        <w:fldChar w:fldCharType="separate"/>
      </w:r>
      <w:r w:rsidR="001633BC">
        <w:rPr>
          <w:noProof/>
        </w:rPr>
        <w:t>6</w:t>
      </w:r>
      <w:r w:rsidR="003731B6" w:rsidRPr="000F6960">
        <w:rPr>
          <w:noProof/>
        </w:rPr>
        <w:fldChar w:fldCharType="end"/>
      </w:r>
      <w:r w:rsidRPr="000F6960">
        <w:t>.</w:t>
      </w:r>
      <w:proofErr w:type="gramEnd"/>
      <w:r w:rsidRPr="000F6960">
        <w:t xml:space="preserve">  </w:t>
      </w:r>
      <w:proofErr w:type="gramStart"/>
      <w:r w:rsidRPr="000F6960">
        <w:t>Missingness for the key subset.</w:t>
      </w:r>
      <w:bookmarkEnd w:id="38"/>
      <w:proofErr w:type="gramEnd"/>
    </w:p>
    <w:tbl>
      <w:tblPr>
        <w:tblW w:w="55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43"/>
        <w:gridCol w:w="643"/>
        <w:gridCol w:w="642"/>
        <w:gridCol w:w="1056"/>
        <w:gridCol w:w="642"/>
        <w:gridCol w:w="642"/>
        <w:gridCol w:w="642"/>
        <w:gridCol w:w="642"/>
      </w:tblGrid>
      <w:tr w:rsidR="002C68E0" w:rsidRPr="00657B0C">
        <w:trPr>
          <w:cantSplit/>
        </w:trPr>
        <w:tc>
          <w:tcPr>
            <w:tcW w:w="5552" w:type="dxa"/>
            <w:gridSpan w:val="8"/>
            <w:tcBorders>
              <w:top w:val="nil"/>
              <w:left w:val="nil"/>
              <w:bottom w:val="nil"/>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b/>
                <w:bCs/>
                <w:color w:val="000000"/>
                <w:sz w:val="14"/>
                <w:szCs w:val="14"/>
              </w:rPr>
              <w:t>Univariate Statistics</w:t>
            </w:r>
          </w:p>
        </w:tc>
      </w:tr>
      <w:tr w:rsidR="002C68E0" w:rsidRPr="00657B0C">
        <w:trPr>
          <w:cantSplit/>
        </w:trPr>
        <w:tc>
          <w:tcPr>
            <w:tcW w:w="643" w:type="dxa"/>
            <w:vMerge w:val="restart"/>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240" w:lineRule="auto"/>
              <w:rPr>
                <w:rFonts w:cs="Times New Roman"/>
                <w:szCs w:val="24"/>
              </w:rPr>
            </w:pPr>
          </w:p>
        </w:tc>
        <w:tc>
          <w:tcPr>
            <w:tcW w:w="643" w:type="dxa"/>
            <w:vMerge w:val="restart"/>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color w:val="000000"/>
                <w:sz w:val="14"/>
                <w:szCs w:val="14"/>
              </w:rPr>
              <w:t>N</w:t>
            </w:r>
          </w:p>
        </w:tc>
        <w:tc>
          <w:tcPr>
            <w:tcW w:w="642" w:type="dxa"/>
            <w:vMerge w:val="restart"/>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color w:val="000000"/>
                <w:sz w:val="14"/>
                <w:szCs w:val="14"/>
              </w:rPr>
              <w:t>Mean</w:t>
            </w:r>
          </w:p>
        </w:tc>
        <w:tc>
          <w:tcPr>
            <w:tcW w:w="1056" w:type="dxa"/>
            <w:vMerge w:val="restart"/>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color w:val="000000"/>
                <w:sz w:val="14"/>
                <w:szCs w:val="14"/>
              </w:rPr>
              <w:t>Std. Deviation</w:t>
            </w:r>
          </w:p>
        </w:tc>
        <w:tc>
          <w:tcPr>
            <w:tcW w:w="1284" w:type="dxa"/>
            <w:gridSpan w:val="2"/>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color w:val="000000"/>
                <w:sz w:val="14"/>
                <w:szCs w:val="14"/>
              </w:rPr>
              <w:t>Missing</w:t>
            </w:r>
          </w:p>
        </w:tc>
        <w:tc>
          <w:tcPr>
            <w:tcW w:w="1284" w:type="dxa"/>
            <w:gridSpan w:val="2"/>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color w:val="000000"/>
                <w:sz w:val="14"/>
                <w:szCs w:val="14"/>
              </w:rPr>
              <w:t xml:space="preserve">No. </w:t>
            </w:r>
            <w:proofErr w:type="gramStart"/>
            <w:r w:rsidRPr="00657B0C">
              <w:rPr>
                <w:rFonts w:cs="Times New Roman"/>
                <w:color w:val="000000"/>
                <w:sz w:val="14"/>
                <w:szCs w:val="14"/>
              </w:rPr>
              <w:t>of</w:t>
            </w:r>
            <w:proofErr w:type="gramEnd"/>
            <w:r w:rsidRPr="00657B0C">
              <w:rPr>
                <w:rFonts w:cs="Times New Roman"/>
                <w:color w:val="000000"/>
                <w:sz w:val="14"/>
                <w:szCs w:val="14"/>
              </w:rPr>
              <w:t xml:space="preserve"> Extremes</w:t>
            </w:r>
            <w:r w:rsidRPr="00657B0C">
              <w:rPr>
                <w:rFonts w:cs="Times New Roman"/>
                <w:color w:val="000000"/>
                <w:sz w:val="14"/>
                <w:szCs w:val="14"/>
                <w:vertAlign w:val="superscript"/>
              </w:rPr>
              <w:t>a</w:t>
            </w:r>
          </w:p>
        </w:tc>
      </w:tr>
      <w:tr w:rsidR="002C68E0" w:rsidRPr="00657B0C">
        <w:trPr>
          <w:cantSplit/>
        </w:trPr>
        <w:tc>
          <w:tcPr>
            <w:tcW w:w="643" w:type="dxa"/>
            <w:vMerge/>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240" w:lineRule="auto"/>
              <w:rPr>
                <w:rFonts w:cs="Times New Roman"/>
                <w:color w:val="000000"/>
                <w:sz w:val="14"/>
                <w:szCs w:val="14"/>
              </w:rPr>
            </w:pPr>
          </w:p>
        </w:tc>
        <w:tc>
          <w:tcPr>
            <w:tcW w:w="643" w:type="dxa"/>
            <w:vMerge/>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240" w:lineRule="auto"/>
              <w:rPr>
                <w:rFonts w:cs="Times New Roman"/>
                <w:color w:val="000000"/>
                <w:sz w:val="14"/>
                <w:szCs w:val="14"/>
              </w:rPr>
            </w:pPr>
          </w:p>
        </w:tc>
        <w:tc>
          <w:tcPr>
            <w:tcW w:w="642" w:type="dxa"/>
            <w:vMerge/>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240" w:lineRule="auto"/>
              <w:rPr>
                <w:rFonts w:cs="Times New Roman"/>
                <w:color w:val="000000"/>
                <w:sz w:val="14"/>
                <w:szCs w:val="14"/>
              </w:rPr>
            </w:pPr>
          </w:p>
        </w:tc>
        <w:tc>
          <w:tcPr>
            <w:tcW w:w="1056" w:type="dxa"/>
            <w:vMerge/>
            <w:tcBorders>
              <w:top w:val="double" w:sz="8" w:space="0" w:color="000000"/>
              <w:left w:val="nil"/>
              <w:bottom w:val="nil"/>
              <w:right w:val="nil"/>
            </w:tcBorders>
            <w:shd w:val="clear" w:color="auto" w:fill="FFFFFF"/>
          </w:tcPr>
          <w:p w:rsidR="002C68E0" w:rsidRPr="00657B0C" w:rsidRDefault="002C68E0" w:rsidP="00657B0C">
            <w:pPr>
              <w:autoSpaceDE w:val="0"/>
              <w:autoSpaceDN w:val="0"/>
              <w:adjustRightInd w:val="0"/>
              <w:spacing w:after="0" w:line="240" w:lineRule="auto"/>
              <w:rPr>
                <w:rFonts w:cs="Times New Roman"/>
                <w:color w:val="000000"/>
                <w:sz w:val="14"/>
                <w:szCs w:val="14"/>
              </w:rPr>
            </w:pPr>
          </w:p>
        </w:tc>
        <w:tc>
          <w:tcPr>
            <w:tcW w:w="642" w:type="dxa"/>
            <w:tcBorders>
              <w:top w:val="nil"/>
              <w:left w:val="nil"/>
              <w:bottom w:val="single" w:sz="16" w:space="0" w:color="000000"/>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color w:val="000000"/>
                <w:sz w:val="14"/>
                <w:szCs w:val="14"/>
              </w:rPr>
              <w:t>Count</w:t>
            </w:r>
          </w:p>
        </w:tc>
        <w:tc>
          <w:tcPr>
            <w:tcW w:w="642" w:type="dxa"/>
            <w:tcBorders>
              <w:top w:val="nil"/>
              <w:left w:val="nil"/>
              <w:bottom w:val="single" w:sz="16" w:space="0" w:color="000000"/>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color w:val="000000"/>
                <w:sz w:val="14"/>
                <w:szCs w:val="14"/>
              </w:rPr>
              <w:t>Percent</w:t>
            </w:r>
          </w:p>
        </w:tc>
        <w:tc>
          <w:tcPr>
            <w:tcW w:w="642" w:type="dxa"/>
            <w:tcBorders>
              <w:top w:val="nil"/>
              <w:left w:val="nil"/>
              <w:bottom w:val="single" w:sz="16" w:space="0" w:color="000000"/>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color w:val="000000"/>
                <w:sz w:val="14"/>
                <w:szCs w:val="14"/>
              </w:rPr>
              <w:t>Low</w:t>
            </w:r>
          </w:p>
        </w:tc>
        <w:tc>
          <w:tcPr>
            <w:tcW w:w="642" w:type="dxa"/>
            <w:tcBorders>
              <w:top w:val="nil"/>
              <w:left w:val="nil"/>
              <w:bottom w:val="single" w:sz="16" w:space="0" w:color="000000"/>
              <w:right w:val="nil"/>
            </w:tcBorders>
            <w:shd w:val="clear" w:color="auto" w:fill="FFFFFF"/>
          </w:tcPr>
          <w:p w:rsidR="002C68E0" w:rsidRPr="00657B0C" w:rsidRDefault="002C68E0" w:rsidP="00657B0C">
            <w:pPr>
              <w:autoSpaceDE w:val="0"/>
              <w:autoSpaceDN w:val="0"/>
              <w:adjustRightInd w:val="0"/>
              <w:spacing w:after="0" w:line="320" w:lineRule="atLeast"/>
              <w:ind w:left="60" w:right="60"/>
              <w:jc w:val="center"/>
              <w:rPr>
                <w:rFonts w:cs="Times New Roman"/>
                <w:color w:val="000000"/>
                <w:sz w:val="14"/>
                <w:szCs w:val="14"/>
              </w:rPr>
            </w:pPr>
            <w:r w:rsidRPr="00657B0C">
              <w:rPr>
                <w:rFonts w:cs="Times New Roman"/>
                <w:color w:val="000000"/>
                <w:sz w:val="14"/>
                <w:szCs w:val="14"/>
              </w:rPr>
              <w:t>High</w:t>
            </w:r>
          </w:p>
        </w:tc>
      </w:tr>
      <w:tr w:rsidR="002C68E0" w:rsidRPr="00657B0C">
        <w:trPr>
          <w:cantSplit/>
        </w:trPr>
        <w:tc>
          <w:tcPr>
            <w:tcW w:w="643" w:type="dxa"/>
            <w:tcBorders>
              <w:top w:val="single" w:sz="16" w:space="0" w:color="000000"/>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GOL</w:t>
            </w:r>
          </w:p>
        </w:tc>
        <w:tc>
          <w:tcPr>
            <w:tcW w:w="643" w:type="dxa"/>
            <w:tcBorders>
              <w:top w:val="single" w:sz="16" w:space="0" w:color="000000"/>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1459</w:t>
            </w:r>
          </w:p>
        </w:tc>
        <w:tc>
          <w:tcPr>
            <w:tcW w:w="642" w:type="dxa"/>
            <w:tcBorders>
              <w:top w:val="single" w:sz="16" w:space="0" w:color="000000"/>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183.17</w:t>
            </w:r>
          </w:p>
        </w:tc>
        <w:tc>
          <w:tcPr>
            <w:tcW w:w="1056" w:type="dxa"/>
            <w:tcBorders>
              <w:top w:val="single" w:sz="16" w:space="0" w:color="000000"/>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9.022</w:t>
            </w:r>
          </w:p>
        </w:tc>
        <w:tc>
          <w:tcPr>
            <w:tcW w:w="642" w:type="dxa"/>
            <w:tcBorders>
              <w:top w:val="single" w:sz="16" w:space="0" w:color="000000"/>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52</w:t>
            </w:r>
          </w:p>
        </w:tc>
        <w:tc>
          <w:tcPr>
            <w:tcW w:w="642" w:type="dxa"/>
            <w:tcBorders>
              <w:top w:val="single" w:sz="16" w:space="0" w:color="000000"/>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3.4</w:t>
            </w:r>
          </w:p>
        </w:tc>
        <w:tc>
          <w:tcPr>
            <w:tcW w:w="642" w:type="dxa"/>
            <w:tcBorders>
              <w:top w:val="single" w:sz="16" w:space="0" w:color="000000"/>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7</w:t>
            </w:r>
          </w:p>
        </w:tc>
        <w:tc>
          <w:tcPr>
            <w:tcW w:w="642" w:type="dxa"/>
            <w:tcBorders>
              <w:top w:val="single" w:sz="16" w:space="0" w:color="000000"/>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3</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XCB</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1450</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137.73</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6.230</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61</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4.0</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17</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ZYB</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1397</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126.53</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7.159</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114</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7.5</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20</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BNL</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1439</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102.62</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5.872</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72</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4.8</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10</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BPL</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1280</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95.89</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7.223</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231</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15.3</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4</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MAB</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983</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61.21</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5.103</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528</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34.9</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5</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3</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AUB</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1363</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120.68</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6.084</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148</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9.8</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17</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6</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NLB</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1418</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23.87</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2.347</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93</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6.2</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11</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OBB</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1395</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40.19</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2.554</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116</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7.7</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32</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8</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OBH</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1405</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34.09</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2.250</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106</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7.0</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6</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5</w:t>
            </w:r>
          </w:p>
        </w:tc>
      </w:tr>
      <w:tr w:rsidR="002C68E0" w:rsidRPr="00657B0C">
        <w:trPr>
          <w:cantSplit/>
        </w:trPr>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EKB</w:t>
            </w:r>
          </w:p>
        </w:tc>
        <w:tc>
          <w:tcPr>
            <w:tcW w:w="643"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1331</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96.42</w:t>
            </w:r>
          </w:p>
        </w:tc>
        <w:tc>
          <w:tcPr>
            <w:tcW w:w="1056"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4.722</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180</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11.9</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w:t>
            </w:r>
          </w:p>
        </w:tc>
        <w:tc>
          <w:tcPr>
            <w:tcW w:w="642" w:type="dxa"/>
            <w:tcBorders>
              <w:top w:val="nil"/>
              <w:left w:val="nil"/>
              <w:bottom w:val="nil"/>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3</w:t>
            </w:r>
          </w:p>
        </w:tc>
      </w:tr>
      <w:tr w:rsidR="002C68E0" w:rsidRPr="00657B0C">
        <w:trPr>
          <w:cantSplit/>
        </w:trPr>
        <w:tc>
          <w:tcPr>
            <w:tcW w:w="643" w:type="dxa"/>
            <w:tcBorders>
              <w:top w:val="nil"/>
              <w:left w:val="nil"/>
              <w:bottom w:val="double" w:sz="8" w:space="0" w:color="000000"/>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DKB</w:t>
            </w:r>
          </w:p>
        </w:tc>
        <w:tc>
          <w:tcPr>
            <w:tcW w:w="643" w:type="dxa"/>
            <w:tcBorders>
              <w:top w:val="nil"/>
              <w:left w:val="nil"/>
              <w:bottom w:val="double" w:sz="8" w:space="0" w:color="000000"/>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1353</w:t>
            </w:r>
          </w:p>
        </w:tc>
        <w:tc>
          <w:tcPr>
            <w:tcW w:w="642" w:type="dxa"/>
            <w:tcBorders>
              <w:top w:val="nil"/>
              <w:left w:val="nil"/>
              <w:bottom w:val="double" w:sz="8" w:space="0" w:color="000000"/>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21.05</w:t>
            </w:r>
          </w:p>
        </w:tc>
        <w:tc>
          <w:tcPr>
            <w:tcW w:w="1056" w:type="dxa"/>
            <w:tcBorders>
              <w:top w:val="nil"/>
              <w:left w:val="nil"/>
              <w:bottom w:val="double" w:sz="8" w:space="0" w:color="000000"/>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2.746</w:t>
            </w:r>
          </w:p>
        </w:tc>
        <w:tc>
          <w:tcPr>
            <w:tcW w:w="642" w:type="dxa"/>
            <w:tcBorders>
              <w:top w:val="nil"/>
              <w:left w:val="nil"/>
              <w:bottom w:val="double" w:sz="8" w:space="0" w:color="000000"/>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158</w:t>
            </w:r>
          </w:p>
        </w:tc>
        <w:tc>
          <w:tcPr>
            <w:tcW w:w="642" w:type="dxa"/>
            <w:tcBorders>
              <w:top w:val="nil"/>
              <w:left w:val="nil"/>
              <w:bottom w:val="double" w:sz="8" w:space="0" w:color="000000"/>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10.5</w:t>
            </w:r>
          </w:p>
        </w:tc>
        <w:tc>
          <w:tcPr>
            <w:tcW w:w="642" w:type="dxa"/>
            <w:tcBorders>
              <w:top w:val="nil"/>
              <w:left w:val="nil"/>
              <w:bottom w:val="double" w:sz="8" w:space="0" w:color="000000"/>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4</w:t>
            </w:r>
          </w:p>
        </w:tc>
        <w:tc>
          <w:tcPr>
            <w:tcW w:w="642" w:type="dxa"/>
            <w:tcBorders>
              <w:top w:val="nil"/>
              <w:left w:val="nil"/>
              <w:bottom w:val="double" w:sz="8" w:space="0" w:color="000000"/>
              <w:right w:val="nil"/>
            </w:tcBorders>
            <w:shd w:val="clear" w:color="auto" w:fill="FFFFFF"/>
            <w:vAlign w:val="center"/>
          </w:tcPr>
          <w:p w:rsidR="002C68E0" w:rsidRPr="00657B0C" w:rsidRDefault="002C68E0" w:rsidP="00657B0C">
            <w:pPr>
              <w:autoSpaceDE w:val="0"/>
              <w:autoSpaceDN w:val="0"/>
              <w:adjustRightInd w:val="0"/>
              <w:spacing w:after="0" w:line="320" w:lineRule="atLeast"/>
              <w:ind w:left="60" w:right="60"/>
              <w:jc w:val="right"/>
              <w:rPr>
                <w:rFonts w:cs="Times New Roman"/>
                <w:color w:val="000000"/>
                <w:sz w:val="14"/>
                <w:szCs w:val="14"/>
              </w:rPr>
            </w:pPr>
            <w:r w:rsidRPr="00657B0C">
              <w:rPr>
                <w:rFonts w:cs="Times New Roman"/>
                <w:color w:val="000000"/>
                <w:sz w:val="14"/>
                <w:szCs w:val="14"/>
              </w:rPr>
              <w:t>9</w:t>
            </w:r>
          </w:p>
        </w:tc>
      </w:tr>
      <w:tr w:rsidR="002C68E0" w:rsidRPr="00657B0C">
        <w:trPr>
          <w:cantSplit/>
        </w:trPr>
        <w:tc>
          <w:tcPr>
            <w:tcW w:w="5552" w:type="dxa"/>
            <w:gridSpan w:val="8"/>
            <w:tcBorders>
              <w:top w:val="nil"/>
              <w:left w:val="nil"/>
              <w:bottom w:val="nil"/>
              <w:right w:val="nil"/>
            </w:tcBorders>
            <w:shd w:val="clear" w:color="auto" w:fill="FFFFFF"/>
          </w:tcPr>
          <w:p w:rsidR="002C68E0" w:rsidRPr="00657B0C" w:rsidRDefault="002C68E0" w:rsidP="00657B0C">
            <w:pPr>
              <w:autoSpaceDE w:val="0"/>
              <w:autoSpaceDN w:val="0"/>
              <w:adjustRightInd w:val="0"/>
              <w:spacing w:after="0" w:line="320" w:lineRule="atLeast"/>
              <w:ind w:left="60" w:right="60"/>
              <w:rPr>
                <w:rFonts w:cs="Times New Roman"/>
                <w:color w:val="000000"/>
                <w:sz w:val="14"/>
                <w:szCs w:val="14"/>
              </w:rPr>
            </w:pPr>
            <w:r w:rsidRPr="00657B0C">
              <w:rPr>
                <w:rFonts w:cs="Times New Roman"/>
                <w:color w:val="000000"/>
                <w:sz w:val="14"/>
                <w:szCs w:val="14"/>
              </w:rPr>
              <w:t>a. Number of cases outside the range (Q1 - 1.5*IQR, Q3 + 1.5*IQR).</w:t>
            </w:r>
          </w:p>
        </w:tc>
      </w:tr>
    </w:tbl>
    <w:p w:rsidR="00E717C7" w:rsidRPr="00D807AC" w:rsidRDefault="00E717C7" w:rsidP="002C68E0">
      <w:pPr>
        <w:autoSpaceDE w:val="0"/>
        <w:autoSpaceDN w:val="0"/>
        <w:adjustRightInd w:val="0"/>
        <w:spacing w:after="0"/>
        <w:rPr>
          <w:rFonts w:cs="Times New Roman"/>
          <w:szCs w:val="24"/>
        </w:rPr>
      </w:pPr>
    </w:p>
    <w:p w:rsidR="005E1824" w:rsidRDefault="000E62CC" w:rsidP="005E1824">
      <w:pPr>
        <w:keepNext/>
      </w:pPr>
      <w:r>
        <w:rPr>
          <w:noProof/>
        </w:rPr>
        <w:drawing>
          <wp:inline distT="0" distB="0" distL="0" distR="0">
            <wp:extent cx="4933950" cy="3838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3950" cy="3838575"/>
                    </a:xfrm>
                    <a:prstGeom prst="rect">
                      <a:avLst/>
                    </a:prstGeom>
                    <a:noFill/>
                    <a:ln>
                      <a:noFill/>
                    </a:ln>
                  </pic:spPr>
                </pic:pic>
              </a:graphicData>
            </a:graphic>
          </wp:inline>
        </w:drawing>
      </w:r>
    </w:p>
    <w:p w:rsidR="008F59A3" w:rsidRDefault="005E1824" w:rsidP="00DD4047">
      <w:pPr>
        <w:pStyle w:val="Caption"/>
      </w:pPr>
      <w:bookmarkStart w:id="39" w:name="_Toc222377973"/>
      <w:bookmarkStart w:id="40" w:name="_Toc227139299"/>
      <w:proofErr w:type="gramStart"/>
      <w:r w:rsidRPr="0026385C">
        <w:t xml:space="preserve">Figure </w:t>
      </w:r>
      <w:fldSimple w:instr=" SEQ Figure \* ARABIC ">
        <w:r w:rsidR="001633BC">
          <w:rPr>
            <w:noProof/>
          </w:rPr>
          <w:t>2</w:t>
        </w:r>
      </w:fldSimple>
      <w:r w:rsidR="00406C81">
        <w:t>.</w:t>
      </w:r>
      <w:proofErr w:type="gramEnd"/>
      <w:r w:rsidR="00406C81">
        <w:t xml:space="preserve"> </w:t>
      </w:r>
      <w:r w:rsidRPr="0026385C">
        <w:t>Percent of observations by percent of missing values:  12-variable subset.</w:t>
      </w:r>
      <w:bookmarkEnd w:id="39"/>
      <w:bookmarkEnd w:id="40"/>
    </w:p>
    <w:p w:rsidR="000F6960" w:rsidRDefault="000F6960" w:rsidP="002C68E0">
      <w:pPr>
        <w:autoSpaceDE w:val="0"/>
        <w:autoSpaceDN w:val="0"/>
        <w:adjustRightInd w:val="0"/>
        <w:spacing w:after="0"/>
        <w:rPr>
          <w:rFonts w:cs="Times New Roman"/>
          <w:szCs w:val="24"/>
        </w:rPr>
      </w:pPr>
    </w:p>
    <w:p w:rsidR="009D43CF" w:rsidRDefault="00623695" w:rsidP="005B1C69">
      <w:pPr>
        <w:autoSpaceDE w:val="0"/>
        <w:autoSpaceDN w:val="0"/>
        <w:adjustRightInd w:val="0"/>
        <w:spacing w:after="0"/>
        <w:ind w:firstLine="720"/>
        <w:rPr>
          <w:rFonts w:cs="Times New Roman"/>
          <w:szCs w:val="24"/>
        </w:rPr>
      </w:pPr>
      <w:r>
        <w:rPr>
          <w:rFonts w:cs="Times New Roman"/>
          <w:szCs w:val="24"/>
        </w:rPr>
        <w:t>First, o</w:t>
      </w:r>
      <w:r w:rsidR="009D43CF">
        <w:rPr>
          <w:rFonts w:cs="Times New Roman"/>
          <w:szCs w:val="24"/>
        </w:rPr>
        <w:t>nly variables with 10</w:t>
      </w:r>
      <w:r w:rsidR="00577B86">
        <w:rPr>
          <w:rFonts w:cs="Times New Roman"/>
          <w:szCs w:val="24"/>
        </w:rPr>
        <w:t xml:space="preserve"> percent</w:t>
      </w:r>
      <w:r w:rsidR="004C6981">
        <w:rPr>
          <w:rFonts w:cs="Times New Roman"/>
          <w:szCs w:val="24"/>
        </w:rPr>
        <w:t xml:space="preserve"> or fewer</w:t>
      </w:r>
      <w:r w:rsidR="00577B86">
        <w:rPr>
          <w:rFonts w:cs="Times New Roman"/>
          <w:szCs w:val="24"/>
        </w:rPr>
        <w:t xml:space="preserve"> values missing</w:t>
      </w:r>
      <w:r w:rsidR="009D43CF">
        <w:rPr>
          <w:rFonts w:cs="Times New Roman"/>
          <w:szCs w:val="24"/>
        </w:rPr>
        <w:t xml:space="preserve"> </w:t>
      </w:r>
      <w:r w:rsidR="00E22B9F">
        <w:rPr>
          <w:rFonts w:cs="Times New Roman"/>
          <w:szCs w:val="24"/>
        </w:rPr>
        <w:t xml:space="preserve">were </w:t>
      </w:r>
      <w:r w:rsidR="00367B32">
        <w:rPr>
          <w:rFonts w:cs="Times New Roman"/>
          <w:szCs w:val="24"/>
        </w:rPr>
        <w:t>retained to limit the degree of missingness and allow for the application of practical estimation techniques</w:t>
      </w:r>
      <w:r w:rsidR="00577B86">
        <w:rPr>
          <w:rFonts w:cs="Times New Roman"/>
          <w:szCs w:val="24"/>
        </w:rPr>
        <w:t>.</w:t>
      </w:r>
      <w:r w:rsidR="009D43CF">
        <w:rPr>
          <w:rFonts w:cs="Times New Roman"/>
          <w:szCs w:val="24"/>
        </w:rPr>
        <w:t xml:space="preserve">  There are two mor</w:t>
      </w:r>
      <w:r w:rsidR="00317F4F">
        <w:rPr>
          <w:rFonts w:cs="Times New Roman"/>
          <w:szCs w:val="24"/>
        </w:rPr>
        <w:t>e key variables in the 10-15%</w:t>
      </w:r>
      <w:r w:rsidR="009D43CF">
        <w:rPr>
          <w:rFonts w:cs="Times New Roman"/>
          <w:szCs w:val="24"/>
        </w:rPr>
        <w:t xml:space="preserve"> range</w:t>
      </w:r>
      <w:r w:rsidR="00021B1B">
        <w:rPr>
          <w:rFonts w:cs="Times New Roman"/>
          <w:szCs w:val="24"/>
        </w:rPr>
        <w:t>, EKB and DKB</w:t>
      </w:r>
      <w:r w:rsidR="009D43CF">
        <w:rPr>
          <w:rFonts w:cs="Times New Roman"/>
          <w:szCs w:val="24"/>
        </w:rPr>
        <w:t xml:space="preserve">.  In an attempt </w:t>
      </w:r>
      <w:r w:rsidR="002556AD">
        <w:rPr>
          <w:rFonts w:cs="Times New Roman"/>
          <w:szCs w:val="24"/>
        </w:rPr>
        <w:t xml:space="preserve">to retain </w:t>
      </w:r>
      <w:r w:rsidR="00CF13AC">
        <w:rPr>
          <w:rFonts w:cs="Times New Roman"/>
          <w:szCs w:val="24"/>
        </w:rPr>
        <w:t>these measurements</w:t>
      </w:r>
      <w:r w:rsidR="005E1824">
        <w:rPr>
          <w:rFonts w:cs="Times New Roman"/>
          <w:szCs w:val="24"/>
        </w:rPr>
        <w:t xml:space="preserve"> </w:t>
      </w:r>
      <w:r w:rsidR="009D43CF">
        <w:rPr>
          <w:rFonts w:cs="Times New Roman"/>
          <w:szCs w:val="24"/>
        </w:rPr>
        <w:t>missingness</w:t>
      </w:r>
      <w:r w:rsidR="005E1824">
        <w:rPr>
          <w:rFonts w:cs="Times New Roman"/>
          <w:szCs w:val="24"/>
        </w:rPr>
        <w:t xml:space="preserve"> was evaluated</w:t>
      </w:r>
      <w:r w:rsidR="009D43CF">
        <w:rPr>
          <w:rFonts w:cs="Times New Roman"/>
          <w:szCs w:val="24"/>
        </w:rPr>
        <w:t xml:space="preserve"> in a subset </w:t>
      </w:r>
      <w:r w:rsidR="002556AD">
        <w:rPr>
          <w:rFonts w:cs="Times New Roman"/>
          <w:szCs w:val="24"/>
        </w:rPr>
        <w:t>including</w:t>
      </w:r>
      <w:r w:rsidR="009D43CF">
        <w:rPr>
          <w:rFonts w:cs="Times New Roman"/>
          <w:szCs w:val="24"/>
        </w:rPr>
        <w:t xml:space="preserve"> them.</w:t>
      </w:r>
      <w:r w:rsidR="00577B86">
        <w:rPr>
          <w:rFonts w:cs="Times New Roman"/>
          <w:szCs w:val="24"/>
        </w:rPr>
        <w:t xml:space="preserve">  </w:t>
      </w:r>
      <w:r w:rsidR="00167ABE">
        <w:rPr>
          <w:rFonts w:cs="Times New Roman"/>
          <w:szCs w:val="24"/>
        </w:rPr>
        <w:t>This gave a 16</w:t>
      </w:r>
      <w:r w:rsidR="00004B68">
        <w:rPr>
          <w:rFonts w:cs="Times New Roman"/>
          <w:szCs w:val="24"/>
        </w:rPr>
        <w:t>-variable subset</w:t>
      </w:r>
      <w:r w:rsidR="00F02C38">
        <w:rPr>
          <w:rFonts w:cs="Times New Roman"/>
          <w:szCs w:val="24"/>
        </w:rPr>
        <w:t xml:space="preserve"> with a maximum of 10</w:t>
      </w:r>
      <w:r w:rsidR="005E4FB7">
        <w:rPr>
          <w:rFonts w:cs="Times New Roman"/>
          <w:szCs w:val="24"/>
        </w:rPr>
        <w:t>%</w:t>
      </w:r>
      <w:r w:rsidR="00F02C38">
        <w:rPr>
          <w:rFonts w:cs="Times New Roman"/>
          <w:szCs w:val="24"/>
        </w:rPr>
        <w:t xml:space="preserve"> </w:t>
      </w:r>
      <w:r w:rsidR="009D43CF">
        <w:rPr>
          <w:rFonts w:cs="Times New Roman"/>
          <w:szCs w:val="24"/>
        </w:rPr>
        <w:t>missingness</w:t>
      </w:r>
      <w:r w:rsidR="0031506A">
        <w:rPr>
          <w:rFonts w:cs="Times New Roman"/>
          <w:szCs w:val="24"/>
        </w:rPr>
        <w:t xml:space="preserve"> including</w:t>
      </w:r>
      <w:r w:rsidR="00790E66">
        <w:rPr>
          <w:rFonts w:cs="Times New Roman"/>
          <w:szCs w:val="24"/>
        </w:rPr>
        <w:t xml:space="preserve">:  </w:t>
      </w:r>
      <w:r w:rsidR="00790BF8">
        <w:rPr>
          <w:rFonts w:cs="Times New Roman"/>
          <w:szCs w:val="24"/>
        </w:rPr>
        <w:t>GOL</w:t>
      </w:r>
      <w:r w:rsidR="00790E66">
        <w:rPr>
          <w:rFonts w:cs="Times New Roman"/>
          <w:szCs w:val="24"/>
        </w:rPr>
        <w:t xml:space="preserve">; </w:t>
      </w:r>
      <w:r w:rsidR="00790BF8">
        <w:rPr>
          <w:rFonts w:cs="Times New Roman"/>
          <w:szCs w:val="24"/>
        </w:rPr>
        <w:t>XCB</w:t>
      </w:r>
      <w:r w:rsidR="00790E66">
        <w:rPr>
          <w:rFonts w:cs="Times New Roman"/>
          <w:szCs w:val="24"/>
        </w:rPr>
        <w:t xml:space="preserve">; </w:t>
      </w:r>
      <w:r w:rsidR="00790BF8">
        <w:rPr>
          <w:rFonts w:cs="Times New Roman"/>
          <w:szCs w:val="24"/>
        </w:rPr>
        <w:t>ZYB</w:t>
      </w:r>
      <w:r w:rsidR="00790E66">
        <w:rPr>
          <w:rFonts w:cs="Times New Roman"/>
          <w:szCs w:val="24"/>
        </w:rPr>
        <w:t xml:space="preserve">; </w:t>
      </w:r>
      <w:r w:rsidR="00790BF8">
        <w:rPr>
          <w:rFonts w:cs="Times New Roman"/>
          <w:szCs w:val="24"/>
        </w:rPr>
        <w:t>AUB</w:t>
      </w:r>
      <w:r w:rsidR="00790E66">
        <w:rPr>
          <w:rFonts w:cs="Times New Roman"/>
          <w:szCs w:val="24"/>
        </w:rPr>
        <w:t xml:space="preserve">; </w:t>
      </w:r>
      <w:r w:rsidR="00790BF8">
        <w:rPr>
          <w:rFonts w:cs="Times New Roman"/>
          <w:szCs w:val="24"/>
        </w:rPr>
        <w:t>NLB</w:t>
      </w:r>
      <w:r w:rsidR="00790E66">
        <w:rPr>
          <w:rFonts w:cs="Times New Roman"/>
          <w:szCs w:val="24"/>
        </w:rPr>
        <w:t xml:space="preserve">; </w:t>
      </w:r>
      <w:r w:rsidR="006924D1">
        <w:rPr>
          <w:rFonts w:cs="Times New Roman"/>
          <w:szCs w:val="24"/>
        </w:rPr>
        <w:t>OBB</w:t>
      </w:r>
      <w:r w:rsidR="00790E66">
        <w:rPr>
          <w:rFonts w:cs="Times New Roman"/>
          <w:szCs w:val="24"/>
        </w:rPr>
        <w:t xml:space="preserve">; </w:t>
      </w:r>
      <w:r w:rsidR="006924D1">
        <w:rPr>
          <w:rFonts w:cs="Times New Roman"/>
          <w:szCs w:val="24"/>
        </w:rPr>
        <w:t>OBH</w:t>
      </w:r>
      <w:r w:rsidR="00790E66">
        <w:rPr>
          <w:rFonts w:cs="Times New Roman"/>
          <w:szCs w:val="24"/>
        </w:rPr>
        <w:t>;</w:t>
      </w:r>
      <w:r w:rsidR="00A07C88">
        <w:rPr>
          <w:rFonts w:cs="Times New Roman"/>
          <w:szCs w:val="24"/>
        </w:rPr>
        <w:t xml:space="preserve"> BNL;</w:t>
      </w:r>
      <w:r w:rsidR="00790E66">
        <w:rPr>
          <w:rFonts w:cs="Times New Roman"/>
          <w:szCs w:val="24"/>
        </w:rPr>
        <w:t xml:space="preserve"> </w:t>
      </w:r>
      <w:r w:rsidR="00CB385B">
        <w:rPr>
          <w:rFonts w:cs="Times New Roman"/>
          <w:szCs w:val="24"/>
        </w:rPr>
        <w:t xml:space="preserve">Basion-Bregma Height (BBH); Minimum Frontal Breadth (WFB); Nasal Height (NLH); </w:t>
      </w:r>
      <w:r w:rsidR="00790E66">
        <w:rPr>
          <w:rFonts w:cs="Times New Roman"/>
          <w:szCs w:val="24"/>
        </w:rPr>
        <w:t>Frontal Chord (FRC); Parietal Chord (PAC); Occipital Chord (OCC); Foramen Magnum Length (FOL); and Mastoid Length (MDH).</w:t>
      </w:r>
      <w:r w:rsidR="00577B86">
        <w:rPr>
          <w:rFonts w:cs="Times New Roman"/>
          <w:szCs w:val="24"/>
        </w:rPr>
        <w:t xml:space="preserve">  </w:t>
      </w:r>
      <w:r w:rsidR="009D43CF">
        <w:rPr>
          <w:rFonts w:cs="Times New Roman"/>
          <w:szCs w:val="24"/>
        </w:rPr>
        <w:t xml:space="preserve">Adding </w:t>
      </w:r>
      <w:r w:rsidR="006924D1">
        <w:rPr>
          <w:rFonts w:cs="Times New Roman"/>
          <w:szCs w:val="24"/>
        </w:rPr>
        <w:t>EKB</w:t>
      </w:r>
      <w:r w:rsidR="009D43CF">
        <w:rPr>
          <w:rFonts w:cs="Times New Roman"/>
          <w:szCs w:val="24"/>
        </w:rPr>
        <w:t xml:space="preserve"> and </w:t>
      </w:r>
      <w:r w:rsidR="006924D1">
        <w:rPr>
          <w:rFonts w:cs="Times New Roman"/>
          <w:szCs w:val="24"/>
        </w:rPr>
        <w:t>DKB</w:t>
      </w:r>
      <w:r w:rsidR="00610036">
        <w:rPr>
          <w:rFonts w:cs="Times New Roman"/>
          <w:szCs w:val="24"/>
        </w:rPr>
        <w:t xml:space="preserve"> gives a</w:t>
      </w:r>
      <w:r w:rsidR="00F1700D">
        <w:rPr>
          <w:rFonts w:cs="Times New Roman"/>
          <w:szCs w:val="24"/>
        </w:rPr>
        <w:t>n</w:t>
      </w:r>
      <w:r w:rsidR="00167ABE">
        <w:rPr>
          <w:rFonts w:cs="Times New Roman"/>
          <w:szCs w:val="24"/>
        </w:rPr>
        <w:t xml:space="preserve"> 18</w:t>
      </w:r>
      <w:r w:rsidR="001852BC">
        <w:rPr>
          <w:rFonts w:cs="Times New Roman"/>
          <w:szCs w:val="24"/>
        </w:rPr>
        <w:t>-</w:t>
      </w:r>
      <w:r w:rsidR="009D43CF">
        <w:rPr>
          <w:rFonts w:cs="Times New Roman"/>
          <w:szCs w:val="24"/>
        </w:rPr>
        <w:t>variable subset with a maxi</w:t>
      </w:r>
      <w:r w:rsidR="00817841">
        <w:rPr>
          <w:rFonts w:cs="Times New Roman"/>
          <w:szCs w:val="24"/>
        </w:rPr>
        <w:t>mum of 12</w:t>
      </w:r>
      <w:r w:rsidR="00D20EAE">
        <w:rPr>
          <w:rFonts w:cs="Times New Roman"/>
          <w:szCs w:val="24"/>
        </w:rPr>
        <w:t>%</w:t>
      </w:r>
      <w:r w:rsidR="00817841">
        <w:rPr>
          <w:rFonts w:cs="Times New Roman"/>
          <w:szCs w:val="24"/>
        </w:rPr>
        <w:t xml:space="preserve"> missingness.</w:t>
      </w:r>
    </w:p>
    <w:p w:rsidR="000E68D5" w:rsidRDefault="00234EB9" w:rsidP="00D73393">
      <w:pPr>
        <w:autoSpaceDE w:val="0"/>
        <w:autoSpaceDN w:val="0"/>
        <w:adjustRightInd w:val="0"/>
        <w:spacing w:after="0"/>
        <w:ind w:firstLine="720"/>
        <w:rPr>
          <w:rFonts w:cs="Times New Roman"/>
          <w:szCs w:val="24"/>
        </w:rPr>
      </w:pPr>
      <w:r>
        <w:rPr>
          <w:rFonts w:cs="Times New Roman"/>
          <w:szCs w:val="24"/>
        </w:rPr>
        <w:t>Two</w:t>
      </w:r>
      <w:r w:rsidR="00227535">
        <w:rPr>
          <w:rFonts w:cs="Times New Roman"/>
          <w:szCs w:val="24"/>
        </w:rPr>
        <w:t xml:space="preserve"> McNemar tests</w:t>
      </w:r>
      <w:r>
        <w:rPr>
          <w:rFonts w:cs="Times New Roman"/>
          <w:szCs w:val="24"/>
        </w:rPr>
        <w:t xml:space="preserve"> were conducted</w:t>
      </w:r>
      <w:r w:rsidR="00B23578">
        <w:rPr>
          <w:rFonts w:cs="Times New Roman"/>
          <w:szCs w:val="24"/>
        </w:rPr>
        <w:t xml:space="preserve"> to see if there was</w:t>
      </w:r>
      <w:r w:rsidR="00227535">
        <w:rPr>
          <w:rFonts w:cs="Times New Roman"/>
          <w:szCs w:val="24"/>
        </w:rPr>
        <w:t xml:space="preserve"> a significant difference between the numbers of observations included in each variable subset</w:t>
      </w:r>
      <w:r w:rsidR="00EE2B5E">
        <w:rPr>
          <w:rFonts w:cs="Times New Roman"/>
          <w:szCs w:val="24"/>
        </w:rPr>
        <w:t xml:space="preserve"> on various degrees</w:t>
      </w:r>
      <w:r w:rsidR="008E37AD">
        <w:rPr>
          <w:rFonts w:cs="Times New Roman"/>
          <w:szCs w:val="24"/>
        </w:rPr>
        <w:t xml:space="preserve"> of missingness up to 20% at 5% intervals</w:t>
      </w:r>
      <w:r w:rsidR="00227535">
        <w:rPr>
          <w:rFonts w:cs="Times New Roman"/>
          <w:szCs w:val="24"/>
        </w:rPr>
        <w:t xml:space="preserve">.  </w:t>
      </w:r>
      <w:r w:rsidR="00DB088E">
        <w:rPr>
          <w:rFonts w:cs="Times New Roman"/>
          <w:szCs w:val="24"/>
        </w:rPr>
        <w:t xml:space="preserve">The results were used to decide which variable subset to retain and the missingness threshold for observation retention. </w:t>
      </w:r>
      <w:r w:rsidR="00227535">
        <w:rPr>
          <w:rFonts w:cs="Times New Roman"/>
          <w:szCs w:val="24"/>
        </w:rPr>
        <w:t>The first test included observ</w:t>
      </w:r>
      <w:r w:rsidR="00D16A34">
        <w:rPr>
          <w:rFonts w:cs="Times New Roman"/>
          <w:szCs w:val="24"/>
        </w:rPr>
        <w:t>ations with up to 5% and 10%</w:t>
      </w:r>
      <w:r w:rsidR="00227535">
        <w:rPr>
          <w:rFonts w:cs="Times New Roman"/>
          <w:szCs w:val="24"/>
        </w:rPr>
        <w:t xml:space="preserve"> missingness.  The second </w:t>
      </w:r>
      <w:r w:rsidR="00DD5073">
        <w:rPr>
          <w:rFonts w:cs="Times New Roman"/>
          <w:szCs w:val="24"/>
        </w:rPr>
        <w:t>evaluated</w:t>
      </w:r>
      <w:r w:rsidR="00227535">
        <w:rPr>
          <w:rFonts w:cs="Times New Roman"/>
          <w:szCs w:val="24"/>
        </w:rPr>
        <w:t xml:space="preserve"> observations with up to 15</w:t>
      </w:r>
      <w:r w:rsidR="00D16A34">
        <w:rPr>
          <w:rFonts w:cs="Times New Roman"/>
          <w:szCs w:val="24"/>
        </w:rPr>
        <w:t>%</w:t>
      </w:r>
      <w:r w:rsidR="00227535">
        <w:rPr>
          <w:rFonts w:cs="Times New Roman"/>
          <w:szCs w:val="24"/>
        </w:rPr>
        <w:t xml:space="preserve"> and 20</w:t>
      </w:r>
      <w:r w:rsidR="00D16A34">
        <w:rPr>
          <w:rFonts w:cs="Times New Roman"/>
          <w:szCs w:val="24"/>
        </w:rPr>
        <w:t>%</w:t>
      </w:r>
      <w:r w:rsidR="00F33BFA">
        <w:rPr>
          <w:rFonts w:cs="Times New Roman"/>
          <w:szCs w:val="24"/>
        </w:rPr>
        <w:t xml:space="preserve"> missingness</w:t>
      </w:r>
      <w:r w:rsidR="00227535">
        <w:rPr>
          <w:rFonts w:cs="Times New Roman"/>
          <w:szCs w:val="24"/>
        </w:rPr>
        <w:t>.  The</w:t>
      </w:r>
      <w:r w:rsidR="00EE2B5E">
        <w:rPr>
          <w:rFonts w:cs="Times New Roman"/>
          <w:szCs w:val="24"/>
        </w:rPr>
        <w:t xml:space="preserve"> first test was </w:t>
      </w:r>
      <w:r w:rsidR="00227535">
        <w:rPr>
          <w:rFonts w:cs="Times New Roman"/>
          <w:szCs w:val="24"/>
        </w:rPr>
        <w:t xml:space="preserve">significant, but the second test was </w:t>
      </w:r>
      <w:r w:rsidR="00EE2B5E">
        <w:rPr>
          <w:rFonts w:cs="Times New Roman"/>
          <w:szCs w:val="24"/>
        </w:rPr>
        <w:t>not</w:t>
      </w:r>
      <w:r w:rsidR="006405BD">
        <w:rPr>
          <w:rFonts w:cs="Times New Roman"/>
          <w:szCs w:val="24"/>
        </w:rPr>
        <w:t xml:space="preserve"> (results in Table 7</w:t>
      </w:r>
      <w:r w:rsidR="00F74EB2">
        <w:rPr>
          <w:rFonts w:cs="Times New Roman"/>
          <w:szCs w:val="24"/>
        </w:rPr>
        <w:t>)</w:t>
      </w:r>
      <w:r w:rsidR="00227535">
        <w:rPr>
          <w:rFonts w:cs="Times New Roman"/>
          <w:szCs w:val="24"/>
        </w:rPr>
        <w:t>.</w:t>
      </w:r>
      <w:r w:rsidR="00EE2B5E">
        <w:rPr>
          <w:rFonts w:cs="Times New Roman"/>
          <w:szCs w:val="24"/>
        </w:rPr>
        <w:t xml:space="preserve">  Therefore, there is a </w:t>
      </w:r>
      <w:r w:rsidR="00203AA0">
        <w:rPr>
          <w:rFonts w:cs="Times New Roman"/>
          <w:szCs w:val="24"/>
        </w:rPr>
        <w:t>dependence structure</w:t>
      </w:r>
      <w:r w:rsidR="00EE2B5E">
        <w:rPr>
          <w:rFonts w:cs="Times New Roman"/>
          <w:szCs w:val="24"/>
        </w:rPr>
        <w:t xml:space="preserve"> between the number of variable</w:t>
      </w:r>
      <w:r w:rsidR="00203AA0">
        <w:rPr>
          <w:rFonts w:cs="Times New Roman"/>
          <w:szCs w:val="24"/>
        </w:rPr>
        <w:t>s and the degree of missingness</w:t>
      </w:r>
      <w:r w:rsidR="002F656A">
        <w:rPr>
          <w:rFonts w:cs="Times New Roman"/>
          <w:szCs w:val="24"/>
        </w:rPr>
        <w:t xml:space="preserve"> for lower degrees of missingness (i.e. 5% and 10%), but not high degrees of missingness (i.e. 15% and 20%)</w:t>
      </w:r>
      <w:r w:rsidR="00640ADA">
        <w:rPr>
          <w:rFonts w:cs="Times New Roman"/>
          <w:szCs w:val="24"/>
        </w:rPr>
        <w:t>.</w:t>
      </w:r>
      <w:r w:rsidR="00D73393">
        <w:rPr>
          <w:rFonts w:cs="Times New Roman"/>
          <w:szCs w:val="24"/>
        </w:rPr>
        <w:t xml:space="preserve">  Thus, t</w:t>
      </w:r>
      <w:r w:rsidR="00963632">
        <w:rPr>
          <w:rFonts w:cs="Times New Roman"/>
          <w:szCs w:val="24"/>
        </w:rPr>
        <w:t>he</w:t>
      </w:r>
      <w:r w:rsidR="00167ABE">
        <w:rPr>
          <w:rFonts w:cs="Times New Roman"/>
          <w:szCs w:val="24"/>
        </w:rPr>
        <w:t xml:space="preserve"> 16</w:t>
      </w:r>
      <w:r w:rsidR="001852BC">
        <w:rPr>
          <w:rFonts w:cs="Times New Roman"/>
          <w:szCs w:val="24"/>
        </w:rPr>
        <w:t>-</w:t>
      </w:r>
      <w:r w:rsidR="00EE2B5E">
        <w:rPr>
          <w:rFonts w:cs="Times New Roman"/>
          <w:szCs w:val="24"/>
        </w:rPr>
        <w:t>variable subset and observations with up to 10</w:t>
      </w:r>
      <w:r w:rsidR="000D730A">
        <w:rPr>
          <w:rFonts w:cs="Times New Roman"/>
          <w:szCs w:val="24"/>
        </w:rPr>
        <w:t>%</w:t>
      </w:r>
      <w:r w:rsidR="00EE2B5E">
        <w:rPr>
          <w:rFonts w:cs="Times New Roman"/>
          <w:szCs w:val="24"/>
        </w:rPr>
        <w:t xml:space="preserve"> missingness </w:t>
      </w:r>
      <w:r w:rsidR="002F065C">
        <w:rPr>
          <w:rFonts w:cs="Times New Roman"/>
          <w:szCs w:val="24"/>
        </w:rPr>
        <w:t>on those variables</w:t>
      </w:r>
      <w:r w:rsidR="00963632">
        <w:rPr>
          <w:rFonts w:cs="Times New Roman"/>
          <w:szCs w:val="24"/>
        </w:rPr>
        <w:t xml:space="preserve"> were chosen</w:t>
      </w:r>
      <w:r w:rsidR="00DF1509">
        <w:rPr>
          <w:rFonts w:cs="Times New Roman"/>
          <w:szCs w:val="24"/>
        </w:rPr>
        <w:t xml:space="preserve">.  </w:t>
      </w:r>
    </w:p>
    <w:p w:rsidR="00E812E6" w:rsidRDefault="00DF1509" w:rsidP="00E812E6">
      <w:pPr>
        <w:autoSpaceDE w:val="0"/>
        <w:autoSpaceDN w:val="0"/>
        <w:adjustRightInd w:val="0"/>
        <w:spacing w:after="0"/>
        <w:ind w:firstLine="720"/>
        <w:rPr>
          <w:rFonts w:cs="Times New Roman"/>
          <w:szCs w:val="24"/>
        </w:rPr>
      </w:pPr>
      <w:r>
        <w:rPr>
          <w:rFonts w:cs="Times New Roman"/>
          <w:szCs w:val="24"/>
        </w:rPr>
        <w:t>I</w:t>
      </w:r>
      <w:r w:rsidR="00963632">
        <w:rPr>
          <w:rFonts w:cs="Times New Roman"/>
          <w:szCs w:val="24"/>
        </w:rPr>
        <w:t xml:space="preserve">f </w:t>
      </w:r>
      <w:r w:rsidR="00167ABE">
        <w:rPr>
          <w:rFonts w:cs="Times New Roman"/>
          <w:szCs w:val="24"/>
        </w:rPr>
        <w:t>the 18</w:t>
      </w:r>
      <w:r w:rsidR="001852BC">
        <w:rPr>
          <w:rFonts w:cs="Times New Roman"/>
          <w:szCs w:val="24"/>
        </w:rPr>
        <w:t>-</w:t>
      </w:r>
      <w:r w:rsidR="009240C5">
        <w:rPr>
          <w:rFonts w:cs="Times New Roman"/>
          <w:szCs w:val="24"/>
        </w:rPr>
        <w:t xml:space="preserve">variable subset </w:t>
      </w:r>
      <w:r w:rsidR="00CD780E">
        <w:rPr>
          <w:rFonts w:cs="Times New Roman"/>
          <w:szCs w:val="24"/>
        </w:rPr>
        <w:t>was</w:t>
      </w:r>
      <w:r w:rsidR="00963632">
        <w:rPr>
          <w:rFonts w:cs="Times New Roman"/>
          <w:szCs w:val="24"/>
        </w:rPr>
        <w:t xml:space="preserve"> used</w:t>
      </w:r>
      <w:r>
        <w:rPr>
          <w:rFonts w:cs="Times New Roman"/>
          <w:szCs w:val="24"/>
        </w:rPr>
        <w:t>, obseravations with 15% or 20% missingness were retained</w:t>
      </w:r>
      <w:r w:rsidR="00963632">
        <w:rPr>
          <w:rFonts w:cs="Times New Roman"/>
          <w:szCs w:val="24"/>
        </w:rPr>
        <w:t>,</w:t>
      </w:r>
      <w:r>
        <w:rPr>
          <w:rFonts w:cs="Times New Roman"/>
          <w:szCs w:val="24"/>
        </w:rPr>
        <w:t xml:space="preserve"> or both, then</w:t>
      </w:r>
      <w:r w:rsidR="00963632">
        <w:rPr>
          <w:rFonts w:cs="Times New Roman"/>
          <w:szCs w:val="24"/>
        </w:rPr>
        <w:t xml:space="preserve"> </w:t>
      </w:r>
      <w:r w:rsidR="00F07B0D">
        <w:rPr>
          <w:rFonts w:cs="Times New Roman"/>
          <w:szCs w:val="24"/>
        </w:rPr>
        <w:t>missingness would be more pervasive</w:t>
      </w:r>
      <w:r>
        <w:rPr>
          <w:rFonts w:cs="Times New Roman"/>
          <w:szCs w:val="24"/>
        </w:rPr>
        <w:t xml:space="preserve"> and problematic.  I</w:t>
      </w:r>
      <w:r w:rsidR="00F07B0D">
        <w:rPr>
          <w:rFonts w:cs="Times New Roman"/>
          <w:szCs w:val="24"/>
        </w:rPr>
        <w:t>f observations with only 5% missingness were retained, the sample size would be significantly reduced</w:t>
      </w:r>
      <w:r w:rsidR="00120001">
        <w:rPr>
          <w:rFonts w:cs="Times New Roman"/>
          <w:szCs w:val="24"/>
        </w:rPr>
        <w:t>, as indicated by the significant McNemar result</w:t>
      </w:r>
      <w:r w:rsidR="009240C5">
        <w:rPr>
          <w:rFonts w:cs="Times New Roman"/>
          <w:szCs w:val="24"/>
        </w:rPr>
        <w:t>.</w:t>
      </w:r>
      <w:r w:rsidR="00167ABE">
        <w:rPr>
          <w:rFonts w:cs="Times New Roman"/>
          <w:szCs w:val="24"/>
        </w:rPr>
        <w:t xml:space="preserve">  Thus, the 16</w:t>
      </w:r>
      <w:r w:rsidR="00E22C15">
        <w:rPr>
          <w:rFonts w:cs="Times New Roman"/>
          <w:szCs w:val="24"/>
        </w:rPr>
        <w:t>-variable subset reduce</w:t>
      </w:r>
      <w:r w:rsidR="00C477B5">
        <w:rPr>
          <w:rFonts w:cs="Times New Roman"/>
          <w:szCs w:val="24"/>
        </w:rPr>
        <w:t>s</w:t>
      </w:r>
      <w:r w:rsidR="00E22C15">
        <w:rPr>
          <w:rFonts w:cs="Times New Roman"/>
          <w:szCs w:val="24"/>
        </w:rPr>
        <w:t xml:space="preserve"> the degree of missingness </w:t>
      </w:r>
      <w:r w:rsidR="003321CA">
        <w:rPr>
          <w:rFonts w:cs="Times New Roman"/>
          <w:szCs w:val="24"/>
        </w:rPr>
        <w:t xml:space="preserve">while allowing </w:t>
      </w:r>
      <w:r w:rsidR="00167ABE">
        <w:rPr>
          <w:rFonts w:cs="Times New Roman"/>
          <w:szCs w:val="24"/>
        </w:rPr>
        <w:t>more observations to be retained.</w:t>
      </w:r>
    </w:p>
    <w:p w:rsidR="00716262" w:rsidRDefault="00716262" w:rsidP="00E812E6">
      <w:pPr>
        <w:autoSpaceDE w:val="0"/>
        <w:autoSpaceDN w:val="0"/>
        <w:adjustRightInd w:val="0"/>
        <w:spacing w:after="0"/>
        <w:rPr>
          <w:rFonts w:cs="Times New Roman"/>
          <w:szCs w:val="24"/>
        </w:rPr>
      </w:pPr>
    </w:p>
    <w:p w:rsidR="00716262" w:rsidRPr="000F6960" w:rsidRDefault="00716262" w:rsidP="0024354B">
      <w:pPr>
        <w:pStyle w:val="Caption"/>
      </w:pPr>
      <w:bookmarkStart w:id="41" w:name="_Toc227982515"/>
      <w:r w:rsidRPr="000F6960">
        <w:t xml:space="preserve">Table </w:t>
      </w:r>
      <w:r w:rsidR="003731B6" w:rsidRPr="000F6960">
        <w:fldChar w:fldCharType="begin"/>
      </w:r>
      <w:r w:rsidR="00711012" w:rsidRPr="000F6960">
        <w:instrText xml:space="preserve"> SEQ Table \* ARABIC </w:instrText>
      </w:r>
      <w:r w:rsidR="003731B6" w:rsidRPr="000F6960">
        <w:fldChar w:fldCharType="separate"/>
      </w:r>
      <w:r w:rsidR="001633BC">
        <w:rPr>
          <w:noProof/>
        </w:rPr>
        <w:t>7</w:t>
      </w:r>
      <w:r w:rsidR="003731B6" w:rsidRPr="000F6960">
        <w:rPr>
          <w:noProof/>
        </w:rPr>
        <w:fldChar w:fldCharType="end"/>
      </w:r>
      <w:r w:rsidR="00554492" w:rsidRPr="000F6960">
        <w:t xml:space="preserve"> - McNemar r</w:t>
      </w:r>
      <w:r w:rsidRPr="000F6960">
        <w:t>esults</w:t>
      </w:r>
      <w:r w:rsidR="000F6960" w:rsidRPr="000F6960">
        <w:t>.</w:t>
      </w:r>
      <w:bookmarkEnd w:id="41"/>
    </w:p>
    <w:tbl>
      <w:tblPr>
        <w:tblStyle w:val="TableGrid"/>
        <w:tblW w:w="0" w:type="auto"/>
        <w:tblInd w:w="720"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tblPr>
      <w:tblGrid>
        <w:gridCol w:w="2160"/>
        <w:gridCol w:w="1440"/>
        <w:gridCol w:w="1440"/>
        <w:gridCol w:w="1440"/>
        <w:gridCol w:w="1440"/>
      </w:tblGrid>
      <w:tr w:rsidR="00716262" w:rsidRPr="00C65799">
        <w:tc>
          <w:tcPr>
            <w:tcW w:w="2160" w:type="dxa"/>
            <w:vMerge w:val="restart"/>
            <w:vAlign w:val="center"/>
          </w:tcPr>
          <w:p w:rsidR="00716262" w:rsidRPr="00C65799" w:rsidRDefault="00716262" w:rsidP="008B7336">
            <w:pPr>
              <w:autoSpaceDE w:val="0"/>
              <w:autoSpaceDN w:val="0"/>
              <w:adjustRightInd w:val="0"/>
              <w:ind w:right="-720"/>
              <w:rPr>
                <w:rFonts w:cs="Times New Roman"/>
                <w:b/>
                <w:bCs/>
                <w:color w:val="000000"/>
                <w:szCs w:val="24"/>
              </w:rPr>
            </w:pPr>
            <w:r w:rsidRPr="00C65799">
              <w:rPr>
                <w:rFonts w:cs="Times New Roman"/>
                <w:b/>
                <w:bCs/>
                <w:color w:val="000000"/>
                <w:szCs w:val="24"/>
              </w:rPr>
              <w:t>Subset</w:t>
            </w:r>
          </w:p>
        </w:tc>
        <w:tc>
          <w:tcPr>
            <w:tcW w:w="2880" w:type="dxa"/>
            <w:gridSpan w:val="2"/>
            <w:tcBorders>
              <w:top w:val="double" w:sz="4" w:space="0" w:color="auto"/>
              <w:bottom w:val="single" w:sz="4" w:space="0" w:color="auto"/>
            </w:tcBorders>
          </w:tcPr>
          <w:p w:rsidR="00716262" w:rsidRPr="00C65799" w:rsidRDefault="00716262" w:rsidP="008B7336">
            <w:pPr>
              <w:autoSpaceDE w:val="0"/>
              <w:autoSpaceDN w:val="0"/>
              <w:adjustRightInd w:val="0"/>
              <w:ind w:right="-720"/>
              <w:rPr>
                <w:rFonts w:cs="Times New Roman"/>
                <w:szCs w:val="24"/>
              </w:rPr>
            </w:pPr>
            <w:r w:rsidRPr="00C65799">
              <w:rPr>
                <w:rFonts w:cs="Times New Roman"/>
                <w:b/>
                <w:bCs/>
                <w:color w:val="000000"/>
                <w:szCs w:val="24"/>
              </w:rPr>
              <w:t>% Missing</w:t>
            </w:r>
          </w:p>
        </w:tc>
        <w:tc>
          <w:tcPr>
            <w:tcW w:w="2880" w:type="dxa"/>
            <w:gridSpan w:val="2"/>
            <w:tcBorders>
              <w:top w:val="double" w:sz="4" w:space="0" w:color="auto"/>
              <w:bottom w:val="single" w:sz="4" w:space="0" w:color="auto"/>
            </w:tcBorders>
            <w:vAlign w:val="center"/>
          </w:tcPr>
          <w:p w:rsidR="00716262" w:rsidRPr="00C65799" w:rsidRDefault="00716262" w:rsidP="008B7336">
            <w:pPr>
              <w:autoSpaceDE w:val="0"/>
              <w:autoSpaceDN w:val="0"/>
              <w:adjustRightInd w:val="0"/>
              <w:ind w:right="-720"/>
              <w:rPr>
                <w:rFonts w:cs="Times New Roman"/>
                <w:b/>
                <w:szCs w:val="24"/>
              </w:rPr>
            </w:pPr>
            <w:r w:rsidRPr="00C65799">
              <w:rPr>
                <w:rFonts w:cs="Times New Roman"/>
                <w:b/>
                <w:szCs w:val="24"/>
              </w:rPr>
              <w:t>Statistics</w:t>
            </w:r>
          </w:p>
        </w:tc>
      </w:tr>
      <w:tr w:rsidR="00716262" w:rsidRPr="00C65799">
        <w:tc>
          <w:tcPr>
            <w:tcW w:w="2160" w:type="dxa"/>
            <w:vMerge/>
          </w:tcPr>
          <w:p w:rsidR="00716262" w:rsidRPr="00C65799" w:rsidRDefault="00716262" w:rsidP="008B7336">
            <w:pPr>
              <w:autoSpaceDE w:val="0"/>
              <w:autoSpaceDN w:val="0"/>
              <w:adjustRightInd w:val="0"/>
              <w:ind w:right="-720"/>
              <w:rPr>
                <w:rFonts w:cs="Times New Roman"/>
                <w:b/>
                <w:bCs/>
                <w:color w:val="000000"/>
                <w:szCs w:val="24"/>
              </w:rPr>
            </w:pPr>
          </w:p>
        </w:tc>
        <w:tc>
          <w:tcPr>
            <w:tcW w:w="1440" w:type="dxa"/>
            <w:tcBorders>
              <w:top w:val="single" w:sz="4" w:space="0" w:color="auto"/>
              <w:bottom w:val="single" w:sz="4" w:space="0" w:color="auto"/>
            </w:tcBorders>
          </w:tcPr>
          <w:p w:rsidR="00716262" w:rsidRPr="00C65799" w:rsidRDefault="00716262" w:rsidP="008B7336">
            <w:pPr>
              <w:autoSpaceDE w:val="0"/>
              <w:autoSpaceDN w:val="0"/>
              <w:adjustRightInd w:val="0"/>
              <w:ind w:right="-720"/>
              <w:rPr>
                <w:rFonts w:cs="Times New Roman"/>
                <w:b/>
                <w:bCs/>
                <w:color w:val="000000"/>
                <w:szCs w:val="24"/>
              </w:rPr>
            </w:pPr>
            <w:r w:rsidRPr="00C65799">
              <w:rPr>
                <w:rFonts w:cs="Times New Roman"/>
                <w:b/>
                <w:bCs/>
                <w:color w:val="000000"/>
                <w:szCs w:val="24"/>
              </w:rPr>
              <w:t>0.05</w:t>
            </w:r>
          </w:p>
        </w:tc>
        <w:tc>
          <w:tcPr>
            <w:tcW w:w="1440" w:type="dxa"/>
            <w:tcBorders>
              <w:top w:val="single" w:sz="4" w:space="0" w:color="auto"/>
              <w:bottom w:val="single" w:sz="4" w:space="0" w:color="auto"/>
            </w:tcBorders>
          </w:tcPr>
          <w:p w:rsidR="00716262" w:rsidRPr="00C65799" w:rsidRDefault="00716262" w:rsidP="008B7336">
            <w:pPr>
              <w:autoSpaceDE w:val="0"/>
              <w:autoSpaceDN w:val="0"/>
              <w:adjustRightInd w:val="0"/>
              <w:ind w:right="-720"/>
              <w:rPr>
                <w:rFonts w:cs="Times New Roman"/>
                <w:b/>
                <w:bCs/>
                <w:color w:val="000000"/>
                <w:szCs w:val="24"/>
              </w:rPr>
            </w:pPr>
            <w:r w:rsidRPr="00C65799">
              <w:rPr>
                <w:rFonts w:cs="Times New Roman"/>
                <w:b/>
                <w:bCs/>
                <w:color w:val="000000"/>
                <w:szCs w:val="24"/>
              </w:rPr>
              <w:t>0.1</w:t>
            </w:r>
            <w:r>
              <w:rPr>
                <w:rFonts w:cs="Times New Roman"/>
                <w:b/>
                <w:bCs/>
                <w:color w:val="000000"/>
                <w:szCs w:val="24"/>
              </w:rPr>
              <w:t>0</w:t>
            </w:r>
          </w:p>
        </w:tc>
        <w:tc>
          <w:tcPr>
            <w:tcW w:w="1440" w:type="dxa"/>
            <w:tcBorders>
              <w:top w:val="single" w:sz="4" w:space="0" w:color="auto"/>
              <w:bottom w:val="single" w:sz="4" w:space="0" w:color="auto"/>
            </w:tcBorders>
          </w:tcPr>
          <w:p w:rsidR="00716262" w:rsidRPr="00C65799" w:rsidRDefault="00716262" w:rsidP="008B7336">
            <w:pPr>
              <w:autoSpaceDE w:val="0"/>
              <w:autoSpaceDN w:val="0"/>
              <w:adjustRightInd w:val="0"/>
              <w:ind w:right="-720"/>
              <w:rPr>
                <w:rFonts w:cs="Times New Roman"/>
                <w:b/>
                <w:bCs/>
                <w:i/>
                <w:color w:val="000000"/>
                <w:szCs w:val="24"/>
                <w:vertAlign w:val="superscript"/>
              </w:rPr>
            </w:pPr>
            <w:r w:rsidRPr="00C65799">
              <w:rPr>
                <w:rFonts w:cs="Times New Roman"/>
                <w:b/>
                <w:bCs/>
                <w:i/>
                <w:color w:val="000000"/>
                <w:szCs w:val="24"/>
              </w:rPr>
              <w:sym w:font="Symbol" w:char="F043"/>
            </w:r>
            <w:r w:rsidRPr="00C65799">
              <w:rPr>
                <w:rFonts w:cs="Times New Roman"/>
                <w:b/>
                <w:bCs/>
                <w:i/>
                <w:color w:val="000000"/>
                <w:szCs w:val="24"/>
                <w:vertAlign w:val="superscript"/>
              </w:rPr>
              <w:t>2</w:t>
            </w:r>
          </w:p>
        </w:tc>
        <w:tc>
          <w:tcPr>
            <w:tcW w:w="1440" w:type="dxa"/>
            <w:tcBorders>
              <w:top w:val="single" w:sz="4" w:space="0" w:color="auto"/>
              <w:bottom w:val="single" w:sz="4" w:space="0" w:color="auto"/>
            </w:tcBorders>
          </w:tcPr>
          <w:p w:rsidR="00716262" w:rsidRPr="00C65799" w:rsidRDefault="00716262" w:rsidP="008B7336">
            <w:pPr>
              <w:autoSpaceDE w:val="0"/>
              <w:autoSpaceDN w:val="0"/>
              <w:adjustRightInd w:val="0"/>
              <w:ind w:right="-720"/>
              <w:rPr>
                <w:rFonts w:cs="Times New Roman"/>
                <w:b/>
                <w:bCs/>
                <w:color w:val="000000"/>
                <w:szCs w:val="24"/>
              </w:rPr>
            </w:pPr>
            <w:proofErr w:type="gramStart"/>
            <w:r w:rsidRPr="00C65799">
              <w:rPr>
                <w:rFonts w:cs="Times New Roman"/>
                <w:b/>
                <w:bCs/>
                <w:i/>
                <w:color w:val="000000"/>
                <w:szCs w:val="24"/>
              </w:rPr>
              <w:t>p</w:t>
            </w:r>
            <w:proofErr w:type="gramEnd"/>
            <w:r w:rsidRPr="00C65799">
              <w:rPr>
                <w:rFonts w:cs="Times New Roman"/>
                <w:b/>
                <w:bCs/>
                <w:color w:val="000000"/>
                <w:szCs w:val="24"/>
              </w:rPr>
              <w:t>-value</w:t>
            </w:r>
          </w:p>
        </w:tc>
      </w:tr>
      <w:tr w:rsidR="00716262" w:rsidRPr="00C65799">
        <w:tc>
          <w:tcPr>
            <w:tcW w:w="2160" w:type="dxa"/>
            <w:tcBorders>
              <w:bottom w:val="nil"/>
            </w:tcBorders>
          </w:tcPr>
          <w:p w:rsidR="00716262" w:rsidRPr="00C65799" w:rsidRDefault="00167ABE" w:rsidP="008B7336">
            <w:pPr>
              <w:autoSpaceDE w:val="0"/>
              <w:autoSpaceDN w:val="0"/>
              <w:adjustRightInd w:val="0"/>
              <w:ind w:right="-720"/>
              <w:rPr>
                <w:rFonts w:cs="Times New Roman"/>
                <w:b/>
                <w:bCs/>
                <w:color w:val="000000"/>
                <w:szCs w:val="24"/>
              </w:rPr>
            </w:pPr>
            <w:r>
              <w:rPr>
                <w:rFonts w:cs="Times New Roman"/>
                <w:b/>
                <w:bCs/>
                <w:color w:val="000000"/>
                <w:szCs w:val="24"/>
              </w:rPr>
              <w:t>16</w:t>
            </w:r>
            <w:r w:rsidR="00716262" w:rsidRPr="00C65799">
              <w:rPr>
                <w:rFonts w:cs="Times New Roman"/>
                <w:b/>
                <w:bCs/>
                <w:color w:val="000000"/>
                <w:szCs w:val="24"/>
              </w:rPr>
              <w:t>-Variable</w:t>
            </w:r>
          </w:p>
        </w:tc>
        <w:tc>
          <w:tcPr>
            <w:tcW w:w="1440" w:type="dxa"/>
            <w:tcBorders>
              <w:top w:val="single" w:sz="4" w:space="0" w:color="auto"/>
            </w:tcBorders>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1161</w:t>
            </w:r>
          </w:p>
        </w:tc>
        <w:tc>
          <w:tcPr>
            <w:tcW w:w="1440" w:type="dxa"/>
            <w:tcBorders>
              <w:top w:val="single" w:sz="4" w:space="0" w:color="auto"/>
            </w:tcBorders>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1258</w:t>
            </w:r>
          </w:p>
        </w:tc>
        <w:tc>
          <w:tcPr>
            <w:tcW w:w="1440" w:type="dxa"/>
            <w:tcBorders>
              <w:top w:val="single" w:sz="4" w:space="0" w:color="auto"/>
            </w:tcBorders>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7.42</w:t>
            </w:r>
            <w:r>
              <w:rPr>
                <w:rFonts w:cs="Times New Roman"/>
                <w:color w:val="000000"/>
                <w:szCs w:val="24"/>
              </w:rPr>
              <w:t>3</w:t>
            </w:r>
          </w:p>
        </w:tc>
        <w:tc>
          <w:tcPr>
            <w:tcW w:w="1440" w:type="dxa"/>
            <w:tcBorders>
              <w:top w:val="single" w:sz="4" w:space="0" w:color="auto"/>
            </w:tcBorders>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0.006</w:t>
            </w:r>
          </w:p>
        </w:tc>
      </w:tr>
      <w:tr w:rsidR="00716262" w:rsidRPr="00C65799">
        <w:tc>
          <w:tcPr>
            <w:tcW w:w="2160" w:type="dxa"/>
            <w:tcBorders>
              <w:top w:val="nil"/>
              <w:bottom w:val="double" w:sz="4" w:space="0" w:color="auto"/>
            </w:tcBorders>
          </w:tcPr>
          <w:p w:rsidR="00716262" w:rsidRPr="00C65799" w:rsidRDefault="00167ABE" w:rsidP="008B7336">
            <w:pPr>
              <w:autoSpaceDE w:val="0"/>
              <w:autoSpaceDN w:val="0"/>
              <w:adjustRightInd w:val="0"/>
              <w:ind w:right="-720"/>
              <w:rPr>
                <w:rFonts w:cs="Times New Roman"/>
                <w:b/>
                <w:bCs/>
                <w:color w:val="000000"/>
                <w:szCs w:val="24"/>
              </w:rPr>
            </w:pPr>
            <w:r>
              <w:rPr>
                <w:rFonts w:cs="Times New Roman"/>
                <w:b/>
                <w:bCs/>
                <w:color w:val="000000"/>
                <w:szCs w:val="24"/>
              </w:rPr>
              <w:t>18</w:t>
            </w:r>
            <w:r w:rsidR="00716262" w:rsidRPr="00C65799">
              <w:rPr>
                <w:rFonts w:cs="Times New Roman"/>
                <w:b/>
                <w:bCs/>
                <w:color w:val="000000"/>
                <w:szCs w:val="24"/>
              </w:rPr>
              <w:t>-Variable</w:t>
            </w:r>
          </w:p>
        </w:tc>
        <w:tc>
          <w:tcPr>
            <w:tcW w:w="1440" w:type="dxa"/>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1125</w:t>
            </w:r>
          </w:p>
        </w:tc>
        <w:tc>
          <w:tcPr>
            <w:tcW w:w="1440" w:type="dxa"/>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1227</w:t>
            </w:r>
          </w:p>
        </w:tc>
        <w:tc>
          <w:tcPr>
            <w:tcW w:w="1440" w:type="dxa"/>
          </w:tcPr>
          <w:p w:rsidR="00716262" w:rsidRPr="00C65799" w:rsidRDefault="00716262" w:rsidP="008B7336">
            <w:pPr>
              <w:autoSpaceDE w:val="0"/>
              <w:autoSpaceDN w:val="0"/>
              <w:adjustRightInd w:val="0"/>
              <w:ind w:right="-720"/>
              <w:rPr>
                <w:rFonts w:cs="Times New Roman"/>
                <w:color w:val="000000"/>
                <w:szCs w:val="24"/>
              </w:rPr>
            </w:pPr>
          </w:p>
        </w:tc>
        <w:tc>
          <w:tcPr>
            <w:tcW w:w="1440" w:type="dxa"/>
          </w:tcPr>
          <w:p w:rsidR="00716262" w:rsidRPr="00C65799" w:rsidRDefault="00716262" w:rsidP="008B7336">
            <w:pPr>
              <w:autoSpaceDE w:val="0"/>
              <w:autoSpaceDN w:val="0"/>
              <w:adjustRightInd w:val="0"/>
              <w:ind w:right="-720"/>
              <w:rPr>
                <w:rFonts w:cs="Times New Roman"/>
                <w:color w:val="000000"/>
                <w:szCs w:val="24"/>
              </w:rPr>
            </w:pPr>
          </w:p>
        </w:tc>
      </w:tr>
      <w:tr w:rsidR="00716262" w:rsidRPr="00C65799">
        <w:tc>
          <w:tcPr>
            <w:tcW w:w="2160" w:type="dxa"/>
            <w:vMerge w:val="restart"/>
            <w:tcBorders>
              <w:top w:val="double" w:sz="4" w:space="0" w:color="auto"/>
            </w:tcBorders>
          </w:tcPr>
          <w:p w:rsidR="00716262" w:rsidRPr="00C65799" w:rsidRDefault="00716262" w:rsidP="008B7336">
            <w:pPr>
              <w:autoSpaceDE w:val="0"/>
              <w:autoSpaceDN w:val="0"/>
              <w:adjustRightInd w:val="0"/>
              <w:ind w:right="-720"/>
              <w:rPr>
                <w:rFonts w:cs="Times New Roman"/>
                <w:b/>
                <w:bCs/>
                <w:color w:val="000000"/>
                <w:szCs w:val="24"/>
              </w:rPr>
            </w:pPr>
            <w:r w:rsidRPr="00C65799">
              <w:rPr>
                <w:rFonts w:cs="Times New Roman"/>
                <w:b/>
                <w:bCs/>
                <w:color w:val="000000"/>
                <w:szCs w:val="24"/>
              </w:rPr>
              <w:t>Subset</w:t>
            </w:r>
          </w:p>
        </w:tc>
        <w:tc>
          <w:tcPr>
            <w:tcW w:w="1440" w:type="dxa"/>
            <w:tcBorders>
              <w:top w:val="double" w:sz="4" w:space="0" w:color="auto"/>
              <w:bottom w:val="single" w:sz="4" w:space="0" w:color="auto"/>
            </w:tcBorders>
          </w:tcPr>
          <w:p w:rsidR="00716262" w:rsidRPr="00C65799" w:rsidRDefault="00716262" w:rsidP="008B7336">
            <w:pPr>
              <w:autoSpaceDE w:val="0"/>
              <w:autoSpaceDN w:val="0"/>
              <w:adjustRightInd w:val="0"/>
              <w:ind w:right="-720"/>
              <w:rPr>
                <w:rFonts w:cs="Times New Roman"/>
                <w:b/>
                <w:bCs/>
                <w:color w:val="000000"/>
                <w:szCs w:val="24"/>
              </w:rPr>
            </w:pPr>
            <w:r w:rsidRPr="00C65799">
              <w:rPr>
                <w:rFonts w:cs="Times New Roman"/>
                <w:b/>
                <w:bCs/>
                <w:color w:val="000000"/>
                <w:szCs w:val="24"/>
              </w:rPr>
              <w:t>% Missing</w:t>
            </w:r>
          </w:p>
        </w:tc>
        <w:tc>
          <w:tcPr>
            <w:tcW w:w="1440" w:type="dxa"/>
            <w:tcBorders>
              <w:top w:val="double" w:sz="4" w:space="0" w:color="auto"/>
              <w:bottom w:val="single" w:sz="4" w:space="0" w:color="auto"/>
            </w:tcBorders>
          </w:tcPr>
          <w:p w:rsidR="00716262" w:rsidRPr="00C65799" w:rsidRDefault="00716262" w:rsidP="008B7336">
            <w:pPr>
              <w:autoSpaceDE w:val="0"/>
              <w:autoSpaceDN w:val="0"/>
              <w:adjustRightInd w:val="0"/>
              <w:ind w:right="-720"/>
              <w:rPr>
                <w:rFonts w:cs="Times New Roman"/>
                <w:b/>
                <w:bCs/>
                <w:color w:val="000000"/>
                <w:szCs w:val="24"/>
              </w:rPr>
            </w:pPr>
          </w:p>
        </w:tc>
        <w:tc>
          <w:tcPr>
            <w:tcW w:w="2880" w:type="dxa"/>
            <w:gridSpan w:val="2"/>
            <w:tcBorders>
              <w:top w:val="double" w:sz="4" w:space="0" w:color="auto"/>
              <w:bottom w:val="single" w:sz="4" w:space="0" w:color="auto"/>
            </w:tcBorders>
          </w:tcPr>
          <w:p w:rsidR="00716262" w:rsidRPr="00C65799" w:rsidRDefault="00716262" w:rsidP="008B7336">
            <w:pPr>
              <w:autoSpaceDE w:val="0"/>
              <w:autoSpaceDN w:val="0"/>
              <w:adjustRightInd w:val="0"/>
              <w:ind w:right="-720"/>
              <w:rPr>
                <w:rFonts w:cs="Times New Roman"/>
                <w:szCs w:val="24"/>
              </w:rPr>
            </w:pPr>
            <w:r w:rsidRPr="00C65799">
              <w:rPr>
                <w:rFonts w:cs="Times New Roman"/>
                <w:b/>
                <w:szCs w:val="24"/>
              </w:rPr>
              <w:t>Statistics</w:t>
            </w:r>
          </w:p>
        </w:tc>
      </w:tr>
      <w:tr w:rsidR="00716262" w:rsidRPr="00C65799">
        <w:tc>
          <w:tcPr>
            <w:tcW w:w="2160" w:type="dxa"/>
            <w:vMerge/>
          </w:tcPr>
          <w:p w:rsidR="00716262" w:rsidRPr="00C65799" w:rsidRDefault="00716262" w:rsidP="008B7336">
            <w:pPr>
              <w:autoSpaceDE w:val="0"/>
              <w:autoSpaceDN w:val="0"/>
              <w:adjustRightInd w:val="0"/>
              <w:ind w:right="-720"/>
              <w:rPr>
                <w:rFonts w:cs="Times New Roman"/>
                <w:b/>
                <w:bCs/>
                <w:color w:val="000000"/>
                <w:szCs w:val="24"/>
              </w:rPr>
            </w:pPr>
          </w:p>
        </w:tc>
        <w:tc>
          <w:tcPr>
            <w:tcW w:w="1440" w:type="dxa"/>
            <w:tcBorders>
              <w:top w:val="single" w:sz="4" w:space="0" w:color="auto"/>
              <w:bottom w:val="single" w:sz="4" w:space="0" w:color="auto"/>
            </w:tcBorders>
          </w:tcPr>
          <w:p w:rsidR="00716262" w:rsidRPr="00C65799" w:rsidRDefault="00716262" w:rsidP="008B7336">
            <w:pPr>
              <w:autoSpaceDE w:val="0"/>
              <w:autoSpaceDN w:val="0"/>
              <w:adjustRightInd w:val="0"/>
              <w:ind w:right="-720"/>
              <w:rPr>
                <w:rFonts w:cs="Times New Roman"/>
                <w:b/>
                <w:bCs/>
                <w:color w:val="000000"/>
                <w:szCs w:val="24"/>
              </w:rPr>
            </w:pPr>
            <w:r w:rsidRPr="00C65799">
              <w:rPr>
                <w:rFonts w:cs="Times New Roman"/>
                <w:b/>
                <w:bCs/>
                <w:color w:val="000000"/>
                <w:szCs w:val="24"/>
              </w:rPr>
              <w:t>0.15</w:t>
            </w:r>
          </w:p>
        </w:tc>
        <w:tc>
          <w:tcPr>
            <w:tcW w:w="1440" w:type="dxa"/>
            <w:tcBorders>
              <w:top w:val="single" w:sz="4" w:space="0" w:color="auto"/>
              <w:bottom w:val="single" w:sz="4" w:space="0" w:color="auto"/>
            </w:tcBorders>
          </w:tcPr>
          <w:p w:rsidR="00716262" w:rsidRPr="00C65799" w:rsidRDefault="00716262" w:rsidP="008B7336">
            <w:pPr>
              <w:autoSpaceDE w:val="0"/>
              <w:autoSpaceDN w:val="0"/>
              <w:adjustRightInd w:val="0"/>
              <w:ind w:right="-720"/>
              <w:rPr>
                <w:rFonts w:cs="Times New Roman"/>
                <w:b/>
                <w:bCs/>
                <w:color w:val="000000"/>
                <w:szCs w:val="24"/>
              </w:rPr>
            </w:pPr>
            <w:r w:rsidRPr="00C65799">
              <w:rPr>
                <w:rFonts w:cs="Times New Roman"/>
                <w:b/>
                <w:bCs/>
                <w:color w:val="000000"/>
                <w:szCs w:val="24"/>
              </w:rPr>
              <w:t>0.20</w:t>
            </w:r>
          </w:p>
        </w:tc>
        <w:tc>
          <w:tcPr>
            <w:tcW w:w="1440" w:type="dxa"/>
            <w:tcBorders>
              <w:top w:val="single" w:sz="4" w:space="0" w:color="auto"/>
              <w:bottom w:val="single" w:sz="4" w:space="0" w:color="auto"/>
            </w:tcBorders>
          </w:tcPr>
          <w:p w:rsidR="00716262" w:rsidRPr="00C65799" w:rsidRDefault="00716262" w:rsidP="008B7336">
            <w:pPr>
              <w:autoSpaceDE w:val="0"/>
              <w:autoSpaceDN w:val="0"/>
              <w:adjustRightInd w:val="0"/>
              <w:ind w:right="-720"/>
              <w:rPr>
                <w:rFonts w:cs="Times New Roman"/>
                <w:szCs w:val="24"/>
              </w:rPr>
            </w:pPr>
            <w:r w:rsidRPr="00C65799">
              <w:rPr>
                <w:rFonts w:cs="Times New Roman"/>
                <w:b/>
                <w:i/>
                <w:szCs w:val="24"/>
              </w:rPr>
              <w:t>X</w:t>
            </w:r>
            <w:r w:rsidRPr="00C65799">
              <w:rPr>
                <w:rFonts w:cs="Times New Roman"/>
                <w:b/>
                <w:i/>
                <w:szCs w:val="24"/>
                <w:vertAlign w:val="superscript"/>
              </w:rPr>
              <w:t>2</w:t>
            </w:r>
          </w:p>
        </w:tc>
        <w:tc>
          <w:tcPr>
            <w:tcW w:w="1440" w:type="dxa"/>
            <w:tcBorders>
              <w:top w:val="single" w:sz="4" w:space="0" w:color="auto"/>
              <w:bottom w:val="single" w:sz="4" w:space="0" w:color="auto"/>
            </w:tcBorders>
          </w:tcPr>
          <w:p w:rsidR="00716262" w:rsidRPr="00C65799" w:rsidRDefault="00716262" w:rsidP="008B7336">
            <w:pPr>
              <w:autoSpaceDE w:val="0"/>
              <w:autoSpaceDN w:val="0"/>
              <w:adjustRightInd w:val="0"/>
              <w:ind w:right="-720"/>
              <w:rPr>
                <w:rFonts w:cs="Times New Roman"/>
                <w:b/>
                <w:szCs w:val="24"/>
              </w:rPr>
            </w:pPr>
            <w:proofErr w:type="gramStart"/>
            <w:r w:rsidRPr="00C65799">
              <w:rPr>
                <w:rFonts w:cs="Times New Roman"/>
                <w:b/>
                <w:i/>
                <w:szCs w:val="24"/>
              </w:rPr>
              <w:t>p</w:t>
            </w:r>
            <w:proofErr w:type="gramEnd"/>
            <w:r w:rsidRPr="00C65799">
              <w:rPr>
                <w:rFonts w:cs="Times New Roman"/>
                <w:b/>
                <w:szCs w:val="24"/>
              </w:rPr>
              <w:t>-value</w:t>
            </w:r>
          </w:p>
        </w:tc>
      </w:tr>
      <w:tr w:rsidR="00716262" w:rsidRPr="00C65799">
        <w:tc>
          <w:tcPr>
            <w:tcW w:w="2160" w:type="dxa"/>
          </w:tcPr>
          <w:p w:rsidR="00716262" w:rsidRPr="00C65799" w:rsidRDefault="00167ABE" w:rsidP="008B7336">
            <w:pPr>
              <w:autoSpaceDE w:val="0"/>
              <w:autoSpaceDN w:val="0"/>
              <w:adjustRightInd w:val="0"/>
              <w:ind w:right="-720"/>
              <w:rPr>
                <w:rFonts w:cs="Times New Roman"/>
                <w:b/>
                <w:bCs/>
                <w:color w:val="000000"/>
                <w:szCs w:val="24"/>
              </w:rPr>
            </w:pPr>
            <w:r>
              <w:rPr>
                <w:rFonts w:cs="Times New Roman"/>
                <w:b/>
                <w:bCs/>
                <w:color w:val="000000"/>
                <w:szCs w:val="24"/>
              </w:rPr>
              <w:t>16</w:t>
            </w:r>
            <w:r w:rsidR="00716262" w:rsidRPr="00C65799">
              <w:rPr>
                <w:rFonts w:cs="Times New Roman"/>
                <w:b/>
                <w:bCs/>
                <w:color w:val="000000"/>
                <w:szCs w:val="24"/>
              </w:rPr>
              <w:t>-Variable</w:t>
            </w:r>
          </w:p>
        </w:tc>
        <w:tc>
          <w:tcPr>
            <w:tcW w:w="1440" w:type="dxa"/>
            <w:tcBorders>
              <w:top w:val="single" w:sz="4" w:space="0" w:color="auto"/>
            </w:tcBorders>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1312</w:t>
            </w:r>
          </w:p>
        </w:tc>
        <w:tc>
          <w:tcPr>
            <w:tcW w:w="1440" w:type="dxa"/>
            <w:tcBorders>
              <w:top w:val="single" w:sz="4" w:space="0" w:color="auto"/>
            </w:tcBorders>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1335</w:t>
            </w:r>
          </w:p>
        </w:tc>
        <w:tc>
          <w:tcPr>
            <w:tcW w:w="1440" w:type="dxa"/>
            <w:tcBorders>
              <w:top w:val="single" w:sz="4" w:space="0" w:color="auto"/>
            </w:tcBorders>
          </w:tcPr>
          <w:p w:rsidR="00716262" w:rsidRPr="00C65799" w:rsidRDefault="00716262" w:rsidP="008B7336">
            <w:pPr>
              <w:autoSpaceDE w:val="0"/>
              <w:autoSpaceDN w:val="0"/>
              <w:adjustRightInd w:val="0"/>
              <w:ind w:right="-720"/>
              <w:rPr>
                <w:rFonts w:cs="Times New Roman"/>
                <w:szCs w:val="24"/>
              </w:rPr>
            </w:pPr>
            <w:r w:rsidRPr="00C65799">
              <w:rPr>
                <w:rFonts w:cs="Times New Roman"/>
                <w:color w:val="000000"/>
                <w:szCs w:val="24"/>
              </w:rPr>
              <w:t>0.954</w:t>
            </w:r>
          </w:p>
        </w:tc>
        <w:tc>
          <w:tcPr>
            <w:tcW w:w="1440" w:type="dxa"/>
            <w:tcBorders>
              <w:top w:val="single" w:sz="4" w:space="0" w:color="auto"/>
            </w:tcBorders>
          </w:tcPr>
          <w:p w:rsidR="00716262" w:rsidRPr="00C65799" w:rsidRDefault="00716262" w:rsidP="008B7336">
            <w:pPr>
              <w:autoSpaceDE w:val="0"/>
              <w:autoSpaceDN w:val="0"/>
              <w:adjustRightInd w:val="0"/>
              <w:ind w:right="-720"/>
              <w:rPr>
                <w:rFonts w:cs="Times New Roman"/>
                <w:szCs w:val="24"/>
              </w:rPr>
            </w:pPr>
            <w:r w:rsidRPr="00C65799">
              <w:rPr>
                <w:rFonts w:cs="Times New Roman"/>
                <w:color w:val="000000"/>
                <w:szCs w:val="24"/>
              </w:rPr>
              <w:t>0.329</w:t>
            </w:r>
          </w:p>
        </w:tc>
      </w:tr>
      <w:tr w:rsidR="00716262" w:rsidRPr="00C65799">
        <w:tc>
          <w:tcPr>
            <w:tcW w:w="2160" w:type="dxa"/>
          </w:tcPr>
          <w:p w:rsidR="00716262" w:rsidRPr="00C65799" w:rsidRDefault="003321CA" w:rsidP="008B7336">
            <w:pPr>
              <w:autoSpaceDE w:val="0"/>
              <w:autoSpaceDN w:val="0"/>
              <w:adjustRightInd w:val="0"/>
              <w:ind w:right="-720"/>
              <w:rPr>
                <w:rFonts w:cs="Times New Roman"/>
                <w:b/>
                <w:bCs/>
                <w:color w:val="000000"/>
                <w:szCs w:val="24"/>
              </w:rPr>
            </w:pPr>
            <w:r>
              <w:rPr>
                <w:rFonts w:cs="Times New Roman"/>
                <w:b/>
                <w:bCs/>
                <w:color w:val="000000"/>
                <w:szCs w:val="24"/>
              </w:rPr>
              <w:t>1</w:t>
            </w:r>
            <w:r w:rsidR="00167ABE">
              <w:rPr>
                <w:rFonts w:cs="Times New Roman"/>
                <w:b/>
                <w:bCs/>
                <w:color w:val="000000"/>
                <w:szCs w:val="24"/>
              </w:rPr>
              <w:t>8</w:t>
            </w:r>
            <w:r w:rsidR="00716262" w:rsidRPr="00C65799">
              <w:rPr>
                <w:rFonts w:cs="Times New Roman"/>
                <w:b/>
                <w:bCs/>
                <w:color w:val="000000"/>
                <w:szCs w:val="24"/>
              </w:rPr>
              <w:t>-Variable</w:t>
            </w:r>
          </w:p>
        </w:tc>
        <w:tc>
          <w:tcPr>
            <w:tcW w:w="1440" w:type="dxa"/>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1285</w:t>
            </w:r>
          </w:p>
        </w:tc>
        <w:tc>
          <w:tcPr>
            <w:tcW w:w="1440" w:type="dxa"/>
          </w:tcPr>
          <w:p w:rsidR="00716262" w:rsidRPr="00C65799" w:rsidRDefault="00716262" w:rsidP="008B7336">
            <w:pPr>
              <w:autoSpaceDE w:val="0"/>
              <w:autoSpaceDN w:val="0"/>
              <w:adjustRightInd w:val="0"/>
              <w:ind w:right="-720"/>
              <w:rPr>
                <w:rFonts w:cs="Times New Roman"/>
                <w:color w:val="000000"/>
                <w:szCs w:val="24"/>
              </w:rPr>
            </w:pPr>
            <w:r w:rsidRPr="00C65799">
              <w:rPr>
                <w:rFonts w:cs="Times New Roman"/>
                <w:color w:val="000000"/>
                <w:szCs w:val="24"/>
              </w:rPr>
              <w:t>1316</w:t>
            </w:r>
          </w:p>
        </w:tc>
        <w:tc>
          <w:tcPr>
            <w:tcW w:w="1440" w:type="dxa"/>
          </w:tcPr>
          <w:p w:rsidR="00716262" w:rsidRPr="00C65799" w:rsidRDefault="00716262" w:rsidP="008B7336">
            <w:pPr>
              <w:autoSpaceDE w:val="0"/>
              <w:autoSpaceDN w:val="0"/>
              <w:adjustRightInd w:val="0"/>
              <w:ind w:right="-720"/>
              <w:rPr>
                <w:rFonts w:cs="Times New Roman"/>
                <w:szCs w:val="24"/>
              </w:rPr>
            </w:pPr>
          </w:p>
        </w:tc>
        <w:tc>
          <w:tcPr>
            <w:tcW w:w="1440" w:type="dxa"/>
          </w:tcPr>
          <w:p w:rsidR="00716262" w:rsidRPr="00C65799" w:rsidRDefault="00716262" w:rsidP="008B7336">
            <w:pPr>
              <w:autoSpaceDE w:val="0"/>
              <w:autoSpaceDN w:val="0"/>
              <w:adjustRightInd w:val="0"/>
              <w:ind w:right="-720"/>
              <w:rPr>
                <w:rFonts w:cs="Times New Roman"/>
                <w:szCs w:val="24"/>
              </w:rPr>
            </w:pPr>
          </w:p>
        </w:tc>
      </w:tr>
    </w:tbl>
    <w:p w:rsidR="00716262" w:rsidRDefault="00716262" w:rsidP="00716262">
      <w:pPr>
        <w:autoSpaceDE w:val="0"/>
        <w:autoSpaceDN w:val="0"/>
        <w:adjustRightInd w:val="0"/>
        <w:spacing w:after="0"/>
        <w:rPr>
          <w:rFonts w:cs="Times New Roman"/>
          <w:szCs w:val="24"/>
        </w:rPr>
      </w:pPr>
    </w:p>
    <w:p w:rsidR="005F3D74" w:rsidRDefault="00ED04D5" w:rsidP="001F6748">
      <w:pPr>
        <w:autoSpaceDE w:val="0"/>
        <w:autoSpaceDN w:val="0"/>
        <w:adjustRightInd w:val="0"/>
        <w:spacing w:after="0"/>
        <w:ind w:firstLine="720"/>
        <w:rPr>
          <w:rFonts w:cs="Times New Roman"/>
          <w:szCs w:val="24"/>
        </w:rPr>
      </w:pPr>
      <w:r>
        <w:rPr>
          <w:rFonts w:cs="Times New Roman"/>
          <w:szCs w:val="24"/>
        </w:rPr>
        <w:t xml:space="preserve">Using </w:t>
      </w:r>
      <w:r w:rsidR="007452C4">
        <w:rPr>
          <w:rFonts w:cs="Times New Roman"/>
          <w:szCs w:val="24"/>
        </w:rPr>
        <w:t>this subset of variables and observations</w:t>
      </w:r>
      <w:r>
        <w:rPr>
          <w:rFonts w:cs="Times New Roman"/>
          <w:szCs w:val="24"/>
        </w:rPr>
        <w:t xml:space="preserve">, the total sample size is </w:t>
      </w:r>
      <w:r w:rsidR="00074A6E">
        <w:rPr>
          <w:rFonts w:cs="Times New Roman"/>
          <w:szCs w:val="24"/>
        </w:rPr>
        <w:t>reduced to</w:t>
      </w:r>
      <w:r>
        <w:rPr>
          <w:rFonts w:cs="Times New Roman"/>
          <w:szCs w:val="24"/>
        </w:rPr>
        <w:t>1258.  Group sample sizes are shown</w:t>
      </w:r>
      <w:r w:rsidR="000200D5">
        <w:rPr>
          <w:rFonts w:cs="Times New Roman"/>
          <w:szCs w:val="24"/>
        </w:rPr>
        <w:t xml:space="preserve"> in Table 8</w:t>
      </w:r>
      <w:r>
        <w:rPr>
          <w:rFonts w:cs="Times New Roman"/>
          <w:szCs w:val="24"/>
        </w:rPr>
        <w:t>.</w:t>
      </w:r>
      <w:r w:rsidR="00B54D58">
        <w:rPr>
          <w:rFonts w:cs="Times New Roman"/>
          <w:szCs w:val="24"/>
        </w:rPr>
        <w:t xml:space="preserve">  The remaining missing values were imputed with i</w:t>
      </w:r>
      <w:r w:rsidR="003556F5">
        <w:rPr>
          <w:rFonts w:cs="Times New Roman"/>
          <w:szCs w:val="24"/>
        </w:rPr>
        <w:t xml:space="preserve">terative regression </w:t>
      </w:r>
      <w:r w:rsidR="00B9019D">
        <w:rPr>
          <w:rFonts w:cs="Times New Roman"/>
          <w:szCs w:val="24"/>
        </w:rPr>
        <w:t>techniques</w:t>
      </w:r>
      <w:r w:rsidR="003556F5">
        <w:rPr>
          <w:rFonts w:cs="Times New Roman"/>
          <w:szCs w:val="24"/>
        </w:rPr>
        <w:t>.</w:t>
      </w:r>
      <w:r w:rsidR="00F25660">
        <w:rPr>
          <w:rFonts w:cs="Times New Roman"/>
          <w:szCs w:val="24"/>
        </w:rPr>
        <w:t xml:space="preserve">  However, the Hispanic female sample will not be included in the analysis due to its small sample size (</w:t>
      </w:r>
      <w:r w:rsidR="00F25660">
        <w:rPr>
          <w:rFonts w:cs="Times New Roman"/>
          <w:i/>
          <w:szCs w:val="24"/>
        </w:rPr>
        <w:t>n</w:t>
      </w:r>
      <w:r w:rsidR="00F25660">
        <w:rPr>
          <w:rFonts w:cs="Times New Roman"/>
          <w:szCs w:val="24"/>
        </w:rPr>
        <w:t xml:space="preserve"> = 27).</w:t>
      </w:r>
      <w:r w:rsidR="0026708E">
        <w:rPr>
          <w:rFonts w:cs="Times New Roman"/>
          <w:szCs w:val="24"/>
        </w:rPr>
        <w:t xml:space="preserve"> This falls below the recommended sample size of three to five times the number of variables for a discriminant analysis </w:t>
      </w:r>
      <w:r w:rsidR="003731B6">
        <w:rPr>
          <w:rFonts w:cs="Times New Roman"/>
          <w:szCs w:val="24"/>
        </w:rPr>
        <w:fldChar w:fldCharType="begin">
          <w:fldData xml:space="preserve">PEVuZE5vdGU+PENpdGU+PEF1dGhvcj5PdXNsZXk8L0F1dGhvcj48WWVhcj4yMDA1PC9ZZWFyPjxS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</w:fldData>
        </w:fldChar>
      </w:r>
      <w:r w:rsidR="006B7A7E">
        <w:rPr>
          <w:rFonts w:cs="Times New Roman"/>
          <w:szCs w:val="24"/>
        </w:rPr>
        <w:instrText xml:space="preserve"> ADDIN EN.CITE </w:instrText>
      </w:r>
      <w:r w:rsidR="003731B6">
        <w:rPr>
          <w:rFonts w:cs="Times New Roman"/>
          <w:szCs w:val="24"/>
        </w:rPr>
        <w:fldChar w:fldCharType="begin">
          <w:fldData xml:space="preserve">PEVuZE5vdGU+PENpdGU+PEF1dGhvcj5PdXNsZXk8L0F1dGhvcj48WWVhcj4yMDA1PC9ZZWFyPjxS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</w:fldData>
        </w:fldChar>
      </w:r>
      <w:r w:rsidR="006B7A7E">
        <w:rPr>
          <w:rFonts w:cs="Times New Roman"/>
          <w:szCs w:val="24"/>
        </w:rPr>
        <w:instrText xml:space="preserve"> ADDIN EN.CITE.DATA </w:instrText>
      </w:r>
      <w:r w:rsidR="0024354B" w:rsidRPr="003731B6">
        <w:rPr>
          <w:rFonts w:cs="Times New Roman"/>
          <w:szCs w:val="24"/>
        </w:rPr>
      </w:r>
      <w:r w:rsidR="003731B6">
        <w:rPr>
          <w:rFonts w:cs="Times New Roman"/>
          <w:szCs w:val="24"/>
        </w:rPr>
        <w:fldChar w:fldCharType="end"/>
      </w:r>
      <w:r w:rsidR="0024354B" w:rsidRPr="003731B6">
        <w:rPr>
          <w:rFonts w:cs="Times New Roman"/>
          <w:szCs w:val="24"/>
        </w:rPr>
      </w:r>
      <w:r w:rsidR="003731B6">
        <w:rPr>
          <w:rFonts w:cs="Times New Roman"/>
          <w:szCs w:val="24"/>
        </w:rPr>
        <w:fldChar w:fldCharType="separate"/>
      </w:r>
      <w:r w:rsidR="0026708E">
        <w:rPr>
          <w:rFonts w:cs="Times New Roman"/>
          <w:noProof/>
          <w:szCs w:val="24"/>
        </w:rPr>
        <w:t>(</w:t>
      </w:r>
      <w:hyperlink w:anchor="_ENREF_43" w:tooltip="Ousley, 2005 #367" w:history="1">
        <w:r w:rsidR="001633BC">
          <w:rPr>
            <w:rFonts w:cs="Times New Roman"/>
            <w:noProof/>
            <w:szCs w:val="24"/>
          </w:rPr>
          <w:t>Ousley and Jantz, 2005</w:t>
        </w:r>
      </w:hyperlink>
      <w:r w:rsidR="0026708E">
        <w:rPr>
          <w:rFonts w:cs="Times New Roman"/>
          <w:noProof/>
          <w:szCs w:val="24"/>
        </w:rPr>
        <w:t xml:space="preserve">; </w:t>
      </w:r>
      <w:hyperlink w:anchor="_ENREF_27" w:tooltip="Huberty, 2006 #85" w:history="1">
        <w:r w:rsidR="001633BC">
          <w:rPr>
            <w:rFonts w:cs="Times New Roman"/>
            <w:noProof/>
            <w:szCs w:val="24"/>
          </w:rPr>
          <w:t>Huberty and Olejnik, 2006</w:t>
        </w:r>
      </w:hyperlink>
      <w:r w:rsidR="0026708E">
        <w:rPr>
          <w:rFonts w:cs="Times New Roman"/>
          <w:noProof/>
          <w:szCs w:val="24"/>
        </w:rPr>
        <w:t xml:space="preserve">; </w:t>
      </w:r>
      <w:hyperlink w:anchor="_ENREF_44" w:tooltip="Ousley, 2012 #345" w:history="1">
        <w:r w:rsidR="001633BC">
          <w:rPr>
            <w:rFonts w:cs="Times New Roman"/>
            <w:noProof/>
            <w:szCs w:val="24"/>
          </w:rPr>
          <w:t>Ousley and Jantz, 2012</w:t>
        </w:r>
      </w:hyperlink>
      <w:r w:rsidR="0026708E">
        <w:rPr>
          <w:rFonts w:cs="Times New Roman"/>
          <w:noProof/>
          <w:szCs w:val="24"/>
        </w:rPr>
        <w:t>)</w:t>
      </w:r>
      <w:r w:rsidR="003731B6">
        <w:rPr>
          <w:rFonts w:cs="Times New Roman"/>
          <w:szCs w:val="24"/>
        </w:rPr>
        <w:fldChar w:fldCharType="end"/>
      </w:r>
      <w:r w:rsidR="0077384A">
        <w:rPr>
          <w:rFonts w:cs="Times New Roman"/>
          <w:szCs w:val="24"/>
        </w:rPr>
        <w:t>.</w:t>
      </w:r>
    </w:p>
    <w:p w:rsidR="003556F5" w:rsidRPr="001C6C19" w:rsidRDefault="003556F5" w:rsidP="007C1607">
      <w:pPr>
        <w:autoSpaceDE w:val="0"/>
        <w:autoSpaceDN w:val="0"/>
        <w:adjustRightInd w:val="0"/>
        <w:spacing w:after="0"/>
        <w:rPr>
          <w:rFonts w:cs="Times New Roman"/>
          <w:szCs w:val="24"/>
        </w:rPr>
      </w:pPr>
    </w:p>
    <w:p w:rsidR="001C5095" w:rsidRPr="000F6960" w:rsidRDefault="001C5095" w:rsidP="0024354B">
      <w:pPr>
        <w:pStyle w:val="Caption"/>
      </w:pPr>
      <w:bookmarkStart w:id="42" w:name="_Toc227982516"/>
      <w:proofErr w:type="gramStart"/>
      <w:r w:rsidRPr="000F6960">
        <w:t xml:space="preserve">Table </w:t>
      </w:r>
      <w:r w:rsidR="003731B6" w:rsidRPr="000F6960">
        <w:fldChar w:fldCharType="begin"/>
      </w:r>
      <w:r w:rsidR="00711012" w:rsidRPr="000F6960">
        <w:instrText xml:space="preserve"> SEQ Table \* ARABIC </w:instrText>
      </w:r>
      <w:r w:rsidR="003731B6" w:rsidRPr="000F6960">
        <w:fldChar w:fldCharType="separate"/>
      </w:r>
      <w:r w:rsidR="001633BC">
        <w:rPr>
          <w:noProof/>
        </w:rPr>
        <w:t>8</w:t>
      </w:r>
      <w:r w:rsidR="003731B6" w:rsidRPr="000F6960">
        <w:rPr>
          <w:noProof/>
        </w:rPr>
        <w:fldChar w:fldCharType="end"/>
      </w:r>
      <w:r w:rsidRPr="000F6960">
        <w:t>.</w:t>
      </w:r>
      <w:proofErr w:type="gramEnd"/>
      <w:r w:rsidRPr="000F6960">
        <w:t xml:space="preserve">  Final Sample</w:t>
      </w:r>
      <w:r w:rsidR="000F6960" w:rsidRPr="000F6960">
        <w:t>.</w:t>
      </w:r>
      <w:bookmarkEnd w:id="42"/>
    </w:p>
    <w:tbl>
      <w:tblPr>
        <w:tblW w:w="3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43"/>
        <w:gridCol w:w="643"/>
        <w:gridCol w:w="642"/>
        <w:gridCol w:w="642"/>
        <w:gridCol w:w="688"/>
        <w:gridCol w:w="642"/>
      </w:tblGrid>
      <w:tr w:rsidR="001C6C19" w:rsidRPr="001C6C19">
        <w:trPr>
          <w:cantSplit/>
        </w:trPr>
        <w:tc>
          <w:tcPr>
            <w:tcW w:w="3900" w:type="dxa"/>
            <w:gridSpan w:val="6"/>
            <w:tcBorders>
              <w:top w:val="nil"/>
              <w:left w:val="nil"/>
              <w:bottom w:val="nil"/>
              <w:right w:val="nil"/>
            </w:tcBorders>
            <w:shd w:val="clear" w:color="auto" w:fill="FFFFFF"/>
          </w:tcPr>
          <w:p w:rsidR="001C6C19" w:rsidRPr="001C6C19" w:rsidRDefault="001C6C19" w:rsidP="001C6C19">
            <w:pPr>
              <w:autoSpaceDE w:val="0"/>
              <w:autoSpaceDN w:val="0"/>
              <w:adjustRightInd w:val="0"/>
              <w:spacing w:after="0" w:line="320" w:lineRule="atLeast"/>
              <w:ind w:left="60" w:right="60"/>
              <w:jc w:val="center"/>
              <w:rPr>
                <w:rFonts w:cs="Times New Roman"/>
                <w:color w:val="000000"/>
                <w:sz w:val="14"/>
                <w:szCs w:val="14"/>
              </w:rPr>
            </w:pPr>
            <w:r w:rsidRPr="001C6C19">
              <w:rPr>
                <w:rFonts w:cs="Times New Roman"/>
                <w:b/>
                <w:bCs/>
                <w:color w:val="000000"/>
                <w:sz w:val="14"/>
                <w:szCs w:val="14"/>
              </w:rPr>
              <w:t>Sex * Race Crosstabulation</w:t>
            </w:r>
          </w:p>
        </w:tc>
      </w:tr>
      <w:tr w:rsidR="001C6C19" w:rsidRPr="001C6C19">
        <w:trPr>
          <w:cantSplit/>
        </w:trPr>
        <w:tc>
          <w:tcPr>
            <w:tcW w:w="3900" w:type="dxa"/>
            <w:gridSpan w:val="6"/>
            <w:tcBorders>
              <w:top w:val="nil"/>
              <w:left w:val="nil"/>
              <w:bottom w:val="nil"/>
              <w:right w:val="nil"/>
            </w:tcBorders>
            <w:shd w:val="clear" w:color="auto" w:fill="FFFFFF"/>
            <w:vAlign w:val="bottom"/>
          </w:tcPr>
          <w:p w:rsidR="001C6C19" w:rsidRPr="001C6C19" w:rsidRDefault="001C6C19" w:rsidP="001C6C19">
            <w:pPr>
              <w:autoSpaceDE w:val="0"/>
              <w:autoSpaceDN w:val="0"/>
              <w:adjustRightInd w:val="0"/>
              <w:spacing w:after="0" w:line="320" w:lineRule="atLeast"/>
              <w:rPr>
                <w:rFonts w:cs="Times New Roman"/>
                <w:szCs w:val="24"/>
              </w:rPr>
            </w:pPr>
            <w:r w:rsidRPr="001C6C19">
              <w:rPr>
                <w:rFonts w:cs="Times New Roman"/>
                <w:color w:val="000000"/>
                <w:sz w:val="14"/>
                <w:szCs w:val="14"/>
                <w:highlight w:val="white"/>
              </w:rPr>
              <w:t xml:space="preserve">Count  </w:t>
            </w:r>
          </w:p>
        </w:tc>
      </w:tr>
      <w:tr w:rsidR="001C6C19" w:rsidRPr="001C6C19">
        <w:trPr>
          <w:cantSplit/>
        </w:trPr>
        <w:tc>
          <w:tcPr>
            <w:tcW w:w="1286" w:type="dxa"/>
            <w:gridSpan w:val="2"/>
            <w:vMerge w:val="restart"/>
            <w:tcBorders>
              <w:top w:val="double" w:sz="8" w:space="0" w:color="000000"/>
              <w:left w:val="nil"/>
              <w:bottom w:val="nil"/>
              <w:right w:val="nil"/>
            </w:tcBorders>
            <w:shd w:val="clear" w:color="auto" w:fill="FFFFFF"/>
          </w:tcPr>
          <w:p w:rsidR="001C6C19" w:rsidRPr="001C6C19" w:rsidRDefault="001C6C19" w:rsidP="001C6C19">
            <w:pPr>
              <w:autoSpaceDE w:val="0"/>
              <w:autoSpaceDN w:val="0"/>
              <w:adjustRightInd w:val="0"/>
              <w:spacing w:after="0" w:line="240" w:lineRule="auto"/>
              <w:rPr>
                <w:rFonts w:cs="Times New Roman"/>
                <w:szCs w:val="24"/>
              </w:rPr>
            </w:pPr>
          </w:p>
        </w:tc>
        <w:tc>
          <w:tcPr>
            <w:tcW w:w="1972" w:type="dxa"/>
            <w:gridSpan w:val="3"/>
            <w:tcBorders>
              <w:top w:val="double" w:sz="8" w:space="0" w:color="000000"/>
              <w:left w:val="nil"/>
              <w:bottom w:val="nil"/>
              <w:right w:val="nil"/>
            </w:tcBorders>
            <w:shd w:val="clear" w:color="auto" w:fill="FFFFFF"/>
          </w:tcPr>
          <w:p w:rsidR="001C6C19" w:rsidRPr="001C6C19" w:rsidRDefault="001C6C19" w:rsidP="001C6C19">
            <w:pPr>
              <w:autoSpaceDE w:val="0"/>
              <w:autoSpaceDN w:val="0"/>
              <w:adjustRightInd w:val="0"/>
              <w:spacing w:after="0" w:line="320" w:lineRule="atLeast"/>
              <w:ind w:left="60" w:right="60"/>
              <w:jc w:val="center"/>
              <w:rPr>
                <w:rFonts w:cs="Times New Roman"/>
                <w:color w:val="000000"/>
                <w:sz w:val="14"/>
                <w:szCs w:val="14"/>
              </w:rPr>
            </w:pPr>
            <w:r w:rsidRPr="001C6C19">
              <w:rPr>
                <w:rFonts w:cs="Times New Roman"/>
                <w:color w:val="000000"/>
                <w:sz w:val="14"/>
                <w:szCs w:val="14"/>
              </w:rPr>
              <w:t>Race</w:t>
            </w:r>
          </w:p>
        </w:tc>
        <w:tc>
          <w:tcPr>
            <w:tcW w:w="642" w:type="dxa"/>
            <w:vMerge w:val="restart"/>
            <w:tcBorders>
              <w:top w:val="double" w:sz="8" w:space="0" w:color="000000"/>
              <w:left w:val="nil"/>
              <w:bottom w:val="nil"/>
              <w:right w:val="nil"/>
            </w:tcBorders>
            <w:shd w:val="clear" w:color="auto" w:fill="FFFFFF"/>
          </w:tcPr>
          <w:p w:rsidR="001C6C19" w:rsidRPr="001C6C19" w:rsidRDefault="001C6C19" w:rsidP="001C6C19">
            <w:pPr>
              <w:autoSpaceDE w:val="0"/>
              <w:autoSpaceDN w:val="0"/>
              <w:adjustRightInd w:val="0"/>
              <w:spacing w:after="0" w:line="320" w:lineRule="atLeast"/>
              <w:ind w:left="60" w:right="60"/>
              <w:jc w:val="center"/>
              <w:rPr>
                <w:rFonts w:cs="Times New Roman"/>
                <w:color w:val="000000"/>
                <w:sz w:val="14"/>
                <w:szCs w:val="14"/>
              </w:rPr>
            </w:pPr>
            <w:r w:rsidRPr="001C6C19">
              <w:rPr>
                <w:rFonts w:cs="Times New Roman"/>
                <w:color w:val="000000"/>
                <w:sz w:val="14"/>
                <w:szCs w:val="14"/>
              </w:rPr>
              <w:t>Total</w:t>
            </w:r>
          </w:p>
        </w:tc>
      </w:tr>
      <w:tr w:rsidR="001C6C19" w:rsidRPr="001C6C19">
        <w:trPr>
          <w:cantSplit/>
        </w:trPr>
        <w:tc>
          <w:tcPr>
            <w:tcW w:w="1286" w:type="dxa"/>
            <w:gridSpan w:val="2"/>
            <w:vMerge/>
            <w:tcBorders>
              <w:top w:val="double" w:sz="8" w:space="0" w:color="000000"/>
              <w:left w:val="nil"/>
              <w:bottom w:val="nil"/>
              <w:right w:val="nil"/>
            </w:tcBorders>
            <w:shd w:val="clear" w:color="auto" w:fill="FFFFFF"/>
          </w:tcPr>
          <w:p w:rsidR="001C6C19" w:rsidRPr="001C6C19" w:rsidRDefault="001C6C19" w:rsidP="001C6C19">
            <w:pPr>
              <w:autoSpaceDE w:val="0"/>
              <w:autoSpaceDN w:val="0"/>
              <w:adjustRightInd w:val="0"/>
              <w:spacing w:after="0" w:line="240" w:lineRule="auto"/>
              <w:rPr>
                <w:rFonts w:cs="Times New Roman"/>
                <w:color w:val="000000"/>
                <w:sz w:val="14"/>
                <w:szCs w:val="14"/>
              </w:rPr>
            </w:pPr>
          </w:p>
        </w:tc>
        <w:tc>
          <w:tcPr>
            <w:tcW w:w="642" w:type="dxa"/>
            <w:tcBorders>
              <w:top w:val="nil"/>
              <w:left w:val="nil"/>
              <w:bottom w:val="single" w:sz="16" w:space="0" w:color="000000"/>
              <w:right w:val="nil"/>
            </w:tcBorders>
            <w:shd w:val="clear" w:color="auto" w:fill="FFFFFF"/>
          </w:tcPr>
          <w:p w:rsidR="001C6C19" w:rsidRPr="001C6C19" w:rsidRDefault="001C6C19" w:rsidP="001C6C19">
            <w:pPr>
              <w:autoSpaceDE w:val="0"/>
              <w:autoSpaceDN w:val="0"/>
              <w:adjustRightInd w:val="0"/>
              <w:spacing w:after="0" w:line="320" w:lineRule="atLeast"/>
              <w:ind w:left="60" w:right="60"/>
              <w:jc w:val="center"/>
              <w:rPr>
                <w:rFonts w:cs="Times New Roman"/>
                <w:color w:val="000000"/>
                <w:sz w:val="14"/>
                <w:szCs w:val="14"/>
              </w:rPr>
            </w:pPr>
            <w:r w:rsidRPr="001C6C19">
              <w:rPr>
                <w:rFonts w:cs="Times New Roman"/>
                <w:color w:val="000000"/>
                <w:sz w:val="14"/>
                <w:szCs w:val="14"/>
              </w:rPr>
              <w:t>White</w:t>
            </w:r>
          </w:p>
        </w:tc>
        <w:tc>
          <w:tcPr>
            <w:tcW w:w="642" w:type="dxa"/>
            <w:tcBorders>
              <w:top w:val="nil"/>
              <w:left w:val="nil"/>
              <w:bottom w:val="single" w:sz="16" w:space="0" w:color="000000"/>
              <w:right w:val="nil"/>
            </w:tcBorders>
            <w:shd w:val="clear" w:color="auto" w:fill="FFFFFF"/>
          </w:tcPr>
          <w:p w:rsidR="001C6C19" w:rsidRPr="001C6C19" w:rsidRDefault="001C6C19" w:rsidP="001C6C19">
            <w:pPr>
              <w:autoSpaceDE w:val="0"/>
              <w:autoSpaceDN w:val="0"/>
              <w:adjustRightInd w:val="0"/>
              <w:spacing w:after="0" w:line="320" w:lineRule="atLeast"/>
              <w:ind w:left="60" w:right="60"/>
              <w:jc w:val="center"/>
              <w:rPr>
                <w:rFonts w:cs="Times New Roman"/>
                <w:color w:val="000000"/>
                <w:sz w:val="14"/>
                <w:szCs w:val="14"/>
              </w:rPr>
            </w:pPr>
            <w:r w:rsidRPr="001C6C19">
              <w:rPr>
                <w:rFonts w:cs="Times New Roman"/>
                <w:color w:val="000000"/>
                <w:sz w:val="14"/>
                <w:szCs w:val="14"/>
              </w:rPr>
              <w:t>Black</w:t>
            </w:r>
          </w:p>
        </w:tc>
        <w:tc>
          <w:tcPr>
            <w:tcW w:w="688" w:type="dxa"/>
            <w:tcBorders>
              <w:top w:val="nil"/>
              <w:left w:val="nil"/>
              <w:bottom w:val="single" w:sz="16" w:space="0" w:color="000000"/>
              <w:right w:val="nil"/>
            </w:tcBorders>
            <w:shd w:val="clear" w:color="auto" w:fill="FFFFFF"/>
          </w:tcPr>
          <w:p w:rsidR="001C6C19" w:rsidRPr="001C6C19" w:rsidRDefault="001C6C19" w:rsidP="001C6C19">
            <w:pPr>
              <w:autoSpaceDE w:val="0"/>
              <w:autoSpaceDN w:val="0"/>
              <w:adjustRightInd w:val="0"/>
              <w:spacing w:after="0" w:line="320" w:lineRule="atLeast"/>
              <w:ind w:left="60" w:right="60"/>
              <w:jc w:val="center"/>
              <w:rPr>
                <w:rFonts w:cs="Times New Roman"/>
                <w:color w:val="000000"/>
                <w:sz w:val="14"/>
                <w:szCs w:val="14"/>
              </w:rPr>
            </w:pPr>
            <w:r w:rsidRPr="001C6C19">
              <w:rPr>
                <w:rFonts w:cs="Times New Roman"/>
                <w:color w:val="000000"/>
                <w:sz w:val="14"/>
                <w:szCs w:val="14"/>
              </w:rPr>
              <w:t>Hispanic</w:t>
            </w:r>
          </w:p>
        </w:tc>
        <w:tc>
          <w:tcPr>
            <w:tcW w:w="642" w:type="dxa"/>
            <w:vMerge/>
            <w:tcBorders>
              <w:top w:val="double" w:sz="8" w:space="0" w:color="000000"/>
              <w:left w:val="nil"/>
              <w:bottom w:val="nil"/>
              <w:right w:val="nil"/>
            </w:tcBorders>
            <w:shd w:val="clear" w:color="auto" w:fill="FFFFFF"/>
          </w:tcPr>
          <w:p w:rsidR="001C6C19" w:rsidRPr="001C6C19" w:rsidRDefault="001C6C19" w:rsidP="001C6C19">
            <w:pPr>
              <w:autoSpaceDE w:val="0"/>
              <w:autoSpaceDN w:val="0"/>
              <w:adjustRightInd w:val="0"/>
              <w:spacing w:after="0" w:line="240" w:lineRule="auto"/>
              <w:rPr>
                <w:rFonts w:cs="Times New Roman"/>
                <w:color w:val="000000"/>
                <w:sz w:val="14"/>
                <w:szCs w:val="14"/>
              </w:rPr>
            </w:pPr>
          </w:p>
        </w:tc>
      </w:tr>
      <w:tr w:rsidR="001C6C19" w:rsidRPr="001C6C19">
        <w:trPr>
          <w:cantSplit/>
        </w:trPr>
        <w:tc>
          <w:tcPr>
            <w:tcW w:w="643" w:type="dxa"/>
            <w:vMerge w:val="restart"/>
            <w:tcBorders>
              <w:top w:val="single" w:sz="16" w:space="0" w:color="000000"/>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rPr>
                <w:rFonts w:cs="Times New Roman"/>
                <w:color w:val="000000"/>
                <w:sz w:val="14"/>
                <w:szCs w:val="14"/>
              </w:rPr>
            </w:pPr>
            <w:r w:rsidRPr="001C6C19">
              <w:rPr>
                <w:rFonts w:cs="Times New Roman"/>
                <w:color w:val="000000"/>
                <w:sz w:val="14"/>
                <w:szCs w:val="14"/>
              </w:rPr>
              <w:t>Sex</w:t>
            </w:r>
          </w:p>
        </w:tc>
        <w:tc>
          <w:tcPr>
            <w:tcW w:w="643" w:type="dxa"/>
            <w:tcBorders>
              <w:top w:val="single" w:sz="16" w:space="0" w:color="000000"/>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rPr>
                <w:rFonts w:cs="Times New Roman"/>
                <w:color w:val="000000"/>
                <w:sz w:val="14"/>
                <w:szCs w:val="14"/>
              </w:rPr>
            </w:pPr>
            <w:r w:rsidRPr="001C6C19">
              <w:rPr>
                <w:rFonts w:cs="Times New Roman"/>
                <w:color w:val="000000"/>
                <w:sz w:val="14"/>
                <w:szCs w:val="14"/>
              </w:rPr>
              <w:t>Male</w:t>
            </w:r>
          </w:p>
        </w:tc>
        <w:tc>
          <w:tcPr>
            <w:tcW w:w="642" w:type="dxa"/>
            <w:tcBorders>
              <w:top w:val="single" w:sz="16" w:space="0" w:color="000000"/>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629</w:t>
            </w:r>
          </w:p>
        </w:tc>
        <w:tc>
          <w:tcPr>
            <w:tcW w:w="642" w:type="dxa"/>
            <w:tcBorders>
              <w:top w:val="single" w:sz="16" w:space="0" w:color="000000"/>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117</w:t>
            </w:r>
          </w:p>
        </w:tc>
        <w:tc>
          <w:tcPr>
            <w:tcW w:w="688" w:type="dxa"/>
            <w:tcBorders>
              <w:top w:val="single" w:sz="16" w:space="0" w:color="000000"/>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79</w:t>
            </w:r>
          </w:p>
        </w:tc>
        <w:tc>
          <w:tcPr>
            <w:tcW w:w="642" w:type="dxa"/>
            <w:tcBorders>
              <w:top w:val="single" w:sz="16" w:space="0" w:color="000000"/>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825</w:t>
            </w:r>
          </w:p>
        </w:tc>
      </w:tr>
      <w:tr w:rsidR="001C6C19" w:rsidRPr="001C6C19">
        <w:trPr>
          <w:cantSplit/>
        </w:trPr>
        <w:tc>
          <w:tcPr>
            <w:tcW w:w="643" w:type="dxa"/>
            <w:vMerge/>
            <w:tcBorders>
              <w:top w:val="single" w:sz="16" w:space="0" w:color="000000"/>
              <w:left w:val="nil"/>
              <w:bottom w:val="nil"/>
              <w:right w:val="nil"/>
            </w:tcBorders>
            <w:shd w:val="clear" w:color="auto" w:fill="FFFFFF"/>
            <w:vAlign w:val="center"/>
          </w:tcPr>
          <w:p w:rsidR="001C6C19" w:rsidRPr="001C6C19" w:rsidRDefault="001C6C19" w:rsidP="001C6C19">
            <w:pPr>
              <w:autoSpaceDE w:val="0"/>
              <w:autoSpaceDN w:val="0"/>
              <w:adjustRightInd w:val="0"/>
              <w:spacing w:after="0" w:line="240" w:lineRule="auto"/>
              <w:rPr>
                <w:rFonts w:cs="Times New Roman"/>
                <w:color w:val="000000"/>
                <w:sz w:val="14"/>
                <w:szCs w:val="14"/>
              </w:rPr>
            </w:pPr>
          </w:p>
        </w:tc>
        <w:tc>
          <w:tcPr>
            <w:tcW w:w="643" w:type="dxa"/>
            <w:tcBorders>
              <w:top w:val="nil"/>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rPr>
                <w:rFonts w:cs="Times New Roman"/>
                <w:color w:val="000000"/>
                <w:sz w:val="14"/>
                <w:szCs w:val="14"/>
              </w:rPr>
            </w:pPr>
            <w:r w:rsidRPr="001C6C19">
              <w:rPr>
                <w:rFonts w:cs="Times New Roman"/>
                <w:color w:val="000000"/>
                <w:sz w:val="14"/>
                <w:szCs w:val="14"/>
              </w:rPr>
              <w:t>Female</w:t>
            </w:r>
          </w:p>
        </w:tc>
        <w:tc>
          <w:tcPr>
            <w:tcW w:w="642" w:type="dxa"/>
            <w:tcBorders>
              <w:top w:val="nil"/>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331</w:t>
            </w:r>
          </w:p>
        </w:tc>
        <w:tc>
          <w:tcPr>
            <w:tcW w:w="642" w:type="dxa"/>
            <w:tcBorders>
              <w:top w:val="nil"/>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75</w:t>
            </w:r>
          </w:p>
        </w:tc>
        <w:tc>
          <w:tcPr>
            <w:tcW w:w="688" w:type="dxa"/>
            <w:tcBorders>
              <w:top w:val="nil"/>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27</w:t>
            </w:r>
          </w:p>
        </w:tc>
        <w:tc>
          <w:tcPr>
            <w:tcW w:w="642" w:type="dxa"/>
            <w:tcBorders>
              <w:top w:val="nil"/>
              <w:left w:val="nil"/>
              <w:bottom w:val="nil"/>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433</w:t>
            </w:r>
          </w:p>
        </w:tc>
      </w:tr>
      <w:tr w:rsidR="001C6C19" w:rsidRPr="001C6C19">
        <w:trPr>
          <w:cantSplit/>
        </w:trPr>
        <w:tc>
          <w:tcPr>
            <w:tcW w:w="1286" w:type="dxa"/>
            <w:gridSpan w:val="2"/>
            <w:tcBorders>
              <w:top w:val="nil"/>
              <w:left w:val="nil"/>
              <w:bottom w:val="double" w:sz="8" w:space="0" w:color="000000"/>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rPr>
                <w:rFonts w:cs="Times New Roman"/>
                <w:color w:val="000000"/>
                <w:sz w:val="14"/>
                <w:szCs w:val="14"/>
              </w:rPr>
            </w:pPr>
            <w:r w:rsidRPr="001C6C19">
              <w:rPr>
                <w:rFonts w:cs="Times New Roman"/>
                <w:color w:val="000000"/>
                <w:sz w:val="14"/>
                <w:szCs w:val="14"/>
              </w:rPr>
              <w:t>Total</w:t>
            </w:r>
          </w:p>
        </w:tc>
        <w:tc>
          <w:tcPr>
            <w:tcW w:w="642" w:type="dxa"/>
            <w:tcBorders>
              <w:top w:val="nil"/>
              <w:left w:val="nil"/>
              <w:bottom w:val="double" w:sz="8" w:space="0" w:color="000000"/>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960</w:t>
            </w:r>
          </w:p>
        </w:tc>
        <w:tc>
          <w:tcPr>
            <w:tcW w:w="642" w:type="dxa"/>
            <w:tcBorders>
              <w:top w:val="nil"/>
              <w:left w:val="nil"/>
              <w:bottom w:val="double" w:sz="8" w:space="0" w:color="000000"/>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192</w:t>
            </w:r>
          </w:p>
        </w:tc>
        <w:tc>
          <w:tcPr>
            <w:tcW w:w="688" w:type="dxa"/>
            <w:tcBorders>
              <w:top w:val="nil"/>
              <w:left w:val="nil"/>
              <w:bottom w:val="double" w:sz="8" w:space="0" w:color="000000"/>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106</w:t>
            </w:r>
          </w:p>
        </w:tc>
        <w:tc>
          <w:tcPr>
            <w:tcW w:w="642" w:type="dxa"/>
            <w:tcBorders>
              <w:top w:val="nil"/>
              <w:left w:val="nil"/>
              <w:bottom w:val="double" w:sz="8" w:space="0" w:color="000000"/>
              <w:right w:val="nil"/>
            </w:tcBorders>
            <w:shd w:val="clear" w:color="auto" w:fill="FFFFFF"/>
            <w:vAlign w:val="center"/>
          </w:tcPr>
          <w:p w:rsidR="001C6C19" w:rsidRPr="001C6C19" w:rsidRDefault="001C6C19" w:rsidP="001C6C19">
            <w:pPr>
              <w:autoSpaceDE w:val="0"/>
              <w:autoSpaceDN w:val="0"/>
              <w:adjustRightInd w:val="0"/>
              <w:spacing w:after="0" w:line="320" w:lineRule="atLeast"/>
              <w:ind w:left="60" w:right="60"/>
              <w:jc w:val="right"/>
              <w:rPr>
                <w:rFonts w:cs="Times New Roman"/>
                <w:color w:val="000000"/>
                <w:sz w:val="14"/>
                <w:szCs w:val="14"/>
              </w:rPr>
            </w:pPr>
            <w:r w:rsidRPr="001C6C19">
              <w:rPr>
                <w:rFonts w:cs="Times New Roman"/>
                <w:color w:val="000000"/>
                <w:sz w:val="14"/>
                <w:szCs w:val="14"/>
              </w:rPr>
              <w:t>1258</w:t>
            </w:r>
          </w:p>
        </w:tc>
      </w:tr>
    </w:tbl>
    <w:p w:rsidR="003061DD" w:rsidRPr="00CC7602" w:rsidRDefault="00F8102E" w:rsidP="00143D29">
      <w:pPr>
        <w:pStyle w:val="Heading3"/>
      </w:pPr>
      <w:bookmarkStart w:id="43" w:name="_Toc222419117"/>
      <w:bookmarkStart w:id="44" w:name="_Toc227982488"/>
      <w:r>
        <w:t>Regression Imputation</w:t>
      </w:r>
      <w:bookmarkEnd w:id="43"/>
      <w:bookmarkEnd w:id="44"/>
    </w:p>
    <w:p w:rsidR="00663B21" w:rsidRDefault="00A82BB4" w:rsidP="003061DD">
      <w:pPr>
        <w:autoSpaceDE w:val="0"/>
        <w:autoSpaceDN w:val="0"/>
        <w:adjustRightInd w:val="0"/>
        <w:spacing w:after="0"/>
        <w:ind w:firstLine="720"/>
        <w:rPr>
          <w:rFonts w:cs="Times New Roman"/>
          <w:szCs w:val="24"/>
        </w:rPr>
      </w:pPr>
      <w:r>
        <w:t xml:space="preserve">In regression </w:t>
      </w:r>
      <w:r w:rsidR="007126F6">
        <w:t>imputation</w:t>
      </w:r>
      <w:r>
        <w:t xml:space="preserve"> procedures the variable with a missing value is used as the response and those with observed values in the concordant row are used as regressors </w:t>
      </w:r>
      <w:r w:rsidR="003731B6">
        <w:fldChar w:fldCharType="begin">
          <w:fldData xml:space="preserve">PEVuZE5vdGU+PENpdGU+PEF1dGhvcj5IaW50emU8L0F1dGhvcj48WWVhcj4yMDA3PC9ZZWFyPjxS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</w:fldData>
        </w:fldChar>
      </w:r>
      <w:r w:rsidR="00EB0C79">
        <w:instrText xml:space="preserve"> ADDIN EN.CITE </w:instrText>
      </w:r>
      <w:r w:rsidR="003731B6">
        <w:fldChar w:fldCharType="begin">
          <w:fldData xml:space="preserve">PEVuZE5vdGU+PENpdGU+PEF1dGhvcj5IaW50emU8L0F1dGhvcj48WWVhcj4yMDA3PC9ZZWFyPjxS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</w:fldData>
        </w:fldChar>
      </w:r>
      <w:r w:rsidR="00EB0C79">
        <w:instrText xml:space="preserve"> ADDIN EN.CITE.DATA </w:instrText>
      </w:r>
      <w:r w:rsidR="003731B6">
        <w:fldChar w:fldCharType="end"/>
      </w:r>
      <w:r w:rsidR="003731B6">
        <w:fldChar w:fldCharType="separate"/>
      </w:r>
      <w:r w:rsidR="00EB0C79">
        <w:rPr>
          <w:noProof/>
        </w:rPr>
        <w:t>(</w:t>
      </w:r>
      <w:hyperlink w:anchor="_ENREF_3" w:tooltip="Acuña, 2004 #211" w:history="1">
        <w:r w:rsidR="001633BC">
          <w:rPr>
            <w:noProof/>
          </w:rPr>
          <w:t>Acuña and Rodriguez, 2004</w:t>
        </w:r>
      </w:hyperlink>
      <w:r w:rsidR="00EB0C79">
        <w:rPr>
          <w:noProof/>
        </w:rPr>
        <w:t xml:space="preserve">; </w:t>
      </w:r>
      <w:hyperlink w:anchor="_ENREF_22" w:tooltip="Hintze, 2007 #304" w:history="1">
        <w:r w:rsidR="001633BC">
          <w:rPr>
            <w:noProof/>
          </w:rPr>
          <w:t>Hintze, 2007</w:t>
        </w:r>
      </w:hyperlink>
      <w:r w:rsidR="00EB0C79">
        <w:rPr>
          <w:noProof/>
        </w:rPr>
        <w:t xml:space="preserve">; </w:t>
      </w:r>
      <w:hyperlink w:anchor="_ENREF_62" w:tooltip="Templ, 2011 #132" w:history="1">
        <w:r w:rsidR="001633BC">
          <w:rPr>
            <w:noProof/>
          </w:rPr>
          <w:t>Templ</w:t>
        </w:r>
        <w:r w:rsidR="001633BC" w:rsidRPr="00EB0C79">
          <w:rPr>
            <w:i/>
            <w:noProof/>
          </w:rPr>
          <w:t xml:space="preserve"> et al.</w:t>
        </w:r>
        <w:r w:rsidR="001633BC">
          <w:rPr>
            <w:noProof/>
          </w:rPr>
          <w:t>, 2011</w:t>
        </w:r>
      </w:hyperlink>
      <w:r w:rsidR="00EB0C79">
        <w:rPr>
          <w:noProof/>
        </w:rPr>
        <w:t>)</w:t>
      </w:r>
      <w:r w:rsidR="003731B6">
        <w:fldChar w:fldCharType="end"/>
      </w:r>
      <w:r>
        <w:t xml:space="preserve">.  The process may go through multiple iterations to achieve greater accuracy.  The imputed value from one iteration </w:t>
      </w:r>
      <w:r w:rsidR="00642744">
        <w:t>is used to initialize the next</w:t>
      </w:r>
      <w:r>
        <w:t xml:space="preserve"> until convergence is reached </w:t>
      </w:r>
      <w:r w:rsidR="003731B6">
        <w:fldChar w:fldCharType="begin"/>
      </w:r>
      <w:r w:rsidR="00EB0C79">
        <w:instrText xml:space="preserve"> ADDIN EN.CITE &lt;EndNote&gt;&lt;Cite&gt;&lt;Author&gt;Templ&lt;/Author&gt;&lt;Year&gt;2011&lt;/Year&gt;&lt;RecNum&gt;132&lt;/RecNum&gt;&lt;DisplayText&gt;(Hintze, 2007; Templ&lt;style face="italic"&gt; et al.&lt;/style&gt;, 2011)&lt;/DisplayText&gt;&lt;record&gt;&lt;rec-number&gt;132&lt;/rec-number&gt;&lt;foreign-keys&gt;&lt;key app="EN" db-id="20frpf5eyrpavaevz925sv9t29f5epa9pd2z"&gt;132&lt;/key&gt;&lt;/foreign-keys&gt;&lt;ref-type name="Journal Article"&gt;17&lt;/ref-type&gt;&lt;contributors&gt;&lt;authors&gt;&lt;author&gt;Templ, Matthias&lt;/author&gt;&lt;author&gt;Kowarik, Alexander&lt;/author&gt;&lt;author&gt;Filzmoser, Peter&lt;/author&gt;&lt;/authors&gt;&lt;/contributors&gt;&lt;titles&gt;&lt;title&gt;Iterative stepwise regression imputation using standard and robust methods&lt;/title&gt;&lt;secondary-title&gt;Computational Statistics and Data Analysis&lt;/secondary-title&gt;&lt;/titles&gt;&lt;periodical&gt;&lt;full-title&gt;Computational Statistics and Data Analysis&lt;/full-title&gt;&lt;/periodical&gt;&lt;pages&gt;2793-2806&lt;/pages&gt;&lt;volume&gt;55&lt;/volume&gt;&lt;number&gt;10&lt;/number&gt;&lt;dates&gt;&lt;year&gt;2011&lt;/year&gt;&lt;pub-dates&gt;&lt;date&gt;Oct&lt;/date&gt;&lt;/pub-dates&gt;&lt;/dates&gt;&lt;accession-num&gt;4042037130271122902related:1uW_tlozGDgJ&lt;/accession-num&gt;&lt;label&gt;r03822&lt;/label&gt;&lt;urls&gt;&lt;related-urls&gt;&lt;url&gt;http://linkinghub.elsevier.com/retrieve/pii/S0167947311001411&lt;/url&gt;&lt;/related-urls&gt;&lt;pdf-urls&gt;&lt;url&gt;file://localhost/Users/mercergm/Library/Application%20Support/Papers2/Articles/2011/Templ/Comput%20Stat%20Data%20an%202011%20Templ.pdf&lt;/url&gt;&lt;/pdf-urls&gt;&lt;/urls&gt;&lt;custom3&gt;papers2://publication/uuid/1EE4E142-D4B3-4A18-BC4A-E7D3164BDE93&lt;/custom3&gt;&lt;electronic-resource-num&gt;10.1016/j.csda.2011.04.012&lt;/electronic-resource-num&gt;&lt;language&gt;English&lt;/language&gt;&lt;/record&gt;&lt;/Cite&gt;&lt;Cite&gt;&lt;Author&gt;Hintze&lt;/Author&gt;&lt;Year&gt;2007&lt;/Year&gt;&lt;RecNum&gt;304&lt;/RecNum&gt;&lt;record&gt;&lt;rec-number&gt;304&lt;/rec-number&gt;&lt;foreign-keys&gt;&lt;key app="EN" db-id="20frpf5eyrpavaevz925sv9t29f5epa9pd2z"&gt;304&lt;/key&gt;&lt;/foreign-keys&gt;&lt;ref-type name="Computer Program"&gt;9&lt;/ref-type&gt;&lt;contributors&gt;&lt;authors&gt;&lt;author&gt;Hintze, J.&lt;/author&gt;&lt;/authors&gt;&lt;/contributors&gt;&lt;titles&gt;&lt;title&gt;NCSS&lt;/title&gt;&lt;/titles&gt;&lt;dates&gt;&lt;year&gt;2007&lt;/year&gt;&lt;/dates&gt;&lt;pub-location&gt;Kaysville, UT&lt;/pub-location&gt;&lt;publisher&gt;NCSS, LLC.&lt;/publisher&gt;&lt;urls&gt;&lt;related-urls&gt;&lt;url&gt;WWW.NCSS.COM&lt;/url&gt;&lt;/related-urls&gt;&lt;/urls&gt;&lt;/record&gt;&lt;/Cite&gt;&lt;/EndNote&gt;</w:instrText>
      </w:r>
      <w:r w:rsidR="003731B6">
        <w:fldChar w:fldCharType="separate"/>
      </w:r>
      <w:r w:rsidR="00EB0C79">
        <w:rPr>
          <w:noProof/>
        </w:rPr>
        <w:t>(</w:t>
      </w:r>
      <w:hyperlink w:anchor="_ENREF_22" w:tooltip="Hintze, 2007 #304" w:history="1">
        <w:r w:rsidR="001633BC">
          <w:rPr>
            <w:noProof/>
          </w:rPr>
          <w:t>Hintze, 2007</w:t>
        </w:r>
      </w:hyperlink>
      <w:r w:rsidR="00EB0C79">
        <w:rPr>
          <w:noProof/>
        </w:rPr>
        <w:t xml:space="preserve">; </w:t>
      </w:r>
      <w:hyperlink w:anchor="_ENREF_62" w:tooltip="Templ, 2011 #132" w:history="1">
        <w:r w:rsidR="001633BC">
          <w:rPr>
            <w:noProof/>
          </w:rPr>
          <w:t>Templ</w:t>
        </w:r>
        <w:r w:rsidR="001633BC" w:rsidRPr="00EB0C79">
          <w:rPr>
            <w:i/>
            <w:noProof/>
          </w:rPr>
          <w:t xml:space="preserve"> et al.</w:t>
        </w:r>
        <w:r w:rsidR="001633BC">
          <w:rPr>
            <w:noProof/>
          </w:rPr>
          <w:t>, 2011</w:t>
        </w:r>
      </w:hyperlink>
      <w:r w:rsidR="00EB0C79">
        <w:rPr>
          <w:noProof/>
        </w:rPr>
        <w:t>)</w:t>
      </w:r>
      <w:r w:rsidR="003731B6">
        <w:fldChar w:fldCharType="end"/>
      </w:r>
      <w:r>
        <w:t xml:space="preserve">.  </w:t>
      </w:r>
      <w:r w:rsidR="00997BCC">
        <w:t>T</w:t>
      </w:r>
      <w:r>
        <w:t xml:space="preserve">hese methods can be very accurate, </w:t>
      </w:r>
      <w:r w:rsidR="00997BCC">
        <w:t xml:space="preserve">but </w:t>
      </w:r>
      <w:r w:rsidR="00585C0E">
        <w:t>outliers and violations of normality</w:t>
      </w:r>
      <w:r>
        <w:t xml:space="preserve"> can negatively </w:t>
      </w:r>
      <w:r w:rsidR="008A0F86">
        <w:t>a</w:t>
      </w:r>
      <w:r>
        <w:t xml:space="preserve">ffect the estimations </w:t>
      </w:r>
      <w:r w:rsidR="003731B6">
        <w:fldChar w:fldCharType="begin"/>
      </w:r>
      <w:r w:rsidR="00EB0C79">
        <w:instrText xml:space="preserve"> ADDIN EN.CITE &lt;EndNote&gt;&lt;Cite&gt;&lt;Author&gt;Hintze&lt;/Author&gt;&lt;Year&gt;2007&lt;/Year&gt;&lt;RecNum&gt;304&lt;/RecNum&gt;&lt;DisplayText&gt;(Hintze, 2007; Templ&lt;style face="italic"&gt; et al.&lt;/style&gt;, 2011)&lt;/DisplayText&gt;&lt;record&gt;&lt;rec-number&gt;304&lt;/rec-number&gt;&lt;foreign-keys&gt;&lt;key app="EN" db-id="20frpf5eyrpavaevz925sv9t29f5epa9pd2z"&gt;304&lt;/key&gt;&lt;/foreign-keys&gt;&lt;ref-type name="Computer Program"&gt;9&lt;/ref-type&gt;&lt;contributors&gt;&lt;authors&gt;&lt;author&gt;Hintze, J.&lt;/author&gt;&lt;/authors&gt;&lt;/contributors&gt;&lt;titles&gt;&lt;title&gt;NCSS&lt;/title&gt;&lt;/titles&gt;&lt;dates&gt;&lt;year&gt;2007&lt;/year&gt;&lt;/dates&gt;&lt;pub-location&gt;Kaysville, UT&lt;/pub-location&gt;&lt;publisher&gt;NCSS, LLC.&lt;/publisher&gt;&lt;urls&gt;&lt;related-urls&gt;&lt;url&gt;WWW.NCSS.COM&lt;/url&gt;&lt;/related-urls&gt;&lt;/urls&gt;&lt;/record&gt;&lt;/Cite&gt;&lt;Cite&gt;&lt;Author&gt;Templ&lt;/Author&gt;&lt;Year&gt;2011&lt;/Year&gt;&lt;RecNum&gt;132&lt;/RecNum&gt;&lt;record&gt;&lt;rec-number&gt;132&lt;/rec-number&gt;&lt;foreign-keys&gt;&lt;key app="EN" db-id="20frpf5eyrpavaevz925sv9t29f5epa9pd2z"&gt;132&lt;/key&gt;&lt;/foreign-keys&gt;&lt;ref-type name="Journal Article"&gt;17&lt;/ref-type&gt;&lt;contributors&gt;&lt;authors&gt;&lt;author&gt;Templ, Matthias&lt;/author&gt;&lt;author&gt;Kowarik, Alexander&lt;/author&gt;&lt;author&gt;Filzmoser, Peter&lt;/author&gt;&lt;/authors&gt;&lt;/contributors&gt;&lt;titles&gt;&lt;title&gt;Iterative stepwise regression imputation using standard and robust methods&lt;/title&gt;&lt;secondary-title&gt;Computational Statistics and Data Analysis&lt;/secondary-title&gt;&lt;/titles&gt;&lt;periodical&gt;&lt;full-title&gt;Computational Statistics and Data Analysis&lt;/full-title&gt;&lt;/periodical&gt;&lt;pages&gt;2793-2806&lt;/pages&gt;&lt;volume&gt;55&lt;/volume&gt;&lt;number&gt;10&lt;/number&gt;&lt;dates&gt;&lt;year&gt;2011&lt;/year&gt;&lt;pub-dates&gt;&lt;date&gt;Oct&lt;/date&gt;&lt;/pub-dates&gt;&lt;/dates&gt;&lt;accession-num&gt;4042037130271122902related:1uW_tlozGDgJ&lt;/accession-num&gt;&lt;label&gt;r03822&lt;/label&gt;&lt;urls&gt;&lt;related-urls&gt;&lt;url&gt;http://linkinghub.elsevier.com/retrieve/pii/S0167947311001411&lt;/url&gt;&lt;/related-urls&gt;&lt;pdf-urls&gt;&lt;url&gt;file://localhost/Users/mercergm/Library/Application%20Support/Papers2/Articles/2011/Templ/Comput%20Stat%20Data%20an%202011%20Templ.pdf&lt;/url&gt;&lt;/pdf-urls&gt;&lt;/urls&gt;&lt;custom3&gt;papers2://publication/uuid/1EE4E142-D4B3-4A18-BC4A-E7D3164BDE93&lt;/custom3&gt;&lt;electronic-resource-num&gt;10.1016/j.csda.2011.04.012&lt;/electronic-resource-num&gt;&lt;language&gt;English&lt;/language&gt;&lt;/record&gt;&lt;/Cite&gt;&lt;/EndNote&gt;</w:instrText>
      </w:r>
      <w:r w:rsidR="003731B6">
        <w:fldChar w:fldCharType="separate"/>
      </w:r>
      <w:r w:rsidR="00EB0C79">
        <w:rPr>
          <w:noProof/>
        </w:rPr>
        <w:t>(</w:t>
      </w:r>
      <w:hyperlink w:anchor="_ENREF_22" w:tooltip="Hintze, 2007 #304" w:history="1">
        <w:r w:rsidR="001633BC">
          <w:rPr>
            <w:noProof/>
          </w:rPr>
          <w:t>Hintze, 2007</w:t>
        </w:r>
      </w:hyperlink>
      <w:r w:rsidR="00EB0C79">
        <w:rPr>
          <w:noProof/>
        </w:rPr>
        <w:t xml:space="preserve">; </w:t>
      </w:r>
      <w:hyperlink w:anchor="_ENREF_62" w:tooltip="Templ, 2011 #132" w:history="1">
        <w:r w:rsidR="001633BC">
          <w:rPr>
            <w:noProof/>
          </w:rPr>
          <w:t>Templ</w:t>
        </w:r>
        <w:r w:rsidR="001633BC" w:rsidRPr="00EB0C79">
          <w:rPr>
            <w:i/>
            <w:noProof/>
          </w:rPr>
          <w:t xml:space="preserve"> et al.</w:t>
        </w:r>
        <w:r w:rsidR="001633BC">
          <w:rPr>
            <w:noProof/>
          </w:rPr>
          <w:t>, 2011</w:t>
        </w:r>
      </w:hyperlink>
      <w:r w:rsidR="00EB0C79">
        <w:rPr>
          <w:noProof/>
        </w:rPr>
        <w:t>)</w:t>
      </w:r>
      <w:r w:rsidR="003731B6">
        <w:fldChar w:fldCharType="end"/>
      </w:r>
      <w:r>
        <w:t xml:space="preserve">.  </w:t>
      </w:r>
      <w:r w:rsidR="00FD2A26">
        <w:t>Though a</w:t>
      </w:r>
      <w:r w:rsidR="00997BCC">
        <w:t xml:space="preserve"> cqplot macro in SAS 9.3 showed that each of the groups failed to meet the multivariate normal assumptions</w:t>
      </w:r>
      <w:r w:rsidR="007A4627">
        <w:t>,</w:t>
      </w:r>
      <w:r w:rsidR="00997BCC">
        <w:t xml:space="preserve"> t</w:t>
      </w:r>
      <w:r w:rsidR="00EF2868">
        <w:rPr>
          <w:rFonts w:cs="Times New Roman"/>
          <w:szCs w:val="24"/>
        </w:rPr>
        <w:t>wo i</w:t>
      </w:r>
      <w:r w:rsidR="00BD3553">
        <w:rPr>
          <w:rFonts w:cs="Times New Roman"/>
          <w:szCs w:val="24"/>
        </w:rPr>
        <w:t>terative regression procedures were applied to the data</w:t>
      </w:r>
      <w:r w:rsidR="00D75A67">
        <w:rPr>
          <w:rFonts w:cs="Times New Roman"/>
          <w:szCs w:val="24"/>
        </w:rPr>
        <w:t xml:space="preserve"> to estimate the missing values: </w:t>
      </w:r>
      <w:r w:rsidR="00EF2868">
        <w:rPr>
          <w:rFonts w:cs="Times New Roman"/>
          <w:szCs w:val="24"/>
        </w:rPr>
        <w:t xml:space="preserve"> </w:t>
      </w:r>
      <w:r w:rsidR="00D75A67">
        <w:rPr>
          <w:rFonts w:cs="Times New Roman"/>
          <w:szCs w:val="24"/>
        </w:rPr>
        <w:t xml:space="preserve">(1) the </w:t>
      </w:r>
      <w:r w:rsidR="00EF2868">
        <w:rPr>
          <w:rFonts w:cs="Times New Roman"/>
          <w:szCs w:val="24"/>
        </w:rPr>
        <w:t xml:space="preserve">NCSS </w:t>
      </w:r>
      <w:r w:rsidR="003731B6">
        <w:rPr>
          <w:rFonts w:cs="Times New Roman"/>
          <w:szCs w:val="24"/>
        </w:rPr>
        <w:fldChar w:fldCharType="begin"/>
      </w:r>
      <w:r w:rsidR="00EF2868">
        <w:rPr>
          <w:rFonts w:cs="Times New Roman"/>
          <w:szCs w:val="24"/>
        </w:rPr>
        <w:instrText xml:space="preserve"> ADDIN EN.CITE &lt;EndNote&gt;&lt;Cite&gt;&lt;Author&gt;Hintze&lt;/Author&gt;&lt;Year&gt;2007&lt;/Year&gt;&lt;RecNum&gt;304&lt;/RecNum&gt;&lt;DisplayText&gt;(Hintze, 2007)&lt;/DisplayText&gt;&lt;record&gt;&lt;rec-number&gt;304&lt;/rec-number&gt;&lt;foreign-keys&gt;&lt;key app="EN" db-id="20frpf5eyrpavaevz925sv9t29f5epa9pd2z"&gt;304&lt;/key&gt;&lt;/foreign-keys&gt;&lt;ref-type name="Computer Program"&gt;9&lt;/ref-type&gt;&lt;contributors&gt;&lt;authors&gt;&lt;author&gt;Hintze, J.&lt;/author&gt;&lt;/authors&gt;&lt;/contributors&gt;&lt;titles&gt;&lt;title&gt;NCSS&lt;/title&gt;&lt;/titles&gt;&lt;dates&gt;&lt;year&gt;2007&lt;/year&gt;&lt;/dates&gt;&lt;pub-location&gt;Kaysville, UT&lt;/pub-location&gt;&lt;publisher&gt;NCSS, LLC.&lt;/publisher&gt;&lt;urls&gt;&lt;related-urls&gt;&lt;url&gt;WWW.NCSS.COM&lt;/url&gt;&lt;/related-urls&gt;&lt;/urls&gt;&lt;/record&gt;&lt;/Cite&gt;&lt;/EndNote&gt;</w:instrText>
      </w:r>
      <w:r w:rsidR="003731B6">
        <w:rPr>
          <w:rFonts w:cs="Times New Roman"/>
          <w:szCs w:val="24"/>
        </w:rPr>
        <w:fldChar w:fldCharType="separate"/>
      </w:r>
      <w:r w:rsidR="00EF2868">
        <w:rPr>
          <w:rFonts w:cs="Times New Roman"/>
          <w:noProof/>
          <w:szCs w:val="24"/>
        </w:rPr>
        <w:t>(</w:t>
      </w:r>
      <w:hyperlink w:anchor="_ENREF_22" w:tooltip="Hintze, 2007 #304" w:history="1">
        <w:r w:rsidR="001633BC">
          <w:rPr>
            <w:rFonts w:cs="Times New Roman"/>
            <w:noProof/>
            <w:szCs w:val="24"/>
          </w:rPr>
          <w:t>Hintze, 2007</w:t>
        </w:r>
      </w:hyperlink>
      <w:r w:rsidR="00EF2868">
        <w:rPr>
          <w:rFonts w:cs="Times New Roman"/>
          <w:noProof/>
          <w:szCs w:val="24"/>
        </w:rPr>
        <w:t>)</w:t>
      </w:r>
      <w:r w:rsidR="003731B6">
        <w:rPr>
          <w:rFonts w:cs="Times New Roman"/>
          <w:szCs w:val="24"/>
        </w:rPr>
        <w:fldChar w:fldCharType="end"/>
      </w:r>
      <w:r w:rsidR="00D75A67">
        <w:rPr>
          <w:rFonts w:cs="Times New Roman"/>
          <w:szCs w:val="24"/>
        </w:rPr>
        <w:t xml:space="preserve"> multivariate normal missing value estimation procedure</w:t>
      </w:r>
      <w:r w:rsidR="005645FF">
        <w:rPr>
          <w:rFonts w:cs="Times New Roman"/>
          <w:szCs w:val="24"/>
        </w:rPr>
        <w:t xml:space="preserve"> in data screening</w:t>
      </w:r>
      <w:r w:rsidR="00D75A67">
        <w:rPr>
          <w:rFonts w:cs="Times New Roman"/>
          <w:szCs w:val="24"/>
        </w:rPr>
        <w:t>;</w:t>
      </w:r>
      <w:r w:rsidR="00EF2868">
        <w:rPr>
          <w:rFonts w:cs="Times New Roman"/>
          <w:szCs w:val="24"/>
        </w:rPr>
        <w:t xml:space="preserve"> and </w:t>
      </w:r>
      <w:r w:rsidR="00D75A67">
        <w:rPr>
          <w:rFonts w:cs="Times New Roman"/>
          <w:szCs w:val="24"/>
        </w:rPr>
        <w:t xml:space="preserve">(2) </w:t>
      </w:r>
      <w:r w:rsidR="004D6E5B">
        <w:rPr>
          <w:rFonts w:cs="Times New Roman"/>
          <w:szCs w:val="24"/>
        </w:rPr>
        <w:t xml:space="preserve">the </w:t>
      </w:r>
      <w:r w:rsidR="004D6E5B" w:rsidRPr="004D6E5B">
        <w:rPr>
          <w:rFonts w:ascii="Courier" w:hAnsi="Courier" w:cs="Times New Roman"/>
          <w:szCs w:val="24"/>
        </w:rPr>
        <w:t>irmi()</w:t>
      </w:r>
      <w:r w:rsidR="00EF2868">
        <w:rPr>
          <w:rFonts w:cs="Times New Roman"/>
          <w:szCs w:val="24"/>
        </w:rPr>
        <w:t xml:space="preserve"> </w:t>
      </w:r>
      <w:r w:rsidR="004D6E5B">
        <w:rPr>
          <w:rFonts w:cs="Times New Roman"/>
          <w:szCs w:val="24"/>
        </w:rPr>
        <w:t xml:space="preserve">function </w:t>
      </w:r>
      <w:r w:rsidR="00EF2868">
        <w:rPr>
          <w:rFonts w:cs="Times New Roman"/>
          <w:szCs w:val="24"/>
        </w:rPr>
        <w:t>of the</w:t>
      </w:r>
      <w:r w:rsidR="004C3E31">
        <w:rPr>
          <w:rFonts w:cs="Times New Roman"/>
          <w:szCs w:val="24"/>
        </w:rPr>
        <w:t xml:space="preserve"> VIM</w:t>
      </w:r>
      <w:r w:rsidR="00932502">
        <w:rPr>
          <w:rFonts w:cs="Times New Roman"/>
          <w:szCs w:val="24"/>
        </w:rPr>
        <w:t xml:space="preserve"> </w:t>
      </w:r>
      <w:r w:rsidR="00D75A67">
        <w:rPr>
          <w:rFonts w:cs="Times New Roman"/>
          <w:szCs w:val="24"/>
        </w:rPr>
        <w:t xml:space="preserve">package </w:t>
      </w:r>
      <w:r w:rsidR="005B573C">
        <w:rPr>
          <w:rFonts w:cs="Times New Roman"/>
          <w:szCs w:val="24"/>
        </w:rPr>
        <w:t xml:space="preserve">version 3.0.1 </w:t>
      </w:r>
      <w:r w:rsidR="003731B6">
        <w:rPr>
          <w:rFonts w:cs="Times New Roman"/>
          <w:szCs w:val="24"/>
        </w:rPr>
        <w:fldChar w:fldCharType="begin"/>
      </w:r>
      <w:r w:rsidR="00EB0C79">
        <w:rPr>
          <w:rFonts w:cs="Times New Roman"/>
          <w:szCs w:val="24"/>
        </w:rPr>
        <w:instrText xml:space="preserve"> ADDIN EN.CITE &lt;EndNote&gt;&lt;Cite&gt;&lt;Author&gt;Templ&lt;/Author&gt;&lt;Year&gt;2012&lt;/Year&gt;&lt;RecNum&gt;306&lt;/RecNum&gt;&lt;DisplayText&gt;(Templ&lt;style face="italic"&gt; et al.&lt;/style&gt;, 2012)&lt;/DisplayText&gt;&lt;record&gt;&lt;rec-number&gt;306&lt;/rec-number&gt;&lt;foreign-keys&gt;&lt;key app="EN" db-id="20frpf5eyrpavaevz925sv9t29f5epa9pd2z"&gt;306&lt;/key&gt;&lt;/foreign-keys&gt;&lt;ref-type name="Computer Program"&gt;9&lt;/ref-type&gt;&lt;contributors&gt;&lt;authors&gt;&lt;author&gt;Templ, Matthias&lt;/author&gt;&lt;author&gt;Alfons, Andreas&lt;/author&gt;&lt;author&gt;Kowarik, Alexander&lt;/author&gt;&lt;author&gt;Prantner, Bernd&lt;/author&gt;&lt;/authors&gt;&lt;/contributors&gt;&lt;titles&gt;&lt;title&gt;VIM:  Visualization and Imputation of Missing Values&lt;/title&gt;&lt;/titles&gt;&lt;edition&gt;R package version 3.0.1&lt;/edition&gt;&lt;dates&gt;&lt;year&gt;2012&lt;/year&gt;&lt;/dates&gt;&lt;urls&gt;&lt;related-urls&gt;&lt;url&gt;http://CRAN.R-project.org/package=VIM&lt;/url&gt;&lt;/related-urls&gt;&lt;/urls&gt;&lt;/record&gt;&lt;/Cite&gt;&lt;/EndNote&gt;</w:instrText>
      </w:r>
      <w:r w:rsidR="003731B6">
        <w:rPr>
          <w:rFonts w:cs="Times New Roman"/>
          <w:szCs w:val="24"/>
        </w:rPr>
        <w:fldChar w:fldCharType="separate"/>
      </w:r>
      <w:r w:rsidR="00EB0C79">
        <w:rPr>
          <w:rFonts w:cs="Times New Roman"/>
          <w:noProof/>
          <w:szCs w:val="24"/>
        </w:rPr>
        <w:t>(</w:t>
      </w:r>
      <w:hyperlink w:anchor="_ENREF_61" w:tooltip="Templ, 2012 #306" w:history="1">
        <w:r w:rsidR="001633BC">
          <w:rPr>
            <w:rFonts w:cs="Times New Roman"/>
            <w:noProof/>
            <w:szCs w:val="24"/>
          </w:rPr>
          <w:t>Templ</w:t>
        </w:r>
        <w:r w:rsidR="001633BC" w:rsidRPr="00EB0C79">
          <w:rPr>
            <w:rFonts w:cs="Times New Roman"/>
            <w:i/>
            <w:noProof/>
            <w:szCs w:val="24"/>
          </w:rPr>
          <w:t xml:space="preserve"> et al.</w:t>
        </w:r>
        <w:r w:rsidR="001633BC">
          <w:rPr>
            <w:rFonts w:cs="Times New Roman"/>
            <w:noProof/>
            <w:szCs w:val="24"/>
          </w:rPr>
          <w:t>, 2012</w:t>
        </w:r>
      </w:hyperlink>
      <w:r w:rsidR="00EB0C79">
        <w:rPr>
          <w:rFonts w:cs="Times New Roman"/>
          <w:noProof/>
          <w:szCs w:val="24"/>
        </w:rPr>
        <w:t>)</w:t>
      </w:r>
      <w:r w:rsidR="003731B6">
        <w:rPr>
          <w:rFonts w:cs="Times New Roman"/>
          <w:szCs w:val="24"/>
        </w:rPr>
        <w:fldChar w:fldCharType="end"/>
      </w:r>
      <w:r w:rsidR="004C3E31">
        <w:rPr>
          <w:rFonts w:cs="Times New Roman"/>
          <w:szCs w:val="24"/>
        </w:rPr>
        <w:t xml:space="preserve"> </w:t>
      </w:r>
      <w:r w:rsidR="00EF2868">
        <w:rPr>
          <w:rFonts w:cs="Times New Roman"/>
          <w:szCs w:val="24"/>
        </w:rPr>
        <w:t xml:space="preserve"> </w:t>
      </w:r>
      <w:r w:rsidR="00D75A67">
        <w:rPr>
          <w:rFonts w:cs="Times New Roman"/>
          <w:szCs w:val="24"/>
        </w:rPr>
        <w:t xml:space="preserve">in </w:t>
      </w:r>
      <w:r w:rsidR="00EF2868">
        <w:rPr>
          <w:rFonts w:cs="Times New Roman"/>
          <w:szCs w:val="24"/>
        </w:rPr>
        <w:t>R</w:t>
      </w:r>
      <w:r w:rsidR="00D75A67">
        <w:rPr>
          <w:rFonts w:cs="Times New Roman"/>
          <w:szCs w:val="24"/>
        </w:rPr>
        <w:t xml:space="preserve"> version 2.15.1</w:t>
      </w:r>
      <w:r w:rsidR="00427C77">
        <w:rPr>
          <w:rFonts w:cs="Times New Roman"/>
          <w:szCs w:val="24"/>
        </w:rPr>
        <w:t xml:space="preserve"> </w:t>
      </w:r>
      <w:r w:rsidR="003731B6">
        <w:rPr>
          <w:rFonts w:cs="Times New Roman"/>
          <w:szCs w:val="24"/>
        </w:rPr>
        <w:fldChar w:fldCharType="begin"/>
      </w:r>
      <w:r w:rsidR="00E4085B">
        <w:rPr>
          <w:rFonts w:cs="Times New Roman"/>
          <w:szCs w:val="24"/>
        </w:rPr>
        <w:instrText xml:space="preserve"> ADDIN EN.CITE &lt;EndNote&gt;&lt;Cite&gt;&lt;RecNum&gt;0&lt;/RecNum&gt;&lt;Note&gt;(R Core Team, 2012)&lt;/Note&gt;&lt;DisplayText&gt;(R Core Team, 2012)&lt;/DisplayText&gt;&lt;/Cite&gt;&lt;/EndNote&gt;</w:instrText>
      </w:r>
      <w:r w:rsidR="003731B6">
        <w:rPr>
          <w:rFonts w:cs="Times New Roman"/>
          <w:szCs w:val="24"/>
        </w:rPr>
        <w:fldChar w:fldCharType="separate"/>
      </w:r>
      <w:r w:rsidR="00E4085B">
        <w:rPr>
          <w:rFonts w:cs="Times New Roman"/>
          <w:noProof/>
          <w:szCs w:val="24"/>
        </w:rPr>
        <w:t>(R Core Team, 2012)</w:t>
      </w:r>
      <w:r w:rsidR="003731B6">
        <w:rPr>
          <w:rFonts w:cs="Times New Roman"/>
          <w:szCs w:val="24"/>
        </w:rPr>
        <w:fldChar w:fldCharType="end"/>
      </w:r>
      <w:r w:rsidR="003731B6">
        <w:rPr>
          <w:rFonts w:cs="Times New Roman"/>
          <w:szCs w:val="24"/>
        </w:rPr>
        <w:fldChar w:fldCharType="begin"/>
      </w:r>
      <w:r w:rsidR="00427C77">
        <w:rPr>
          <w:rFonts w:cs="Times New Roman"/>
          <w:szCs w:val="24"/>
        </w:rPr>
        <w:instrText xml:space="preserve"> ADDIN EN.CITE &lt;EndNote&gt;&lt;Cite Hidden="1"&gt;&lt;Author&gt;Team&lt;/Author&gt;&lt;Year&gt;2012&lt;/Year&gt;&lt;RecNum&gt;305&lt;/RecNum&gt;&lt;record&gt;&lt;rec-number&gt;305&lt;/rec-number&gt;&lt;foreign-keys&gt;&lt;key app="EN" db-id="20frpf5eyrpavaevz925sv9t29f5epa9pd2z"&gt;305&lt;/key&gt;&lt;/foreign-keys&gt;&lt;ref-type name="Computer Program"&gt;9&lt;/ref-type&gt;&lt;contributors&gt;&lt;authors&gt;&lt;author&gt;R Core Team&lt;/author&gt;&lt;/authors&gt;&lt;/contributors&gt;&lt;titles&gt;&lt;title&gt;R:  A language and environment for statistical computing&lt;/title&gt;&lt;/titles&gt;&lt;dates&gt;&lt;year&gt;2012&lt;/year&gt;&lt;/dates&gt;&lt;pub-location&gt;Vienna, Austria&lt;/pub-location&gt;&lt;publisher&gt;R Foundation for Statistical Computing&lt;/publisher&gt;&lt;isbn&gt;3-900051-07-0&lt;/isbn&gt;&lt;urls&gt;&lt;related-urls&gt;&lt;url&gt;http://www.R-project.org/&lt;/url&gt;&lt;/related-urls&gt;&lt;/urls&gt;&lt;/record&gt;&lt;/Cite&gt;&lt;/EndNote&gt;</w:instrText>
      </w:r>
      <w:r w:rsidR="003731B6">
        <w:rPr>
          <w:rFonts w:cs="Times New Roman"/>
          <w:szCs w:val="24"/>
        </w:rPr>
        <w:fldChar w:fldCharType="end"/>
      </w:r>
      <w:r w:rsidR="00932502">
        <w:rPr>
          <w:rFonts w:cs="Times New Roman"/>
          <w:szCs w:val="24"/>
        </w:rPr>
        <w:t>.</w:t>
      </w:r>
      <w:r w:rsidR="00663B21">
        <w:rPr>
          <w:rFonts w:cs="Times New Roman"/>
          <w:szCs w:val="24"/>
        </w:rPr>
        <w:t xml:space="preserve">  </w:t>
      </w:r>
    </w:p>
    <w:p w:rsidR="00607844" w:rsidRDefault="00663B21" w:rsidP="00663B21">
      <w:pPr>
        <w:autoSpaceDE w:val="0"/>
        <w:autoSpaceDN w:val="0"/>
        <w:adjustRightInd w:val="0"/>
        <w:spacing w:after="0"/>
        <w:ind w:firstLine="720"/>
        <w:rPr>
          <w:rFonts w:cs="Times New Roman"/>
          <w:szCs w:val="24"/>
        </w:rPr>
      </w:pPr>
      <w:r>
        <w:rPr>
          <w:rFonts w:cs="Times New Roman"/>
          <w:szCs w:val="24"/>
        </w:rPr>
        <w:t>Two similar forms of estimation were chosen so that they could be used to validate one another by comparing estimates.  Furthermore, there are outliers in the data, which</w:t>
      </w:r>
      <w:r w:rsidR="00DB147B">
        <w:rPr>
          <w:rFonts w:cs="Times New Roman"/>
          <w:szCs w:val="24"/>
        </w:rPr>
        <w:t xml:space="preserve"> </w:t>
      </w:r>
      <w:r>
        <w:rPr>
          <w:rFonts w:cs="Times New Roman"/>
          <w:szCs w:val="24"/>
        </w:rPr>
        <w:t xml:space="preserve">NCSS’s procedure does not take any steps to address.  On the other hand, </w:t>
      </w:r>
      <w:proofErr w:type="gramStart"/>
      <w:r w:rsidRPr="0053577F">
        <w:rPr>
          <w:rFonts w:ascii="Courier" w:hAnsi="Courier" w:cs="Courier New"/>
          <w:szCs w:val="24"/>
        </w:rPr>
        <w:t>irmi(</w:t>
      </w:r>
      <w:proofErr w:type="gramEnd"/>
      <w:r w:rsidRPr="0053577F">
        <w:rPr>
          <w:rFonts w:ascii="Courier" w:hAnsi="Courier" w:cs="Courier New"/>
          <w:szCs w:val="24"/>
        </w:rPr>
        <w:t>)</w:t>
      </w:r>
      <w:r>
        <w:rPr>
          <w:rFonts w:cs="Times New Roman"/>
          <w:szCs w:val="24"/>
        </w:rPr>
        <w:t>, can use robust methods to reduce the influence of outliers</w:t>
      </w:r>
      <w:r w:rsidR="00B61455">
        <w:rPr>
          <w:rFonts w:cs="Times New Roman"/>
          <w:szCs w:val="24"/>
        </w:rPr>
        <w:t>, which can</w:t>
      </w:r>
      <w:r>
        <w:rPr>
          <w:rFonts w:cs="Times New Roman"/>
          <w:szCs w:val="24"/>
        </w:rPr>
        <w:t xml:space="preserve"> affect</w:t>
      </w:r>
      <w:r w:rsidR="00B61455">
        <w:rPr>
          <w:rFonts w:cs="Times New Roman"/>
          <w:szCs w:val="24"/>
        </w:rPr>
        <w:t xml:space="preserve"> normality and</w:t>
      </w:r>
      <w:r>
        <w:rPr>
          <w:rFonts w:cs="Times New Roman"/>
          <w:szCs w:val="24"/>
        </w:rPr>
        <w:t xml:space="preserve"> regression coefficient estimations </w:t>
      </w:r>
      <w:r w:rsidR="003731B6">
        <w:rPr>
          <w:rFonts w:cs="Times New Roman"/>
          <w:szCs w:val="24"/>
        </w:rPr>
        <w:fldChar w:fldCharType="begin"/>
      </w:r>
      <w:r w:rsidR="00EB0C79">
        <w:rPr>
          <w:rFonts w:cs="Times New Roman"/>
          <w:szCs w:val="24"/>
        </w:rPr>
        <w:instrText xml:space="preserve"> ADDIN EN.CITE &lt;EndNote&gt;&lt;Cite&gt;&lt;Author&gt;Templ&lt;/Author&gt;&lt;Year&gt;2011&lt;/Year&gt;&lt;RecNum&gt;132&lt;/RecNum&gt;&lt;DisplayText&gt;(Templ&lt;style face="italic"&gt; et al.&lt;/style&gt;, 2011)&lt;/DisplayText&gt;&lt;record&gt;&lt;rec-number&gt;132&lt;/rec-number&gt;&lt;foreign-keys&gt;&lt;key app="EN" db-id="20frpf5eyrpavaevz925sv9t29f5epa9pd2z"&gt;132&lt;/key&gt;&lt;/foreign-keys&gt;&lt;ref-type name="Journal Article"&gt;17&lt;/ref-type&gt;&lt;contributors&gt;&lt;authors&gt;&lt;author&gt;Templ, Matthias&lt;/author&gt;&lt;author&gt;Kowarik, Alexander&lt;/author&gt;&lt;author&gt;Filzmoser, Peter&lt;/author&gt;&lt;/authors&gt;&lt;/contributors&gt;&lt;titles&gt;&lt;title&gt;Iterative stepwise regression imputation using standard and robust methods&lt;/title&gt;&lt;secondary-title&gt;Computational Statistics and Data Analysis&lt;/secondary-title&gt;&lt;/titles&gt;&lt;periodical&gt;&lt;full-title&gt;Computational Statistics and Data Analysis&lt;/full-title&gt;&lt;/periodical&gt;&lt;pages&gt;2793-2806&lt;/pages&gt;&lt;volume&gt;55&lt;/volume&gt;&lt;number&gt;10&lt;/number&gt;&lt;dates&gt;&lt;year&gt;2011&lt;/year&gt;&lt;pub-dates&gt;&lt;date&gt;Oct&lt;/date&gt;&lt;/pub-dates&gt;&lt;/dates&gt;&lt;accession-num&gt;4042037130271122902related:1uW_tlozGDgJ&lt;/accession-num&gt;&lt;label&gt;r03822&lt;/label&gt;&lt;urls&gt;&lt;related-urls&gt;&lt;url&gt;http://linkinghub.elsevier.com/retrieve/pii/S0167947311001411&lt;/url&gt;&lt;/related-urls&gt;&lt;pdf-urls&gt;&lt;url&gt;file://localhost/Users/mercergm/Library/Application%20Support/Papers2/Articles/2011/Templ/Comput%20Stat%20Data%20an%202011%20Templ.pdf&lt;/url&gt;&lt;/pdf-urls&gt;&lt;/urls&gt;&lt;custom3&gt;papers2://publication/uuid/1EE4E142-D4B3-4A18-BC4A-E7D3164BDE93&lt;/custom3&gt;&lt;electronic-resource-num&gt;10.1016/j.csda.2011.04.012&lt;/electronic-resource-num&gt;&lt;language&gt;English&lt;/language&gt;&lt;/record&gt;&lt;/Cite&gt;&lt;/EndNote&gt;</w:instrText>
      </w:r>
      <w:r w:rsidR="003731B6">
        <w:rPr>
          <w:rFonts w:cs="Times New Roman"/>
          <w:szCs w:val="24"/>
        </w:rPr>
        <w:fldChar w:fldCharType="separate"/>
      </w:r>
      <w:r w:rsidR="00EB0C79">
        <w:rPr>
          <w:rFonts w:cs="Times New Roman"/>
          <w:noProof/>
          <w:szCs w:val="24"/>
        </w:rPr>
        <w:t>(</w:t>
      </w:r>
      <w:hyperlink w:anchor="_ENREF_62" w:tooltip="Templ, 2011 #132" w:history="1">
        <w:r w:rsidR="001633BC">
          <w:rPr>
            <w:rFonts w:cs="Times New Roman"/>
            <w:noProof/>
            <w:szCs w:val="24"/>
          </w:rPr>
          <w:t>Templ</w:t>
        </w:r>
        <w:r w:rsidR="001633BC" w:rsidRPr="00EB0C79">
          <w:rPr>
            <w:rFonts w:cs="Times New Roman"/>
            <w:i/>
            <w:noProof/>
            <w:szCs w:val="24"/>
          </w:rPr>
          <w:t xml:space="preserve"> et al.</w:t>
        </w:r>
        <w:r w:rsidR="001633BC">
          <w:rPr>
            <w:rFonts w:cs="Times New Roman"/>
            <w:noProof/>
            <w:szCs w:val="24"/>
          </w:rPr>
          <w:t>, 2011</w:t>
        </w:r>
      </w:hyperlink>
      <w:r w:rsidR="00EB0C79">
        <w:rPr>
          <w:rFonts w:cs="Times New Roman"/>
          <w:noProof/>
          <w:szCs w:val="24"/>
        </w:rPr>
        <w:t>)</w:t>
      </w:r>
      <w:r w:rsidR="003731B6">
        <w:rPr>
          <w:rFonts w:cs="Times New Roman"/>
          <w:szCs w:val="24"/>
        </w:rPr>
        <w:fldChar w:fldCharType="end"/>
      </w:r>
      <w:r>
        <w:rPr>
          <w:rFonts w:cs="Times New Roman"/>
          <w:szCs w:val="24"/>
        </w:rPr>
        <w:t xml:space="preserve">. </w:t>
      </w:r>
    </w:p>
    <w:p w:rsidR="00040D05" w:rsidRDefault="00607844" w:rsidP="001C6C19">
      <w:pPr>
        <w:autoSpaceDE w:val="0"/>
        <w:autoSpaceDN w:val="0"/>
        <w:adjustRightInd w:val="0"/>
        <w:spacing w:after="0"/>
        <w:rPr>
          <w:rFonts w:cs="Times New Roman"/>
          <w:szCs w:val="24"/>
        </w:rPr>
      </w:pPr>
      <w:r>
        <w:rPr>
          <w:rFonts w:cs="Times New Roman"/>
          <w:szCs w:val="24"/>
        </w:rPr>
        <w:tab/>
      </w:r>
      <w:r w:rsidR="004E42FA">
        <w:rPr>
          <w:rFonts w:cs="Times New Roman"/>
          <w:szCs w:val="24"/>
        </w:rPr>
        <w:t xml:space="preserve">The documentation provided for the NCSS </w:t>
      </w:r>
      <w:r w:rsidR="003731B6">
        <w:rPr>
          <w:rFonts w:cs="Times New Roman"/>
          <w:szCs w:val="24"/>
        </w:rPr>
        <w:fldChar w:fldCharType="begin"/>
      </w:r>
      <w:r w:rsidR="004E42FA">
        <w:rPr>
          <w:rFonts w:cs="Times New Roman"/>
          <w:szCs w:val="24"/>
        </w:rPr>
        <w:instrText xml:space="preserve"> ADDIN EN.CITE &lt;EndNote&gt;&lt;Cite&gt;&lt;Author&gt;Hintze&lt;/Author&gt;&lt;Year&gt;2007&lt;/Year&gt;&lt;RecNum&gt;304&lt;/RecNum&gt;&lt;DisplayText&gt;(Hintze, 2007)&lt;/DisplayText&gt;&lt;record&gt;&lt;rec-number&gt;304&lt;/rec-number&gt;&lt;foreign-keys&gt;&lt;key app="EN" db-id="20frpf5eyrpavaevz925sv9t29f5epa9pd2z"&gt;304&lt;/key&gt;&lt;/foreign-keys&gt;&lt;ref-type name="Computer Program"&gt;9&lt;/ref-type&gt;&lt;contributors&gt;&lt;authors&gt;&lt;author&gt;Hintze, J.&lt;/author&gt;&lt;/authors&gt;&lt;/contributors&gt;&lt;titles&gt;&lt;title&gt;NCSS&lt;/title&gt;&lt;/titles&gt;&lt;dates&gt;&lt;year&gt;2007&lt;/year&gt;&lt;/dates&gt;&lt;pub-location&gt;Kaysville, UT&lt;/pub-location&gt;&lt;publisher&gt;NCSS, LLC.&lt;/publisher&gt;&lt;urls&gt;&lt;related-urls&gt;&lt;url&gt;WWW.NCSS.COM&lt;/url&gt;&lt;/related-urls&gt;&lt;/urls&gt;&lt;/record&gt;&lt;/Cite&gt;&lt;/EndNote&gt;</w:instrText>
      </w:r>
      <w:r w:rsidR="003731B6">
        <w:rPr>
          <w:rFonts w:cs="Times New Roman"/>
          <w:szCs w:val="24"/>
        </w:rPr>
        <w:fldChar w:fldCharType="separate"/>
      </w:r>
      <w:r w:rsidR="004E42FA">
        <w:rPr>
          <w:rFonts w:cs="Times New Roman"/>
          <w:noProof/>
          <w:szCs w:val="24"/>
        </w:rPr>
        <w:t>(</w:t>
      </w:r>
      <w:hyperlink w:anchor="_ENREF_22" w:tooltip="Hintze, 2007 #304" w:history="1">
        <w:r w:rsidR="001633BC">
          <w:rPr>
            <w:rFonts w:cs="Times New Roman"/>
            <w:noProof/>
            <w:szCs w:val="24"/>
          </w:rPr>
          <w:t>Hintze, 2007</w:t>
        </w:r>
      </w:hyperlink>
      <w:r w:rsidR="004E42FA">
        <w:rPr>
          <w:rFonts w:cs="Times New Roman"/>
          <w:noProof/>
          <w:szCs w:val="24"/>
        </w:rPr>
        <w:t>)</w:t>
      </w:r>
      <w:r w:rsidR="003731B6">
        <w:rPr>
          <w:rFonts w:cs="Times New Roman"/>
          <w:szCs w:val="24"/>
        </w:rPr>
        <w:fldChar w:fldCharType="end"/>
      </w:r>
      <w:r w:rsidR="004E42FA">
        <w:rPr>
          <w:rFonts w:cs="Times New Roman"/>
          <w:szCs w:val="24"/>
        </w:rPr>
        <w:t xml:space="preserve"> iterative regression estimation procedure is limited.  The </w:t>
      </w:r>
      <w:r w:rsidR="00E95775">
        <w:rPr>
          <w:rFonts w:cs="Times New Roman"/>
          <w:szCs w:val="24"/>
        </w:rPr>
        <w:t>help documentation</w:t>
      </w:r>
      <w:r w:rsidR="009B6395">
        <w:rPr>
          <w:rFonts w:cs="Times New Roman"/>
          <w:szCs w:val="24"/>
        </w:rPr>
        <w:t xml:space="preserve"> states</w:t>
      </w:r>
      <w:r w:rsidR="004E42FA">
        <w:rPr>
          <w:rFonts w:cs="Times New Roman"/>
          <w:szCs w:val="24"/>
        </w:rPr>
        <w:t>, “a regression analysis is conducted using the variable containing the missing values as the dependent variable and all variables with nonmissing data in this</w:t>
      </w:r>
      <w:r w:rsidR="00B70B34">
        <w:rPr>
          <w:rFonts w:cs="Times New Roman"/>
          <w:szCs w:val="24"/>
        </w:rPr>
        <w:t xml:space="preserve"> row as independent variables” </w:t>
      </w:r>
      <w:r w:rsidR="003731B6">
        <w:rPr>
          <w:rFonts w:cs="Times New Roman"/>
          <w:szCs w:val="24"/>
        </w:rPr>
        <w:fldChar w:fldCharType="begin"/>
      </w:r>
      <w:r w:rsidR="00B70B34">
        <w:rPr>
          <w:rFonts w:cs="Times New Roman"/>
          <w:szCs w:val="24"/>
        </w:rPr>
        <w:instrText xml:space="preserve"> ADDIN EN.CITE &lt;EndNote&gt;&lt;Cite&gt;&lt;Author&gt;Hintze&lt;/Author&gt;&lt;Year&gt;2007&lt;/Year&gt;&lt;RecNum&gt;304&lt;/RecNum&gt;&lt;Suffix&gt;:118-2&lt;/Suffix&gt;&lt;DisplayText&gt;(Hintze, 2007:118-2)&lt;/DisplayText&gt;&lt;record&gt;&lt;rec-number&gt;304&lt;/rec-number&gt;&lt;foreign-keys&gt;&lt;key app="EN" db-id="20frpf5eyrpavaevz925sv9t29f5epa9pd2z"&gt;304&lt;/key&gt;&lt;/foreign-keys&gt;&lt;ref-type name="Computer Program"&gt;9&lt;/ref-type&gt;&lt;contributors&gt;&lt;authors&gt;&lt;author&gt;Hintze, J.&lt;/author&gt;&lt;/authors&gt;&lt;/contributors&gt;&lt;titles&gt;&lt;title&gt;NCSS&lt;/title&gt;&lt;/titles&gt;&lt;dates&gt;&lt;year&gt;2007&lt;/year&gt;&lt;/dates&gt;&lt;pub-location&gt;Kaysville, UT&lt;/pub-location&gt;&lt;publisher&gt;NCSS, LLC.&lt;/publisher&gt;&lt;urls&gt;&lt;related-urls&gt;&lt;url&gt;WWW.NCSS.COM&lt;/url&gt;&lt;/related-urls&gt;&lt;/urls&gt;&lt;/record&gt;&lt;/Cite&gt;&lt;/EndNote&gt;</w:instrText>
      </w:r>
      <w:r w:rsidR="003731B6">
        <w:rPr>
          <w:rFonts w:cs="Times New Roman"/>
          <w:szCs w:val="24"/>
        </w:rPr>
        <w:fldChar w:fldCharType="separate"/>
      </w:r>
      <w:r w:rsidR="00B70B34">
        <w:rPr>
          <w:rFonts w:cs="Times New Roman"/>
          <w:noProof/>
          <w:szCs w:val="24"/>
        </w:rPr>
        <w:t>(</w:t>
      </w:r>
      <w:hyperlink w:anchor="_ENREF_22" w:tooltip="Hintze, 2007 #304" w:history="1">
        <w:r w:rsidR="001633BC">
          <w:rPr>
            <w:rFonts w:cs="Times New Roman"/>
            <w:noProof/>
            <w:szCs w:val="24"/>
          </w:rPr>
          <w:t>Hintze, 2007:118-2</w:t>
        </w:r>
      </w:hyperlink>
      <w:r w:rsidR="00B70B34">
        <w:rPr>
          <w:rFonts w:cs="Times New Roman"/>
          <w:noProof/>
          <w:szCs w:val="24"/>
        </w:rPr>
        <w:t>)</w:t>
      </w:r>
      <w:r w:rsidR="003731B6">
        <w:rPr>
          <w:rFonts w:cs="Times New Roman"/>
          <w:szCs w:val="24"/>
        </w:rPr>
        <w:fldChar w:fldCharType="end"/>
      </w:r>
      <w:r w:rsidR="007C5372">
        <w:rPr>
          <w:rFonts w:cs="Times New Roman"/>
          <w:szCs w:val="24"/>
        </w:rPr>
        <w:t>.</w:t>
      </w:r>
      <w:r w:rsidR="00332CC2">
        <w:rPr>
          <w:rFonts w:cs="Times New Roman"/>
          <w:szCs w:val="24"/>
        </w:rPr>
        <w:t xml:space="preserve">  </w:t>
      </w:r>
      <w:r w:rsidR="007F4A0D">
        <w:rPr>
          <w:rFonts w:cs="Times New Roman"/>
          <w:szCs w:val="24"/>
        </w:rPr>
        <w:t>The observation’s observed values are entered into the reg</w:t>
      </w:r>
      <w:r w:rsidR="00FE4431">
        <w:rPr>
          <w:rFonts w:cs="Times New Roman"/>
          <w:szCs w:val="24"/>
        </w:rPr>
        <w:t>ression equation to calculate an estimate</w:t>
      </w:r>
      <w:r w:rsidR="007F4A0D">
        <w:rPr>
          <w:rFonts w:cs="Times New Roman"/>
          <w:szCs w:val="24"/>
        </w:rPr>
        <w:t xml:space="preserve"> for the missing </w:t>
      </w:r>
      <w:r w:rsidR="00FE4431">
        <w:rPr>
          <w:rFonts w:cs="Times New Roman"/>
          <w:szCs w:val="24"/>
        </w:rPr>
        <w:t>value</w:t>
      </w:r>
      <w:r w:rsidR="007F4A0D">
        <w:rPr>
          <w:rFonts w:cs="Times New Roman"/>
          <w:szCs w:val="24"/>
        </w:rPr>
        <w:t>.</w:t>
      </w:r>
      <w:r w:rsidR="00332CC2">
        <w:rPr>
          <w:rFonts w:cs="Times New Roman"/>
          <w:szCs w:val="24"/>
        </w:rPr>
        <w:t xml:space="preserve">  This method is repeated over multiple iterations, using the predicted value from one run for the estimations of the next.</w:t>
      </w:r>
      <w:r w:rsidR="00231996">
        <w:rPr>
          <w:rFonts w:cs="Times New Roman"/>
          <w:szCs w:val="24"/>
        </w:rPr>
        <w:t xml:space="preserve">  McCarty </w:t>
      </w:r>
      <w:r w:rsidR="003731B6">
        <w:rPr>
          <w:rFonts w:cs="Times New Roman"/>
          <w:szCs w:val="24"/>
        </w:rPr>
        <w:fldChar w:fldCharType="begin"/>
      </w:r>
      <w:r w:rsidR="003E1659">
        <w:rPr>
          <w:rFonts w:cs="Times New Roman"/>
          <w:szCs w:val="24"/>
        </w:rPr>
        <w:instrText xml:space="preserve"> ADDIN EN.CITE &lt;EndNote&gt;&lt;Cite ExcludeAuth="1"&gt;&lt;Author&gt;McCarty&lt;/Author&gt;&lt;Year&gt;2005&lt;/Year&gt;&lt;RecNum&gt;96&lt;/RecNum&gt;&lt;DisplayText&gt;(2005)&lt;/DisplayText&gt;&lt;record&gt;&lt;rec-number&gt;96&lt;/rec-number&gt;&lt;foreign-keys&gt;&lt;key app="EN" db-id="20frpf5eyrpavaevz925sv9t29f5epa9pd2z"&gt;96&lt;/key&gt;&lt;/foreign-keys&gt;&lt;ref-type name="Thesis"&gt;32&lt;/ref-type&gt;&lt;contributors&gt;&lt;authors&gt;&lt;author&gt;McCarty, Theresa J.&lt;/author&gt;&lt;/authors&gt;&lt;/contributors&gt;&lt;titles&gt;&lt;title&gt;Estimation of missing data&lt;/title&gt;&lt;secondary-title&gt;Statistics, Operations, and Management Science&lt;/secondary-title&gt;&lt;/titles&gt;&lt;dates&gt;&lt;year&gt;2005&lt;/year&gt;&lt;/dates&gt;&lt;pub-location&gt;Knoxville&lt;/pub-location&gt;&lt;publisher&gt;University of Tennessee&lt;/publisher&gt;&lt;urls&gt;&lt;/urls&gt;&lt;/record&gt;&lt;/Cite&gt;&lt;/EndNote&gt;</w:instrText>
      </w:r>
      <w:r w:rsidR="003731B6">
        <w:rPr>
          <w:rFonts w:cs="Times New Roman"/>
          <w:szCs w:val="24"/>
        </w:rPr>
        <w:fldChar w:fldCharType="separate"/>
      </w:r>
      <w:r w:rsidR="00231996">
        <w:rPr>
          <w:rFonts w:cs="Times New Roman"/>
          <w:noProof/>
          <w:szCs w:val="24"/>
        </w:rPr>
        <w:t>(</w:t>
      </w:r>
      <w:hyperlink w:anchor="_ENREF_39" w:tooltip="McCarty, 2005 #96" w:history="1">
        <w:r w:rsidR="001633BC">
          <w:rPr>
            <w:rFonts w:cs="Times New Roman"/>
            <w:noProof/>
            <w:szCs w:val="24"/>
          </w:rPr>
          <w:t>2005</w:t>
        </w:r>
      </w:hyperlink>
      <w:r w:rsidR="00231996">
        <w:rPr>
          <w:rFonts w:cs="Times New Roman"/>
          <w:noProof/>
          <w:szCs w:val="24"/>
        </w:rPr>
        <w:t>)</w:t>
      </w:r>
      <w:r w:rsidR="003731B6">
        <w:rPr>
          <w:rFonts w:cs="Times New Roman"/>
          <w:szCs w:val="24"/>
        </w:rPr>
        <w:fldChar w:fldCharType="end"/>
      </w:r>
      <w:r w:rsidR="00231996">
        <w:rPr>
          <w:rFonts w:cs="Times New Roman"/>
          <w:szCs w:val="24"/>
        </w:rPr>
        <w:t xml:space="preserve"> found this procedure quick and accurate.</w:t>
      </w:r>
    </w:p>
    <w:p w:rsidR="00AE3107" w:rsidRDefault="00040D05" w:rsidP="001C6C19">
      <w:pPr>
        <w:autoSpaceDE w:val="0"/>
        <w:autoSpaceDN w:val="0"/>
        <w:adjustRightInd w:val="0"/>
        <w:spacing w:after="0"/>
        <w:rPr>
          <w:rFonts w:cs="Times New Roman"/>
          <w:szCs w:val="24"/>
        </w:rPr>
      </w:pPr>
      <w:r>
        <w:rPr>
          <w:rFonts w:cs="Times New Roman"/>
          <w:szCs w:val="24"/>
        </w:rPr>
        <w:tab/>
      </w:r>
      <w:r w:rsidR="005077F8">
        <w:rPr>
          <w:rFonts w:cs="Times New Roman"/>
          <w:szCs w:val="24"/>
        </w:rPr>
        <w:t xml:space="preserve">IRMI stands for Iterative Robust Model-based Imputation </w:t>
      </w:r>
      <w:r w:rsidR="003731B6">
        <w:rPr>
          <w:rFonts w:cs="Times New Roman"/>
          <w:szCs w:val="24"/>
        </w:rPr>
        <w:fldChar w:fldCharType="begin"/>
      </w:r>
      <w:r w:rsidR="00EB0C79">
        <w:rPr>
          <w:rFonts w:cs="Times New Roman"/>
          <w:szCs w:val="24"/>
        </w:rPr>
        <w:instrText xml:space="preserve"> ADDIN EN.CITE &lt;EndNote&gt;&lt;Cite&gt;&lt;Author&gt;Templ&lt;/Author&gt;&lt;Year&gt;2011&lt;/Year&gt;&lt;RecNum&gt;132&lt;/RecNum&gt;&lt;DisplayText&gt;(Templ&lt;style face="italic"&gt; et al.&lt;/style&gt;, 2011)&lt;/DisplayText&gt;&lt;record&gt;&lt;rec-number&gt;132&lt;/rec-number&gt;&lt;foreign-keys&gt;&lt;key app="EN" db-id="20frpf5eyrpavaevz925sv9t29f5epa9pd2z"&gt;132&lt;/key&gt;&lt;/foreign-keys&gt;&lt;ref-type name="Journal Article"&gt;17&lt;/ref-type&gt;&lt;contributors&gt;&lt;authors&gt;&lt;author&gt;Templ, Matthias&lt;/author&gt;&lt;author&gt;Kowarik, Alexander&lt;/author&gt;&lt;author&gt;Filzmoser, Peter&lt;/author&gt;&lt;/authors&gt;&lt;/contributors&gt;&lt;titles&gt;&lt;title&gt;Iterative stepwise regression imputation using standard and robust methods&lt;/title&gt;&lt;secondary-title&gt;Computational Statistics and Data Analysis&lt;/secondary-title&gt;&lt;/titles&gt;&lt;periodical&gt;&lt;full-title&gt;Computational Statistics and Data Analysis&lt;/full-title&gt;&lt;/periodical&gt;&lt;pages&gt;2793-2806&lt;/pages&gt;&lt;volume&gt;55&lt;/volume&gt;&lt;number&gt;10&lt;/number&gt;&lt;dates&gt;&lt;year&gt;2011&lt;/year&gt;&lt;pub-dates&gt;&lt;date&gt;Oct&lt;/date&gt;&lt;/pub-dates&gt;&lt;/dates&gt;&lt;accession-num&gt;4042037130271122902related:1uW_tlozGDgJ&lt;/accession-num&gt;&lt;label&gt;r03822&lt;/label&gt;&lt;urls&gt;&lt;related-urls&gt;&lt;url&gt;http://linkinghub.elsevier.com/retrieve/pii/S0167947311001411&lt;/url&gt;&lt;/related-urls&gt;&lt;pdf-urls&gt;&lt;url&gt;file://localhost/Users/mercergm/Library/Application%20Support/Papers2/Articles/2011/Templ/Comput%20Stat%20Data%20an%202011%20Templ.pdf&lt;/url&gt;&lt;/pdf-urls&gt;&lt;/urls&gt;&lt;custom3&gt;papers2://publication/uuid/1EE4E142-D4B3-4A18-BC4A-E7D3164BDE93&lt;/custom3&gt;&lt;electronic-resource-num&gt;10.1016/j.csda.2011.04.012&lt;/electronic-resource-num&gt;&lt;language&gt;English&lt;/language&gt;&lt;/record&gt;&lt;/Cite&gt;&lt;/EndNote&gt;</w:instrText>
      </w:r>
      <w:r w:rsidR="003731B6">
        <w:rPr>
          <w:rFonts w:cs="Times New Roman"/>
          <w:szCs w:val="24"/>
        </w:rPr>
        <w:fldChar w:fldCharType="separate"/>
      </w:r>
      <w:r w:rsidR="00EB0C79">
        <w:rPr>
          <w:rFonts w:cs="Times New Roman"/>
          <w:noProof/>
          <w:szCs w:val="24"/>
        </w:rPr>
        <w:t>(</w:t>
      </w:r>
      <w:hyperlink w:anchor="_ENREF_62" w:tooltip="Templ, 2011 #132" w:history="1">
        <w:r w:rsidR="001633BC">
          <w:rPr>
            <w:rFonts w:cs="Times New Roman"/>
            <w:noProof/>
            <w:szCs w:val="24"/>
          </w:rPr>
          <w:t>Templ</w:t>
        </w:r>
        <w:r w:rsidR="001633BC" w:rsidRPr="00EB0C79">
          <w:rPr>
            <w:rFonts w:cs="Times New Roman"/>
            <w:i/>
            <w:noProof/>
            <w:szCs w:val="24"/>
          </w:rPr>
          <w:t xml:space="preserve"> et al.</w:t>
        </w:r>
        <w:r w:rsidR="001633BC">
          <w:rPr>
            <w:rFonts w:cs="Times New Roman"/>
            <w:noProof/>
            <w:szCs w:val="24"/>
          </w:rPr>
          <w:t>, 2011</w:t>
        </w:r>
      </w:hyperlink>
      <w:r w:rsidR="00EB0C79">
        <w:rPr>
          <w:rFonts w:cs="Times New Roman"/>
          <w:noProof/>
          <w:szCs w:val="24"/>
        </w:rPr>
        <w:t>)</w:t>
      </w:r>
      <w:r w:rsidR="003731B6">
        <w:rPr>
          <w:rFonts w:cs="Times New Roman"/>
          <w:szCs w:val="24"/>
        </w:rPr>
        <w:fldChar w:fldCharType="end"/>
      </w:r>
      <w:r w:rsidR="005077F8">
        <w:rPr>
          <w:rFonts w:cs="Times New Roman"/>
          <w:szCs w:val="24"/>
        </w:rPr>
        <w:t xml:space="preserve">.  </w:t>
      </w:r>
      <w:r w:rsidR="003E1659">
        <w:rPr>
          <w:rFonts w:cs="Times New Roman"/>
          <w:szCs w:val="24"/>
        </w:rPr>
        <w:t>VIM</w:t>
      </w:r>
      <w:r w:rsidR="00FC53AF">
        <w:rPr>
          <w:rFonts w:cs="Times New Roman"/>
          <w:szCs w:val="24"/>
        </w:rPr>
        <w:t>’s</w:t>
      </w:r>
      <w:r w:rsidR="003E1659">
        <w:rPr>
          <w:rFonts w:cs="Times New Roman"/>
          <w:szCs w:val="24"/>
        </w:rPr>
        <w:t xml:space="preserve"> </w:t>
      </w:r>
      <w:r w:rsidR="003731B6">
        <w:rPr>
          <w:rFonts w:cs="Times New Roman"/>
          <w:szCs w:val="24"/>
        </w:rPr>
        <w:fldChar w:fldCharType="begin"/>
      </w:r>
      <w:r w:rsidR="00EB0C79">
        <w:rPr>
          <w:rFonts w:cs="Times New Roman"/>
          <w:szCs w:val="24"/>
        </w:rPr>
        <w:instrText xml:space="preserve"> ADDIN EN.CITE &lt;EndNote&gt;&lt;Cite&gt;&lt;Author&gt;Templ&lt;/Author&gt;&lt;Year&gt;2012&lt;/Year&gt;&lt;RecNum&gt;306&lt;/RecNum&gt;&lt;DisplayText&gt;(Templ&lt;style face="italic"&gt; et al.&lt;/style&gt;, 2012)&lt;/DisplayText&gt;&lt;record&gt;&lt;rec-number&gt;306&lt;/rec-number&gt;&lt;foreign-keys&gt;&lt;key app="EN" db-id="20frpf5eyrpavaevz925sv9t29f5epa9pd2z"&gt;306&lt;/key&gt;&lt;/foreign-keys&gt;&lt;ref-type name="Computer Program"&gt;9&lt;/ref-type&gt;&lt;contributors&gt;&lt;authors&gt;&lt;author&gt;Templ, Matthias&lt;/author&gt;&lt;author&gt;Alfons, Andreas&lt;/author&gt;&lt;author&gt;Kowarik, Alexander&lt;/author&gt;&lt;author&gt;Prantner, Bernd&lt;/author&gt;&lt;/authors&gt;&lt;/contributors&gt;&lt;titles&gt;&lt;title&gt;VIM:  Visualization and Imputation of Missing Values&lt;/title&gt;&lt;/titles&gt;&lt;edition&gt;R package version 3.0.1&lt;/edition&gt;&lt;dates&gt;&lt;year&gt;2012&lt;/year&gt;&lt;/dates&gt;&lt;urls&gt;&lt;related-urls&gt;&lt;url&gt;http://CRAN.R-project.org/package=VIM&lt;/url&gt;&lt;/related-urls&gt;&lt;/urls&gt;&lt;/record&gt;&lt;/Cite&gt;&lt;/EndNote&gt;</w:instrText>
      </w:r>
      <w:r w:rsidR="003731B6">
        <w:rPr>
          <w:rFonts w:cs="Times New Roman"/>
          <w:szCs w:val="24"/>
        </w:rPr>
        <w:fldChar w:fldCharType="separate"/>
      </w:r>
      <w:r w:rsidR="00EB0C79">
        <w:rPr>
          <w:rFonts w:cs="Times New Roman"/>
          <w:noProof/>
          <w:szCs w:val="24"/>
        </w:rPr>
        <w:t>(</w:t>
      </w:r>
      <w:hyperlink w:anchor="_ENREF_61" w:tooltip="Templ, 2012 #306" w:history="1">
        <w:r w:rsidR="001633BC">
          <w:rPr>
            <w:rFonts w:cs="Times New Roman"/>
            <w:noProof/>
            <w:szCs w:val="24"/>
          </w:rPr>
          <w:t>Templ</w:t>
        </w:r>
        <w:r w:rsidR="001633BC" w:rsidRPr="00EB0C79">
          <w:rPr>
            <w:rFonts w:cs="Times New Roman"/>
            <w:i/>
            <w:noProof/>
            <w:szCs w:val="24"/>
          </w:rPr>
          <w:t xml:space="preserve"> et al.</w:t>
        </w:r>
        <w:r w:rsidR="001633BC">
          <w:rPr>
            <w:rFonts w:cs="Times New Roman"/>
            <w:noProof/>
            <w:szCs w:val="24"/>
          </w:rPr>
          <w:t>, 2012</w:t>
        </w:r>
      </w:hyperlink>
      <w:r w:rsidR="00EB0C79">
        <w:rPr>
          <w:rFonts w:cs="Times New Roman"/>
          <w:noProof/>
          <w:szCs w:val="24"/>
        </w:rPr>
        <w:t>)</w:t>
      </w:r>
      <w:r w:rsidR="003731B6">
        <w:rPr>
          <w:rFonts w:cs="Times New Roman"/>
          <w:szCs w:val="24"/>
        </w:rPr>
        <w:fldChar w:fldCharType="end"/>
      </w:r>
      <w:r w:rsidR="00FC53AF">
        <w:rPr>
          <w:rFonts w:cs="Times New Roman"/>
          <w:szCs w:val="24"/>
        </w:rPr>
        <w:t xml:space="preserve"> </w:t>
      </w:r>
      <w:r w:rsidR="00FC53AF" w:rsidRPr="00150EA7">
        <w:rPr>
          <w:rFonts w:ascii="Courier" w:hAnsi="Courier" w:cs="Times New Roman"/>
          <w:szCs w:val="24"/>
        </w:rPr>
        <w:t>irmi()</w:t>
      </w:r>
      <w:r w:rsidR="00FC53AF">
        <w:rPr>
          <w:rFonts w:cs="Times New Roman"/>
          <w:szCs w:val="24"/>
        </w:rPr>
        <w:t xml:space="preserve"> </w:t>
      </w:r>
      <w:r w:rsidR="003E1659">
        <w:rPr>
          <w:rFonts w:cs="Times New Roman"/>
          <w:szCs w:val="24"/>
        </w:rPr>
        <w:t>works similarly to the NCSS procedure, but is robust to outlie</w:t>
      </w:r>
      <w:r w:rsidR="005077F8">
        <w:rPr>
          <w:rFonts w:cs="Times New Roman"/>
          <w:szCs w:val="24"/>
        </w:rPr>
        <w:t xml:space="preserve">rs.  </w:t>
      </w:r>
      <w:r w:rsidR="007E000D">
        <w:rPr>
          <w:rFonts w:cs="Times New Roman"/>
          <w:szCs w:val="24"/>
        </w:rPr>
        <w:t xml:space="preserve">It initializes the </w:t>
      </w:r>
      <w:r w:rsidR="001D7ED0">
        <w:rPr>
          <w:rFonts w:cs="Times New Roman"/>
          <w:szCs w:val="24"/>
        </w:rPr>
        <w:t>imputation</w:t>
      </w:r>
      <w:r w:rsidR="007E000D">
        <w:rPr>
          <w:rFonts w:cs="Times New Roman"/>
          <w:szCs w:val="24"/>
        </w:rPr>
        <w:t xml:space="preserve"> with either </w:t>
      </w:r>
      <w:r w:rsidR="007E000D" w:rsidRPr="00D87ACF">
        <w:rPr>
          <w:rFonts w:cs="Times New Roman"/>
          <w:i/>
          <w:szCs w:val="24"/>
        </w:rPr>
        <w:t>k</w:t>
      </w:r>
      <w:r w:rsidR="007E000D">
        <w:rPr>
          <w:rFonts w:cs="Times New Roman"/>
          <w:szCs w:val="24"/>
        </w:rPr>
        <w:t>-nearest neighbor</w:t>
      </w:r>
      <w:r w:rsidR="000C2A0E">
        <w:rPr>
          <w:rFonts w:cs="Times New Roman"/>
          <w:szCs w:val="24"/>
        </w:rPr>
        <w:t xml:space="preserve"> </w:t>
      </w:r>
      <w:r w:rsidR="007E000D">
        <w:rPr>
          <w:rFonts w:cs="Times New Roman"/>
          <w:szCs w:val="24"/>
        </w:rPr>
        <w:t>or median estimate</w:t>
      </w:r>
      <w:r w:rsidR="001D7ED0">
        <w:rPr>
          <w:rFonts w:cs="Times New Roman"/>
          <w:szCs w:val="24"/>
        </w:rPr>
        <w:t>s for the missing values</w:t>
      </w:r>
      <w:r w:rsidR="007E000D">
        <w:rPr>
          <w:rFonts w:cs="Times New Roman"/>
          <w:szCs w:val="24"/>
        </w:rPr>
        <w:t>.</w:t>
      </w:r>
      <w:r w:rsidR="00F82CEC">
        <w:rPr>
          <w:rFonts w:cs="Times New Roman"/>
          <w:szCs w:val="24"/>
        </w:rPr>
        <w:t xml:space="preserve">  An </w:t>
      </w:r>
      <w:r w:rsidR="004215A3">
        <w:rPr>
          <w:rFonts w:cs="Times New Roman"/>
          <w:szCs w:val="24"/>
        </w:rPr>
        <w:t>iterative</w:t>
      </w:r>
      <w:r w:rsidR="00F82CEC">
        <w:rPr>
          <w:rFonts w:cs="Times New Roman"/>
          <w:szCs w:val="24"/>
        </w:rPr>
        <w:t xml:space="preserve"> robust</w:t>
      </w:r>
      <w:r w:rsidR="004215A3">
        <w:rPr>
          <w:rFonts w:cs="Times New Roman"/>
          <w:szCs w:val="24"/>
        </w:rPr>
        <w:t xml:space="preserve"> regression procedure is then applied to the data to estimate the missing values.  The </w:t>
      </w:r>
      <w:r w:rsidR="00C46CC5">
        <w:rPr>
          <w:rFonts w:cs="Times New Roman"/>
          <w:szCs w:val="24"/>
        </w:rPr>
        <w:t>function</w:t>
      </w:r>
      <w:r w:rsidR="004215A3">
        <w:rPr>
          <w:rFonts w:cs="Times New Roman"/>
          <w:szCs w:val="24"/>
        </w:rPr>
        <w:t xml:space="preserve"> accounts for the distribution of the response variable, using robust regression if it is continuous</w:t>
      </w:r>
      <w:r w:rsidR="005077F8">
        <w:rPr>
          <w:rFonts w:cs="Times New Roman"/>
          <w:szCs w:val="24"/>
        </w:rPr>
        <w:t xml:space="preserve"> and other methods, such as </w:t>
      </w:r>
      <w:r w:rsidR="00DB147B">
        <w:rPr>
          <w:rFonts w:cs="Times New Roman"/>
          <w:szCs w:val="24"/>
        </w:rPr>
        <w:t xml:space="preserve">robust </w:t>
      </w:r>
      <w:r w:rsidR="005077F8">
        <w:rPr>
          <w:rFonts w:cs="Times New Roman"/>
          <w:szCs w:val="24"/>
        </w:rPr>
        <w:t>logistic regression, for other types of variables</w:t>
      </w:r>
      <w:r w:rsidR="004215A3">
        <w:rPr>
          <w:rFonts w:cs="Times New Roman"/>
          <w:szCs w:val="24"/>
        </w:rPr>
        <w:t>.</w:t>
      </w:r>
      <w:r w:rsidR="002962CE">
        <w:rPr>
          <w:rFonts w:cs="Times New Roman"/>
          <w:szCs w:val="24"/>
        </w:rPr>
        <w:t xml:space="preserve">  </w:t>
      </w:r>
      <w:proofErr w:type="gramStart"/>
      <w:r w:rsidR="002962CE">
        <w:rPr>
          <w:rFonts w:ascii="Courier" w:hAnsi="Courier" w:cs="Times New Roman"/>
          <w:szCs w:val="24"/>
        </w:rPr>
        <w:t>Irmi(</w:t>
      </w:r>
      <w:proofErr w:type="gramEnd"/>
      <w:r w:rsidR="002962CE">
        <w:rPr>
          <w:rFonts w:ascii="Courier" w:hAnsi="Courier" w:cs="Times New Roman"/>
          <w:szCs w:val="24"/>
        </w:rPr>
        <w:t>)</w:t>
      </w:r>
      <w:r w:rsidR="002962CE">
        <w:rPr>
          <w:rFonts w:cs="Times New Roman"/>
          <w:szCs w:val="24"/>
        </w:rPr>
        <w:t xml:space="preserve"> was used because data screening in NCSS </w:t>
      </w:r>
      <w:r w:rsidR="003731B6">
        <w:rPr>
          <w:rFonts w:cs="Times New Roman"/>
          <w:szCs w:val="24"/>
        </w:rPr>
        <w:fldChar w:fldCharType="begin"/>
      </w:r>
      <w:r w:rsidR="002962CE">
        <w:rPr>
          <w:rFonts w:cs="Times New Roman"/>
          <w:szCs w:val="24"/>
        </w:rPr>
        <w:instrText xml:space="preserve"> ADDIN EN.CITE &lt;EndNote&gt;&lt;Cite&gt;&lt;Author&gt;Hintze&lt;/Author&gt;&lt;Year&gt;2007&lt;/Year&gt;&lt;RecNum&gt;304&lt;/RecNum&gt;&lt;DisplayText&gt;(Hintze, 2007)&lt;/DisplayText&gt;&lt;record&gt;&lt;rec-number&gt;304&lt;/rec-number&gt;&lt;foreign-keys&gt;&lt;key app="EN" db-id="20frpf5eyrpavaevz925sv9t29f5epa9pd2z"&gt;304&lt;/key&gt;&lt;/foreign-keys&gt;&lt;ref-type name="Computer Program"&gt;9&lt;/ref-type&gt;&lt;contributors&gt;&lt;authors&gt;&lt;author&gt;Hintze, J.&lt;/author&gt;&lt;/authors&gt;&lt;/contributors&gt;&lt;titles&gt;&lt;title&gt;NCSS&lt;/title&gt;&lt;/titles&gt;&lt;dates&gt;&lt;year&gt;2007&lt;/year&gt;&lt;/dates&gt;&lt;pub-location&gt;Kaysville, UT&lt;/pub-location&gt;&lt;publisher&gt;NCSS, LLC.&lt;/publisher&gt;&lt;urls&gt;&lt;related-urls&gt;&lt;url&gt;WWW.NCSS.COM&lt;/url&gt;&lt;/related-urls&gt;&lt;/urls&gt;&lt;/record&gt;&lt;/Cite&gt;&lt;/EndNote&gt;</w:instrText>
      </w:r>
      <w:r w:rsidR="003731B6">
        <w:rPr>
          <w:rFonts w:cs="Times New Roman"/>
          <w:szCs w:val="24"/>
        </w:rPr>
        <w:fldChar w:fldCharType="separate"/>
      </w:r>
      <w:r w:rsidR="002962CE">
        <w:rPr>
          <w:rFonts w:cs="Times New Roman"/>
          <w:noProof/>
          <w:szCs w:val="24"/>
        </w:rPr>
        <w:t>(</w:t>
      </w:r>
      <w:hyperlink w:anchor="_ENREF_22" w:tooltip="Hintze, 2007 #304" w:history="1">
        <w:r w:rsidR="001633BC">
          <w:rPr>
            <w:rFonts w:cs="Times New Roman"/>
            <w:noProof/>
            <w:szCs w:val="24"/>
          </w:rPr>
          <w:t>Hintze, 2007</w:t>
        </w:r>
      </w:hyperlink>
      <w:r w:rsidR="002962CE">
        <w:rPr>
          <w:rFonts w:cs="Times New Roman"/>
          <w:noProof/>
          <w:szCs w:val="24"/>
        </w:rPr>
        <w:t>)</w:t>
      </w:r>
      <w:r w:rsidR="003731B6">
        <w:rPr>
          <w:rFonts w:cs="Times New Roman"/>
          <w:szCs w:val="24"/>
        </w:rPr>
        <w:fldChar w:fldCharType="end"/>
      </w:r>
      <w:r w:rsidR="002962CE">
        <w:rPr>
          <w:rFonts w:cs="Times New Roman"/>
          <w:szCs w:val="24"/>
        </w:rPr>
        <w:t xml:space="preserve"> indicated the presence of multivariate outliers in a few of the groups.  The outlier diagnostic used is a </w:t>
      </w:r>
      <w:r w:rsidR="002962CE">
        <w:rPr>
          <w:rFonts w:cs="Times New Roman"/>
          <w:i/>
          <w:szCs w:val="24"/>
        </w:rPr>
        <w:t>T</w:t>
      </w:r>
      <w:r w:rsidR="002962CE">
        <w:rPr>
          <w:rFonts w:cs="Times New Roman"/>
          <w:i/>
          <w:szCs w:val="24"/>
          <w:vertAlign w:val="superscript"/>
        </w:rPr>
        <w:t>2</w:t>
      </w:r>
      <w:r w:rsidR="002962CE">
        <w:rPr>
          <w:rFonts w:cs="Times New Roman"/>
          <w:szCs w:val="24"/>
        </w:rPr>
        <w:t xml:space="preserve"> statistic based upon observations’ Mahalanobis distance from the centroid </w:t>
      </w:r>
      <w:r w:rsidR="003731B6">
        <w:rPr>
          <w:rFonts w:cs="Times New Roman"/>
          <w:szCs w:val="24"/>
        </w:rPr>
        <w:fldChar w:fldCharType="begin"/>
      </w:r>
      <w:r w:rsidR="002962CE">
        <w:rPr>
          <w:rFonts w:cs="Times New Roman"/>
          <w:szCs w:val="24"/>
        </w:rPr>
        <w:instrText xml:space="preserve"> ADDIN EN.CITE &lt;EndNote&gt;&lt;Cite&gt;&lt;Author&gt;Hintze&lt;/Author&gt;&lt;Year&gt;2007&lt;/Year&gt;&lt;RecNum&gt;304&lt;/RecNum&gt;&lt;DisplayText&gt;(Hintze, 2007)&lt;/DisplayText&gt;&lt;record&gt;&lt;rec-number&gt;304&lt;/rec-number&gt;&lt;foreign-keys&gt;&lt;key app="EN" db-id="20frpf5eyrpavaevz925sv9t29f5epa9pd2z"&gt;304&lt;/key&gt;&lt;/foreign-keys&gt;&lt;ref-type name="Computer Program"&gt;9&lt;/ref-type&gt;&lt;contributors&gt;&lt;authors&gt;&lt;author&gt;Hintze, J.&lt;/author&gt;&lt;/authors&gt;&lt;/contributors&gt;&lt;titles&gt;&lt;title&gt;NCSS&lt;/title&gt;&lt;/titles&gt;&lt;dates&gt;&lt;year&gt;2007&lt;/year&gt;&lt;/dates&gt;&lt;pub-location&gt;Kaysville, UT&lt;/pub-location&gt;&lt;publisher&gt;NCSS, LLC.&lt;/publisher&gt;&lt;urls&gt;&lt;related-urls&gt;&lt;url&gt;WWW.NCSS.COM&lt;/url&gt;&lt;/related-urls&gt;&lt;/urls&gt;&lt;/record&gt;&lt;/Cite&gt;&lt;/EndNote&gt;</w:instrText>
      </w:r>
      <w:r w:rsidR="003731B6">
        <w:rPr>
          <w:rFonts w:cs="Times New Roman"/>
          <w:szCs w:val="24"/>
        </w:rPr>
        <w:fldChar w:fldCharType="separate"/>
      </w:r>
      <w:r w:rsidR="002962CE">
        <w:rPr>
          <w:rFonts w:cs="Times New Roman"/>
          <w:noProof/>
          <w:szCs w:val="24"/>
        </w:rPr>
        <w:t>(</w:t>
      </w:r>
      <w:hyperlink w:anchor="_ENREF_22" w:tooltip="Hintze, 2007 #304" w:history="1">
        <w:r w:rsidR="001633BC">
          <w:rPr>
            <w:rFonts w:cs="Times New Roman"/>
            <w:noProof/>
            <w:szCs w:val="24"/>
          </w:rPr>
          <w:t>Hintze, 2007</w:t>
        </w:r>
      </w:hyperlink>
      <w:r w:rsidR="002962CE">
        <w:rPr>
          <w:rFonts w:cs="Times New Roman"/>
          <w:noProof/>
          <w:szCs w:val="24"/>
        </w:rPr>
        <w:t>)</w:t>
      </w:r>
      <w:r w:rsidR="003731B6">
        <w:rPr>
          <w:rFonts w:cs="Times New Roman"/>
          <w:szCs w:val="24"/>
        </w:rPr>
        <w:fldChar w:fldCharType="end"/>
      </w:r>
      <w:r w:rsidR="002962CE">
        <w:rPr>
          <w:rFonts w:cs="Times New Roman"/>
          <w:szCs w:val="24"/>
        </w:rPr>
        <w:t>.</w:t>
      </w:r>
      <w:r w:rsidR="004F71E4">
        <w:rPr>
          <w:rFonts w:cs="Times New Roman"/>
          <w:szCs w:val="24"/>
        </w:rPr>
        <w:t xml:space="preserve">  Outlie</w:t>
      </w:r>
      <w:r w:rsidR="00333AED">
        <w:rPr>
          <w:rFonts w:cs="Times New Roman"/>
          <w:szCs w:val="24"/>
        </w:rPr>
        <w:t>rs were evaluated within groups, not on the overall sample.</w:t>
      </w:r>
    </w:p>
    <w:p w:rsidR="00BA3996" w:rsidRPr="00AE3107" w:rsidRDefault="00AE3107" w:rsidP="007222F3">
      <w:pPr>
        <w:pStyle w:val="Heading3"/>
      </w:pPr>
      <w:bookmarkStart w:id="45" w:name="_Toc222419118"/>
      <w:bookmarkStart w:id="46" w:name="_Toc227982489"/>
      <w:r>
        <w:t>Estimations for this Data</w:t>
      </w:r>
      <w:bookmarkEnd w:id="45"/>
      <w:bookmarkEnd w:id="46"/>
    </w:p>
    <w:p w:rsidR="0072012E" w:rsidRDefault="00BA3996" w:rsidP="001C6C19">
      <w:pPr>
        <w:autoSpaceDE w:val="0"/>
        <w:autoSpaceDN w:val="0"/>
        <w:adjustRightInd w:val="0"/>
        <w:spacing w:after="0"/>
        <w:rPr>
          <w:rFonts w:cs="Times New Roman"/>
          <w:szCs w:val="24"/>
        </w:rPr>
      </w:pPr>
      <w:r>
        <w:rPr>
          <w:rFonts w:cs="Times New Roman"/>
          <w:szCs w:val="24"/>
        </w:rPr>
        <w:tab/>
        <w:t xml:space="preserve">The above </w:t>
      </w:r>
      <w:r w:rsidR="000430B0">
        <w:rPr>
          <w:rFonts w:cs="Times New Roman"/>
          <w:szCs w:val="24"/>
        </w:rPr>
        <w:t xml:space="preserve">imputation </w:t>
      </w:r>
      <w:r>
        <w:rPr>
          <w:rFonts w:cs="Times New Roman"/>
          <w:szCs w:val="24"/>
        </w:rPr>
        <w:t>procedures were applied to the data within groups to maintain the intergroup relationships, not reducing the between-group variation.</w:t>
      </w:r>
      <w:r w:rsidR="008E133D">
        <w:rPr>
          <w:rFonts w:cs="Times New Roman"/>
          <w:szCs w:val="24"/>
        </w:rPr>
        <w:t xml:space="preserve">  Each proc</w:t>
      </w:r>
      <w:r w:rsidR="004C595D">
        <w:rPr>
          <w:rFonts w:cs="Times New Roman"/>
          <w:szCs w:val="24"/>
        </w:rPr>
        <w:t>edure went through 5 iterations</w:t>
      </w:r>
      <w:r w:rsidR="008E133D">
        <w:rPr>
          <w:rFonts w:cs="Times New Roman"/>
          <w:szCs w:val="24"/>
        </w:rPr>
        <w:t xml:space="preserve">.  McCarty </w:t>
      </w:r>
      <w:r w:rsidR="003731B6">
        <w:rPr>
          <w:rFonts w:cs="Times New Roman"/>
          <w:szCs w:val="24"/>
        </w:rPr>
        <w:fldChar w:fldCharType="begin"/>
      </w:r>
      <w:r w:rsidR="00FB0619">
        <w:rPr>
          <w:rFonts w:cs="Times New Roman"/>
          <w:szCs w:val="24"/>
        </w:rPr>
        <w:instrText xml:space="preserve"> ADDIN EN.CITE &lt;EndNote&gt;&lt;Cite ExcludeAuth="1"&gt;&lt;Author&gt;McCarty&lt;/Author&gt;&lt;Year&gt;2005&lt;/Year&gt;&lt;RecNum&gt;96&lt;/RecNum&gt;&lt;DisplayText&gt;(2005)&lt;/DisplayText&gt;&lt;record&gt;&lt;rec-number&gt;96&lt;/rec-number&gt;&lt;foreign-keys&gt;&lt;key app="EN" db-id="20frpf5eyrpavaevz925sv9t29f5epa9pd2z"&gt;96&lt;/key&gt;&lt;/foreign-keys&gt;&lt;ref-type name="Thesis"&gt;32&lt;/ref-type&gt;&lt;contributors&gt;&lt;authors&gt;&lt;author&gt;McCarty, Theresa J.&lt;/author&gt;&lt;/authors&gt;&lt;/contributors&gt;&lt;titles&gt;&lt;title&gt;Estimation of missing data&lt;/title&gt;&lt;secondary-title&gt;Statistics, Operations, and Management Science&lt;/secondary-title&gt;&lt;/titles&gt;&lt;dates&gt;&lt;year&gt;2005&lt;/year&gt;&lt;/dates&gt;&lt;pub-location&gt;Knoxville&lt;/pub-location&gt;&lt;publisher&gt;University of Tennessee&lt;/publisher&gt;&lt;urls&gt;&lt;/urls&gt;&lt;/record&gt;&lt;/Cite&gt;&lt;/EndNote&gt;</w:instrText>
      </w:r>
      <w:r w:rsidR="003731B6">
        <w:rPr>
          <w:rFonts w:cs="Times New Roman"/>
          <w:szCs w:val="24"/>
        </w:rPr>
        <w:fldChar w:fldCharType="separate"/>
      </w:r>
      <w:r w:rsidR="00FB0619">
        <w:rPr>
          <w:rFonts w:cs="Times New Roman"/>
          <w:noProof/>
          <w:szCs w:val="24"/>
        </w:rPr>
        <w:t>(</w:t>
      </w:r>
      <w:hyperlink w:anchor="_ENREF_39" w:tooltip="McCarty, 2005 #96" w:history="1">
        <w:r w:rsidR="001633BC">
          <w:rPr>
            <w:rFonts w:cs="Times New Roman"/>
            <w:noProof/>
            <w:szCs w:val="24"/>
          </w:rPr>
          <w:t>2005</w:t>
        </w:r>
      </w:hyperlink>
      <w:r w:rsidR="00FB0619">
        <w:rPr>
          <w:rFonts w:cs="Times New Roman"/>
          <w:noProof/>
          <w:szCs w:val="24"/>
        </w:rPr>
        <w:t>)</w:t>
      </w:r>
      <w:r w:rsidR="003731B6">
        <w:rPr>
          <w:rFonts w:cs="Times New Roman"/>
          <w:szCs w:val="24"/>
        </w:rPr>
        <w:fldChar w:fldCharType="end"/>
      </w:r>
      <w:r w:rsidR="00FB0619">
        <w:rPr>
          <w:rFonts w:cs="Times New Roman"/>
          <w:szCs w:val="24"/>
        </w:rPr>
        <w:t xml:space="preserve"> found no significant improvements in accuracy past 5 iterations in NCSS.  </w:t>
      </w:r>
      <w:r w:rsidR="003731B6">
        <w:rPr>
          <w:rFonts w:cs="Times New Roman"/>
          <w:szCs w:val="24"/>
        </w:rPr>
        <w:fldChar w:fldCharType="begin"/>
      </w:r>
      <w:r w:rsidR="00EB0C79">
        <w:rPr>
          <w:rFonts w:cs="Times New Roman"/>
          <w:szCs w:val="24"/>
        </w:rPr>
        <w:instrText xml:space="preserve"> ADDIN EN.CITE &lt;EndNote&gt;&lt;Cite AuthorYear="1"&gt;&lt;Author&gt;Templ&lt;/Author&gt;&lt;Year&gt;2011&lt;/Year&gt;&lt;RecNum&gt;132&lt;/RecNum&gt;&lt;DisplayText&gt;Templ&lt;style face="italic"&gt; et al.&lt;/style&gt; (2011)&lt;/DisplayText&gt;&lt;record&gt;&lt;rec-number&gt;132&lt;/rec-number&gt;&lt;foreign-keys&gt;&lt;key app="EN" db-id="20frpf5eyrpavaevz925sv9t29f5epa9pd2z"&gt;132&lt;/key&gt;&lt;/foreign-keys&gt;&lt;ref-type name="Journal Article"&gt;17&lt;/ref-type&gt;&lt;contributors&gt;&lt;authors&gt;&lt;author&gt;Templ, Matthias&lt;/author&gt;&lt;author&gt;Kowarik, Alexander&lt;/author&gt;&lt;author&gt;Filzmoser, Peter&lt;/author&gt;&lt;/authors&gt;&lt;/contributors&gt;&lt;titles&gt;&lt;title&gt;Iterative stepwise regression imputation using standard and robust methods&lt;/title&gt;&lt;secondary-title&gt;Computational Statistics and Data Analysis&lt;/secondary-title&gt;&lt;/titles&gt;&lt;periodical&gt;&lt;full-title&gt;Computational Statistics and Data Analysis&lt;/full-title&gt;&lt;/periodical&gt;&lt;pages&gt;2793-2806&lt;/pages&gt;&lt;volume&gt;55&lt;/volume&gt;&lt;number&gt;10&lt;/number&gt;&lt;dates&gt;&lt;year&gt;2011&lt;/year&gt;&lt;pub-dates&gt;&lt;date&gt;Oct&lt;/date&gt;&lt;/pub-dates&gt;&lt;/dates&gt;&lt;accession-num&gt;4042037130271122902related:1uW_tlozGDgJ&lt;/accession-num&gt;&lt;label&gt;r03822&lt;/label&gt;&lt;urls&gt;&lt;related-urls&gt;&lt;url&gt;http://linkinghub.elsevier.com/retrieve/pii/S0167947311001411&lt;/url&gt;&lt;/related-urls&gt;&lt;pdf-urls&gt;&lt;url&gt;file://localhost/Users/mercergm/Library/Application%20Support/Papers2/Articles/2011/Templ/Comput%20Stat%20Data%20an%202011%20Templ.pdf&lt;/url&gt;&lt;/pdf-urls&gt;&lt;/urls&gt;&lt;custom3&gt;papers2://publication/uuid/1EE4E142-D4B3-4A18-BC4A-E7D3164BDE93&lt;/custom3&gt;&lt;electronic-resource-num&gt;10.1016/j.csda.2011.04.012&lt;/electronic-resource-num&gt;&lt;language&gt;English&lt;/language&gt;&lt;/record&gt;&lt;/Cite&gt;&lt;/EndNote&gt;</w:instrText>
      </w:r>
      <w:r w:rsidR="003731B6">
        <w:rPr>
          <w:rFonts w:cs="Times New Roman"/>
          <w:szCs w:val="24"/>
        </w:rPr>
        <w:fldChar w:fldCharType="separate"/>
      </w:r>
      <w:hyperlink w:anchor="_ENREF_62" w:tooltip="Templ, 2011 #132" w:history="1">
        <w:r w:rsidR="001633BC">
          <w:rPr>
            <w:rFonts w:cs="Times New Roman"/>
            <w:noProof/>
            <w:szCs w:val="24"/>
          </w:rPr>
          <w:t>Templ</w:t>
        </w:r>
        <w:r w:rsidR="001633BC" w:rsidRPr="00EB0C79">
          <w:rPr>
            <w:rFonts w:cs="Times New Roman"/>
            <w:i/>
            <w:noProof/>
            <w:szCs w:val="24"/>
          </w:rPr>
          <w:t xml:space="preserve"> et al.</w:t>
        </w:r>
        <w:r w:rsidR="001633BC">
          <w:rPr>
            <w:rFonts w:cs="Times New Roman"/>
            <w:noProof/>
            <w:szCs w:val="24"/>
          </w:rPr>
          <w:t xml:space="preserve"> (2011</w:t>
        </w:r>
      </w:hyperlink>
      <w:r w:rsidR="00EB0C79">
        <w:rPr>
          <w:rFonts w:cs="Times New Roman"/>
          <w:noProof/>
          <w:szCs w:val="24"/>
        </w:rPr>
        <w:t>)</w:t>
      </w:r>
      <w:r w:rsidR="003731B6">
        <w:rPr>
          <w:rFonts w:cs="Times New Roman"/>
          <w:szCs w:val="24"/>
        </w:rPr>
        <w:fldChar w:fldCharType="end"/>
      </w:r>
      <w:r w:rsidR="00FB0619">
        <w:rPr>
          <w:rFonts w:cs="Times New Roman"/>
          <w:szCs w:val="24"/>
        </w:rPr>
        <w:t xml:space="preserve"> state that experiments with their IRMI algorithm show that convergence is usually achieved in a few iterations</w:t>
      </w:r>
      <w:r w:rsidR="001157C8">
        <w:rPr>
          <w:rFonts w:cs="Times New Roman"/>
          <w:szCs w:val="24"/>
        </w:rPr>
        <w:t xml:space="preserve">, and 5 is the default number of iterations in </w:t>
      </w:r>
      <w:proofErr w:type="gramStart"/>
      <w:r w:rsidR="001157C8" w:rsidRPr="00F82211">
        <w:rPr>
          <w:rFonts w:ascii="Courier" w:hAnsi="Courier" w:cs="Times New Roman"/>
          <w:szCs w:val="24"/>
        </w:rPr>
        <w:t>irmi(</w:t>
      </w:r>
      <w:proofErr w:type="gramEnd"/>
      <w:r w:rsidR="001157C8" w:rsidRPr="00F82211">
        <w:rPr>
          <w:rFonts w:ascii="Courier" w:hAnsi="Courier" w:cs="Times New Roman"/>
          <w:szCs w:val="24"/>
        </w:rPr>
        <w:t>)</w:t>
      </w:r>
      <w:r w:rsidR="005B538B">
        <w:rPr>
          <w:rFonts w:cs="Times New Roman"/>
          <w:szCs w:val="24"/>
        </w:rPr>
        <w:t>.</w:t>
      </w:r>
      <w:r w:rsidR="00696CD7">
        <w:rPr>
          <w:rFonts w:cs="Times New Roman"/>
          <w:szCs w:val="24"/>
        </w:rPr>
        <w:t xml:space="preserve">  S</w:t>
      </w:r>
      <w:r w:rsidR="00FB0619">
        <w:rPr>
          <w:rFonts w:cs="Times New Roman"/>
          <w:szCs w:val="24"/>
        </w:rPr>
        <w:t>ignificant accuracy gains</w:t>
      </w:r>
      <w:r w:rsidR="005B538B">
        <w:rPr>
          <w:rFonts w:cs="Times New Roman"/>
          <w:szCs w:val="24"/>
        </w:rPr>
        <w:t xml:space="preserve"> were not achieved</w:t>
      </w:r>
      <w:r w:rsidR="00FB0619">
        <w:rPr>
          <w:rFonts w:cs="Times New Roman"/>
          <w:szCs w:val="24"/>
        </w:rPr>
        <w:t xml:space="preserve"> after the second iteration</w:t>
      </w:r>
      <w:r w:rsidR="00696CD7">
        <w:rPr>
          <w:rFonts w:cs="Times New Roman"/>
          <w:szCs w:val="24"/>
        </w:rPr>
        <w:t xml:space="preserve"> in the test conducted in their 2011 paper </w:t>
      </w:r>
      <w:r w:rsidR="003731B6">
        <w:rPr>
          <w:rFonts w:cs="Times New Roman"/>
          <w:szCs w:val="24"/>
        </w:rPr>
        <w:fldChar w:fldCharType="begin"/>
      </w:r>
      <w:r w:rsidR="00EB0C79">
        <w:rPr>
          <w:rFonts w:cs="Times New Roman"/>
          <w:szCs w:val="24"/>
        </w:rPr>
        <w:instrText xml:space="preserve"> ADDIN EN.CITE &lt;EndNote&gt;&lt;Cite&gt;&lt;Author&gt;Templ&lt;/Author&gt;&lt;Year&gt;2011&lt;/Year&gt;&lt;RecNum&gt;132&lt;/RecNum&gt;&lt;DisplayText&gt;(Templ&lt;style face="italic"&gt; et al.&lt;/style&gt;, 2011)&lt;/DisplayText&gt;&lt;record&gt;&lt;rec-number&gt;132&lt;/rec-number&gt;&lt;foreign-keys&gt;&lt;key app="EN" db-id="20frpf5eyrpavaevz925sv9t29f5epa9pd2z"&gt;132&lt;/key&gt;&lt;/foreign-keys&gt;&lt;ref-type name="Journal Article"&gt;17&lt;/ref-type&gt;&lt;contributors&gt;&lt;authors&gt;&lt;author&gt;Templ, Matthias&lt;/author&gt;&lt;author&gt;Kowarik, Alexander&lt;/author&gt;&lt;author&gt;Filzmoser, Peter&lt;/author&gt;&lt;/authors&gt;&lt;/contributors&gt;&lt;titles&gt;&lt;title&gt;Iterative stepwise regression imputation using standard and robust methods&lt;/title&gt;&lt;secondary-title&gt;Computational Statistics and Data Analysis&lt;/secondary-title&gt;&lt;/titles&gt;&lt;periodical&gt;&lt;full-title&gt;Computational Statistics and Data Analysis&lt;/full-title&gt;&lt;/periodical&gt;&lt;pages&gt;2793-2806&lt;/pages&gt;&lt;volume&gt;55&lt;/volume&gt;&lt;number&gt;10&lt;/number&gt;&lt;dates&gt;&lt;year&gt;2011&lt;/year&gt;&lt;pub-dates&gt;&lt;date&gt;Oct&lt;/date&gt;&lt;/pub-dates&gt;&lt;/dates&gt;&lt;accession-num&gt;4042037130271122902related:1uW_tlozGDgJ&lt;/accession-num&gt;&lt;label&gt;r03822&lt;/label&gt;&lt;urls&gt;&lt;related-urls&gt;&lt;url&gt;http://linkinghub.elsevier.com/retrieve/pii/S0167947311001411&lt;/url&gt;&lt;/related-urls&gt;&lt;pdf-urls&gt;&lt;url&gt;file://localhost/Users/mercergm/Library/Application%20Support/Papers2/Articles/2011/Templ/Comput%20Stat%20Data%20an%202011%20Templ.pdf&lt;/url&gt;&lt;/pdf-urls&gt;&lt;/urls&gt;&lt;custom3&gt;papers2://publication/uuid/1EE4E142-D4B3-4A18-BC4A-E7D3164BDE93&lt;/custom3&gt;&lt;electronic-resource-num&gt;10.1016/j.csda.2011.04.012&lt;/electronic-resource-num&gt;&lt;language&gt;English&lt;/language&gt;&lt;/record&gt;&lt;/Cite&gt;&lt;/EndNote&gt;</w:instrText>
      </w:r>
      <w:r w:rsidR="003731B6">
        <w:rPr>
          <w:rFonts w:cs="Times New Roman"/>
          <w:szCs w:val="24"/>
        </w:rPr>
        <w:fldChar w:fldCharType="separate"/>
      </w:r>
      <w:r w:rsidR="00EB0C79">
        <w:rPr>
          <w:rFonts w:cs="Times New Roman"/>
          <w:noProof/>
          <w:szCs w:val="24"/>
        </w:rPr>
        <w:t>(</w:t>
      </w:r>
      <w:hyperlink w:anchor="_ENREF_62" w:tooltip="Templ, 2011 #132" w:history="1">
        <w:r w:rsidR="001633BC">
          <w:rPr>
            <w:rFonts w:cs="Times New Roman"/>
            <w:noProof/>
            <w:szCs w:val="24"/>
          </w:rPr>
          <w:t>Templ</w:t>
        </w:r>
        <w:r w:rsidR="001633BC" w:rsidRPr="00EB0C79">
          <w:rPr>
            <w:rFonts w:cs="Times New Roman"/>
            <w:i/>
            <w:noProof/>
            <w:szCs w:val="24"/>
          </w:rPr>
          <w:t xml:space="preserve"> et al.</w:t>
        </w:r>
        <w:r w:rsidR="001633BC">
          <w:rPr>
            <w:rFonts w:cs="Times New Roman"/>
            <w:noProof/>
            <w:szCs w:val="24"/>
          </w:rPr>
          <w:t>, 2011</w:t>
        </w:r>
      </w:hyperlink>
      <w:r w:rsidR="00EB0C79">
        <w:rPr>
          <w:rFonts w:cs="Times New Roman"/>
          <w:noProof/>
          <w:szCs w:val="24"/>
        </w:rPr>
        <w:t>)</w:t>
      </w:r>
      <w:r w:rsidR="003731B6">
        <w:rPr>
          <w:rFonts w:cs="Times New Roman"/>
          <w:szCs w:val="24"/>
        </w:rPr>
        <w:fldChar w:fldCharType="end"/>
      </w:r>
      <w:r w:rsidR="00FB0619">
        <w:rPr>
          <w:rFonts w:cs="Times New Roman"/>
          <w:szCs w:val="24"/>
        </w:rPr>
        <w:t>.</w:t>
      </w:r>
      <w:r w:rsidR="00C401D7">
        <w:rPr>
          <w:rFonts w:cs="Times New Roman"/>
          <w:szCs w:val="24"/>
        </w:rPr>
        <w:t xml:space="preserve">  The IRMI estima</w:t>
      </w:r>
      <w:r w:rsidR="00D65372">
        <w:rPr>
          <w:rFonts w:cs="Times New Roman"/>
          <w:szCs w:val="24"/>
        </w:rPr>
        <w:t>tions</w:t>
      </w:r>
      <w:r w:rsidR="00C401D7">
        <w:rPr>
          <w:rFonts w:cs="Times New Roman"/>
          <w:szCs w:val="24"/>
        </w:rPr>
        <w:t xml:space="preserve"> were initialized with median estimates.</w:t>
      </w:r>
    </w:p>
    <w:p w:rsidR="000B7EC1" w:rsidRDefault="008B126B" w:rsidP="001C6C19">
      <w:pPr>
        <w:autoSpaceDE w:val="0"/>
        <w:autoSpaceDN w:val="0"/>
        <w:adjustRightInd w:val="0"/>
        <w:spacing w:after="0"/>
        <w:rPr>
          <w:rFonts w:cs="Times New Roman"/>
          <w:szCs w:val="24"/>
        </w:rPr>
      </w:pPr>
      <w:r>
        <w:rPr>
          <w:rFonts w:cs="Times New Roman"/>
          <w:szCs w:val="24"/>
        </w:rPr>
        <w:tab/>
        <w:t>After the imputations were completed</w:t>
      </w:r>
      <w:r w:rsidR="00580C2C">
        <w:rPr>
          <w:rFonts w:cs="Times New Roman"/>
          <w:szCs w:val="24"/>
        </w:rPr>
        <w:t>,</w:t>
      </w:r>
      <w:r>
        <w:rPr>
          <w:rFonts w:cs="Times New Roman"/>
          <w:szCs w:val="24"/>
        </w:rPr>
        <w:t xml:space="preserve"> descriptive statistics and outliers were checked on the imputed data sets and compared with</w:t>
      </w:r>
      <w:r w:rsidR="007A294A">
        <w:rPr>
          <w:rFonts w:cs="Times New Roman"/>
          <w:szCs w:val="24"/>
        </w:rPr>
        <w:t xml:space="preserve"> one another and</w:t>
      </w:r>
      <w:r>
        <w:rPr>
          <w:rFonts w:cs="Times New Roman"/>
          <w:szCs w:val="24"/>
        </w:rPr>
        <w:t xml:space="preserve"> those of the original data to make sure reasonable estimates were made and the variable</w:t>
      </w:r>
      <w:r w:rsidR="007A294A">
        <w:rPr>
          <w:rFonts w:cs="Times New Roman"/>
          <w:szCs w:val="24"/>
        </w:rPr>
        <w:t>s</w:t>
      </w:r>
      <w:r>
        <w:rPr>
          <w:rFonts w:cs="Times New Roman"/>
          <w:szCs w:val="24"/>
        </w:rPr>
        <w:t xml:space="preserve"> for which values were imputed were not drastically changed.  The means, standard deviations, ranges, and distributions were consistent across datasets.  However, some groups had more outliers after the estimations.  For example, the White male group had 5 more outliers in each of its imputed data sets than in the original data.  The 5 new outliers </w:t>
      </w:r>
      <w:r w:rsidR="009B4510">
        <w:rPr>
          <w:rFonts w:cs="Times New Roman"/>
          <w:szCs w:val="24"/>
        </w:rPr>
        <w:t>could not</w:t>
      </w:r>
      <w:r>
        <w:rPr>
          <w:rFonts w:cs="Times New Roman"/>
          <w:szCs w:val="24"/>
        </w:rPr>
        <w:t xml:space="preserve"> be evaluated in the original data set due to missingness</w:t>
      </w:r>
      <w:r w:rsidR="00730AF7">
        <w:rPr>
          <w:rFonts w:cs="Times New Roman"/>
          <w:szCs w:val="24"/>
        </w:rPr>
        <w:t xml:space="preserve"> because the multivariate outlier diagnostic cannot evaluate observations with missing values</w:t>
      </w:r>
      <w:r w:rsidR="00E71E1C">
        <w:rPr>
          <w:rFonts w:cs="Times New Roman"/>
          <w:szCs w:val="24"/>
        </w:rPr>
        <w:t>.  However, o</w:t>
      </w:r>
      <w:r>
        <w:rPr>
          <w:rFonts w:cs="Times New Roman"/>
          <w:szCs w:val="24"/>
        </w:rPr>
        <w:t>utlying observations were consistent across all data sets</w:t>
      </w:r>
      <w:r w:rsidR="00E71E1C">
        <w:rPr>
          <w:rFonts w:cs="Times New Roman"/>
          <w:szCs w:val="24"/>
        </w:rPr>
        <w:t xml:space="preserve"> </w:t>
      </w:r>
      <w:r>
        <w:rPr>
          <w:rFonts w:cs="Times New Roman"/>
          <w:szCs w:val="24"/>
        </w:rPr>
        <w:t>and the new outliers are consistently identified as such in both imputed data sets.</w:t>
      </w:r>
    </w:p>
    <w:p w:rsidR="000B7EC1" w:rsidRDefault="00D139A3" w:rsidP="000F6960">
      <w:pPr>
        <w:autoSpaceDE w:val="0"/>
        <w:autoSpaceDN w:val="0"/>
        <w:adjustRightInd w:val="0"/>
        <w:spacing w:after="0"/>
        <w:ind w:firstLine="720"/>
        <w:rPr>
          <w:rFonts w:cs="Times New Roman"/>
          <w:szCs w:val="24"/>
        </w:rPr>
      </w:pPr>
      <w:bookmarkStart w:id="47" w:name="_GoBack"/>
      <w:bookmarkEnd w:id="47"/>
      <w:r>
        <w:rPr>
          <w:rFonts w:cs="Times New Roman"/>
          <w:szCs w:val="24"/>
        </w:rPr>
        <w:t>The remainder of the analysis will be conducted on the robust imputation data set.  Though both the robust regression and regular regression estimation techniques yielded similar results, it is necessary to be wary of the outliers</w:t>
      </w:r>
      <w:r w:rsidR="00B210E6">
        <w:rPr>
          <w:rFonts w:cs="Times New Roman"/>
          <w:szCs w:val="24"/>
        </w:rPr>
        <w:t>.</w:t>
      </w:r>
    </w:p>
    <w:p w:rsidR="002D15F4" w:rsidRPr="000B7EC1" w:rsidRDefault="000B7EC1" w:rsidP="00287501">
      <w:pPr>
        <w:pStyle w:val="Heading3"/>
      </w:pPr>
      <w:bookmarkStart w:id="48" w:name="_Toc222419119"/>
      <w:bookmarkStart w:id="49" w:name="_Toc227982490"/>
      <w:r>
        <w:t>A</w:t>
      </w:r>
      <w:r w:rsidR="00BA18DD">
        <w:t>nother Considered</w:t>
      </w:r>
      <w:r w:rsidR="00870C3D">
        <w:t xml:space="preserve"> Imputation</w:t>
      </w:r>
      <w:r>
        <w:t xml:space="preserve"> Option</w:t>
      </w:r>
      <w:bookmarkEnd w:id="48"/>
      <w:bookmarkEnd w:id="49"/>
    </w:p>
    <w:p w:rsidR="00920C4C" w:rsidRPr="00B52FA4" w:rsidRDefault="0072012E" w:rsidP="001C6C19">
      <w:pPr>
        <w:autoSpaceDE w:val="0"/>
        <w:autoSpaceDN w:val="0"/>
        <w:adjustRightInd w:val="0"/>
        <w:spacing w:after="0"/>
        <w:rPr>
          <w:rFonts w:cs="Times New Roman"/>
          <w:szCs w:val="24"/>
        </w:rPr>
      </w:pPr>
      <w:r>
        <w:rPr>
          <w:rFonts w:cs="Times New Roman"/>
          <w:szCs w:val="24"/>
        </w:rPr>
        <w:tab/>
      </w:r>
      <w:r w:rsidR="00BF5DB2">
        <w:rPr>
          <w:rFonts w:cs="Times New Roman"/>
          <w:szCs w:val="24"/>
        </w:rPr>
        <w:t>K-nearest neighbor</w:t>
      </w:r>
      <w:r w:rsidR="000C2A0E">
        <w:rPr>
          <w:rFonts w:cs="Times New Roman"/>
          <w:szCs w:val="24"/>
        </w:rPr>
        <w:t xml:space="preserve"> </w:t>
      </w:r>
      <w:r w:rsidR="00913E48">
        <w:rPr>
          <w:rFonts w:cs="Times New Roman"/>
          <w:szCs w:val="24"/>
        </w:rPr>
        <w:t xml:space="preserve">imputation </w:t>
      </w:r>
      <w:r w:rsidR="004E0D53">
        <w:rPr>
          <w:rFonts w:cs="Times New Roman"/>
          <w:szCs w:val="24"/>
        </w:rPr>
        <w:t>was considered</w:t>
      </w:r>
      <w:r w:rsidR="00662472">
        <w:rPr>
          <w:rFonts w:cs="Times New Roman"/>
          <w:szCs w:val="24"/>
        </w:rPr>
        <w:t xml:space="preserve"> for use in missing value estimation</w:t>
      </w:r>
      <w:r w:rsidR="000C2A0E">
        <w:rPr>
          <w:rFonts w:cs="Times New Roman"/>
          <w:szCs w:val="24"/>
        </w:rPr>
        <w:t xml:space="preserve">.  </w:t>
      </w:r>
      <w:r w:rsidR="004E0D53">
        <w:rPr>
          <w:rFonts w:cs="Times New Roman"/>
          <w:szCs w:val="24"/>
        </w:rPr>
        <w:t>It is</w:t>
      </w:r>
      <w:r w:rsidR="000C2A0E">
        <w:rPr>
          <w:rFonts w:cs="Times New Roman"/>
          <w:szCs w:val="24"/>
        </w:rPr>
        <w:t xml:space="preserve"> non-parametric, having no distributional assumptions.  </w:t>
      </w:r>
      <w:r w:rsidR="008055C0">
        <w:rPr>
          <w:rFonts w:cs="Times New Roman"/>
          <w:szCs w:val="24"/>
        </w:rPr>
        <w:t xml:space="preserve">Thus, it would not risk being affected by the lack of multivariate normality in these samples.  </w:t>
      </w:r>
      <w:r w:rsidR="007F75CA">
        <w:rPr>
          <w:rFonts w:cs="Times New Roman"/>
          <w:szCs w:val="24"/>
        </w:rPr>
        <w:t>The procedure</w:t>
      </w:r>
      <w:r w:rsidR="00886196">
        <w:rPr>
          <w:rFonts w:cs="Times New Roman"/>
          <w:szCs w:val="24"/>
        </w:rPr>
        <w:t xml:space="preserve"> estimates a</w:t>
      </w:r>
      <w:r w:rsidR="00AC1BDD">
        <w:rPr>
          <w:rFonts w:cs="Times New Roman"/>
          <w:szCs w:val="24"/>
        </w:rPr>
        <w:t xml:space="preserve"> </w:t>
      </w:r>
      <w:r w:rsidR="00886196">
        <w:rPr>
          <w:rFonts w:cs="Times New Roman"/>
          <w:szCs w:val="24"/>
        </w:rPr>
        <w:t>missing value</w:t>
      </w:r>
      <w:r w:rsidR="00AC1BDD">
        <w:rPr>
          <w:rFonts w:cs="Times New Roman"/>
          <w:szCs w:val="24"/>
        </w:rPr>
        <w:t xml:space="preserve"> on an observation,</w:t>
      </w:r>
      <w:r w:rsidR="002B4819">
        <w:rPr>
          <w:rFonts w:cs="Times New Roman"/>
          <w:szCs w:val="24"/>
        </w:rPr>
        <w:t xml:space="preserve"> </w:t>
      </w:r>
      <w:r w:rsidR="00AC1BDD">
        <w:rPr>
          <w:rFonts w:cs="Times New Roman"/>
          <w:i/>
          <w:szCs w:val="24"/>
        </w:rPr>
        <w:t>i</w:t>
      </w:r>
      <w:r w:rsidR="00AC1BDD">
        <w:rPr>
          <w:rFonts w:cs="Times New Roman"/>
          <w:szCs w:val="24"/>
        </w:rPr>
        <w:t>,</w:t>
      </w:r>
      <w:r w:rsidR="00886196">
        <w:rPr>
          <w:rFonts w:cs="Times New Roman"/>
          <w:szCs w:val="24"/>
        </w:rPr>
        <w:t xml:space="preserve"> based upon a specified number, </w:t>
      </w:r>
      <w:r w:rsidR="00886196">
        <w:rPr>
          <w:rFonts w:cs="Times New Roman"/>
          <w:i/>
          <w:szCs w:val="24"/>
        </w:rPr>
        <w:t>k</w:t>
      </w:r>
      <w:r w:rsidR="00886196">
        <w:rPr>
          <w:rFonts w:cs="Times New Roman"/>
          <w:szCs w:val="24"/>
        </w:rPr>
        <w:t>, of nearest observations</w:t>
      </w:r>
      <w:r w:rsidR="00AC1BDD">
        <w:rPr>
          <w:rFonts w:cs="Times New Roman"/>
          <w:szCs w:val="24"/>
        </w:rPr>
        <w:t xml:space="preserve"> with observed values</w:t>
      </w:r>
      <w:r w:rsidR="00764351">
        <w:rPr>
          <w:rFonts w:cs="Times New Roman"/>
          <w:szCs w:val="24"/>
        </w:rPr>
        <w:t xml:space="preserve"> on the variable</w:t>
      </w:r>
      <w:r w:rsidR="00AC1BDD">
        <w:rPr>
          <w:rFonts w:cs="Times New Roman"/>
          <w:szCs w:val="24"/>
        </w:rPr>
        <w:t xml:space="preserve"> </w:t>
      </w:r>
      <w:r w:rsidR="008E43E6">
        <w:rPr>
          <w:rFonts w:cs="Times New Roman"/>
          <w:szCs w:val="24"/>
        </w:rPr>
        <w:t>where</w:t>
      </w:r>
      <w:r w:rsidR="00AC1BDD">
        <w:rPr>
          <w:rFonts w:cs="Times New Roman"/>
          <w:szCs w:val="24"/>
        </w:rPr>
        <w:t xml:space="preserve"> </w:t>
      </w:r>
      <w:r w:rsidR="008E43E6">
        <w:rPr>
          <w:rFonts w:cs="Times New Roman"/>
          <w:i/>
          <w:szCs w:val="24"/>
        </w:rPr>
        <w:t>i</w:t>
      </w:r>
      <w:r w:rsidR="008E43E6">
        <w:rPr>
          <w:rFonts w:cs="Times New Roman"/>
          <w:szCs w:val="24"/>
        </w:rPr>
        <w:t xml:space="preserve"> i</w:t>
      </w:r>
      <w:r w:rsidR="00E31F7F">
        <w:rPr>
          <w:rFonts w:cs="Times New Roman"/>
          <w:szCs w:val="24"/>
        </w:rPr>
        <w:t>s</w:t>
      </w:r>
      <w:r w:rsidR="00AC1BDD">
        <w:rPr>
          <w:rFonts w:cs="Times New Roman"/>
          <w:szCs w:val="24"/>
        </w:rPr>
        <w:t xml:space="preserve"> missing </w:t>
      </w:r>
      <w:r w:rsidR="008E43E6">
        <w:rPr>
          <w:rFonts w:cs="Times New Roman"/>
          <w:szCs w:val="24"/>
        </w:rPr>
        <w:t xml:space="preserve">a </w:t>
      </w:r>
      <w:r w:rsidR="00AC1BDD">
        <w:rPr>
          <w:rFonts w:cs="Times New Roman"/>
          <w:szCs w:val="24"/>
        </w:rPr>
        <w:t>value</w:t>
      </w:r>
      <w:r w:rsidR="008E43E6">
        <w:rPr>
          <w:rFonts w:cs="Times New Roman"/>
          <w:szCs w:val="24"/>
        </w:rPr>
        <w:t xml:space="preserve">. </w:t>
      </w:r>
      <w:r w:rsidR="005F0324">
        <w:rPr>
          <w:rFonts w:cs="Times New Roman"/>
          <w:szCs w:val="24"/>
        </w:rPr>
        <w:t xml:space="preserve"> </w:t>
      </w:r>
      <w:r w:rsidR="00E31F7F">
        <w:rPr>
          <w:rFonts w:cs="Times New Roman"/>
          <w:szCs w:val="24"/>
        </w:rPr>
        <w:t>The nearest neighbor observations are</w:t>
      </w:r>
      <w:r w:rsidR="00886196">
        <w:rPr>
          <w:rFonts w:cs="Times New Roman"/>
          <w:szCs w:val="24"/>
        </w:rPr>
        <w:t xml:space="preserve"> determined by a distance measure </w:t>
      </w:r>
      <w:r w:rsidR="00C047A5">
        <w:rPr>
          <w:rFonts w:cs="Times New Roman"/>
          <w:szCs w:val="24"/>
        </w:rPr>
        <w:t xml:space="preserve">and the mean of their observed values on the variable for which </w:t>
      </w:r>
      <w:r w:rsidR="00C047A5">
        <w:rPr>
          <w:rFonts w:cs="Times New Roman"/>
          <w:i/>
          <w:szCs w:val="24"/>
        </w:rPr>
        <w:t>i</w:t>
      </w:r>
      <w:r w:rsidR="00C047A5">
        <w:rPr>
          <w:rFonts w:cs="Times New Roman"/>
          <w:szCs w:val="24"/>
        </w:rPr>
        <w:t xml:space="preserve"> is missing replaces </w:t>
      </w:r>
      <w:proofErr w:type="gramStart"/>
      <w:r w:rsidR="00C047A5">
        <w:rPr>
          <w:rFonts w:cs="Times New Roman"/>
          <w:i/>
          <w:szCs w:val="24"/>
        </w:rPr>
        <w:t>i</w:t>
      </w:r>
      <w:r w:rsidR="00C047A5">
        <w:rPr>
          <w:rFonts w:cs="Times New Roman"/>
          <w:szCs w:val="24"/>
        </w:rPr>
        <w:t>’s</w:t>
      </w:r>
      <w:proofErr w:type="gramEnd"/>
      <w:r w:rsidR="00C047A5">
        <w:rPr>
          <w:rFonts w:cs="Times New Roman"/>
          <w:szCs w:val="24"/>
        </w:rPr>
        <w:t xml:space="preserve"> missing value </w:t>
      </w:r>
      <w:r w:rsidR="003731B6">
        <w:rPr>
          <w:rFonts w:cs="Times New Roman"/>
          <w:szCs w:val="24"/>
        </w:rPr>
        <w:fldChar w:fldCharType="begin">
          <w:fldData xml:space="preserve">PEVuZE5vdGU+PENpdGU+PEF1dGhvcj5BY3XDsWE8L0F1dGhvcj48WWVhcj4yMDA0PC9ZZWFyPjxS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</w:fldData>
        </w:fldChar>
      </w:r>
      <w:r w:rsidR="00EB0C79">
        <w:rPr>
          <w:rFonts w:cs="Times New Roman"/>
          <w:szCs w:val="24"/>
        </w:rPr>
        <w:instrText xml:space="preserve"> ADDIN EN.CITE </w:instrText>
      </w:r>
      <w:r w:rsidR="003731B6">
        <w:rPr>
          <w:rFonts w:cs="Times New Roman"/>
          <w:szCs w:val="24"/>
        </w:rPr>
        <w:fldChar w:fldCharType="begin">
          <w:fldData xml:space="preserve">PEVuZE5vdGU+PENpdGU+PEF1dGhvcj5BY3XDsWE8L0F1dGhvcj48WWVhcj4yMDA0PC9ZZWFyPjxS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</w:fldData>
        </w:fldChar>
      </w:r>
      <w:r w:rsidR="00EB0C79">
        <w:rPr>
          <w:rFonts w:cs="Times New Roman"/>
          <w:szCs w:val="24"/>
        </w:rPr>
        <w:instrText xml:space="preserve"> ADDIN EN.CITE.DATA </w:instrText>
      </w:r>
      <w:r w:rsidR="0024354B" w:rsidRPr="003731B6">
        <w:rPr>
          <w:rFonts w:cs="Times New Roman"/>
          <w:szCs w:val="24"/>
        </w:rPr>
      </w:r>
      <w:r w:rsidR="003731B6">
        <w:rPr>
          <w:rFonts w:cs="Times New Roman"/>
          <w:szCs w:val="24"/>
        </w:rPr>
        <w:fldChar w:fldCharType="end"/>
      </w:r>
      <w:r w:rsidR="0024354B" w:rsidRPr="003731B6">
        <w:rPr>
          <w:rFonts w:cs="Times New Roman"/>
          <w:szCs w:val="24"/>
        </w:rPr>
      </w:r>
      <w:r w:rsidR="003731B6">
        <w:rPr>
          <w:rFonts w:cs="Times New Roman"/>
          <w:szCs w:val="24"/>
        </w:rPr>
        <w:fldChar w:fldCharType="separate"/>
      </w:r>
      <w:r w:rsidR="00EB0C79">
        <w:rPr>
          <w:rFonts w:cs="Times New Roman"/>
          <w:noProof/>
          <w:szCs w:val="24"/>
        </w:rPr>
        <w:t>(</w:t>
      </w:r>
      <w:hyperlink w:anchor="_ENREF_63" w:tooltip="Troyanskaya, 2001 #312" w:history="1">
        <w:r w:rsidR="001633BC">
          <w:rPr>
            <w:rFonts w:cs="Times New Roman"/>
            <w:noProof/>
            <w:szCs w:val="24"/>
          </w:rPr>
          <w:t>Troyanskaya</w:t>
        </w:r>
        <w:r w:rsidR="001633BC" w:rsidRPr="00EB0C79">
          <w:rPr>
            <w:rFonts w:cs="Times New Roman"/>
            <w:i/>
            <w:noProof/>
            <w:szCs w:val="24"/>
          </w:rPr>
          <w:t xml:space="preserve"> et al.</w:t>
        </w:r>
        <w:r w:rsidR="001633BC">
          <w:rPr>
            <w:rFonts w:cs="Times New Roman"/>
            <w:noProof/>
            <w:szCs w:val="24"/>
          </w:rPr>
          <w:t>, 2001</w:t>
        </w:r>
      </w:hyperlink>
      <w:r w:rsidR="00EB0C79">
        <w:rPr>
          <w:rFonts w:cs="Times New Roman"/>
          <w:noProof/>
          <w:szCs w:val="24"/>
        </w:rPr>
        <w:t xml:space="preserve">; </w:t>
      </w:r>
      <w:hyperlink w:anchor="_ENREF_3" w:tooltip="Acuña, 2004 #211" w:history="1">
        <w:r w:rsidR="001633BC">
          <w:rPr>
            <w:rFonts w:cs="Times New Roman"/>
            <w:noProof/>
            <w:szCs w:val="24"/>
          </w:rPr>
          <w:t>Acuña and Rodriguez, 2004</w:t>
        </w:r>
      </w:hyperlink>
      <w:r w:rsidR="00EB0C79">
        <w:rPr>
          <w:rFonts w:cs="Times New Roman"/>
          <w:noProof/>
          <w:szCs w:val="24"/>
        </w:rPr>
        <w:t xml:space="preserve">; </w:t>
      </w:r>
      <w:hyperlink w:anchor="_ENREF_26" w:tooltip="Hron, 2010 #311" w:history="1">
        <w:r w:rsidR="001633BC">
          <w:rPr>
            <w:rFonts w:cs="Times New Roman"/>
            <w:noProof/>
            <w:szCs w:val="24"/>
          </w:rPr>
          <w:t>Hron</w:t>
        </w:r>
        <w:r w:rsidR="001633BC" w:rsidRPr="00EB0C79">
          <w:rPr>
            <w:rFonts w:cs="Times New Roman"/>
            <w:i/>
            <w:noProof/>
            <w:szCs w:val="24"/>
          </w:rPr>
          <w:t xml:space="preserve"> et al.</w:t>
        </w:r>
        <w:r w:rsidR="001633BC">
          <w:rPr>
            <w:rFonts w:cs="Times New Roman"/>
            <w:noProof/>
            <w:szCs w:val="24"/>
          </w:rPr>
          <w:t>, 2010</w:t>
        </w:r>
      </w:hyperlink>
      <w:r w:rsidR="00EB0C79">
        <w:rPr>
          <w:rFonts w:cs="Times New Roman"/>
          <w:noProof/>
          <w:szCs w:val="24"/>
        </w:rPr>
        <w:t>)</w:t>
      </w:r>
      <w:r w:rsidR="003731B6">
        <w:rPr>
          <w:rFonts w:cs="Times New Roman"/>
          <w:szCs w:val="24"/>
        </w:rPr>
        <w:fldChar w:fldCharType="end"/>
      </w:r>
      <w:r w:rsidR="00C047A5">
        <w:rPr>
          <w:rFonts w:cs="Times New Roman"/>
          <w:szCs w:val="24"/>
        </w:rPr>
        <w:t>.</w:t>
      </w:r>
      <w:r w:rsidR="00B52FA4">
        <w:rPr>
          <w:rFonts w:cs="Times New Roman"/>
          <w:szCs w:val="24"/>
        </w:rPr>
        <w:t xml:space="preserve">  The distance is calcul</w:t>
      </w:r>
      <w:r w:rsidR="00652103">
        <w:rPr>
          <w:rFonts w:cs="Times New Roman"/>
          <w:szCs w:val="24"/>
        </w:rPr>
        <w:t>ated using only the variables for</w:t>
      </w:r>
      <w:r w:rsidR="00B52FA4">
        <w:rPr>
          <w:rFonts w:cs="Times New Roman"/>
          <w:szCs w:val="24"/>
        </w:rPr>
        <w:t xml:space="preserve"> which </w:t>
      </w:r>
      <w:r w:rsidR="00B52FA4">
        <w:rPr>
          <w:rFonts w:cs="Times New Roman"/>
          <w:i/>
          <w:szCs w:val="24"/>
        </w:rPr>
        <w:t>i</w:t>
      </w:r>
      <w:r w:rsidR="00B52FA4">
        <w:rPr>
          <w:rFonts w:cs="Times New Roman"/>
          <w:szCs w:val="24"/>
        </w:rPr>
        <w:t xml:space="preserve"> </w:t>
      </w:r>
      <w:proofErr w:type="gramStart"/>
      <w:r w:rsidR="00B52FA4">
        <w:rPr>
          <w:rFonts w:cs="Times New Roman"/>
          <w:szCs w:val="24"/>
        </w:rPr>
        <w:t>has</w:t>
      </w:r>
      <w:proofErr w:type="gramEnd"/>
      <w:r w:rsidR="00B52FA4">
        <w:rPr>
          <w:rFonts w:cs="Times New Roman"/>
          <w:szCs w:val="24"/>
        </w:rPr>
        <w:t xml:space="preserve"> observed values.  The estimation may also use a weighted mean, where the weights are based upon distance, or the median to reduce the influence of outliers or more dissimilar observations.</w:t>
      </w:r>
    </w:p>
    <w:p w:rsidR="00AB1E11" w:rsidRDefault="00920C4C" w:rsidP="001C6C19">
      <w:pPr>
        <w:autoSpaceDE w:val="0"/>
        <w:autoSpaceDN w:val="0"/>
        <w:adjustRightInd w:val="0"/>
        <w:spacing w:after="0"/>
        <w:rPr>
          <w:rFonts w:cs="Times New Roman"/>
          <w:szCs w:val="24"/>
        </w:rPr>
      </w:pPr>
      <w:r>
        <w:rPr>
          <w:rFonts w:cs="Times New Roman"/>
          <w:szCs w:val="24"/>
        </w:rPr>
        <w:tab/>
      </w:r>
      <w:r w:rsidR="00306BF2">
        <w:rPr>
          <w:rFonts w:cs="Times New Roman"/>
          <w:szCs w:val="24"/>
        </w:rPr>
        <w:t xml:space="preserve">KNN imputation does not directly consider the correlation structure of the data in making its estimations </w:t>
      </w:r>
      <w:r w:rsidR="003731B6">
        <w:rPr>
          <w:rFonts w:cs="Times New Roman"/>
          <w:szCs w:val="24"/>
        </w:rPr>
        <w:fldChar w:fldCharType="begin"/>
      </w:r>
      <w:r w:rsidR="00EB0C79">
        <w:rPr>
          <w:rFonts w:cs="Times New Roman"/>
          <w:szCs w:val="24"/>
        </w:rPr>
        <w:instrText xml:space="preserve"> ADDIN EN.CITE &lt;EndNote&gt;&lt;Cite&gt;&lt;Author&gt;Hron&lt;/Author&gt;&lt;Year&gt;2010&lt;/Year&gt;&lt;RecNum&gt;311&lt;/RecNum&gt;&lt;DisplayText&gt;(Hron&lt;style face="italic"&gt; et al.&lt;/style&gt;, 2010)&lt;/DisplayText&gt;&lt;record&gt;&lt;rec-number&gt;311&lt;/rec-number&gt;&lt;foreign-keys&gt;&lt;key app="EN" db-id="20frpf5eyrpavaevz925sv9t29f5epa9pd2z"&gt;311&lt;/key&gt;&lt;/foreign-keys&gt;&lt;ref-type name="Journal Article"&gt;17&lt;/ref-type&gt;&lt;contributors&gt;&lt;authors&gt;&lt;author&gt;Hron, K&lt;/author&gt;&lt;author&gt;Templ, M&lt;/author&gt;&lt;author&gt;Filzmoser, P&lt;/author&gt;&lt;/authors&gt;&lt;/contributors&gt;&lt;titles&gt;&lt;title&gt;Imputation of missing values for compositional data using classical and robust methods&lt;/title&gt;&lt;secondary-title&gt;Computational Statistics &amp;amp;amp; Data Analysis&lt;/secondary-title&gt;&lt;/titles&gt;&lt;periodical&gt;&lt;full-title&gt;Computational Statistics &amp;amp;amp; Data Analysis&lt;/full-title&gt;&lt;/periodical&gt;&lt;pages&gt;3095-3107&lt;/pages&gt;&lt;volume&gt;54&lt;/volume&gt;&lt;number&gt;12&lt;/number&gt;&lt;dates&gt;&lt;year&gt;2010&lt;/year&gt;&lt;pub-dates&gt;&lt;date&gt;Dec&lt;/date&gt;&lt;/pub-dates&gt;&lt;/dates&gt;&lt;accession-num&gt;17776279682648196973related:bUc9SDAIsvYJ&lt;/accession-num&gt;&lt;label&gt;r04137&lt;/label&gt;&lt;urls&gt;&lt;related-urls&gt;&lt;url&gt;http://linkinghub.elsevier.com/retrieve/pii/S0167947309004368&lt;/url&gt;&lt;/related-urls&gt;&lt;pdf-urls&gt;&lt;url&gt;file://localhost/Users/mercergm/Library/Application%20Support/Papers2/Articles/2010/Hron/Comput%20Stat%20Data%20an%202010%20Hron.pdf&lt;/url&gt;&lt;/pdf-urls&gt;&lt;/urls&gt;&lt;custom3&gt;papers2://publication/uuid/73DFFC7E-5298-4860-9D82-68B30DC77CB5&lt;/custom3&gt;&lt;electronic-resource-num&gt;10.1016/j.csda.2009.11.023&lt;/electronic-resource-num&gt;&lt;language&gt;English&lt;/language&gt;&lt;/record&gt;&lt;/Cite&gt;&lt;/EndNote&gt;</w:instrText>
      </w:r>
      <w:r w:rsidR="003731B6">
        <w:rPr>
          <w:rFonts w:cs="Times New Roman"/>
          <w:szCs w:val="24"/>
        </w:rPr>
        <w:fldChar w:fldCharType="separate"/>
      </w:r>
      <w:r w:rsidR="00EB0C79">
        <w:rPr>
          <w:rFonts w:cs="Times New Roman"/>
          <w:noProof/>
          <w:szCs w:val="24"/>
        </w:rPr>
        <w:t>(</w:t>
      </w:r>
      <w:hyperlink w:anchor="_ENREF_26" w:tooltip="Hron, 2010 #311" w:history="1">
        <w:r w:rsidR="001633BC">
          <w:rPr>
            <w:rFonts w:cs="Times New Roman"/>
            <w:noProof/>
            <w:szCs w:val="24"/>
          </w:rPr>
          <w:t>Hron</w:t>
        </w:r>
        <w:r w:rsidR="001633BC" w:rsidRPr="00EB0C79">
          <w:rPr>
            <w:rFonts w:cs="Times New Roman"/>
            <w:i/>
            <w:noProof/>
            <w:szCs w:val="24"/>
          </w:rPr>
          <w:t xml:space="preserve"> et al.</w:t>
        </w:r>
        <w:r w:rsidR="001633BC">
          <w:rPr>
            <w:rFonts w:cs="Times New Roman"/>
            <w:noProof/>
            <w:szCs w:val="24"/>
          </w:rPr>
          <w:t>, 2010</w:t>
        </w:r>
      </w:hyperlink>
      <w:r w:rsidR="00EB0C79">
        <w:rPr>
          <w:rFonts w:cs="Times New Roman"/>
          <w:noProof/>
          <w:szCs w:val="24"/>
        </w:rPr>
        <w:t>)</w:t>
      </w:r>
      <w:r w:rsidR="003731B6">
        <w:rPr>
          <w:rFonts w:cs="Times New Roman"/>
          <w:szCs w:val="24"/>
        </w:rPr>
        <w:fldChar w:fldCharType="end"/>
      </w:r>
      <w:r w:rsidR="0013029F">
        <w:rPr>
          <w:rFonts w:cs="Times New Roman"/>
          <w:szCs w:val="24"/>
        </w:rPr>
        <w:t xml:space="preserve"> and</w:t>
      </w:r>
      <w:r w:rsidR="00306BF2">
        <w:rPr>
          <w:rFonts w:cs="Times New Roman"/>
          <w:szCs w:val="24"/>
        </w:rPr>
        <w:t xml:space="preserve"> it does not derive predictive models </w:t>
      </w:r>
      <w:r w:rsidR="003731B6">
        <w:rPr>
          <w:rFonts w:cs="Times New Roman"/>
          <w:szCs w:val="24"/>
        </w:rPr>
        <w:fldChar w:fldCharType="begin"/>
      </w:r>
      <w:r w:rsidR="00306BF2">
        <w:rPr>
          <w:rFonts w:cs="Times New Roman"/>
          <w:szCs w:val="24"/>
        </w:rPr>
        <w:instrText xml:space="preserve"> ADDIN EN.CITE &lt;EndNote&gt;&lt;Cite&gt;&lt;Author&gt;Acuña&lt;/Author&gt;&lt;Year&gt;2004&lt;/Year&gt;&lt;RecNum&gt;211&lt;/RecNum&gt;&lt;DisplayText&gt;(Acuña and Rodriguez, 2004)&lt;/DisplayText&gt;&lt;record&gt;&lt;rec-number&gt;211&lt;/rec-number&gt;&lt;foreign-keys&gt;&lt;key app="EN" db-id="20frpf5eyrpavaevz925sv9t29f5epa9pd2z"&gt;211&lt;/key&gt;&lt;/foreign-keys&gt;&lt;ref-type name="Journal Article"&gt;17&lt;/ref-type&gt;&lt;contributors&gt;&lt;authors&gt;&lt;author&gt;Acuña, E&lt;/author&gt;&lt;author&gt;Rodriguez, C.&lt;/author&gt;&lt;/authors&gt;&lt;/contributors&gt;&lt;titles&gt;&lt;title&gt;The treatment of missing values and its effect on classifier accuracy&lt;/title&gt;&lt;secondary-title&gt;Classification, Clustering, and Data Mining Applications&lt;/secondary-title&gt;&lt;/titles&gt;&lt;periodical&gt;&lt;full-title&gt;Classification, Clustering, and Data Mining Applications&lt;/full-title&gt;&lt;/periodical&gt;&lt;pages&gt;639-647&lt;/pages&gt;&lt;dates&gt;&lt;year&gt;2004&lt;/year&gt;&lt;/dates&gt;&lt;publisher&gt;Springer&lt;/publisher&gt;&lt;accession-num&gt;16302329974621801940related:1A2JDL2CPeIJ&lt;/accession-num&gt;&lt;label&gt;r03402&lt;/label&gt;&lt;urls&gt;&lt;related-urls&gt;&lt;url&gt;http://www.springerlink.com/index/R5716059P702735L.pdf&lt;/url&gt;&lt;/related-urls&gt;&lt;pdf-urls&gt;&lt;url&gt;file://localhost/Users/mercergm/Library/Application%20Support/Papers2/Articles/2004/Acu%C3%B1a/2004%20Acu%C3%B1a.pdf&lt;/url&gt;&lt;/pdf-urls&gt;&lt;/urls&gt;&lt;custom3&gt;papers2://publication/uuid/3CC9C21B-5436-460F-AEFF-C55E99FE972E&lt;/custom3&gt;&lt;/record&gt;&lt;/Cite&gt;&lt;/EndNote&gt;</w:instrText>
      </w:r>
      <w:r w:rsidR="003731B6">
        <w:rPr>
          <w:rFonts w:cs="Times New Roman"/>
          <w:szCs w:val="24"/>
        </w:rPr>
        <w:fldChar w:fldCharType="separate"/>
      </w:r>
      <w:r w:rsidR="00306BF2">
        <w:rPr>
          <w:rFonts w:cs="Times New Roman"/>
          <w:noProof/>
          <w:szCs w:val="24"/>
        </w:rPr>
        <w:t>(</w:t>
      </w:r>
      <w:hyperlink w:anchor="_ENREF_3" w:tooltip="Acuña, 2004 #211" w:history="1">
        <w:r w:rsidR="001633BC">
          <w:rPr>
            <w:rFonts w:cs="Times New Roman"/>
            <w:noProof/>
            <w:szCs w:val="24"/>
          </w:rPr>
          <w:t>Acuña and Rodriguez, 2004</w:t>
        </w:r>
      </w:hyperlink>
      <w:r w:rsidR="00306BF2">
        <w:rPr>
          <w:rFonts w:cs="Times New Roman"/>
          <w:noProof/>
          <w:szCs w:val="24"/>
        </w:rPr>
        <w:t>)</w:t>
      </w:r>
      <w:r w:rsidR="003731B6">
        <w:rPr>
          <w:rFonts w:cs="Times New Roman"/>
          <w:szCs w:val="24"/>
        </w:rPr>
        <w:fldChar w:fldCharType="end"/>
      </w:r>
      <w:r w:rsidR="00306BF2">
        <w:rPr>
          <w:rFonts w:cs="Times New Roman"/>
          <w:szCs w:val="24"/>
        </w:rPr>
        <w:t>.</w:t>
      </w:r>
      <w:r w:rsidR="0000773B">
        <w:rPr>
          <w:rFonts w:cs="Times New Roman"/>
          <w:szCs w:val="24"/>
        </w:rPr>
        <w:t xml:space="preserve">  This can be an advantage in situations where para</w:t>
      </w:r>
      <w:r w:rsidR="004C42C5">
        <w:rPr>
          <w:rFonts w:cs="Times New Roman"/>
          <w:szCs w:val="24"/>
        </w:rPr>
        <w:t>metric assumptions are violated or many predictive models would</w:t>
      </w:r>
      <w:r w:rsidR="00383ED1">
        <w:rPr>
          <w:rFonts w:cs="Times New Roman"/>
          <w:szCs w:val="24"/>
        </w:rPr>
        <w:t xml:space="preserve"> be</w:t>
      </w:r>
      <w:r w:rsidR="004C42C5">
        <w:rPr>
          <w:rFonts w:cs="Times New Roman"/>
          <w:szCs w:val="24"/>
        </w:rPr>
        <w:t xml:space="preserve"> need</w:t>
      </w:r>
      <w:r w:rsidR="00383ED1">
        <w:rPr>
          <w:rFonts w:cs="Times New Roman"/>
          <w:szCs w:val="24"/>
        </w:rPr>
        <w:t>ed</w:t>
      </w:r>
      <w:r w:rsidR="004C42C5">
        <w:rPr>
          <w:rFonts w:cs="Times New Roman"/>
          <w:szCs w:val="24"/>
        </w:rPr>
        <w:t>.  However, in this case, the nature of the imputation process itself makes it unusable; KNN imputation uses inter</w:t>
      </w:r>
      <w:r w:rsidR="00BD6881">
        <w:rPr>
          <w:rFonts w:cs="Times New Roman"/>
          <w:szCs w:val="24"/>
        </w:rPr>
        <w:t>-</w:t>
      </w:r>
      <w:r w:rsidR="004C42C5">
        <w:rPr>
          <w:rFonts w:cs="Times New Roman"/>
          <w:szCs w:val="24"/>
        </w:rPr>
        <w:t xml:space="preserve">observational relationships in exchange for direct consideration of multivariate relationships, assuming that observations near </w:t>
      </w:r>
      <w:r w:rsidR="00A04C87">
        <w:rPr>
          <w:rFonts w:cs="Times New Roman"/>
          <w:szCs w:val="24"/>
        </w:rPr>
        <w:t xml:space="preserve">to </w:t>
      </w:r>
      <w:r w:rsidR="004C42C5">
        <w:rPr>
          <w:rFonts w:cs="Times New Roman"/>
          <w:szCs w:val="24"/>
        </w:rPr>
        <w:t xml:space="preserve">one another distance-wise are similar in form.  This is an unsubstantiated assumption </w:t>
      </w:r>
      <w:r w:rsidR="0089321E">
        <w:rPr>
          <w:rFonts w:cs="Times New Roman"/>
          <w:szCs w:val="24"/>
        </w:rPr>
        <w:t xml:space="preserve">in this case </w:t>
      </w:r>
      <w:r w:rsidR="004C42C5">
        <w:rPr>
          <w:rFonts w:cs="Times New Roman"/>
          <w:szCs w:val="24"/>
        </w:rPr>
        <w:t>and a recognized disadvantage of the</w:t>
      </w:r>
      <w:r w:rsidR="001079B7">
        <w:rPr>
          <w:rFonts w:cs="Times New Roman"/>
          <w:szCs w:val="24"/>
        </w:rPr>
        <w:t xml:space="preserve"> method.  I</w:t>
      </w:r>
      <w:r w:rsidR="004C42C5">
        <w:rPr>
          <w:rFonts w:cs="Times New Roman"/>
          <w:szCs w:val="24"/>
        </w:rPr>
        <w:t>t is possible for nearest neighbors to</w:t>
      </w:r>
      <w:r w:rsidR="006D43AA">
        <w:rPr>
          <w:rFonts w:cs="Times New Roman"/>
          <w:szCs w:val="24"/>
        </w:rPr>
        <w:t xml:space="preserve"> include information that is worse for estimation than some further neighbors </w:t>
      </w:r>
      <w:r w:rsidR="003731B6">
        <w:rPr>
          <w:rFonts w:cs="Times New Roman"/>
          <w:szCs w:val="24"/>
        </w:rPr>
        <w:fldChar w:fldCharType="begin"/>
      </w:r>
      <w:r w:rsidR="00EB0C79">
        <w:rPr>
          <w:rFonts w:cs="Times New Roman"/>
          <w:szCs w:val="24"/>
        </w:rPr>
        <w:instrText xml:space="preserve"> ADDIN EN.CITE &lt;EndNote&gt;&lt;Cite&gt;&lt;Author&gt;Troyanskaya&lt;/Author&gt;&lt;Year&gt;2001&lt;/Year&gt;&lt;RecNum&gt;312&lt;/RecNum&gt;&lt;DisplayText&gt;(Troyanskaya&lt;style face="italic"&gt; et al.&lt;/style&gt;, 2001)&lt;/DisplayText&gt;&lt;record&gt;&lt;rec-number&gt;312&lt;/rec-number&gt;&lt;foreign-keys&gt;&lt;key app="EN" db-id="20frpf5eyrpavaevz925sv9t29f5epa9pd2z"&gt;312&lt;/key&gt;&lt;/foreign-keys&gt;&lt;ref-type name="Journal Article"&gt;17&lt;/ref-type&gt;&lt;contributors&gt;&lt;authors&gt;&lt;author&gt;Troyanskaya, O&lt;/author&gt;&lt;author&gt;Cantor, M&lt;/author&gt;&lt;author&gt;Sherlock, G&lt;/author&gt;&lt;author&gt;Brown, P&lt;/author&gt;&lt;author&gt;Hastie, T&lt;/author&gt;&lt;author&gt;Tibshirani, R&lt;/author&gt;&lt;author&gt;Botstein, D&lt;/author&gt;&lt;author&gt;Altman, R B&lt;/author&gt;&lt;/authors&gt;&lt;/contributors&gt;&lt;titles&gt;&lt;title&gt;Missing value estimation methods for DNA microarrays&lt;/title&gt;&lt;secondary-title&gt;Bioinformatics&lt;/secondary-title&gt;&lt;/titles&gt;&lt;periodical&gt;&lt;full-title&gt;Bioinformatics&lt;/full-title&gt;&lt;/periodical&gt;&lt;pages&gt;520-525&lt;/pages&gt;&lt;volume&gt;17&lt;/volume&gt;&lt;number&gt;6&lt;/number&gt;&lt;dates&gt;&lt;year&gt;2001&lt;/year&gt;&lt;pub-dates&gt;&lt;date&gt;Jul 01&lt;/date&gt;&lt;/pub-dates&gt;&lt;/dates&gt;&lt;accession-num&gt;3619060742417172543related:P0hWFJJ8OTIJ&lt;/accession-num&gt;&lt;label&gt;r04143&lt;/label&gt;&lt;urls&gt;&lt;related-urls&gt;&lt;url&gt;http://bioinformatics.oxfordjournals.org/cgi/doi/10.1093/bioinformatics/17.6.520&lt;/url&gt;&lt;/related-urls&gt;&lt;pdf-urls&gt;&lt;url&gt;file://localhost/Users/mercergm/Library/Application%20Support/Papers2/Articles/2001/Troyanskaya/Bioinformatics%202001%20Troyanskaya.pdf&lt;/url&gt;&lt;/pdf-urls&gt;&lt;/urls&gt;&lt;custom3&gt;papers2://publication/uuid/440EC591-6E03-445B-8311-598C643B53CA&lt;/custom3&gt;&lt;electronic-resource-num&gt;10.1093/bioinformatics/17.6.520&lt;/electronic-resource-num&gt;&lt;language&gt;English&lt;/language&gt;&lt;/record&gt;&lt;/Cite&gt;&lt;/EndNote&gt;</w:instrText>
      </w:r>
      <w:r w:rsidR="003731B6">
        <w:rPr>
          <w:rFonts w:cs="Times New Roman"/>
          <w:szCs w:val="24"/>
        </w:rPr>
        <w:fldChar w:fldCharType="separate"/>
      </w:r>
      <w:r w:rsidR="00EB0C79">
        <w:rPr>
          <w:rFonts w:cs="Times New Roman"/>
          <w:noProof/>
          <w:szCs w:val="24"/>
        </w:rPr>
        <w:t>(</w:t>
      </w:r>
      <w:hyperlink w:anchor="_ENREF_63" w:tooltip="Troyanskaya, 2001 #312" w:history="1">
        <w:r w:rsidR="001633BC">
          <w:rPr>
            <w:rFonts w:cs="Times New Roman"/>
            <w:noProof/>
            <w:szCs w:val="24"/>
          </w:rPr>
          <w:t>Troyanskaya</w:t>
        </w:r>
        <w:r w:rsidR="001633BC" w:rsidRPr="00EB0C79">
          <w:rPr>
            <w:rFonts w:cs="Times New Roman"/>
            <w:i/>
            <w:noProof/>
            <w:szCs w:val="24"/>
          </w:rPr>
          <w:t xml:space="preserve"> et al.</w:t>
        </w:r>
        <w:r w:rsidR="001633BC">
          <w:rPr>
            <w:rFonts w:cs="Times New Roman"/>
            <w:noProof/>
            <w:szCs w:val="24"/>
          </w:rPr>
          <w:t>, 2001</w:t>
        </w:r>
      </w:hyperlink>
      <w:r w:rsidR="00EB0C79">
        <w:rPr>
          <w:rFonts w:cs="Times New Roman"/>
          <w:noProof/>
          <w:szCs w:val="24"/>
        </w:rPr>
        <w:t>)</w:t>
      </w:r>
      <w:r w:rsidR="003731B6">
        <w:rPr>
          <w:rFonts w:cs="Times New Roman"/>
          <w:szCs w:val="24"/>
        </w:rPr>
        <w:fldChar w:fldCharType="end"/>
      </w:r>
      <w:r w:rsidR="006D43AA">
        <w:rPr>
          <w:rFonts w:cs="Times New Roman"/>
          <w:szCs w:val="24"/>
        </w:rPr>
        <w:t>.</w:t>
      </w:r>
    </w:p>
    <w:p w:rsidR="00460E26" w:rsidRDefault="00B27043" w:rsidP="00460E26">
      <w:pPr>
        <w:pStyle w:val="Heading2"/>
      </w:pPr>
      <w:bookmarkStart w:id="50" w:name="_Toc222419120"/>
      <w:bookmarkStart w:id="51" w:name="_Toc227982491"/>
      <w:r>
        <w:t>M</w:t>
      </w:r>
      <w:r w:rsidR="00177D58">
        <w:t>ethods</w:t>
      </w:r>
      <w:bookmarkEnd w:id="50"/>
      <w:bookmarkEnd w:id="51"/>
    </w:p>
    <w:p w:rsidR="001935F9" w:rsidRDefault="00460E26" w:rsidP="00460E26">
      <w:r>
        <w:tab/>
        <w:t xml:space="preserve">Four techniques </w:t>
      </w:r>
      <w:r w:rsidR="007F4B31">
        <w:t>were</w:t>
      </w:r>
      <w:r>
        <w:t xml:space="preserve"> </w:t>
      </w:r>
      <w:r w:rsidR="00891812">
        <w:t>evaluated for their performance predicting group membership from craniometric variables</w:t>
      </w:r>
      <w:r>
        <w:t xml:space="preserve">:  linear discriminant analysis; quadratic discriminant analysis; </w:t>
      </w:r>
      <w:r w:rsidR="007B1F82">
        <w:t>k-</w:t>
      </w:r>
      <w:r>
        <w:t>nearest neighbor analysis; and classification trees.</w:t>
      </w:r>
      <w:r w:rsidR="00E474F5">
        <w:t xml:space="preserve">  These four methods fall under the general category of discriminant analysis.  </w:t>
      </w:r>
      <w:r w:rsidR="003731B6">
        <w:fldChar w:fldCharType="begin"/>
      </w:r>
      <w:r w:rsidR="00C21126">
        <w:instrText xml:space="preserve"> ADDIN EN.CITE &lt;EndNote&gt;&lt;Cite AuthorYear="1"&gt;&lt;Author&gt;Manly&lt;/Author&gt;&lt;Year&gt;2005&lt;/Year&gt;&lt;RecNum&gt;83&lt;/RecNum&gt;&lt;Suffix&gt;:105&lt;/Suffix&gt;&lt;DisplayText&gt;Manly (2005:105)&lt;/DisplayText&gt;&lt;record&gt;&lt;rec-number&gt;83&lt;/rec-number&gt;&lt;foreign-keys&gt;&lt;key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Hall/CRC&lt;/publisher&gt;&lt;urls&gt;&lt;/urls&gt;&lt;/record&gt;&lt;/Cite&gt;&lt;/EndNote&gt;</w:instrText>
      </w:r>
      <w:r w:rsidR="003731B6">
        <w:fldChar w:fldCharType="separate"/>
      </w:r>
      <w:hyperlink w:anchor="_ENREF_38" w:tooltip="Manly, 2005 #83" w:history="1">
        <w:r w:rsidR="001633BC">
          <w:rPr>
            <w:noProof/>
          </w:rPr>
          <w:t>Manly (2005:105</w:t>
        </w:r>
      </w:hyperlink>
      <w:r w:rsidR="00C21126">
        <w:rPr>
          <w:noProof/>
        </w:rPr>
        <w:t>)</w:t>
      </w:r>
      <w:r w:rsidR="003731B6">
        <w:fldChar w:fldCharType="end"/>
      </w:r>
      <w:r w:rsidR="00C21126">
        <w:t xml:space="preserve"> states, “the problem that is addressed with discriminant analysis is the extent to which it is possible to separate two or more groups of individuals, given measurements for these individuals on several variables.”  </w:t>
      </w:r>
      <w:r w:rsidR="008E2DFF">
        <w:t>Depending on the research goals, d</w:t>
      </w:r>
      <w:r w:rsidR="00E474F5">
        <w:t>iscriminant analysis can be performed to explore differences among groups of observations or to establish rules for predicting group membership</w:t>
      </w:r>
      <w:r w:rsidR="008E2DFF">
        <w:t xml:space="preserve"> </w:t>
      </w:r>
      <w:r w:rsidR="003731B6">
        <w:fldChar w:fldCharType="begin"/>
      </w:r>
      <w:r w:rsidR="00015FFC">
        <w:instrText xml:space="preserve"> ADDIN EN.CITE &lt;EndNote&gt;&lt;Cite&gt;&lt;Author&gt;Huberty&lt;/Author&gt;&lt;Year&gt;2006&lt;/Year&gt;&lt;RecNum&gt;85&lt;/RecNum&gt;&lt;DisplayText&gt;(Rencher, 2002; 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Sons&lt;/publisher&gt;&lt;urls&gt;&lt;/urls&gt;&lt;/record&gt;&lt;/Cite&gt;&lt;Cite&gt;&lt;Author&gt;Rencher&lt;/Author&gt;&lt;Year&gt;2002&lt;/Year&gt;&lt;RecNum&gt;91&lt;/RecNum&gt;&lt;record&gt;&lt;rec-number&gt;91&lt;/rec-number&gt;&lt;foreign-keys&gt;&lt;key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sidR="00015FFC">
        <w:rPr>
          <w:noProof/>
        </w:rPr>
        <w:t>(</w:t>
      </w:r>
      <w:hyperlink w:anchor="_ENREF_48" w:tooltip="Rencher, 2002 #91" w:history="1">
        <w:r w:rsidR="001633BC">
          <w:rPr>
            <w:noProof/>
          </w:rPr>
          <w:t>Rencher, 2002</w:t>
        </w:r>
      </w:hyperlink>
      <w:r w:rsidR="00015FFC">
        <w:rPr>
          <w:noProof/>
        </w:rPr>
        <w:t xml:space="preserve">; </w:t>
      </w:r>
      <w:hyperlink w:anchor="_ENREF_27" w:tooltip="Huberty, 2006 #85" w:history="1">
        <w:r w:rsidR="001633BC">
          <w:rPr>
            <w:noProof/>
          </w:rPr>
          <w:t>Huberty and Olejnik, 2006</w:t>
        </w:r>
      </w:hyperlink>
      <w:r w:rsidR="00015FFC">
        <w:rPr>
          <w:noProof/>
        </w:rPr>
        <w:t>)</w:t>
      </w:r>
      <w:r w:rsidR="003731B6">
        <w:fldChar w:fldCharType="end"/>
      </w:r>
      <w:r w:rsidR="00E474F5">
        <w:t>.</w:t>
      </w:r>
      <w:r w:rsidR="00C21126">
        <w:t xml:space="preserve">  </w:t>
      </w:r>
      <w:r w:rsidR="008E2DFF">
        <w:t>This research</w:t>
      </w:r>
      <w:r w:rsidR="00483B36">
        <w:t xml:space="preserve"> is of the latter</w:t>
      </w:r>
      <w:r w:rsidR="00EF42C7">
        <w:t xml:space="preserve"> </w:t>
      </w:r>
      <w:r w:rsidR="00AC2D6C">
        <w:t xml:space="preserve">goal </w:t>
      </w:r>
      <w:r w:rsidR="00EF42C7">
        <w:t xml:space="preserve">and is primarily concerned </w:t>
      </w:r>
      <w:r w:rsidR="00C0740E">
        <w:t>with</w:t>
      </w:r>
      <w:r w:rsidR="00843D8D">
        <w:t xml:space="preserve"> classification</w:t>
      </w:r>
      <w:r w:rsidR="00C0740E">
        <w:t xml:space="preserve"> accuracy</w:t>
      </w:r>
      <w:r w:rsidR="00EF42C7">
        <w:t>.</w:t>
      </w:r>
      <w:r w:rsidR="00BA75ED">
        <w:t xml:space="preserve">  The linear, quadratic, and k-</w:t>
      </w:r>
      <w:r w:rsidR="00D221B1">
        <w:t xml:space="preserve">nearest neighbor analyses were performed in SAS </w:t>
      </w:r>
      <w:r w:rsidR="00DE079C">
        <w:t>Enterprise Guide 5.1</w:t>
      </w:r>
      <w:r w:rsidR="00D221B1">
        <w:t>, while the classification tree analysis was performed in SAS Enterprise Miner 12.1.</w:t>
      </w:r>
    </w:p>
    <w:p w:rsidR="00B27043" w:rsidRDefault="00B27043" w:rsidP="00B27043">
      <w:pPr>
        <w:pStyle w:val="Heading3"/>
      </w:pPr>
      <w:bookmarkStart w:id="52" w:name="_Toc222419121"/>
      <w:bookmarkStart w:id="53" w:name="_Toc227982492"/>
      <w:r>
        <w:t>Linear Discriminant Analysis</w:t>
      </w:r>
      <w:bookmarkEnd w:id="52"/>
      <w:bookmarkEnd w:id="53"/>
    </w:p>
    <w:p w:rsidR="00FC1C27" w:rsidRDefault="002B599C" w:rsidP="00B27043">
      <w:r>
        <w:tab/>
      </w:r>
      <w:r w:rsidR="006A26E7">
        <w:t>Linear Discriminant Analysis (</w:t>
      </w:r>
      <w:r>
        <w:t>LDA</w:t>
      </w:r>
      <w:r w:rsidR="006A26E7">
        <w:t>)</w:t>
      </w:r>
      <w:r>
        <w:t xml:space="preserve"> is</w:t>
      </w:r>
      <w:r w:rsidR="00125BAC">
        <w:t xml:space="preserve"> a popular discriminant method</w:t>
      </w:r>
      <w:r>
        <w:t xml:space="preserve"> </w:t>
      </w:r>
      <w:r w:rsidR="00BA02D8">
        <w:t xml:space="preserve">that has been applied to the question of population prediction with craniometric variables since 1962 </w:t>
      </w:r>
      <w:r w:rsidR="003731B6">
        <w:fldChar w:fldCharType="begin"/>
      </w:r>
      <w:r w:rsidR="00BA02D8">
        <w:instrText xml:space="preserve"> ADDIN EN.CITE &lt;EndNote&gt;&lt;Cite&gt;&lt;Author&gt;Giles&lt;/Author&gt;&lt;Year&gt;1962&lt;/Year&gt;&lt;RecNum&gt;70&lt;/RecNum&gt;&lt;DisplayText&gt;(Giles and Elliot, 1962)&lt;/DisplayText&gt;&lt;record&gt;&lt;rec-number&gt;70&lt;/rec-number&gt;&lt;foreign-keys&gt;&lt;key app="EN" db-id="20frpf5eyrpavaevz925sv9t29f5epa9pd2z"&gt;70&lt;/key&gt;&lt;/foreign-keys&gt;&lt;ref-type name="Journal Article"&gt;17&lt;/ref-type&gt;&lt;contributors&gt;&lt;authors&gt;&lt;author&gt;Giles, Eugene&lt;/author&gt;&lt;author&gt;Elliot, Orville&lt;/author&gt;&lt;/authors&gt;&lt;/contributors&gt;&lt;titles&gt;&lt;title&gt;Race identification from cranial measurements&lt;/title&gt;&lt;secondary-title&gt;Journal of Forensic Sciences&lt;/secondary-title&gt;&lt;/titles&gt;&lt;periodical&gt;&lt;full-title&gt;Journal of Forensic Sciences&lt;/full-title&gt;&lt;/periodical&gt;&lt;pages&gt;147-157&lt;/pages&gt;&lt;volume&gt;7&lt;/volume&gt;&lt;number&gt;2&lt;/number&gt;&lt;dates&gt;&lt;year&gt;1962&lt;/year&gt;&lt;/dates&gt;&lt;urls&gt;&lt;/urls&gt;&lt;/record&gt;&lt;/Cite&gt;&lt;/EndNote&gt;</w:instrText>
      </w:r>
      <w:r w:rsidR="003731B6">
        <w:fldChar w:fldCharType="separate"/>
      </w:r>
      <w:r w:rsidR="00BA02D8">
        <w:rPr>
          <w:noProof/>
        </w:rPr>
        <w:t>(</w:t>
      </w:r>
      <w:hyperlink w:anchor="_ENREF_19" w:tooltip="Giles, 1962 #70" w:history="1">
        <w:r w:rsidR="001633BC">
          <w:rPr>
            <w:noProof/>
          </w:rPr>
          <w:t>Giles and Elliot, 1962</w:t>
        </w:r>
      </w:hyperlink>
      <w:r w:rsidR="00BA02D8">
        <w:rPr>
          <w:noProof/>
        </w:rPr>
        <w:t>)</w:t>
      </w:r>
      <w:r w:rsidR="003731B6">
        <w:fldChar w:fldCharType="end"/>
      </w:r>
      <w:r w:rsidR="00BA02D8">
        <w:t>.</w:t>
      </w:r>
      <w:r w:rsidR="006B7A7E">
        <w:t xml:space="preserve">  It is still used in anthropology and is the method of analysis </w:t>
      </w:r>
      <w:r w:rsidR="00643224">
        <w:t>employed by</w:t>
      </w:r>
      <w:r w:rsidR="006B7A7E">
        <w:t xml:space="preserve"> FORDISC </w:t>
      </w:r>
      <w:r w:rsidR="003731B6">
        <w:fldChar w:fldCharType="begin"/>
      </w:r>
      <w:r w:rsidR="006B7A7E">
        <w:instrText xml:space="preserve"> ADDIN EN.CITE &lt;EndNote&gt;&lt;Cite&gt;&lt;Author&gt;Ousley&lt;/Author&gt;&lt;Year&gt;2005&lt;/Year&gt;&lt;RecNum&gt;367&lt;/RecNum&gt;&lt;DisplayText&gt;(Ousley and Jantz, 2005;2012)&lt;/DisplayText&gt;&lt;record&gt;&lt;rec-number&gt;367&lt;/rec-number&gt;&lt;foreign-keys&gt;&lt;key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Knoxville&lt;/publisher&gt;&lt;urls&gt;&lt;/urls&gt;&lt;/record&gt;&lt;/Cite&gt;&lt;Cite&gt;&lt;Author&gt;Ousley&lt;/Author&gt;&lt;Year&gt;2012&lt;/Year&gt;&lt;RecNum&gt;345&lt;/RecNum&gt;&lt;record&gt;&lt;rec-number&gt;345&lt;/rec-number&gt;&lt;foreign-keys&gt;&lt;key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r w:rsidR="006B7A7E">
        <w:rPr>
          <w:noProof/>
        </w:rPr>
        <w:t>(</w:t>
      </w:r>
      <w:hyperlink w:anchor="_ENREF_43" w:tooltip="Ousley, 2005 #367" w:history="1">
        <w:r w:rsidR="001633BC">
          <w:rPr>
            <w:noProof/>
          </w:rPr>
          <w:t>Ousley and Jantz, 2005</w:t>
        </w:r>
      </w:hyperlink>
      <w:r w:rsidR="006B7A7E">
        <w:rPr>
          <w:noProof/>
        </w:rPr>
        <w:t>;</w:t>
      </w:r>
      <w:hyperlink w:anchor="_ENREF_44" w:tooltip="Ousley, 2012 #345" w:history="1">
        <w:r w:rsidR="001633BC">
          <w:rPr>
            <w:noProof/>
          </w:rPr>
          <w:t>2012</w:t>
        </w:r>
      </w:hyperlink>
      <w:r w:rsidR="006B7A7E">
        <w:rPr>
          <w:noProof/>
        </w:rPr>
        <w:t>)</w:t>
      </w:r>
      <w:r w:rsidR="003731B6">
        <w:fldChar w:fldCharType="end"/>
      </w:r>
      <w:r w:rsidR="006B7A7E">
        <w:t>.</w:t>
      </w:r>
      <w:r w:rsidR="000546BC">
        <w:t xml:space="preserve">  LDA creates linear discriminant functions (LDFs) </w:t>
      </w:r>
      <w:r w:rsidR="00D63391">
        <w:t xml:space="preserve">that are used to classify observations </w:t>
      </w:r>
      <w:r w:rsidR="000546BC">
        <w:t>with the set of p</w:t>
      </w:r>
      <w:r w:rsidR="00E2059B">
        <w:t>redictor variables</w:t>
      </w:r>
      <w:r w:rsidR="00D67985">
        <w:t>.  The LDFs are combinations of variables that best separate groups</w:t>
      </w:r>
      <w:r w:rsidR="00C058A9">
        <w:t xml:space="preserve"> </w:t>
      </w:r>
      <w:r w:rsidR="003731B6">
        <w:fldChar w:fldCharType="begin"/>
      </w:r>
      <w:r w:rsidR="00D67985">
        <w:instrText xml:space="preserve"> ADDIN EN.CITE &lt;EndNote&gt;&lt;Cite&gt;&lt;Author&gt;Rencher&lt;/Author&gt;&lt;Year&gt;2002&lt;/Year&gt;&lt;RecNum&gt;91&lt;/RecNum&gt;&lt;DisplayText&gt;(Rencher, 2002)&lt;/DisplayText&gt;&lt;record&gt;&lt;rec-number&gt;91&lt;/rec-number&gt;&lt;foreign-keys&gt;&lt;key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sidR="00D67985">
        <w:rPr>
          <w:noProof/>
        </w:rPr>
        <w:t>(</w:t>
      </w:r>
      <w:hyperlink w:anchor="_ENREF_48" w:tooltip="Rencher, 2002 #91" w:history="1">
        <w:r w:rsidR="001633BC">
          <w:rPr>
            <w:noProof/>
          </w:rPr>
          <w:t>Rencher, 2002</w:t>
        </w:r>
      </w:hyperlink>
      <w:r w:rsidR="00D67985">
        <w:rPr>
          <w:noProof/>
        </w:rPr>
        <w:t>)</w:t>
      </w:r>
      <w:r w:rsidR="003731B6">
        <w:fldChar w:fldCharType="end"/>
      </w:r>
      <w:r w:rsidR="00D67985">
        <w:t>.  Their parameters</w:t>
      </w:r>
      <w:r w:rsidR="00B42542">
        <w:t xml:space="preserve"> are optimized to maximize</w:t>
      </w:r>
      <w:r w:rsidR="00C16114">
        <w:t xml:space="preserve"> between-</w:t>
      </w:r>
      <w:r w:rsidR="00D67985">
        <w:t xml:space="preserve">group </w:t>
      </w:r>
      <w:r w:rsidR="00B42542">
        <w:t>variation</w:t>
      </w:r>
      <w:r w:rsidR="00DB1752">
        <w:t>, maximizing the distance between the groups</w:t>
      </w:r>
      <w:r w:rsidR="00B42542">
        <w:t>.  The LDFs</w:t>
      </w:r>
      <w:r w:rsidR="000546BC">
        <w:t xml:space="preserve"> generate scores for each observation in the data set</w:t>
      </w:r>
      <w:r w:rsidR="00D627E5">
        <w:t xml:space="preserve"> that are</w:t>
      </w:r>
      <w:r w:rsidR="00B8111B">
        <w:t xml:space="preserve"> used to predict </w:t>
      </w:r>
      <w:r w:rsidR="00CF6534">
        <w:t>group membership</w:t>
      </w:r>
      <w:r w:rsidR="00B8111B">
        <w:t xml:space="preserve">.  The first </w:t>
      </w:r>
      <w:r w:rsidR="00C16114">
        <w:t>LDF</w:t>
      </w:r>
      <w:r w:rsidR="00B8111B">
        <w:t xml:space="preserve"> accounts for the greatest percentage of variation with the following functions accounting for less </w:t>
      </w:r>
      <w:r w:rsidR="00CA197F">
        <w:t xml:space="preserve">variation </w:t>
      </w:r>
      <w:r w:rsidR="00B8111B">
        <w:t>sequentially</w:t>
      </w:r>
      <w:r w:rsidR="00B910AE">
        <w:t>, the last function accounting for the least</w:t>
      </w:r>
      <w:r w:rsidR="00B8111B">
        <w:t>.</w:t>
      </w:r>
      <w:r w:rsidR="000546BC">
        <w:t xml:space="preserve">  </w:t>
      </w:r>
      <w:r w:rsidR="00827B06">
        <w:t>The number of variables or groups in the analysis limit</w:t>
      </w:r>
      <w:r w:rsidR="00FC1C27">
        <w:t>s</w:t>
      </w:r>
      <w:r w:rsidR="00827B06">
        <w:t xml:space="preserve"> the</w:t>
      </w:r>
      <w:r w:rsidR="002C7A7F">
        <w:t xml:space="preserve"> potential</w:t>
      </w:r>
      <w:r w:rsidR="00827B06">
        <w:t xml:space="preserve"> number of </w:t>
      </w:r>
      <w:r w:rsidR="002C7A7F">
        <w:t>LDFs</w:t>
      </w:r>
      <w:r w:rsidR="00827B06">
        <w:t xml:space="preserve">.  There cannot be more LDFs than variables or </w:t>
      </w:r>
      <w:r w:rsidR="00827B06">
        <w:rPr>
          <w:i/>
        </w:rPr>
        <w:t>k</w:t>
      </w:r>
      <w:r w:rsidR="003C32C9">
        <w:t>-</w:t>
      </w:r>
      <w:r w:rsidR="003D0F63">
        <w:t>1</w:t>
      </w:r>
      <w:r w:rsidR="00B8111B">
        <w:t xml:space="preserve"> groups</w:t>
      </w:r>
      <w:r w:rsidR="00827B06">
        <w:t xml:space="preserve">, where </w:t>
      </w:r>
      <w:r w:rsidR="00827B06">
        <w:rPr>
          <w:i/>
        </w:rPr>
        <w:t>k</w:t>
      </w:r>
      <w:r w:rsidR="00827B06">
        <w:t xml:space="preserve"> is the</w:t>
      </w:r>
      <w:r w:rsidR="00F578A1">
        <w:t xml:space="preserve"> total</w:t>
      </w:r>
      <w:r w:rsidR="00827B06">
        <w:t xml:space="preserve"> number of groups in the analysis</w:t>
      </w:r>
      <w:r w:rsidR="00015FFC">
        <w:t xml:space="preserve"> </w:t>
      </w:r>
      <w:r w:rsidR="003731B6">
        <w:fldChar w:fldCharType="begin"/>
      </w:r>
      <w:r w:rsidR="00015FFC">
        <w:instrText xml:space="preserve"> ADDIN EN.CITE &lt;EndNote&gt;&lt;Cite&gt;&lt;Author&gt;Manly&lt;/Author&gt;&lt;Year&gt;2005&lt;/Year&gt;&lt;RecNum&gt;83&lt;/RecNum&gt;&lt;DisplayText&gt;(Manly, 2005)&lt;/DisplayText&gt;&lt;record&gt;&lt;rec-number&gt;83&lt;/rec-number&gt;&lt;foreign-keys&gt;&lt;key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Hall/CRC&lt;/publisher&gt;&lt;urls&gt;&lt;/urls&gt;&lt;/record&gt;&lt;/Cite&gt;&lt;/EndNote&gt;</w:instrText>
      </w:r>
      <w:r w:rsidR="003731B6">
        <w:fldChar w:fldCharType="separate"/>
      </w:r>
      <w:r w:rsidR="00015FFC">
        <w:rPr>
          <w:noProof/>
        </w:rPr>
        <w:t>(</w:t>
      </w:r>
      <w:hyperlink w:anchor="_ENREF_38" w:tooltip="Manly, 2005 #83" w:history="1">
        <w:r w:rsidR="001633BC">
          <w:rPr>
            <w:noProof/>
          </w:rPr>
          <w:t>Manly, 2005</w:t>
        </w:r>
      </w:hyperlink>
      <w:r w:rsidR="00015FFC">
        <w:rPr>
          <w:noProof/>
        </w:rPr>
        <w:t>)</w:t>
      </w:r>
      <w:r w:rsidR="003731B6">
        <w:fldChar w:fldCharType="end"/>
      </w:r>
      <w:r w:rsidR="00827B06">
        <w:t>.</w:t>
      </w:r>
    </w:p>
    <w:p w:rsidR="00B27043" w:rsidRPr="002D3CF3" w:rsidRDefault="00FC1C27" w:rsidP="00B27043">
      <w:r>
        <w:tab/>
      </w:r>
      <w:r w:rsidR="006D0F26">
        <w:t xml:space="preserve">The LDA procedure makes two mathematical assumptions in the derivation of </w:t>
      </w:r>
      <w:r w:rsidR="004426DB">
        <w:t xml:space="preserve">the LDFs and its tests of significance:  (1) that the sample covariance matrices for all groups are </w:t>
      </w:r>
      <w:r w:rsidR="00402966">
        <w:t>equal</w:t>
      </w:r>
      <w:r w:rsidR="004426DB">
        <w:t>, a condition referred to as homogeneity of variance; and (2) that the data for each group are multivariate normally distributed</w:t>
      </w:r>
      <w:r w:rsidR="00DB1752">
        <w:t xml:space="preserve"> </w:t>
      </w:r>
      <w:r w:rsidR="003731B6">
        <w:fldChar w:fldCharType="begin"/>
      </w:r>
      <w:r w:rsidR="001F70FA">
        <w:instrText xml:space="preserve"> ADDIN EN.CITE &lt;EndNote&gt;&lt;Cite&gt;&lt;Author&gt;Manly&lt;/Author&gt;&lt;Year&gt;2005&lt;/Year&gt;&lt;RecNum&gt;83&lt;/RecNum&gt;&lt;DisplayText&gt;(Rencher, 2002; Manly, 2005; Huberty and Olejnik, 2006)&lt;/DisplayText&gt;&lt;record&gt;&lt;rec-number&gt;83&lt;/rec-number&gt;&lt;foreign-keys&gt;&lt;key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Hall/CRC&lt;/publisher&gt;&lt;urls&gt;&lt;/urls&gt;&lt;/record&gt;&lt;/Cite&gt;&lt;Cite&gt;&lt;Author&gt;Huberty&lt;/Author&gt;&lt;Year&gt;2006&lt;/Year&gt;&lt;RecNum&gt;85&lt;/RecNum&gt;&lt;record&gt;&lt;rec-number&gt;85&lt;/rec-number&gt;&lt;foreign-keys&gt;&lt;key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Sons&lt;/publisher&gt;&lt;urls&gt;&lt;/urls&gt;&lt;/record&gt;&lt;/Cite&gt;&lt;Cite&gt;&lt;Author&gt;Rencher&lt;/Author&gt;&lt;Year&gt;2002&lt;/Year&gt;&lt;RecNum&gt;91&lt;/RecNum&gt;&lt;record&gt;&lt;rec-number&gt;91&lt;/rec-number&gt;&lt;foreign-keys&gt;&lt;key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sidR="001F70FA">
        <w:rPr>
          <w:noProof/>
        </w:rPr>
        <w:t>(</w:t>
      </w:r>
      <w:hyperlink w:anchor="_ENREF_48" w:tooltip="Rencher, 2002 #91" w:history="1">
        <w:r w:rsidR="001633BC">
          <w:rPr>
            <w:noProof/>
          </w:rPr>
          <w:t>Rencher, 2002</w:t>
        </w:r>
      </w:hyperlink>
      <w:r w:rsidR="001F70FA">
        <w:rPr>
          <w:noProof/>
        </w:rPr>
        <w:t xml:space="preserve">; </w:t>
      </w:r>
      <w:hyperlink w:anchor="_ENREF_38" w:tooltip="Manly, 2005 #83" w:history="1">
        <w:r w:rsidR="001633BC">
          <w:rPr>
            <w:noProof/>
          </w:rPr>
          <w:t>Manly, 2005</w:t>
        </w:r>
      </w:hyperlink>
      <w:r w:rsidR="001F70FA">
        <w:rPr>
          <w:noProof/>
        </w:rPr>
        <w:t xml:space="preserve">; </w:t>
      </w:r>
      <w:hyperlink w:anchor="_ENREF_27" w:tooltip="Huberty, 2006 #85" w:history="1">
        <w:r w:rsidR="001633BC">
          <w:rPr>
            <w:noProof/>
          </w:rPr>
          <w:t>Huberty and Olejnik, 2006</w:t>
        </w:r>
      </w:hyperlink>
      <w:r w:rsidR="001F70FA">
        <w:rPr>
          <w:noProof/>
        </w:rPr>
        <w:t>)</w:t>
      </w:r>
      <w:r w:rsidR="003731B6">
        <w:fldChar w:fldCharType="end"/>
      </w:r>
      <w:r w:rsidR="004426DB">
        <w:t>.</w:t>
      </w:r>
      <w:r w:rsidR="007C5350">
        <w:t xml:space="preserve">  </w:t>
      </w:r>
      <w:r w:rsidR="007A13E3">
        <w:t>While LDA may still classify well when its assumptions are violated</w:t>
      </w:r>
      <w:r w:rsidR="00854120">
        <w:t xml:space="preserve"> </w:t>
      </w:r>
      <w:r w:rsidR="003731B6">
        <w:fldChar w:fldCharType="begin"/>
      </w:r>
      <w:r w:rsidR="00854120">
        <w:instrText xml:space="preserve"> ADDIN EN.CITE &lt;EndNote&gt;&lt;Cite&gt;&lt;Author&gt;Manly&lt;/Author&gt;&lt;Year&gt;2005&lt;/Year&gt;&lt;RecNum&gt;83&lt;/RecNum&gt;&lt;DisplayText&gt;(Manly, 2005)&lt;/DisplayText&gt;&lt;record&gt;&lt;rec-number&gt;83&lt;/rec-number&gt;&lt;foreign-keys&gt;&lt;key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Hall/CRC&lt;/publisher&gt;&lt;urls&gt;&lt;/urls&gt;&lt;/record&gt;&lt;/Cite&gt;&lt;/EndNote&gt;</w:instrText>
      </w:r>
      <w:r w:rsidR="003731B6">
        <w:fldChar w:fldCharType="separate"/>
      </w:r>
      <w:r w:rsidR="00854120">
        <w:rPr>
          <w:noProof/>
        </w:rPr>
        <w:t>(</w:t>
      </w:r>
      <w:hyperlink w:anchor="_ENREF_38" w:tooltip="Manly, 2005 #83" w:history="1">
        <w:r w:rsidR="001633BC">
          <w:rPr>
            <w:noProof/>
          </w:rPr>
          <w:t>Manly, 2005</w:t>
        </w:r>
      </w:hyperlink>
      <w:r w:rsidR="00854120">
        <w:rPr>
          <w:noProof/>
        </w:rPr>
        <w:t>)</w:t>
      </w:r>
      <w:r w:rsidR="003731B6">
        <w:fldChar w:fldCharType="end"/>
      </w:r>
      <w:r w:rsidR="007A13E3">
        <w:t>, t</w:t>
      </w:r>
      <w:r w:rsidR="002D3CF3">
        <w:t>hese</w:t>
      </w:r>
      <w:r w:rsidR="007C5350">
        <w:t xml:space="preserve"> condition</w:t>
      </w:r>
      <w:r w:rsidR="002D3CF3">
        <w:t>s must be met for LDA</w:t>
      </w:r>
      <w:r w:rsidR="007C5350">
        <w:t xml:space="preserve"> to perform optimally </w:t>
      </w:r>
      <w:r w:rsidR="003731B6">
        <w:fldChar w:fldCharType="begin"/>
      </w:r>
      <w:r w:rsidR="007C5350">
        <w:instrText xml:space="preserve"> ADDIN EN.CITE &lt;EndNote&gt;&lt;Cite&gt;&lt;Author&gt;Huberty&lt;/Author&gt;&lt;Year&gt;2006&lt;/Year&gt;&lt;RecNum&gt;85&lt;/RecNum&gt;&lt;DisplayText&gt;(Huberty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sidR="007C5350">
        <w:rPr>
          <w:noProof/>
        </w:rPr>
        <w:t>(</w:t>
      </w:r>
      <w:hyperlink w:anchor="_ENREF_27" w:tooltip="Huberty, 2006 #85" w:history="1">
        <w:r w:rsidR="001633BC">
          <w:rPr>
            <w:noProof/>
          </w:rPr>
          <w:t>Huberty and Olejnik, 2006</w:t>
        </w:r>
      </w:hyperlink>
      <w:r w:rsidR="007C5350">
        <w:rPr>
          <w:noProof/>
        </w:rPr>
        <w:t>)</w:t>
      </w:r>
      <w:r w:rsidR="003731B6">
        <w:fldChar w:fldCharType="end"/>
      </w:r>
      <w:r w:rsidR="007C5350">
        <w:t>.</w:t>
      </w:r>
      <w:r w:rsidR="000805D2">
        <w:t xml:space="preserve">  </w:t>
      </w:r>
      <w:r w:rsidR="002D3CF3">
        <w:t xml:space="preserve">Furthermore, if the assumptions are violated then the </w:t>
      </w:r>
      <w:r w:rsidR="002D3CF3">
        <w:rPr>
          <w:i/>
        </w:rPr>
        <w:t>p</w:t>
      </w:r>
      <w:r w:rsidR="002D3CF3">
        <w:t xml:space="preserve">-values may be over or under estimated and interpretability of the results is lost </w:t>
      </w:r>
      <w:r w:rsidR="003731B6">
        <w:fldChar w:fldCharType="begin"/>
      </w:r>
      <w:r w:rsidR="002D3CF3">
        <w:instrText xml:space="preserve"> ADDIN EN.CITE &lt;EndNote&gt;&lt;Cite&gt;&lt;Author&gt;Manly&lt;/Author&gt;&lt;Year&gt;2005&lt;/Year&gt;&lt;RecNum&gt;83&lt;/RecNum&gt;&lt;DisplayText&gt;(Manly, 2005; Huberty and Olejnik, 2006)&lt;/DisplayText&gt;&lt;record&gt;&lt;rec-number&gt;83&lt;/rec-number&gt;&lt;foreign-keys&gt;&lt;key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Hall/CRC&lt;/publisher&gt;&lt;urls&gt;&lt;/urls&gt;&lt;/record&gt;&lt;/Cite&gt;&lt;Cite&gt;&lt;Author&gt;Huberty&lt;/Author&gt;&lt;Year&gt;2006&lt;/Year&gt;&lt;RecNum&gt;85&lt;/RecNum&gt;&lt;record&gt;&lt;rec-number&gt;85&lt;/rec-number&gt;&lt;foreign-keys&gt;&lt;key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sidR="002D3CF3">
        <w:rPr>
          <w:noProof/>
        </w:rPr>
        <w:t>(</w:t>
      </w:r>
      <w:hyperlink w:anchor="_ENREF_38" w:tooltip="Manly, 2005 #83" w:history="1">
        <w:r w:rsidR="001633BC">
          <w:rPr>
            <w:noProof/>
          </w:rPr>
          <w:t>Manly, 2005</w:t>
        </w:r>
      </w:hyperlink>
      <w:r w:rsidR="002D3CF3">
        <w:rPr>
          <w:noProof/>
        </w:rPr>
        <w:t xml:space="preserve">; </w:t>
      </w:r>
      <w:hyperlink w:anchor="_ENREF_27" w:tooltip="Huberty, 2006 #85" w:history="1">
        <w:r w:rsidR="001633BC">
          <w:rPr>
            <w:noProof/>
          </w:rPr>
          <w:t>Huberty and Olejnik, 2006</w:t>
        </w:r>
      </w:hyperlink>
      <w:r w:rsidR="002D3CF3">
        <w:rPr>
          <w:noProof/>
        </w:rPr>
        <w:t>)</w:t>
      </w:r>
      <w:r w:rsidR="003731B6">
        <w:fldChar w:fldCharType="end"/>
      </w:r>
      <w:r w:rsidR="002D3CF3">
        <w:t>.</w:t>
      </w:r>
    </w:p>
    <w:p w:rsidR="00B27043" w:rsidRDefault="00B27043" w:rsidP="00B27043">
      <w:pPr>
        <w:pStyle w:val="Heading3"/>
      </w:pPr>
      <w:bookmarkStart w:id="54" w:name="_Toc222419122"/>
      <w:bookmarkStart w:id="55" w:name="_Toc227982493"/>
      <w:r>
        <w:t>Quadratic Discriminant Analysis</w:t>
      </w:r>
      <w:bookmarkEnd w:id="54"/>
      <w:bookmarkEnd w:id="55"/>
    </w:p>
    <w:p w:rsidR="00955FD5" w:rsidRDefault="003F70E9" w:rsidP="00B27043">
      <w:r>
        <w:tab/>
      </w:r>
      <w:r w:rsidR="006A26E7">
        <w:t>Quadratic Discriminant Analysis (</w:t>
      </w:r>
      <w:r>
        <w:t>QDA</w:t>
      </w:r>
      <w:r w:rsidR="006A26E7">
        <w:t>)</w:t>
      </w:r>
      <w:r>
        <w:t xml:space="preserve"> is another discriminant analysis</w:t>
      </w:r>
      <w:r w:rsidR="00A07CC9">
        <w:t xml:space="preserve"> technique</w:t>
      </w:r>
      <w:r>
        <w:t xml:space="preserve"> that, like LDA, constructs classification functions with the variables.  However, in QDA the functions are not linear.  In some cases linear functions may not provide</w:t>
      </w:r>
      <w:r w:rsidR="00267005">
        <w:t xml:space="preserve"> the best group separation and</w:t>
      </w:r>
      <w:r>
        <w:t xml:space="preserve"> quadratic function</w:t>
      </w:r>
      <w:r w:rsidR="00267005">
        <w:t>s are</w:t>
      </w:r>
      <w:r>
        <w:t xml:space="preserve"> </w:t>
      </w:r>
      <w:r w:rsidR="009532A5">
        <w:t>necessary</w:t>
      </w:r>
      <w:r>
        <w:t>.  However, the factor</w:t>
      </w:r>
      <w:r w:rsidR="007D6E35">
        <w:t>s</w:t>
      </w:r>
      <w:r>
        <w:t xml:space="preserve"> typically infl</w:t>
      </w:r>
      <w:r w:rsidR="007D6E35">
        <w:t xml:space="preserve">uencing the selection of QDA are </w:t>
      </w:r>
      <w:r>
        <w:t xml:space="preserve">assumptions; while QDA does assume multivariate normality, it does not assume homogeneity of variance </w:t>
      </w:r>
      <w:r w:rsidR="003731B6">
        <w:fldChar w:fldCharType="begin"/>
      </w:r>
      <w:r>
        <w:instrText xml:space="preserve"> ADDIN EN.CITE &lt;EndNote&gt;&lt;Cite&gt;&lt;Author&gt;Huberty&lt;/Author&gt;&lt;Year&gt;2006&lt;/Year&gt;&lt;RecNum&gt;85&lt;/RecNum&gt;&lt;DisplayText&gt;(Huberty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Pr>
          <w:noProof/>
        </w:rPr>
        <w:t>(</w:t>
      </w:r>
      <w:hyperlink w:anchor="_ENREF_27" w:tooltip="Huberty, 2006 #85" w:history="1">
        <w:r w:rsidR="001633BC">
          <w:rPr>
            <w:noProof/>
          </w:rPr>
          <w:t>Huberty and Olejnik, 2006</w:t>
        </w:r>
      </w:hyperlink>
      <w:r>
        <w:rPr>
          <w:noProof/>
        </w:rPr>
        <w:t>)</w:t>
      </w:r>
      <w:r w:rsidR="003731B6">
        <w:fldChar w:fldCharType="end"/>
      </w:r>
      <w:r>
        <w:t>.  Therefore, QDA is a more appropriate analysis under conditions of variance heterogeneity.</w:t>
      </w:r>
      <w:r w:rsidR="002C3F98">
        <w:t xml:space="preserve">  The ratio of sample size to the number of predictors used can also drive a decision as to whether to use LDA or QDA.  </w:t>
      </w:r>
      <w:r w:rsidR="003731B6">
        <w:fldChar w:fldCharType="begin"/>
      </w:r>
      <w:r w:rsidR="002C3F98">
        <w:instrText xml:space="preserve"> ADDIN EN.CITE &lt;EndNote&gt;&lt;Cite AuthorYear="1"&gt;&lt;Author&gt;Huberty&lt;/Author&gt;&lt;Year&gt;2006&lt;/Year&gt;&lt;RecNum&gt;85&lt;/RecNum&gt;&lt;DisplayText&gt;Huberty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hyperlink w:anchor="_ENREF_27" w:tooltip="Huberty, 2006 #85" w:history="1">
        <w:r w:rsidR="001633BC">
          <w:rPr>
            <w:noProof/>
          </w:rPr>
          <w:t>Huberty and Olejnik (2006</w:t>
        </w:r>
      </w:hyperlink>
      <w:r w:rsidR="002C3F98">
        <w:rPr>
          <w:noProof/>
        </w:rPr>
        <w:t>)</w:t>
      </w:r>
      <w:r w:rsidR="003731B6">
        <w:fldChar w:fldCharType="end"/>
      </w:r>
      <w:r w:rsidR="002C3F98">
        <w:t xml:space="preserve"> state that if the ratio of observations to variables is small, then LDA may be preferable, even when variance heterogeneity is present.  However, </w:t>
      </w:r>
      <w:r w:rsidR="00952B1D">
        <w:t xml:space="preserve">if the ratio is large and heterogeneity is present, then QDA is preferred.  </w:t>
      </w:r>
      <w:r w:rsidR="008E0221">
        <w:t>This</w:t>
      </w:r>
      <w:r w:rsidR="00952B1D">
        <w:t xml:space="preserve"> guideline is obscure as they also state, “very little guidance as to definitions of ‘small’ and ‘large’ is proffered” </w:t>
      </w:r>
      <w:r w:rsidR="003731B6">
        <w:fldChar w:fldCharType="begin"/>
      </w:r>
      <w:r w:rsidR="00952B1D">
        <w:instrText xml:space="preserve"> ADDIN EN.CITE &lt;EndNote&gt;&lt;Cite&gt;&lt;Author&gt;Huberty&lt;/Author&gt;&lt;Year&gt;2006&lt;/Year&gt;&lt;RecNum&gt;85&lt;/RecNum&gt;&lt;Suffix&gt;:281&lt;/Suffix&gt;&lt;DisplayText&gt;(Huberty and Olejnik, 2006:281)&lt;/DisplayText&gt;&lt;record&gt;&lt;rec-number&gt;85&lt;/rec-number&gt;&lt;foreign-keys&gt;&lt;key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sidR="00952B1D">
        <w:rPr>
          <w:noProof/>
        </w:rPr>
        <w:t>(</w:t>
      </w:r>
      <w:hyperlink w:anchor="_ENREF_27" w:tooltip="Huberty, 2006 #85" w:history="1">
        <w:r w:rsidR="001633BC">
          <w:rPr>
            <w:noProof/>
          </w:rPr>
          <w:t>Huberty and Olejnik, 2006:281</w:t>
        </w:r>
      </w:hyperlink>
      <w:r w:rsidR="00952B1D">
        <w:rPr>
          <w:noProof/>
        </w:rPr>
        <w:t>)</w:t>
      </w:r>
      <w:r w:rsidR="003731B6">
        <w:fldChar w:fldCharType="end"/>
      </w:r>
      <w:r w:rsidR="00952B1D">
        <w:t>.</w:t>
      </w:r>
      <w:r w:rsidR="004F0CC0">
        <w:t xml:space="preserve">  </w:t>
      </w:r>
    </w:p>
    <w:p w:rsidR="00B27043" w:rsidRDefault="009834B6" w:rsidP="00955FD5">
      <w:pPr>
        <w:ind w:firstLine="720"/>
      </w:pPr>
      <w:r>
        <w:t xml:space="preserve">In his dissertation, Mark </w:t>
      </w:r>
      <w:r w:rsidR="003731B6">
        <w:fldChar w:fldCharType="begin"/>
      </w:r>
      <w:r>
        <w:instrText xml:space="preserve"> ADDIN EN.CITE &lt;EndNote&gt;&lt;Cite AuthorYear="1"&gt;&lt;Author&gt;Connally&lt;/Author&gt;&lt;Year&gt;2004&lt;/Year&gt;&lt;RecNum&gt;375&lt;/RecNum&gt;&lt;DisplayText&gt;Connally (2004)&lt;/DisplayText&gt;&lt;record&gt;&lt;rec-number&gt;375&lt;/rec-number&gt;&lt;foreign-keys&gt;&lt;key app="EN" db-id="20frpf5eyrpavaevz925sv9t29f5epa9pd2z"&gt;375&lt;/key&gt;&lt;/foreign-keys&gt;&lt;ref-type name="Thesis"&gt;32&lt;/ref-type&gt;&lt;contributors&gt;&lt;authors&gt;&lt;author&gt;Connally, Mark&lt;/author&gt;&lt;/authors&gt;&lt;/contributors&gt;&lt;titles&gt;&lt;title&gt;Identifying covariance deifferences in comparisons of linear versus quadratic classification rule&lt;/title&gt;&lt;/titles&gt;&lt;dates&gt;&lt;year&gt;2004&lt;/year&gt;&lt;/dates&gt;&lt;pub-location&gt;Athens&lt;/pub-location&gt;&lt;publisher&gt;University of Georgia&lt;/publisher&gt;&lt;work-type&gt;dissertation&lt;/work-type&gt;&lt;urls&gt;&lt;/urls&gt;&lt;/record&gt;&lt;/Cite&gt;&lt;/EndNote&gt;</w:instrText>
      </w:r>
      <w:r w:rsidR="003731B6">
        <w:fldChar w:fldCharType="separate"/>
      </w:r>
      <w:hyperlink w:anchor="_ENREF_11" w:tooltip="Connally, 2004 #375" w:history="1">
        <w:r w:rsidR="001633BC">
          <w:rPr>
            <w:noProof/>
          </w:rPr>
          <w:t>Connally (2004</w:t>
        </w:r>
      </w:hyperlink>
      <w:r>
        <w:rPr>
          <w:noProof/>
        </w:rPr>
        <w:t>)</w:t>
      </w:r>
      <w:r w:rsidR="003731B6">
        <w:fldChar w:fldCharType="end"/>
      </w:r>
      <w:r>
        <w:t xml:space="preserve"> reports that QDA outperforms LDA in every situation he evaluated under conditions of variance heterogeneity.  However, he evaluated classification accuracy with an internal measure.</w:t>
      </w:r>
      <w:r w:rsidR="00955FD5">
        <w:t xml:space="preserve">  Internal measures of classification accuracy, such as </w:t>
      </w:r>
      <w:r w:rsidR="009462B3">
        <w:t>re-substitution</w:t>
      </w:r>
      <w:r w:rsidR="008A1249">
        <w:t>, are optimistically biased</w:t>
      </w:r>
      <w:r w:rsidR="00B57FC6">
        <w:t xml:space="preserve"> and are </w:t>
      </w:r>
      <w:r w:rsidR="001B2A14">
        <w:t>inappropriate</w:t>
      </w:r>
      <w:r w:rsidR="00B57FC6">
        <w:t xml:space="preserve"> for assessing out-of-sample</w:t>
      </w:r>
      <w:r w:rsidR="008A1249">
        <w:t xml:space="preserve"> classification </w:t>
      </w:r>
      <w:r w:rsidR="000F2DC4">
        <w:t>rates</w:t>
      </w:r>
      <w:r w:rsidR="00B57FC6">
        <w:t xml:space="preserve"> </w:t>
      </w:r>
      <w:r w:rsidR="003731B6">
        <w:fldChar w:fldCharType="begin">
          <w:fldData xml:space="preserve">PEVuZE5vdGU+PENpdGU+PEF1dGhvcj5GaWVsZGluZzwvQXV0aG9yPjxZZWFyPjIwMDc8L1llYXI+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</w:fldData>
        </w:fldChar>
      </w:r>
      <w:r w:rsidR="009C6B25">
        <w:instrText xml:space="preserve"> ADDIN EN.CITE </w:instrText>
      </w:r>
      <w:r w:rsidR="003731B6">
        <w:fldChar w:fldCharType="begin">
          <w:fldData xml:space="preserve">PEVuZE5vdGU+PENpdGU+PEF1dGhvcj5GaWVsZGluZzwvQXV0aG9yPjxZZWFyPjIwMDc8L1llYXI+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</w:fldData>
        </w:fldChar>
      </w:r>
      <w:r w:rsidR="009C6B25">
        <w:instrText xml:space="preserve"> ADDIN EN.CITE.DATA </w:instrText>
      </w:r>
      <w:r w:rsidR="003731B6">
        <w:fldChar w:fldCharType="end"/>
      </w:r>
      <w:r w:rsidR="003731B6">
        <w:fldChar w:fldCharType="separate"/>
      </w:r>
      <w:r w:rsidR="009C6B25">
        <w:rPr>
          <w:noProof/>
        </w:rPr>
        <w:t>(</w:t>
      </w:r>
      <w:hyperlink w:anchor="_ENREF_48" w:tooltip="Rencher, 2002 #91" w:history="1">
        <w:r w:rsidR="001633BC">
          <w:rPr>
            <w:noProof/>
          </w:rPr>
          <w:t>Rencher, 2002</w:t>
        </w:r>
      </w:hyperlink>
      <w:r w:rsidR="009C6B25">
        <w:rPr>
          <w:noProof/>
        </w:rPr>
        <w:t xml:space="preserve">; </w:t>
      </w:r>
      <w:hyperlink w:anchor="_ENREF_38" w:tooltip="Manly, 2005 #83" w:history="1">
        <w:r w:rsidR="001633BC">
          <w:rPr>
            <w:noProof/>
          </w:rPr>
          <w:t>Manly, 2005</w:t>
        </w:r>
      </w:hyperlink>
      <w:r w:rsidR="009C6B25">
        <w:rPr>
          <w:noProof/>
        </w:rPr>
        <w:t xml:space="preserve">; </w:t>
      </w:r>
      <w:hyperlink w:anchor="_ENREF_27" w:tooltip="Huberty, 2006 #85" w:history="1">
        <w:r w:rsidR="001633BC">
          <w:rPr>
            <w:noProof/>
          </w:rPr>
          <w:t>Huberty and Olejnik, 2006</w:t>
        </w:r>
      </w:hyperlink>
      <w:r w:rsidR="009C6B25">
        <w:rPr>
          <w:noProof/>
        </w:rPr>
        <w:t xml:space="preserve">; </w:t>
      </w:r>
      <w:hyperlink w:anchor="_ENREF_16" w:tooltip="Fielding, 2007 #374" w:history="1">
        <w:r w:rsidR="001633BC">
          <w:rPr>
            <w:noProof/>
          </w:rPr>
          <w:t>Fielding, 2007</w:t>
        </w:r>
      </w:hyperlink>
      <w:r w:rsidR="009C6B25">
        <w:rPr>
          <w:noProof/>
        </w:rPr>
        <w:t>)</w:t>
      </w:r>
      <w:r w:rsidR="003731B6">
        <w:fldChar w:fldCharType="end"/>
      </w:r>
      <w:r w:rsidR="008A1249">
        <w:t>.</w:t>
      </w:r>
      <w:r w:rsidR="00F74D11">
        <w:t xml:space="preserve">  While QDA may provide improved performance when the data display variance heterogeneity, there are a couple of reasons researchers ar</w:t>
      </w:r>
      <w:r w:rsidR="00164339">
        <w:t xml:space="preserve">e wary of the method:  (1) it is more greatly affected by misclassifications and errors in the training data </w:t>
      </w:r>
      <w:r w:rsidR="003731B6">
        <w:fldChar w:fldCharType="begin"/>
      </w:r>
      <w:r w:rsidR="00810893">
        <w:instrText xml:space="preserve"> ADDIN EN.CITE &lt;EndNote&gt;&lt;Cite&gt;&lt;Author&gt;Holden&lt;/Author&gt;&lt;Year&gt;2010&lt;/Year&gt;&lt;RecNum&gt;340&lt;/RecNum&gt;&lt;DisplayText&gt;(Holden and Kelley, 2010)&lt;/DisplayText&gt;&lt;record&gt;&lt;rec-number&gt;340&lt;/rec-number&gt;&lt;foreign-keys&gt;&lt;key app="EN" db-id="20frpf5eyrpavaevz925sv9t29f5epa9pd2z"&gt;340&lt;/key&gt;&lt;/foreign-keys&gt;&lt;ref-type name="Journal Article"&gt;17&lt;/ref-type&gt;&lt;contributors&gt;&lt;authors&gt;&lt;author&gt;Holden, Jocelyn E&lt;/author&gt;&lt;author&gt;Kelley, Ken&lt;/author&gt;&lt;/authors&gt;&lt;/contributors&gt;&lt;titles&gt;&lt;title&gt;The Effects of Initially Misclassified Data on the Effectiveness of Discriminant Function Analysis and Finite Mixture Modeling&lt;/title&gt;&lt;secondary-title&gt;Educational and Psychological Measurement&lt;/secondary-title&gt;&lt;/titles&gt;&lt;periodical&gt;&lt;full-title&gt;Educational and Psychological Measurement&lt;/full-title&gt;&lt;/periodical&gt;&lt;pages&gt;36-55&lt;/pages&gt;&lt;volume&gt;70&lt;/volume&gt;&lt;number&gt;1&lt;/number&gt;&lt;dates&gt;&lt;year&gt;2010&lt;/year&gt;&lt;/dates&gt;&lt;accession-num&gt;4984777326865920757related:9bJDfJF8LUUJ&lt;/accession-num&gt;&lt;label&gt;r05294&lt;/label&gt;&lt;urls&gt;&lt;related-urls&gt;&lt;url&gt;http://epm.sagepub.com/content/70/1/36.short&lt;/url&gt;&lt;/related-urls&gt;&lt;pdf-urls&gt;&lt;url&gt;file://localhost/Users/mercergm/Library/Application%20Support/Papers2/Articles/2010/Holden/2010%20Holden.pdf&lt;/url&gt;&lt;/pdf-urls&gt;&lt;/urls&gt;&lt;custom3&gt;papers2://publication/uuid/5861145B-816D-4D61-AEA3-76FB36F9F820&lt;/custom3&gt;&lt;language&gt;English&lt;/language&gt;&lt;/record&gt;&lt;/Cite&gt;&lt;/EndNote&gt;</w:instrText>
      </w:r>
      <w:r w:rsidR="003731B6">
        <w:fldChar w:fldCharType="separate"/>
      </w:r>
      <w:r w:rsidR="00164339">
        <w:rPr>
          <w:noProof/>
        </w:rPr>
        <w:t>(</w:t>
      </w:r>
      <w:hyperlink w:anchor="_ENREF_23" w:tooltip="Holden, 2010 #340" w:history="1">
        <w:r w:rsidR="001633BC">
          <w:rPr>
            <w:noProof/>
          </w:rPr>
          <w:t>Holden and Kelley, 2010</w:t>
        </w:r>
      </w:hyperlink>
      <w:r w:rsidR="00164339">
        <w:rPr>
          <w:noProof/>
        </w:rPr>
        <w:t>)</w:t>
      </w:r>
      <w:r w:rsidR="003731B6">
        <w:fldChar w:fldCharType="end"/>
      </w:r>
      <w:r w:rsidR="00164339">
        <w:t xml:space="preserve">; and (2) it is known for </w:t>
      </w:r>
      <w:r w:rsidR="00FD4E26">
        <w:t>over-fit</w:t>
      </w:r>
      <w:r w:rsidR="00164339">
        <w:t xml:space="preserve">ting </w:t>
      </w:r>
      <w:r w:rsidR="003731B6">
        <w:fldChar w:fldCharType="begin"/>
      </w:r>
      <w:r w:rsidR="00164339">
        <w:instrText xml:space="preserve"> ADDIN EN.CITE &lt;EndNote&gt;&lt;Cite&gt;&lt;Author&gt;Ousley&lt;/Author&gt;&lt;Year&gt;2012&lt;/Year&gt;&lt;RecNum&gt;345&lt;/RecNum&gt;&lt;DisplayText&gt;(Ousley and Jantz, 2012)&lt;/DisplayText&gt;&lt;record&gt;&lt;rec-number&gt;345&lt;/rec-number&gt;&lt;foreign-keys&gt;&lt;key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r w:rsidR="00164339">
        <w:rPr>
          <w:noProof/>
        </w:rPr>
        <w:t>(</w:t>
      </w:r>
      <w:hyperlink w:anchor="_ENREF_44" w:tooltip="Ousley, 2012 #345" w:history="1">
        <w:r w:rsidR="001633BC">
          <w:rPr>
            <w:noProof/>
          </w:rPr>
          <w:t>Ousley and Jantz, 2012</w:t>
        </w:r>
      </w:hyperlink>
      <w:r w:rsidR="00164339">
        <w:rPr>
          <w:noProof/>
        </w:rPr>
        <w:t>)</w:t>
      </w:r>
      <w:r w:rsidR="003731B6">
        <w:fldChar w:fldCharType="end"/>
      </w:r>
      <w:r w:rsidR="00164339">
        <w:t>.</w:t>
      </w:r>
    </w:p>
    <w:p w:rsidR="00B27043" w:rsidRPr="00B27043" w:rsidRDefault="00B27043" w:rsidP="00B27043">
      <w:pPr>
        <w:pStyle w:val="Heading3"/>
      </w:pPr>
      <w:bookmarkStart w:id="56" w:name="_Toc222419123"/>
      <w:bookmarkStart w:id="57" w:name="_Toc227982494"/>
      <w:r>
        <w:t>K-Nearest Neighbor Analysis (KNN)</w:t>
      </w:r>
      <w:bookmarkEnd w:id="56"/>
      <w:bookmarkEnd w:id="57"/>
    </w:p>
    <w:p w:rsidR="00316625" w:rsidRPr="006F3004" w:rsidRDefault="000D334D" w:rsidP="00066B07">
      <w:r>
        <w:tab/>
        <w:t>KNN was the first</w:t>
      </w:r>
      <w:r w:rsidR="00BC5F15">
        <w:t xml:space="preserve"> non-parametric discriminant analysis</w:t>
      </w:r>
      <w:r>
        <w:t xml:space="preserve"> developed </w:t>
      </w:r>
      <w:r w:rsidR="003731B6">
        <w:fldChar w:fldCharType="begin"/>
      </w:r>
      <w:r>
        <w:instrText xml:space="preserve"> ADDIN EN.CITE &lt;EndNote&gt;&lt;Cite&gt;&lt;Author&gt;Rencher&lt;/Author&gt;&lt;Year&gt;2002&lt;/Year&gt;&lt;RecNum&gt;91&lt;/RecNum&gt;&lt;DisplayText&gt;(Rencher, 2002)&lt;/DisplayText&gt;&lt;record&gt;&lt;rec-number&gt;91&lt;/rec-number&gt;&lt;foreign-keys&gt;&lt;key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Pr>
          <w:noProof/>
        </w:rPr>
        <w:t>(</w:t>
      </w:r>
      <w:hyperlink w:anchor="_ENREF_48" w:tooltip="Rencher, 2002 #91" w:history="1">
        <w:r w:rsidR="001633BC">
          <w:rPr>
            <w:noProof/>
          </w:rPr>
          <w:t>Rencher, 2002</w:t>
        </w:r>
      </w:hyperlink>
      <w:r>
        <w:rPr>
          <w:noProof/>
        </w:rPr>
        <w:t>)</w:t>
      </w:r>
      <w:r w:rsidR="003731B6">
        <w:fldChar w:fldCharType="end"/>
      </w:r>
      <w:r w:rsidR="00BC5F15">
        <w:t>.  It does not assume multivariate normality, but it does assume homogeneity of variance.</w:t>
      </w:r>
      <w:r w:rsidR="00EA55DA">
        <w:t xml:space="preserve">  </w:t>
      </w:r>
      <w:r w:rsidR="00605D03">
        <w:t xml:space="preserve">KNN differs from the </w:t>
      </w:r>
      <w:r w:rsidR="00EA55DA">
        <w:t xml:space="preserve">above methods in that it does not find functions to discriminate groups, but classifies an observation based upon the group membership of a number, </w:t>
      </w:r>
      <w:r w:rsidR="00EA55DA">
        <w:rPr>
          <w:i/>
        </w:rPr>
        <w:t>k</w:t>
      </w:r>
      <w:r w:rsidR="00EA55DA">
        <w:t>, of its nearest neighbors.</w:t>
      </w:r>
      <w:r w:rsidR="00316625">
        <w:t xml:space="preserve">  </w:t>
      </w:r>
      <w:r w:rsidR="00316625" w:rsidRPr="006F3004">
        <w:t xml:space="preserve">The distance between two observations is calculated as </w:t>
      </w:r>
      <w:r w:rsidR="003731B6" w:rsidRPr="006F3004">
        <w:fldChar w:fldCharType="begin"/>
      </w:r>
      <w:r w:rsidR="00316625" w:rsidRPr="006F3004">
        <w:instrText xml:space="preserve"> ADDIN EN.CITE &lt;EndNote&gt;&lt;Cite&gt;&lt;Author&gt;Khattree&lt;/Author&gt;&lt;Year&gt;2000&lt;/Year&gt;&lt;RecNum&gt;392&lt;/RecNum&gt;&lt;DisplayText&gt;(Khattree and Naik, 2000)&lt;/DisplayText&gt;&lt;record&gt;&lt;rec-number&gt;392&lt;/rec-number&gt;&lt;foreign-keys&gt;&lt;key app="EN" db-id="20frpf5eyrpavaevz925sv9t29f5epa9pd2z"&gt;392&lt;/key&gt;&lt;/foreign-keys&gt;&lt;ref-type name="Book"&gt;6&lt;/ref-type&gt;&lt;contributors&gt;&lt;authors&gt;&lt;author&gt;Khattree, Ravindra&lt;/author&gt;&lt;author&gt;Naik, Dayanand K&lt;/author&gt;&lt;/authors&gt;&lt;/contributors&gt;&lt;titles&gt;&lt;title&gt;Multivariate Data Reduction and Discrimination with SAS Software&lt;/title&gt;&lt;/titles&gt;&lt;dates&gt;&lt;year&gt;2000&lt;/year&gt;&lt;/dates&gt;&lt;pub-location&gt;Cary, NC&lt;/pub-location&gt;&lt;publisher&gt;SAS Institute Inc.&lt;/publisher&gt;&lt;urls&gt;&lt;/urls&gt;&lt;/record&gt;&lt;/Cite&gt;&lt;/EndNote&gt;</w:instrText>
      </w:r>
      <w:r w:rsidR="003731B6" w:rsidRPr="006F3004">
        <w:fldChar w:fldCharType="separate"/>
      </w:r>
      <w:r w:rsidR="00316625" w:rsidRPr="006F3004">
        <w:rPr>
          <w:noProof/>
        </w:rPr>
        <w:t>(</w:t>
      </w:r>
      <w:hyperlink w:anchor="_ENREF_33" w:tooltip="Khattree, 2000 #392" w:history="1">
        <w:r w:rsidR="001633BC" w:rsidRPr="006F3004">
          <w:rPr>
            <w:noProof/>
          </w:rPr>
          <w:t>Khattree and Naik, 2000</w:t>
        </w:r>
      </w:hyperlink>
      <w:r w:rsidR="00316625" w:rsidRPr="006F3004">
        <w:rPr>
          <w:noProof/>
        </w:rPr>
        <w:t>)</w:t>
      </w:r>
      <w:r w:rsidR="003731B6" w:rsidRPr="006F3004">
        <w:fldChar w:fldCharType="end"/>
      </w:r>
      <w:r w:rsidR="00316625" w:rsidRPr="006F3004">
        <w:t>:</w:t>
      </w:r>
    </w:p>
    <w:p w:rsidR="00316625" w:rsidRPr="006F3004" w:rsidRDefault="000A04F3" w:rsidP="00316625">
      <w:pPr>
        <w:jc w:val="center"/>
        <w:rPr>
          <w:rFonts w:ascii="Times New Roman" w:hAnsi="Times New Roman"/>
          <w:b/>
          <w:i/>
        </w:rPr>
      </w:pPr>
      <w:proofErr w:type="gramStart"/>
      <w:r w:rsidRPr="006F3004">
        <w:rPr>
          <w:rFonts w:ascii="Times New Roman" w:hAnsi="Times New Roman"/>
          <w:i/>
        </w:rPr>
        <w:t>d</w:t>
      </w:r>
      <w:r w:rsidRPr="006F3004">
        <w:rPr>
          <w:rFonts w:ascii="Times New Roman" w:hAnsi="Times New Roman"/>
          <w:i/>
          <w:vertAlign w:val="superscript"/>
        </w:rPr>
        <w:t>2</w:t>
      </w:r>
      <w:proofErr w:type="gramEnd"/>
      <w:r w:rsidRPr="006F3004">
        <w:rPr>
          <w:rFonts w:ascii="Times New Roman" w:hAnsi="Times New Roman"/>
          <w:i/>
        </w:rPr>
        <w:t>(</w:t>
      </w:r>
      <w:r w:rsidRPr="006F3004">
        <w:rPr>
          <w:rFonts w:ascii="Times New Roman" w:hAnsi="Times New Roman"/>
          <w:b/>
          <w:i/>
        </w:rPr>
        <w:t>x</w:t>
      </w:r>
      <w:r w:rsidRPr="006F3004">
        <w:rPr>
          <w:rFonts w:ascii="Times New Roman" w:hAnsi="Times New Roman"/>
          <w:i/>
          <w:vertAlign w:val="subscript"/>
        </w:rPr>
        <w:t>1</w:t>
      </w:r>
      <w:r w:rsidRPr="006F3004">
        <w:rPr>
          <w:rFonts w:ascii="Times New Roman" w:hAnsi="Times New Roman"/>
          <w:i/>
        </w:rPr>
        <w:t>,</w:t>
      </w:r>
      <w:r w:rsidRPr="006F3004">
        <w:rPr>
          <w:rFonts w:ascii="Times New Roman" w:hAnsi="Times New Roman"/>
          <w:b/>
          <w:i/>
        </w:rPr>
        <w:t xml:space="preserve"> x</w:t>
      </w:r>
      <w:r w:rsidRPr="006F3004">
        <w:rPr>
          <w:rFonts w:ascii="Times New Roman" w:hAnsi="Times New Roman"/>
          <w:i/>
          <w:vertAlign w:val="subscript"/>
        </w:rPr>
        <w:t>2</w:t>
      </w:r>
      <w:r w:rsidRPr="006F3004">
        <w:rPr>
          <w:rFonts w:ascii="Times New Roman" w:hAnsi="Times New Roman"/>
          <w:i/>
        </w:rPr>
        <w:t>) = (</w:t>
      </w:r>
      <w:r w:rsidRPr="006F3004">
        <w:rPr>
          <w:rFonts w:ascii="Times New Roman" w:hAnsi="Times New Roman"/>
          <w:b/>
          <w:i/>
        </w:rPr>
        <w:t>x</w:t>
      </w:r>
      <w:r w:rsidRPr="006F3004">
        <w:rPr>
          <w:rFonts w:ascii="Times New Roman" w:hAnsi="Times New Roman"/>
          <w:i/>
          <w:vertAlign w:val="subscript"/>
        </w:rPr>
        <w:t xml:space="preserve">1 </w:t>
      </w:r>
      <w:r w:rsidRPr="006F3004">
        <w:rPr>
          <w:rFonts w:ascii="Times New Roman" w:hAnsi="Times New Roman"/>
          <w:i/>
        </w:rPr>
        <w:t xml:space="preserve">– </w:t>
      </w:r>
      <w:r w:rsidRPr="006F3004">
        <w:rPr>
          <w:rFonts w:ascii="Times New Roman" w:hAnsi="Times New Roman"/>
          <w:b/>
          <w:i/>
        </w:rPr>
        <w:t>x</w:t>
      </w:r>
      <w:r w:rsidRPr="006F3004">
        <w:rPr>
          <w:rFonts w:ascii="Times New Roman" w:hAnsi="Times New Roman"/>
          <w:i/>
          <w:vertAlign w:val="subscript"/>
        </w:rPr>
        <w:t>2</w:t>
      </w:r>
      <w:r w:rsidRPr="006F3004">
        <w:rPr>
          <w:rFonts w:ascii="Times New Roman" w:hAnsi="Times New Roman"/>
          <w:i/>
        </w:rPr>
        <w:t>)</w:t>
      </w:r>
      <w:r w:rsidRPr="006F3004">
        <w:rPr>
          <w:rFonts w:ascii="Times New Roman" w:hAnsi="Times New Roman"/>
          <w:i/>
        </w:rPr>
        <w:sym w:font="Symbol" w:char="F0A2"/>
      </w:r>
      <w:r w:rsidRPr="006F3004">
        <w:rPr>
          <w:rFonts w:ascii="Times New Roman" w:hAnsi="Times New Roman"/>
          <w:b/>
          <w:i/>
        </w:rPr>
        <w:t>V</w:t>
      </w:r>
      <w:r w:rsidRPr="006F3004">
        <w:rPr>
          <w:rFonts w:ascii="Times New Roman" w:hAnsi="Times New Roman"/>
          <w:i/>
          <w:vertAlign w:val="superscript"/>
        </w:rPr>
        <w:t>-1</w:t>
      </w:r>
      <w:r w:rsidRPr="006F3004">
        <w:rPr>
          <w:rFonts w:ascii="Times New Roman" w:hAnsi="Times New Roman"/>
          <w:i/>
        </w:rPr>
        <w:t>(</w:t>
      </w:r>
      <w:r w:rsidRPr="006F3004">
        <w:rPr>
          <w:rFonts w:ascii="Times New Roman" w:hAnsi="Times New Roman"/>
          <w:b/>
          <w:i/>
        </w:rPr>
        <w:t>x</w:t>
      </w:r>
      <w:r w:rsidRPr="006F3004">
        <w:rPr>
          <w:rFonts w:ascii="Times New Roman" w:hAnsi="Times New Roman"/>
          <w:i/>
          <w:vertAlign w:val="subscript"/>
        </w:rPr>
        <w:t>1</w:t>
      </w:r>
      <w:r w:rsidRPr="006F3004">
        <w:rPr>
          <w:rFonts w:ascii="Times New Roman" w:hAnsi="Times New Roman"/>
          <w:i/>
        </w:rPr>
        <w:t xml:space="preserve"> – </w:t>
      </w:r>
      <w:r w:rsidRPr="006F3004">
        <w:rPr>
          <w:rFonts w:ascii="Times New Roman" w:hAnsi="Times New Roman"/>
          <w:b/>
          <w:i/>
        </w:rPr>
        <w:t>x</w:t>
      </w:r>
      <w:r w:rsidRPr="006F3004">
        <w:rPr>
          <w:rFonts w:ascii="Times New Roman" w:hAnsi="Times New Roman"/>
          <w:i/>
          <w:vertAlign w:val="subscript"/>
        </w:rPr>
        <w:t>2</w:t>
      </w:r>
      <w:r w:rsidRPr="006F3004">
        <w:rPr>
          <w:rFonts w:ascii="Times New Roman" w:hAnsi="Times New Roman"/>
          <w:i/>
        </w:rPr>
        <w:t>)</w:t>
      </w:r>
    </w:p>
    <w:p w:rsidR="00066B07" w:rsidRPr="006F3004" w:rsidRDefault="000A04F3" w:rsidP="00066B07">
      <w:proofErr w:type="gramStart"/>
      <w:r w:rsidRPr="006F3004">
        <w:t>where</w:t>
      </w:r>
      <w:proofErr w:type="gramEnd"/>
      <w:r w:rsidRPr="006F3004">
        <w:t xml:space="preserve"> </w:t>
      </w:r>
      <w:r w:rsidRPr="006F3004">
        <w:rPr>
          <w:b/>
        </w:rPr>
        <w:t>x</w:t>
      </w:r>
      <w:r w:rsidRPr="006F3004">
        <w:rPr>
          <w:vertAlign w:val="subscript"/>
        </w:rPr>
        <w:t>1</w:t>
      </w:r>
      <w:r w:rsidRPr="006F3004">
        <w:t xml:space="preserve"> and </w:t>
      </w:r>
      <w:r w:rsidR="004E625C" w:rsidRPr="006F3004">
        <w:rPr>
          <w:b/>
        </w:rPr>
        <w:t>x</w:t>
      </w:r>
      <w:r w:rsidR="004E625C" w:rsidRPr="006F3004">
        <w:rPr>
          <w:vertAlign w:val="subscript"/>
        </w:rPr>
        <w:t xml:space="preserve">2 </w:t>
      </w:r>
      <w:r w:rsidR="004E625C" w:rsidRPr="006F3004">
        <w:t xml:space="preserve">are observation vectors and </w:t>
      </w:r>
      <w:r w:rsidR="004E625C" w:rsidRPr="006F3004">
        <w:rPr>
          <w:b/>
        </w:rPr>
        <w:t>V</w:t>
      </w:r>
      <w:r w:rsidR="004E625C" w:rsidRPr="006F3004">
        <w:t xml:space="preserve"> is the covariance matrix.</w:t>
      </w:r>
      <w:r w:rsidRPr="006F3004">
        <w:t xml:space="preserve">  </w:t>
      </w:r>
      <w:r w:rsidR="00066B07" w:rsidRPr="006F3004">
        <w:t>KNN p</w:t>
      </w:r>
      <w:r w:rsidRPr="006F3004">
        <w:t>osterior</w:t>
      </w:r>
      <w:r w:rsidR="00066B07" w:rsidRPr="006F3004">
        <w:t xml:space="preserve"> probabilities of group membership are calculated in SAS by the formula</w:t>
      </w:r>
      <w:r w:rsidR="00570482" w:rsidRPr="006F3004">
        <w:t xml:space="preserve"> </w:t>
      </w:r>
      <w:r w:rsidR="003731B6" w:rsidRPr="006F3004">
        <w:fldChar w:fldCharType="begin"/>
      </w:r>
      <w:r w:rsidR="00570482" w:rsidRPr="006F3004">
        <w:instrText xml:space="preserve"> ADDIN EN.CITE &lt;EndNote&gt;&lt;Cite&gt;&lt;Author&gt;Khattree&lt;/Author&gt;&lt;Year&gt;2000&lt;/Year&gt;&lt;RecNum&gt;392&lt;/RecNum&gt;&lt;DisplayText&gt;(Khattree and Naik, 2000)&lt;/DisplayText&gt;&lt;record&gt;&lt;rec-number&gt;392&lt;/rec-number&gt;&lt;foreign-keys&gt;&lt;key app="EN" db-id="20frpf5eyrpavaevz925sv9t29f5epa9pd2z"&gt;392&lt;/key&gt;&lt;/foreign-keys&gt;&lt;ref-type name="Book"&gt;6&lt;/ref-type&gt;&lt;contributors&gt;&lt;authors&gt;&lt;author&gt;Khattree, Ravindra&lt;/author&gt;&lt;author&gt;Naik, Dayanand K&lt;/author&gt;&lt;/authors&gt;&lt;/contributors&gt;&lt;titles&gt;&lt;title&gt;Multivariate Data Reduction and Discrimination with SAS Software&lt;/title&gt;&lt;/titles&gt;&lt;dates&gt;&lt;year&gt;2000&lt;/year&gt;&lt;/dates&gt;&lt;pub-location&gt;Cary, NC&lt;/pub-location&gt;&lt;publisher&gt;SAS Institute Inc.&lt;/publisher&gt;&lt;urls&gt;&lt;/urls&gt;&lt;/record&gt;&lt;/Cite&gt;&lt;/EndNote&gt;</w:instrText>
      </w:r>
      <w:r w:rsidR="003731B6" w:rsidRPr="006F3004">
        <w:fldChar w:fldCharType="separate"/>
      </w:r>
      <w:r w:rsidR="00570482" w:rsidRPr="006F3004">
        <w:rPr>
          <w:noProof/>
        </w:rPr>
        <w:t>(</w:t>
      </w:r>
      <w:hyperlink w:anchor="_ENREF_33" w:tooltip="Khattree, 2000 #392" w:history="1">
        <w:r w:rsidR="001633BC" w:rsidRPr="006F3004">
          <w:rPr>
            <w:noProof/>
          </w:rPr>
          <w:t>Khattree and Naik, 2000</w:t>
        </w:r>
      </w:hyperlink>
      <w:r w:rsidR="00570482" w:rsidRPr="006F3004">
        <w:rPr>
          <w:noProof/>
        </w:rPr>
        <w:t>)</w:t>
      </w:r>
      <w:r w:rsidR="003731B6" w:rsidRPr="006F3004">
        <w:fldChar w:fldCharType="end"/>
      </w:r>
      <w:r w:rsidR="00066B07" w:rsidRPr="006F3004">
        <w:t>:</w:t>
      </w:r>
    </w:p>
    <w:p w:rsidR="00066B07" w:rsidRPr="006F3004" w:rsidRDefault="000A04F3" w:rsidP="00066B07">
      <w:pPr>
        <w:jc w:val="center"/>
      </w:pPr>
      <w:r w:rsidRPr="006F3004">
        <w:rPr>
          <w:position w:val="-58"/>
        </w:rPr>
        <w:object w:dxaOrig="110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15pt;height:64.35pt" o:ole="">
            <v:imagedata r:id="rId9" r:pict="rId10" o:title=""/>
          </v:shape>
          <o:OLEObject Type="Embed" ProgID="Equation.3" ShapeID="_x0000_i1025" DrawAspect="Content" ObjectID="_1301725099" r:id="rId11"/>
        </w:object>
      </w:r>
    </w:p>
    <w:p w:rsidR="00066B07" w:rsidRDefault="004E625C" w:rsidP="000D334D">
      <w:pPr>
        <w:rPr>
          <w:u w:val="single"/>
        </w:rPr>
      </w:pPr>
      <w:proofErr w:type="gramStart"/>
      <w:r w:rsidRPr="006F3004">
        <w:t>where</w:t>
      </w:r>
      <w:proofErr w:type="gramEnd"/>
      <w:r w:rsidRPr="006F3004">
        <w:t xml:space="preserve"> </w:t>
      </w:r>
      <w:r w:rsidRPr="006F3004">
        <w:rPr>
          <w:i/>
        </w:rPr>
        <w:sym w:font="Symbol" w:char="F070"/>
      </w:r>
      <w:r w:rsidRPr="006F3004">
        <w:rPr>
          <w:i/>
          <w:vertAlign w:val="subscript"/>
        </w:rPr>
        <w:t>i</w:t>
      </w:r>
      <w:r w:rsidRPr="006F3004">
        <w:t xml:space="preserve"> is the prior probability of belonging to group </w:t>
      </w:r>
      <w:r w:rsidRPr="006F3004">
        <w:rPr>
          <w:i/>
        </w:rPr>
        <w:t>i</w:t>
      </w:r>
      <w:r w:rsidRPr="006F3004">
        <w:t xml:space="preserve">, </w:t>
      </w:r>
      <w:r w:rsidRPr="006F3004">
        <w:rPr>
          <w:i/>
        </w:rPr>
        <w:t>k</w:t>
      </w:r>
      <w:r w:rsidRPr="006F3004">
        <w:rPr>
          <w:i/>
          <w:vertAlign w:val="subscript"/>
        </w:rPr>
        <w:t>i</w:t>
      </w:r>
      <w:r w:rsidRPr="006F3004">
        <w:t xml:space="preserve"> is the number of observations amongst the k nearest neighbors belonging to group </w:t>
      </w:r>
      <w:r w:rsidRPr="006F3004">
        <w:rPr>
          <w:i/>
        </w:rPr>
        <w:t>i</w:t>
      </w:r>
      <w:r w:rsidRPr="006F3004">
        <w:t xml:space="preserve">, and </w:t>
      </w:r>
      <w:r w:rsidRPr="006F3004">
        <w:rPr>
          <w:i/>
        </w:rPr>
        <w:t>n</w:t>
      </w:r>
      <w:r w:rsidRPr="006F3004">
        <w:rPr>
          <w:i/>
          <w:vertAlign w:val="subscript"/>
        </w:rPr>
        <w:t>i</w:t>
      </w:r>
      <w:r w:rsidRPr="006F3004">
        <w:t xml:space="preserve"> is the total number of observations in group </w:t>
      </w:r>
      <w:r w:rsidRPr="006F3004">
        <w:rPr>
          <w:i/>
        </w:rPr>
        <w:t>i</w:t>
      </w:r>
      <w:r w:rsidRPr="006F3004">
        <w:t xml:space="preserve">.   </w:t>
      </w:r>
      <w:r w:rsidR="00570482" w:rsidRPr="006F3004">
        <w:t xml:space="preserve">SAS </w:t>
      </w:r>
      <w:r w:rsidR="00066B07" w:rsidRPr="006F3004">
        <w:t>classifies the observation in</w:t>
      </w:r>
      <w:r w:rsidR="00570482" w:rsidRPr="006F3004">
        <w:t>to</w:t>
      </w:r>
      <w:r w:rsidR="00066B07" w:rsidRPr="006F3004">
        <w:t xml:space="preserve"> the group to which it has the greatest posterior probability of belonging.</w:t>
      </w:r>
      <w:r w:rsidR="00066B07" w:rsidRPr="00066B07">
        <w:t xml:space="preserve">  </w:t>
      </w:r>
      <w:r w:rsidR="00F933F5">
        <w:t xml:space="preserve">In the case where </w:t>
      </w:r>
      <w:r w:rsidR="00F933F5">
        <w:rPr>
          <w:i/>
        </w:rPr>
        <w:t>k</w:t>
      </w:r>
      <w:r w:rsidR="00F933F5">
        <w:t>=1 an observation would be classified into the group that its single closest neighboring observation belongs to</w:t>
      </w:r>
      <w:r w:rsidR="00EA5C63">
        <w:t>.</w:t>
      </w:r>
      <w:r w:rsidR="00DA116A">
        <w:t xml:space="preserve">  When </w:t>
      </w:r>
      <w:r w:rsidR="00DA116A">
        <w:rPr>
          <w:i/>
        </w:rPr>
        <w:t>k</w:t>
      </w:r>
      <w:r w:rsidR="00DA116A">
        <w:t xml:space="preserve">&gt;1 an observation in question is classified into the group that is most common among its </w:t>
      </w:r>
      <w:r w:rsidR="00DA116A">
        <w:rPr>
          <w:i/>
        </w:rPr>
        <w:t xml:space="preserve">k </w:t>
      </w:r>
      <w:r w:rsidR="00DA116A">
        <w:t>nearest neighbors</w:t>
      </w:r>
      <w:r w:rsidR="003F42D9">
        <w:t xml:space="preserve"> </w:t>
      </w:r>
      <w:r w:rsidR="003731B6">
        <w:fldChar w:fldCharType="begin"/>
      </w:r>
      <w:r w:rsidR="003F42D9">
        <w:instrText xml:space="preserve"> ADDIN EN.CITE &lt;EndNote&gt;&lt;Cite&gt;&lt;Author&gt;Rencher&lt;/Author&gt;&lt;Year&gt;2002&lt;/Year&gt;&lt;RecNum&gt;91&lt;/RecNum&gt;&lt;DisplayText&gt;(Rencher, 2002; Huberty and Olejnik, 2006)&lt;/DisplayText&gt;&lt;record&gt;&lt;rec-number&gt;91&lt;/rec-number&gt;&lt;foreign-keys&gt;&lt;key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Sons&lt;/publisher&gt;&lt;urls&gt;&lt;/urls&gt;&lt;/record&gt;&lt;/Cite&gt;&lt;Cite&gt;&lt;Author&gt;Huberty&lt;/Author&gt;&lt;Year&gt;2006&lt;/Year&gt;&lt;RecNum&gt;85&lt;/RecNum&gt;&lt;record&gt;&lt;rec-number&gt;85&lt;/rec-number&gt;&lt;foreign-keys&gt;&lt;key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sidR="003F42D9">
        <w:rPr>
          <w:noProof/>
        </w:rPr>
        <w:t>(</w:t>
      </w:r>
      <w:hyperlink w:anchor="_ENREF_48" w:tooltip="Rencher, 2002 #91" w:history="1">
        <w:r w:rsidR="001633BC">
          <w:rPr>
            <w:noProof/>
          </w:rPr>
          <w:t>Rencher, 2002</w:t>
        </w:r>
      </w:hyperlink>
      <w:r w:rsidR="003F42D9">
        <w:rPr>
          <w:noProof/>
        </w:rPr>
        <w:t xml:space="preserve">; </w:t>
      </w:r>
      <w:hyperlink w:anchor="_ENREF_27" w:tooltip="Huberty, 2006 #85" w:history="1">
        <w:r w:rsidR="001633BC">
          <w:rPr>
            <w:noProof/>
          </w:rPr>
          <w:t>Huberty and Olejnik, 2006</w:t>
        </w:r>
      </w:hyperlink>
      <w:r w:rsidR="003F42D9">
        <w:rPr>
          <w:noProof/>
        </w:rPr>
        <w:t>)</w:t>
      </w:r>
      <w:r w:rsidR="003731B6">
        <w:fldChar w:fldCharType="end"/>
      </w:r>
      <w:r w:rsidR="00DA116A">
        <w:t>.</w:t>
      </w:r>
      <w:r w:rsidR="00CB722B">
        <w:t xml:space="preserve">  Thus, KNN</w:t>
      </w:r>
      <w:r w:rsidR="00956315">
        <w:t xml:space="preserve"> analysis assumes that observations from the same group are close to one another in multivariate space.</w:t>
      </w:r>
    </w:p>
    <w:p w:rsidR="00B27043" w:rsidRPr="002D7B4A" w:rsidRDefault="00066B07" w:rsidP="00066B07">
      <w:r>
        <w:tab/>
      </w:r>
      <w:r w:rsidR="000136F5">
        <w:t xml:space="preserve">The researcher chooses the value of </w:t>
      </w:r>
      <w:r w:rsidR="000136F5">
        <w:rPr>
          <w:i/>
        </w:rPr>
        <w:t>k</w:t>
      </w:r>
      <w:r w:rsidR="000136F5">
        <w:t xml:space="preserve">.  </w:t>
      </w:r>
      <w:r w:rsidR="00B03BD5">
        <w:t xml:space="preserve">If </w:t>
      </w:r>
      <w:r w:rsidR="00B03BD5">
        <w:rPr>
          <w:i/>
        </w:rPr>
        <w:t>k</w:t>
      </w:r>
      <w:r w:rsidR="00B03BD5">
        <w:t xml:space="preserve"> is too large then observations that are more distant from the one being classified, and theoretically less similar, will be considered.  Researchers should seek to keep </w:t>
      </w:r>
      <w:r w:rsidR="00B03BD5">
        <w:rPr>
          <w:i/>
        </w:rPr>
        <w:t>k</w:t>
      </w:r>
      <w:r w:rsidR="00B03BD5">
        <w:t xml:space="preserve"> small so that very close observations are used for the classification </w:t>
      </w:r>
      <w:r w:rsidR="003731B6">
        <w:fldChar w:fldCharType="begin"/>
      </w:r>
      <w:r w:rsidR="00B03BD5">
        <w:instrText xml:space="preserve"> ADDIN EN.CITE &lt;EndNote&gt;&lt;Cite&gt;&lt;Author&gt;Huberty&lt;/Author&gt;&lt;Year&gt;2006&lt;/Year&gt;&lt;RecNum&gt;85&lt;/RecNum&gt;&lt;DisplayText&gt;(Huberty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sidR="00B03BD5">
        <w:rPr>
          <w:noProof/>
        </w:rPr>
        <w:t>(</w:t>
      </w:r>
      <w:hyperlink w:anchor="_ENREF_27" w:tooltip="Huberty, 2006 #85" w:history="1">
        <w:r w:rsidR="001633BC">
          <w:rPr>
            <w:noProof/>
          </w:rPr>
          <w:t>Huberty and Olejnik, 2006</w:t>
        </w:r>
      </w:hyperlink>
      <w:r w:rsidR="00B03BD5">
        <w:rPr>
          <w:noProof/>
        </w:rPr>
        <w:t>)</w:t>
      </w:r>
      <w:r w:rsidR="003731B6">
        <w:fldChar w:fldCharType="end"/>
      </w:r>
      <w:r w:rsidR="00B03BD5">
        <w:t xml:space="preserve">.  There is not an optimal value that can be generalized across analyses.  If a researcher is unsure about which value of </w:t>
      </w:r>
      <w:r w:rsidR="00B03BD5">
        <w:rPr>
          <w:i/>
        </w:rPr>
        <w:t>k</w:t>
      </w:r>
      <w:r w:rsidR="00B03BD5">
        <w:t xml:space="preserve"> to use, they may test multiple values and select the one that classifies the best </w:t>
      </w:r>
      <w:r w:rsidR="003731B6">
        <w:fldChar w:fldCharType="begin"/>
      </w:r>
      <w:r w:rsidR="00EE2156">
        <w:instrText xml:space="preserve"> ADDIN EN.CITE &lt;EndNote&gt;&lt;Cite&gt;&lt;Author&gt;Huberty&lt;/Author&gt;&lt;Year&gt;2006&lt;/Year&gt;&lt;RecNum&gt;85&lt;/RecNum&gt;&lt;DisplayText&gt;(Rencher, 2002; 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Sons&lt;/publisher&gt;&lt;urls&gt;&lt;/urls&gt;&lt;/record&gt;&lt;/Cite&gt;&lt;Cite&gt;&lt;Author&gt;Rencher&lt;/Author&gt;&lt;Year&gt;2002&lt;/Year&gt;&lt;RecNum&gt;91&lt;/RecNum&gt;&lt;record&gt;&lt;rec-number&gt;91&lt;/rec-number&gt;&lt;foreign-keys&gt;&lt;key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sidR="00EE2156">
        <w:rPr>
          <w:noProof/>
        </w:rPr>
        <w:t>(</w:t>
      </w:r>
      <w:hyperlink w:anchor="_ENREF_48" w:tooltip="Rencher, 2002 #91" w:history="1">
        <w:r w:rsidR="001633BC">
          <w:rPr>
            <w:noProof/>
          </w:rPr>
          <w:t>Rencher, 2002</w:t>
        </w:r>
      </w:hyperlink>
      <w:r w:rsidR="00EE2156">
        <w:rPr>
          <w:noProof/>
        </w:rPr>
        <w:t xml:space="preserve">; </w:t>
      </w:r>
      <w:hyperlink w:anchor="_ENREF_27" w:tooltip="Huberty, 2006 #85" w:history="1">
        <w:r w:rsidR="001633BC">
          <w:rPr>
            <w:noProof/>
          </w:rPr>
          <w:t>Huberty and Olejnik, 2006</w:t>
        </w:r>
      </w:hyperlink>
      <w:r w:rsidR="00EE2156">
        <w:rPr>
          <w:noProof/>
        </w:rPr>
        <w:t>)</w:t>
      </w:r>
      <w:r w:rsidR="003731B6">
        <w:fldChar w:fldCharType="end"/>
      </w:r>
      <w:r w:rsidR="00EE2156">
        <w:t>.</w:t>
      </w:r>
      <w:r w:rsidR="002D7B4A">
        <w:t xml:space="preserve">  In this analysis </w:t>
      </w:r>
      <w:r w:rsidR="002D7B4A">
        <w:rPr>
          <w:i/>
        </w:rPr>
        <w:t>k</w:t>
      </w:r>
      <w:r w:rsidR="002D7B4A">
        <w:t xml:space="preserve">=3 was used.  Results for </w:t>
      </w:r>
      <w:r w:rsidR="002D7B4A">
        <w:rPr>
          <w:i/>
        </w:rPr>
        <w:t>k=</w:t>
      </w:r>
      <w:r w:rsidR="002D7B4A">
        <w:t xml:space="preserve">1 were also assessed because of the strong performance reported by </w:t>
      </w:r>
      <w:r w:rsidR="003731B6">
        <w:fldChar w:fldCharType="begin"/>
      </w:r>
      <w:r w:rsidR="00EB0C79">
        <w:instrText xml:space="preserve"> ADDIN EN.CITE &lt;EndNote&gt;&lt;Cite AuthorYear="1"&gt;&lt;Author&gt;Ousley&lt;/Author&gt;&lt;Year&gt;2009&lt;/Year&gt;&lt;RecNum&gt;63&lt;/RecNum&gt;&lt;DisplayText&gt;Ousley&lt;style face="italic"&gt; et al.&lt;/style&gt; (2009)&lt;/DisplayText&gt;&lt;record&gt;&lt;rec-number&gt;63&lt;/rec-number&gt;&lt;foreign-keys&gt;&lt;key app="EN" db-id="20frpf5eyrpavaevz925sv9t29f5epa9pd2z"&gt;63&lt;/key&gt;&lt;/foreign-keys&gt;&lt;ref-type name="Journal Article"&gt;17&lt;/ref-type&gt;&lt;contributors&gt;&lt;authors&gt;&lt;author&gt;Ousley, Stephen&lt;/author&gt;&lt;author&gt;Jantz, Richard&lt;/author&gt;&lt;author&gt;Freid, Donna&lt;/author&gt;&lt;/authors&gt;&lt;/contributors&gt;&lt;titles&gt;&lt;title&gt;Understanding race and human variation: why forensic anthropologists are good at identifying race&lt;/title&gt;&lt;secondary-title&gt;American Journal of Physical Anthropology&lt;/secondary-title&gt;&lt;/titles&gt;&lt;periodical&gt;&lt;full-title&gt;American Journal of Physical Anthropology&lt;/full-title&gt;&lt;/periodical&gt;&lt;pages&gt;68-76&lt;/pages&gt;&lt;volume&gt;139&lt;/volume&gt;&lt;dates&gt;&lt;year&gt;2009&lt;/year&gt;&lt;/dates&gt;&lt;urls&gt;&lt;/urls&gt;&lt;/record&gt;&lt;/Cite&gt;&lt;/EndNote&gt;</w:instrText>
      </w:r>
      <w:r w:rsidR="003731B6">
        <w:fldChar w:fldCharType="separate"/>
      </w:r>
      <w:hyperlink w:anchor="_ENREF_42" w:tooltip="Ousley, 2009 #63" w:history="1">
        <w:r w:rsidR="001633BC">
          <w:rPr>
            <w:noProof/>
          </w:rPr>
          <w:t>Ousley</w:t>
        </w:r>
        <w:r w:rsidR="001633BC" w:rsidRPr="00EB0C79">
          <w:rPr>
            <w:i/>
            <w:noProof/>
          </w:rPr>
          <w:t xml:space="preserve"> et al.</w:t>
        </w:r>
        <w:r w:rsidR="001633BC">
          <w:rPr>
            <w:noProof/>
          </w:rPr>
          <w:t xml:space="preserve"> (2009</w:t>
        </w:r>
      </w:hyperlink>
      <w:r w:rsidR="00EB0C79">
        <w:rPr>
          <w:noProof/>
        </w:rPr>
        <w:t>)</w:t>
      </w:r>
      <w:r w:rsidR="003731B6">
        <w:fldChar w:fldCharType="end"/>
      </w:r>
      <w:r w:rsidR="002D7B4A">
        <w:t>.</w:t>
      </w:r>
    </w:p>
    <w:p w:rsidR="009B3D17" w:rsidRDefault="00B27043" w:rsidP="00B27043">
      <w:pPr>
        <w:pStyle w:val="Heading3"/>
      </w:pPr>
      <w:bookmarkStart w:id="58" w:name="_Toc222419124"/>
      <w:bookmarkStart w:id="59" w:name="_Toc227982495"/>
      <w:r>
        <w:t>Classification Trees</w:t>
      </w:r>
      <w:bookmarkEnd w:id="58"/>
      <w:bookmarkEnd w:id="59"/>
    </w:p>
    <w:p w:rsidR="005661F6" w:rsidRDefault="005C31C4" w:rsidP="005B796D">
      <w:r>
        <w:tab/>
        <w:t xml:space="preserve">Classification trees </w:t>
      </w:r>
      <w:r w:rsidR="00AA4418">
        <w:t xml:space="preserve">are non-parametric procedures that classify observations by </w:t>
      </w:r>
      <w:r w:rsidR="00002BB2">
        <w:t xml:space="preserve">repeatedly </w:t>
      </w:r>
      <w:r w:rsidR="00AA4418">
        <w:t>partitioning the data into subsets</w:t>
      </w:r>
      <w:r w:rsidR="00002BB2">
        <w:t xml:space="preserve"> through a series of decisions</w:t>
      </w:r>
      <w:r w:rsidR="00E6285D">
        <w:t xml:space="preserve"> </w:t>
      </w:r>
      <w:r w:rsidR="003731B6">
        <w:fldChar w:fldCharType="begin"/>
      </w:r>
      <w:r w:rsidR="00EB0C79">
        <w:instrText xml:space="preserve"> ADDIN EN.CITE &lt;EndNote&gt;&lt;Cite&gt;&lt;Author&gt;Breiman&lt;/Author&gt;&lt;Year&gt;1984&lt;/Year&gt;&lt;RecNum&gt;93&lt;/RecNum&gt;&lt;DisplayText&gt;(Breiman&lt;style face="italic"&gt; et al.&lt;/style&gt;, 1984)&lt;/DisplayText&gt;&lt;record&gt;&lt;rec-number&gt;93&lt;/rec-number&gt;&lt;foreign-keys&gt;&lt;key app="EN" db-id="20frpf5eyrpavaevz925sv9t29f5epa9pd2z"&gt;93&lt;/key&gt;&lt;/foreign-keys&gt;&lt;ref-type name="Book"&gt;6&lt;/ref-type&gt;&lt;contributors&gt;&lt;authors&gt;&lt;author&gt;Breiman, Leo&lt;/author&gt;&lt;author&gt;Friedman, Jerome H.&lt;/author&gt;&lt;author&gt;Olshen, Richard A.&lt;/author&gt;&lt;author&gt;Stone, Charles L.&lt;/author&gt;&lt;/authors&gt;&lt;/contributors&gt;&lt;titles&gt;&lt;title&gt;Classification and regression trees&lt;/title&gt;&lt;/titles&gt;&lt;dates&gt;&lt;year&gt;1984&lt;/year&gt;&lt;/dates&gt;&lt;pub-location&gt;Belmont, CA&lt;/pub-location&gt;&lt;publisher&gt;Wadsworth&lt;/publisher&gt;&lt;urls&gt;&lt;/urls&gt;&lt;/record&gt;&lt;/Cite&gt;&lt;/EndNote&gt;</w:instrText>
      </w:r>
      <w:r w:rsidR="003731B6">
        <w:fldChar w:fldCharType="separate"/>
      </w:r>
      <w:r w:rsidR="00EB0C79">
        <w:rPr>
          <w:noProof/>
        </w:rPr>
        <w:t>(</w:t>
      </w:r>
      <w:hyperlink w:anchor="_ENREF_9" w:tooltip="Breiman, 1984 #93" w:history="1">
        <w:r w:rsidR="001633BC">
          <w:rPr>
            <w:noProof/>
          </w:rPr>
          <w:t>Breiman</w:t>
        </w:r>
        <w:r w:rsidR="001633BC" w:rsidRPr="00EB0C79">
          <w:rPr>
            <w:i/>
            <w:noProof/>
          </w:rPr>
          <w:t xml:space="preserve"> et al.</w:t>
        </w:r>
        <w:r w:rsidR="001633BC">
          <w:rPr>
            <w:noProof/>
          </w:rPr>
          <w:t>, 1984</w:t>
        </w:r>
      </w:hyperlink>
      <w:r w:rsidR="00EB0C79">
        <w:rPr>
          <w:noProof/>
        </w:rPr>
        <w:t>)</w:t>
      </w:r>
      <w:r w:rsidR="003731B6">
        <w:fldChar w:fldCharType="end"/>
      </w:r>
      <w:r w:rsidR="00AA4418">
        <w:t>.</w:t>
      </w:r>
      <w:r w:rsidR="00E6285D">
        <w:t xml:space="preserve">  </w:t>
      </w:r>
      <w:r w:rsidR="004C266D">
        <w:t xml:space="preserve">The goal is to create final subsets that are homogenous with respect to the group or class variable.  </w:t>
      </w:r>
      <w:r w:rsidR="00C14721">
        <w:t>Classification</w:t>
      </w:r>
      <w:r w:rsidR="004C266D">
        <w:t xml:space="preserve"> trees </w:t>
      </w:r>
      <w:r w:rsidR="00B82012">
        <w:t>start</w:t>
      </w:r>
      <w:r w:rsidR="00E6285D">
        <w:t xml:space="preserve"> with all of the observations grouped together in one node, referred to as the root node.</w:t>
      </w:r>
      <w:r w:rsidR="004C266D">
        <w:t xml:space="preserve">  </w:t>
      </w:r>
      <w:r w:rsidR="00575B22">
        <w:t>All of the predictor variables are evaluated to determine which can be used to split the root node into groups that best separate the classes.</w:t>
      </w:r>
      <w:r w:rsidR="009260B3">
        <w:t xml:space="preserve">  The best split is determined by evaluating a measure of impurity that quantifies the class makeup of each node.  The impurity measure is maximized when all of the classes are equally mixed in a node and minimized when a node contains only one class </w:t>
      </w:r>
      <w:r w:rsidR="003731B6">
        <w:fldChar w:fldCharType="begin"/>
      </w:r>
      <w:r w:rsidR="00EB0C79">
        <w:instrText xml:space="preserve"> ADDIN EN.CITE &lt;EndNote&gt;&lt;Cite&gt;&lt;Author&gt;Breiman&lt;/Author&gt;&lt;Year&gt;1984&lt;/Year&gt;&lt;RecNum&gt;93&lt;/RecNum&gt;&lt;DisplayText&gt;(Breiman&lt;style face="italic"&gt; et al.&lt;/style&gt;, 1984)&lt;/DisplayText&gt;&lt;record&gt;&lt;rec-number&gt;93&lt;/rec-number&gt;&lt;foreign-keys&gt;&lt;key app="EN" db-id="20frpf5eyrpavaevz925sv9t29f5epa9pd2z"&gt;93&lt;/key&gt;&lt;/foreign-keys&gt;&lt;ref-type name="Book"&gt;6&lt;/ref-type&gt;&lt;contributors&gt;&lt;authors&gt;&lt;author&gt;Breiman, Leo&lt;/author&gt;&lt;author&gt;Friedman, Jerome H.&lt;/author&gt;&lt;author&gt;Olshen, Richard A.&lt;/author&gt;&lt;author&gt;Stone, Charles L.&lt;/author&gt;&lt;/authors&gt;&lt;/contributors&gt;&lt;titles&gt;&lt;title&gt;Classification and regression trees&lt;/title&gt;&lt;/titles&gt;&lt;dates&gt;&lt;year&gt;1984&lt;/year&gt;&lt;/dates&gt;&lt;pub-location&gt;Belmont, CA&lt;/pub-location&gt;&lt;publisher&gt;Wadsworth&lt;/publisher&gt;&lt;urls&gt;&lt;/urls&gt;&lt;/record&gt;&lt;/Cite&gt;&lt;/EndNote&gt;</w:instrText>
      </w:r>
      <w:r w:rsidR="003731B6">
        <w:fldChar w:fldCharType="separate"/>
      </w:r>
      <w:r w:rsidR="00EB0C79">
        <w:rPr>
          <w:noProof/>
        </w:rPr>
        <w:t>(</w:t>
      </w:r>
      <w:hyperlink w:anchor="_ENREF_9" w:tooltip="Breiman, 1984 #93" w:history="1">
        <w:r w:rsidR="001633BC">
          <w:rPr>
            <w:noProof/>
          </w:rPr>
          <w:t>Breiman</w:t>
        </w:r>
        <w:r w:rsidR="001633BC" w:rsidRPr="00EB0C79">
          <w:rPr>
            <w:i/>
            <w:noProof/>
          </w:rPr>
          <w:t xml:space="preserve"> et al.</w:t>
        </w:r>
        <w:r w:rsidR="001633BC">
          <w:rPr>
            <w:noProof/>
          </w:rPr>
          <w:t>, 1984</w:t>
        </w:r>
      </w:hyperlink>
      <w:r w:rsidR="00EB0C79">
        <w:rPr>
          <w:noProof/>
        </w:rPr>
        <w:t>)</w:t>
      </w:r>
      <w:r w:rsidR="003731B6">
        <w:fldChar w:fldCharType="end"/>
      </w:r>
      <w:r w:rsidR="009260B3">
        <w:t>.  The chosen split is the one that most gr</w:t>
      </w:r>
      <w:r w:rsidR="00F063FB">
        <w:t>eatly reduces the impurity</w:t>
      </w:r>
      <w:r w:rsidR="009260B3">
        <w:t>.</w:t>
      </w:r>
    </w:p>
    <w:p w:rsidR="00925166" w:rsidRDefault="005661F6" w:rsidP="005B796D">
      <w:r>
        <w:tab/>
        <w:t>To choose a split rule the tree al</w:t>
      </w:r>
      <w:r w:rsidR="00A15884">
        <w:t>gorithm evaluates each variable</w:t>
      </w:r>
      <w:r>
        <w:t xml:space="preserve"> one-by-one.  It determines a value on each variable that would provide the best split.  Next</w:t>
      </w:r>
      <w:r w:rsidR="002D7B4A">
        <w:t>,</w:t>
      </w:r>
      <w:r>
        <w:t xml:space="preserve"> it compares the splits for each variable to determine which does best and selects that variable</w:t>
      </w:r>
      <w:r w:rsidR="00FA7096">
        <w:t xml:space="preserve"> </w:t>
      </w:r>
      <w:r w:rsidR="003731B6">
        <w:fldChar w:fldCharType="begin"/>
      </w:r>
      <w:r w:rsidR="00EB0C79">
        <w:instrText xml:space="preserve"> ADDIN EN.CITE &lt;EndNote&gt;&lt;Cite&gt;&lt;Author&gt;Breiman&lt;/Author&gt;&lt;Year&gt;1984&lt;/Year&gt;&lt;RecNum&gt;93&lt;/RecNum&gt;&lt;DisplayText&gt;(Breiman&lt;style face="italic"&gt; et al.&lt;/style&gt;, 1984)&lt;/DisplayText&gt;&lt;record&gt;&lt;rec-number&gt;93&lt;/rec-number&gt;&lt;foreign-keys&gt;&lt;key app="EN" db-id="20frpf5eyrpavaevz925sv9t29f5epa9pd2z"&gt;93&lt;/key&gt;&lt;/foreign-keys&gt;&lt;ref-type name="Book"&gt;6&lt;/ref-type&gt;&lt;contributors&gt;&lt;authors&gt;&lt;author&gt;Breiman, Leo&lt;/author&gt;&lt;author&gt;Friedman, Jerome H.&lt;/author&gt;&lt;author&gt;Olshen, Richard A.&lt;/author&gt;&lt;author&gt;Stone, Charles L.&lt;/author&gt;&lt;/authors&gt;&lt;/contributors&gt;&lt;titles&gt;&lt;title&gt;Classification and regression trees&lt;/title&gt;&lt;/titles&gt;&lt;dates&gt;&lt;year&gt;1984&lt;/year&gt;&lt;/dates&gt;&lt;pub-location&gt;Belmont, CA&lt;/pub-location&gt;&lt;publisher&gt;Wadsworth&lt;/publisher&gt;&lt;urls&gt;&lt;/urls&gt;&lt;/record&gt;&lt;/Cite&gt;&lt;/EndNote&gt;</w:instrText>
      </w:r>
      <w:r w:rsidR="003731B6">
        <w:fldChar w:fldCharType="separate"/>
      </w:r>
      <w:r w:rsidR="00EB0C79">
        <w:rPr>
          <w:noProof/>
        </w:rPr>
        <w:t>(</w:t>
      </w:r>
      <w:hyperlink w:anchor="_ENREF_9" w:tooltip="Breiman, 1984 #93" w:history="1">
        <w:r w:rsidR="001633BC">
          <w:rPr>
            <w:noProof/>
          </w:rPr>
          <w:t>Breiman</w:t>
        </w:r>
        <w:r w:rsidR="001633BC" w:rsidRPr="00EB0C79">
          <w:rPr>
            <w:i/>
            <w:noProof/>
          </w:rPr>
          <w:t xml:space="preserve"> et al.</w:t>
        </w:r>
        <w:r w:rsidR="001633BC">
          <w:rPr>
            <w:noProof/>
          </w:rPr>
          <w:t>, 1984</w:t>
        </w:r>
      </w:hyperlink>
      <w:r w:rsidR="00EB0C79">
        <w:rPr>
          <w:noProof/>
        </w:rPr>
        <w:t>)</w:t>
      </w:r>
      <w:r w:rsidR="003731B6">
        <w:fldChar w:fldCharType="end"/>
      </w:r>
      <w:r>
        <w:t>.</w:t>
      </w:r>
      <w:r w:rsidR="005C4DA1">
        <w:t xml:space="preserve">  </w:t>
      </w:r>
    </w:p>
    <w:p w:rsidR="00E31984" w:rsidRDefault="005C4DA1" w:rsidP="00925166">
      <w:pPr>
        <w:ind w:firstLine="720"/>
      </w:pPr>
      <w:r>
        <w:t>A classification tree can construct binary or multino</w:t>
      </w:r>
      <w:r w:rsidR="00015C6D">
        <w:t>mial splits.  This analysis uses</w:t>
      </w:r>
      <w:r>
        <w:t xml:space="preserve"> binary splits.  </w:t>
      </w:r>
      <w:r w:rsidR="00376F37">
        <w:t>Therefore</w:t>
      </w:r>
      <w:r w:rsidR="00B33D34">
        <w:t>,</w:t>
      </w:r>
      <w:r>
        <w:t xml:space="preserve"> a left and a right node are created</w:t>
      </w:r>
      <w:r w:rsidR="00B33D34">
        <w:t xml:space="preserve"> each time a node is split</w:t>
      </w:r>
      <w:r>
        <w:t xml:space="preserve">.  </w:t>
      </w:r>
      <w:r w:rsidR="00347686">
        <w:t xml:space="preserve">The new nodes’ impurities are evaluated as well as another set of split decisions for each node.  If the node’s impurity can be reduced, then the split process is repeated.  However, if the impurity cannot be significantly improved, then the splitting is stopped and the node becomes a terminal node.  </w:t>
      </w:r>
      <w:r w:rsidR="00296AC8">
        <w:t>The terminal node is assigned a class equal to that of the class with the highest proportion of observations in the node.</w:t>
      </w:r>
      <w:r w:rsidR="009C1AFD">
        <w:t xml:space="preserve">  All of the observations in a terminal node are predicted as belonging </w:t>
      </w:r>
      <w:r w:rsidR="00925166">
        <w:t>to the class associated with that</w:t>
      </w:r>
      <w:r w:rsidR="009C1AFD">
        <w:t xml:space="preserve"> node.</w:t>
      </w:r>
      <w:r w:rsidR="00B256D7">
        <w:t xml:space="preserve">  A new observation is classified by subjecting it to the decisions, or split rules, of the tree until the observation reaches a terminal node.</w:t>
      </w:r>
    </w:p>
    <w:p w:rsidR="001B7181" w:rsidRDefault="003731B6" w:rsidP="00925166">
      <w:pPr>
        <w:ind w:firstLine="720"/>
      </w:pPr>
      <w:r>
        <w:fldChar w:fldCharType="begin"/>
      </w:r>
      <w:r w:rsidR="00EB0C79">
        <w:instrText xml:space="preserve"> ADDIN EN.CITE &lt;EndNote&gt;&lt;Cite AuthorYear="1"&gt;&lt;Author&gt;Breiman&lt;/Author&gt;&lt;Year&gt;1984&lt;/Year&gt;&lt;RecNum&gt;93&lt;/RecNum&gt;&lt;DisplayText&gt;Breiman&lt;style face="italic"&gt; et al.&lt;/style&gt; (1984)&lt;/DisplayText&gt;&lt;record&gt;&lt;rec-number&gt;93&lt;/rec-number&gt;&lt;foreign-keys&gt;&lt;key app="EN" db-id="20frpf5eyrpavaevz925sv9t29f5epa9pd2z"&gt;93&lt;/key&gt;&lt;/foreign-keys&gt;&lt;ref-type name="Book"&gt;6&lt;/ref-type&gt;&lt;contributors&gt;&lt;authors&gt;&lt;author&gt;Breiman, Leo&lt;/author&gt;&lt;author&gt;Friedman, Jerome H.&lt;/author&gt;&lt;author&gt;Olshen, Richard A.&lt;/author&gt;&lt;author&gt;Stone, Charles L.&lt;/author&gt;&lt;/authors&gt;&lt;/contributors&gt;&lt;titles&gt;&lt;title&gt;Classification and regression trees&lt;/title&gt;&lt;/titles&gt;&lt;dates&gt;&lt;year&gt;1984&lt;/year&gt;&lt;/dates&gt;&lt;pub-location&gt;Belmont, CA&lt;/pub-location&gt;&lt;publisher&gt;Wadsworth&lt;/publisher&gt;&lt;urls&gt;&lt;/urls&gt;&lt;/record&gt;&lt;/Cite&gt;&lt;/EndNote&gt;</w:instrText>
      </w:r>
      <w:r>
        <w:fldChar w:fldCharType="separate"/>
      </w:r>
      <w:hyperlink w:anchor="_ENREF_9" w:tooltip="Breiman, 1984 #93" w:history="1">
        <w:r w:rsidR="001633BC">
          <w:rPr>
            <w:noProof/>
          </w:rPr>
          <w:t>Breiman</w:t>
        </w:r>
        <w:r w:rsidR="001633BC" w:rsidRPr="00EB0C79">
          <w:rPr>
            <w:i/>
            <w:noProof/>
          </w:rPr>
          <w:t xml:space="preserve"> et al.</w:t>
        </w:r>
        <w:r w:rsidR="001633BC">
          <w:rPr>
            <w:noProof/>
          </w:rPr>
          <w:t xml:space="preserve"> (1984</w:t>
        </w:r>
      </w:hyperlink>
      <w:r w:rsidR="00EB0C79">
        <w:rPr>
          <w:noProof/>
        </w:rPr>
        <w:t>)</w:t>
      </w:r>
      <w:r>
        <w:fldChar w:fldCharType="end"/>
      </w:r>
      <w:r w:rsidR="00D1786E">
        <w:t xml:space="preserve"> discuss</w:t>
      </w:r>
      <w:r w:rsidR="00C92CD8">
        <w:t xml:space="preserve"> </w:t>
      </w:r>
      <w:r w:rsidR="00E31984">
        <w:t>a number of advantages</w:t>
      </w:r>
      <w:r w:rsidR="009F61E0">
        <w:t xml:space="preserve"> to using</w:t>
      </w:r>
      <w:r w:rsidR="00E31984">
        <w:t xml:space="preserve"> </w:t>
      </w:r>
      <w:r w:rsidR="005562B7">
        <w:t>classification</w:t>
      </w:r>
      <w:r w:rsidR="009F61E0">
        <w:t xml:space="preserve"> trees</w:t>
      </w:r>
      <w:r w:rsidR="00E31984">
        <w:t xml:space="preserve">.  </w:t>
      </w:r>
      <w:r w:rsidR="00B202D9">
        <w:t>Classification</w:t>
      </w:r>
      <w:r w:rsidR="009F61E0">
        <w:t xml:space="preserve"> trees</w:t>
      </w:r>
      <w:r w:rsidR="00183359">
        <w:t xml:space="preserve"> </w:t>
      </w:r>
      <w:r w:rsidR="00D269F6">
        <w:t xml:space="preserve">do not require multivariate normality and </w:t>
      </w:r>
      <w:r w:rsidR="00E31984">
        <w:t>can be applied to any data structure</w:t>
      </w:r>
      <w:r w:rsidR="00D269F6">
        <w:t>.</w:t>
      </w:r>
      <w:r w:rsidR="00183359">
        <w:t xml:space="preserve">  This makes them more generally applicable and removes the need to evaluate the distribution of the data</w:t>
      </w:r>
      <w:r w:rsidR="00B66449">
        <w:t xml:space="preserve"> for each group in the analysis</w:t>
      </w:r>
      <w:r w:rsidR="00183359">
        <w:t>.</w:t>
      </w:r>
      <w:r w:rsidR="00187E44">
        <w:t xml:space="preserve">  </w:t>
      </w:r>
      <w:r w:rsidR="009F61E0">
        <w:t>The</w:t>
      </w:r>
      <w:r w:rsidR="00187E44">
        <w:t xml:space="preserve"> procedure does not require homogeneity of variance.  </w:t>
      </w:r>
      <w:r w:rsidR="009D7ADA">
        <w:t>Its conditional decisions made upon individual nodes do not require equal or similar data distributions.</w:t>
      </w:r>
      <w:r w:rsidR="002B05DE">
        <w:t xml:space="preserve">  </w:t>
      </w:r>
      <w:r w:rsidR="005562B7">
        <w:t>Classification trees</w:t>
      </w:r>
      <w:r w:rsidR="002B05DE">
        <w:t xml:space="preserve"> </w:t>
      </w:r>
      <w:r w:rsidR="00647976">
        <w:t>inherently perform</w:t>
      </w:r>
      <w:r w:rsidR="002B05DE">
        <w:t xml:space="preserve"> variable selection in the</w:t>
      </w:r>
      <w:r w:rsidR="00647976">
        <w:t>ir</w:t>
      </w:r>
      <w:r w:rsidR="002B05DE">
        <w:t xml:space="preserve"> evaluation and selection of optimal splitting decisions.</w:t>
      </w:r>
      <w:r w:rsidR="008602F8">
        <w:t xml:space="preserve">  They are very robust to outliers and are even robust to misclassifications of observations in the training data.</w:t>
      </w:r>
      <w:r w:rsidR="002E0EBB">
        <w:t xml:space="preserve">  They can perform analyses in the presence of missing data and have a number of built-in procedures for handling missing values</w:t>
      </w:r>
      <w:r w:rsidR="00803258">
        <w:t xml:space="preserve"> </w:t>
      </w:r>
      <w:r>
        <w:fldChar w:fldCharType="begin"/>
      </w:r>
      <w:r w:rsidR="00EB0C79">
        <w:instrText xml:space="preserve"> ADDIN EN.CITE &lt;EndNote&gt;&lt;Cite&gt;&lt;Author&gt;Breiman&lt;/Author&gt;&lt;Year&gt;1984&lt;/Year&gt;&lt;RecNum&gt;93&lt;/RecNum&gt;&lt;DisplayText&gt;(Breiman&lt;style face="italic"&gt; et al.&lt;/style&gt;, 1984; Ding and Simonoff, 2010)&lt;/DisplayText&gt;&lt;record&gt;&lt;rec-number&gt;93&lt;/rec-number&gt;&lt;foreign-keys&gt;&lt;key app="EN" db-id="20frpf5eyrpavaevz925sv9t29f5epa9pd2z"&gt;93&lt;/key&gt;&lt;/foreign-keys&gt;&lt;ref-type name="Book"&gt;6&lt;/ref-type&gt;&lt;contributors&gt;&lt;authors&gt;&lt;author&gt;Breiman, Leo&lt;/author&gt;&lt;author&gt;Friedman, Jerome H.&lt;/author&gt;&lt;author&gt;Olshen, Richard A.&lt;/author&gt;&lt;author&gt;Stone, Charles L.&lt;/author&gt;&lt;/authors&gt;&lt;/contributors&gt;&lt;titles&gt;&lt;title&gt;Classification and regression trees&lt;/title&gt;&lt;/titles&gt;&lt;dates&gt;&lt;year&gt;1984&lt;/year&gt;&lt;/dates&gt;&lt;pub-location&gt;Belmont, CA&lt;/pub-location&gt;&lt;publisher&gt;Wadsworth&lt;/publisher&gt;&lt;urls&gt;&lt;/urls&gt;&lt;/record&gt;&lt;/Cite&gt;&lt;Cite&gt;&lt;Author&gt;Ding&lt;/Author&gt;&lt;Year&gt;2010&lt;/Year&gt;&lt;RecNum&gt;363&lt;/RecNum&gt;&lt;record&gt;&lt;rec-number&gt;363&lt;/rec-number&gt;&lt;foreign-keys&gt;&lt;key app="EN" db-id="20frpf5eyrpavaevz925sv9t29f5epa9pd2z"&gt;363&lt;/key&gt;&lt;/foreign-keys&gt;&lt;ref-type name="Journal Article"&gt;17&lt;/ref-type&gt;&lt;contributors&gt;&lt;authors&gt;&lt;author&gt;Ding, Yufeng&lt;/author&gt;&lt;author&gt;Simonoff, Jeffrey S.&lt;/author&gt;&lt;/authors&gt;&lt;/contributors&gt;&lt;titles&gt;&lt;title&gt;An Investigation of Missing Data Methods for Classification Trees Applied to Binary Response Data&lt;/title&gt;&lt;/titles&gt;&lt;pages&gt;131-170&lt;/pages&gt;&lt;volume&gt;11&lt;/volume&gt;&lt;dates&gt;&lt;year&gt;2010&lt;/year&gt;&lt;/dates&gt;&lt;publisher&gt;JMLR.org&lt;/publisher&gt;&lt;accession-num&gt;6709448952742603147related:i-nWOkbAHF0J&lt;/accession-num&gt;&lt;label&gt;r04270&lt;/label&gt;&lt;urls&gt;&lt;related-urls&gt;&lt;url&gt;http://dl.acm.org/citation.cfm?id=1756006.1756012&lt;/url&gt;&lt;/related-urls&gt;&lt;pdf-urls&gt;&lt;url&gt;file://localhost/Users/mercergm/Library/Application%20Support/Papers2/Articles/2010/Ding/The%20Journal%20of%20Machine%20Learning%20Research%202010%20Ding.pdf&lt;/url&gt;&lt;/pdf-urls&gt;&lt;/urls&gt;&lt;custom3&gt;papers2://publication/uuid/DA2524CD-F1E0-44B3-AF37-59E94AE24169&lt;/custom3&gt;&lt;/record&gt;&lt;/Cite&gt;&lt;/EndNote&gt;</w:instrText>
      </w:r>
      <w:r>
        <w:fldChar w:fldCharType="separate"/>
      </w:r>
      <w:r w:rsidR="00EB0C79">
        <w:rPr>
          <w:noProof/>
        </w:rPr>
        <w:t>(</w:t>
      </w:r>
      <w:hyperlink w:anchor="_ENREF_9" w:tooltip="Breiman, 1984 #93" w:history="1">
        <w:r w:rsidR="001633BC">
          <w:rPr>
            <w:noProof/>
          </w:rPr>
          <w:t>Breiman</w:t>
        </w:r>
        <w:r w:rsidR="001633BC" w:rsidRPr="00EB0C79">
          <w:rPr>
            <w:i/>
            <w:noProof/>
          </w:rPr>
          <w:t xml:space="preserve"> et al.</w:t>
        </w:r>
        <w:r w:rsidR="001633BC">
          <w:rPr>
            <w:noProof/>
          </w:rPr>
          <w:t>, 1984</w:t>
        </w:r>
      </w:hyperlink>
      <w:r w:rsidR="00EB0C79">
        <w:rPr>
          <w:noProof/>
        </w:rPr>
        <w:t xml:space="preserve">; </w:t>
      </w:r>
      <w:hyperlink w:anchor="_ENREF_13" w:tooltip="Ding, 2010 #363" w:history="1">
        <w:r w:rsidR="001633BC">
          <w:rPr>
            <w:noProof/>
          </w:rPr>
          <w:t>Ding and Simonoff, 2010</w:t>
        </w:r>
      </w:hyperlink>
      <w:r w:rsidR="00EB0C79">
        <w:rPr>
          <w:noProof/>
        </w:rPr>
        <w:t>)</w:t>
      </w:r>
      <w:r>
        <w:fldChar w:fldCharType="end"/>
      </w:r>
      <w:r w:rsidR="002E0EBB">
        <w:t>.</w:t>
      </w:r>
      <w:r w:rsidR="00803258">
        <w:t xml:space="preserve">  Finally, the procedure is easy to use and provides output that can be easily interpreted and understood.</w:t>
      </w:r>
    </w:p>
    <w:p w:rsidR="00B01DDB" w:rsidRDefault="001B7181" w:rsidP="009E2C8A">
      <w:pPr>
        <w:ind w:firstLine="720"/>
      </w:pPr>
      <w:r>
        <w:t>On the other hand, classification trees have a</w:t>
      </w:r>
      <w:r w:rsidR="00945EE9">
        <w:t xml:space="preserve"> number </w:t>
      </w:r>
      <w:r w:rsidR="006B23C9">
        <w:t>of difficulties and drawbacks</w:t>
      </w:r>
      <w:r>
        <w:t xml:space="preserve">.  First, the researcher must pay attention to the growth of the tree and make sure </w:t>
      </w:r>
      <w:r w:rsidR="00CB123A">
        <w:t>that it is n</w:t>
      </w:r>
      <w:r w:rsidR="00945EE9">
        <w:t xml:space="preserve">ot overly complex, or </w:t>
      </w:r>
      <w:r w:rsidR="00FD4E26">
        <w:t>over-fit</w:t>
      </w:r>
      <w:r w:rsidR="00945EE9">
        <w:t xml:space="preserve">.  </w:t>
      </w:r>
      <w:r w:rsidR="003731B6">
        <w:fldChar w:fldCharType="begin"/>
      </w:r>
      <w:r w:rsidR="00EB0C79">
        <w:instrText xml:space="preserve"> ADDIN EN.CITE &lt;EndNote&gt;&lt;Cite AuthorYear="1"&gt;&lt;Author&gt;Breiman&lt;/Author&gt;&lt;Year&gt;1984&lt;/Year&gt;&lt;RecNum&gt;93&lt;/RecNum&gt;&lt;DisplayText&gt;Breiman&lt;style face="italic"&gt; et al.&lt;/style&gt; (1984)&lt;/DisplayText&gt;&lt;record&gt;&lt;rec-number&gt;93&lt;/rec-number&gt;&lt;foreign-keys&gt;&lt;key app="EN" db-id="20frpf5eyrpavaevz925sv9t29f5epa9pd2z"&gt;93&lt;/key&gt;&lt;/foreign-keys&gt;&lt;ref-type name="Book"&gt;6&lt;/ref-type&gt;&lt;contributors&gt;&lt;authors&gt;&lt;author&gt;Breiman, Leo&lt;/author&gt;&lt;author&gt;Friedman, Jerome H.&lt;/author&gt;&lt;author&gt;Olshen, Richard A.&lt;/author&gt;&lt;author&gt;Stone, Charles L.&lt;/author&gt;&lt;/authors&gt;&lt;/contributors&gt;&lt;titles&gt;&lt;title&gt;Classification and regression trees&lt;/title&gt;&lt;/titles&gt;&lt;dates&gt;&lt;year&gt;1984&lt;/year&gt;&lt;/dates&gt;&lt;pub-location&gt;Belmont, CA&lt;/pub-location&gt;&lt;publisher&gt;Wadsworth&lt;/publisher&gt;&lt;urls&gt;&lt;/urls&gt;&lt;/record&gt;&lt;/Cite&gt;&lt;/EndNote&gt;</w:instrText>
      </w:r>
      <w:r w:rsidR="003731B6">
        <w:fldChar w:fldCharType="separate"/>
      </w:r>
      <w:hyperlink w:anchor="_ENREF_9" w:tooltip="Breiman, 1984 #93" w:history="1">
        <w:r w:rsidR="001633BC">
          <w:rPr>
            <w:noProof/>
          </w:rPr>
          <w:t>Breiman</w:t>
        </w:r>
        <w:r w:rsidR="001633BC" w:rsidRPr="00EB0C79">
          <w:rPr>
            <w:i/>
            <w:noProof/>
          </w:rPr>
          <w:t xml:space="preserve"> et al.</w:t>
        </w:r>
        <w:r w:rsidR="001633BC">
          <w:rPr>
            <w:noProof/>
          </w:rPr>
          <w:t xml:space="preserve"> (1984</w:t>
        </w:r>
      </w:hyperlink>
      <w:r w:rsidR="00EB0C79">
        <w:rPr>
          <w:noProof/>
        </w:rPr>
        <w:t>)</w:t>
      </w:r>
      <w:r w:rsidR="003731B6">
        <w:fldChar w:fldCharType="end"/>
      </w:r>
      <w:r w:rsidR="00945EE9">
        <w:t xml:space="preserve"> recommend growing the tree to its maximum and then selectively </w:t>
      </w:r>
      <w:r w:rsidR="009E2C8A">
        <w:t>pruning it, recombining some of the later nodes.</w:t>
      </w:r>
      <w:r w:rsidR="00B8231D">
        <w:t xml:space="preserve">  Though some programs, such as SAS Enterprise Miner, </w:t>
      </w:r>
      <w:r w:rsidR="00EE00A4">
        <w:t xml:space="preserve">have </w:t>
      </w:r>
      <w:r w:rsidR="00B8231D">
        <w:t>function</w:t>
      </w:r>
      <w:r w:rsidR="00EE00A4">
        <w:t>s built in that evaluate</w:t>
      </w:r>
      <w:r w:rsidR="00B8231D">
        <w:t xml:space="preserve"> tree size</w:t>
      </w:r>
      <w:r w:rsidR="00EE00A4">
        <w:t xml:space="preserve"> </w:t>
      </w:r>
      <w:r w:rsidR="00B8231D">
        <w:t>and performance</w:t>
      </w:r>
      <w:r w:rsidR="00EE00A4">
        <w:t xml:space="preserve"> based on cross-validation or a holdout sample</w:t>
      </w:r>
      <w:r w:rsidR="00B8231D">
        <w:t>, this</w:t>
      </w:r>
      <w:r w:rsidR="00182CE2">
        <w:t xml:space="preserve"> issue still requires attention when constructing a decision tree</w:t>
      </w:r>
      <w:r w:rsidR="00E435A9">
        <w:t>.</w:t>
      </w:r>
      <w:r w:rsidR="00D22BFF">
        <w:t xml:space="preserve">  Second, there are a variety of rules that can be selected for evaluating splitting.  There are various measures of impurity and other methods, such as misclassification rates, that can be used to determine splits and the researcher must decide which is most appropriate.</w:t>
      </w:r>
      <w:r w:rsidR="00A32F10">
        <w:t xml:space="preserve">  </w:t>
      </w:r>
      <w:r w:rsidR="004B0A18">
        <w:t>Third,</w:t>
      </w:r>
      <w:r w:rsidR="00A32F10">
        <w:t xml:space="preserve"> </w:t>
      </w:r>
      <w:r w:rsidR="004B0A18">
        <w:t xml:space="preserve">for </w:t>
      </w:r>
      <w:r w:rsidR="00A32F10">
        <w:t>groups</w:t>
      </w:r>
      <w:r w:rsidR="004B0A18">
        <w:t xml:space="preserve"> that can</w:t>
      </w:r>
      <w:r w:rsidR="00A32F10">
        <w:t xml:space="preserve"> be separated by a linear function or some other combination of variables, it may take a very complex decision tree with many splits in order to achieve the same performance.</w:t>
      </w:r>
      <w:r w:rsidR="004B0A18">
        <w:t xml:space="preserve">  In this case it is preferable to use another method, such as LDA.  Lastly, divergent sample sizes can affect decision tree performance.  Potential decisions are evaluated</w:t>
      </w:r>
      <w:r w:rsidR="009C4E68">
        <w:t xml:space="preserve"> based upon how much they </w:t>
      </w:r>
      <w:r w:rsidR="004B0A18">
        <w:t xml:space="preserve">reduce the </w:t>
      </w:r>
      <w:r w:rsidR="002D43E2">
        <w:t>im</w:t>
      </w:r>
      <w:r w:rsidR="004B0A18">
        <w:t>purity, which is calculated based upon the proportion of observations representing each group in a node.  Tree splits may also be evaluated based upon misclassification rates.  In either case, if groups in the analysis have very different sample sizes</w:t>
      </w:r>
      <w:r w:rsidR="007859E4">
        <w:t>,</w:t>
      </w:r>
      <w:r w:rsidR="004B0A18">
        <w:t xml:space="preserve"> </w:t>
      </w:r>
      <w:r w:rsidR="007859E4">
        <w:t xml:space="preserve">simply predicting the largest group(s) and neglecting the smaller ones may </w:t>
      </w:r>
      <w:r w:rsidR="003108B1">
        <w:t>provide the best performance in terms of classification accuracy</w:t>
      </w:r>
      <w:r w:rsidR="004B0A18">
        <w:t>.  Improving classification accuracy for the smaller groups would only marginally imp</w:t>
      </w:r>
      <w:r w:rsidR="00E8686D">
        <w:t xml:space="preserve">rove the impurity measure or </w:t>
      </w:r>
      <w:r w:rsidR="004B0A18">
        <w:t>classification rate, so the algorithm may not classify them.</w:t>
      </w:r>
      <w:r w:rsidR="00D6050A">
        <w:t xml:space="preserve">  Furthermore, when disparate sample sizes are present with groups that are difficult to separate, terminal nodes may often be assigned to the larger groups because they will likely have the greatest proportion of observations in the node due to their large size.</w:t>
      </w:r>
    </w:p>
    <w:p w:rsidR="00096792" w:rsidRDefault="00B01DDB" w:rsidP="009E2C8A">
      <w:pPr>
        <w:ind w:firstLine="720"/>
      </w:pPr>
      <w:r>
        <w:t>This classification tree analysis constructed a tree with binary splits.</w:t>
      </w:r>
      <w:r w:rsidR="007F4AA6">
        <w:t xml:space="preserve">  The Gini Index was the measure of impurity used for evaluating splits. </w:t>
      </w:r>
      <w:r>
        <w:t xml:space="preserve">  </w:t>
      </w:r>
      <w:r w:rsidR="002801B6">
        <w:t>A tree was constructed using the training and holdout samples.  However, this tree, while having a strong overall classification rate, was not ideal</w:t>
      </w:r>
      <w:r w:rsidR="00652A17">
        <w:t xml:space="preserve"> because it did very poorly in predicting groups other than </w:t>
      </w:r>
      <w:r w:rsidR="006A798F">
        <w:t>White males and White f</w:t>
      </w:r>
      <w:r w:rsidR="00652A17">
        <w:t>emales.  These two groups account for about 70-75% of the total sample.</w:t>
      </w:r>
      <w:r w:rsidR="004F7208">
        <w:t xml:space="preserve">  Therefore, a second tree was constructed on a stratified random sample selected 75 observations from each group.  The number 75 was chosen because it is the sample size of the smallest group in the analysis (Black females).</w:t>
      </w:r>
      <w:r w:rsidR="007F4AA6">
        <w:t xml:space="preserve">  This latter tree was evaluated using v-fold crossvalidation.  This procedure is like the jackknife procedure explained </w:t>
      </w:r>
      <w:r w:rsidR="001F6C44">
        <w:t>below</w:t>
      </w:r>
      <w:r w:rsidR="007F4AA6">
        <w:t xml:space="preserve">, but rather than holding out one observation, it holds out a subsample of observations.  The data set was split into 10 groups and a tree is constructed on 9 of the groups and evaluated on the one </w:t>
      </w:r>
      <w:r w:rsidR="00AB1271">
        <w:t>excluded group.</w:t>
      </w:r>
      <w:r w:rsidR="007A331E">
        <w:t xml:space="preserve">  This process is repeated until each of the 10 groups is used as the validation group.</w:t>
      </w:r>
      <w:r w:rsidR="00AB1271">
        <w:t xml:space="preserve">  A</w:t>
      </w:r>
      <w:r w:rsidR="007F4AA6">
        <w:t>n average performance</w:t>
      </w:r>
      <w:r w:rsidR="00AB1271">
        <w:t xml:space="preserve"> across all ten runs</w:t>
      </w:r>
      <w:r w:rsidR="007F4AA6">
        <w:t xml:space="preserve"> is reported.  </w:t>
      </w:r>
      <w:r w:rsidR="003731B6">
        <w:fldChar w:fldCharType="begin"/>
      </w:r>
      <w:r w:rsidR="00EB0C79">
        <w:instrText xml:space="preserve"> ADDIN EN.CITE &lt;EndNote&gt;&lt;Cite AuthorYear="1"&gt;&lt;Author&gt;Breiman&lt;/Author&gt;&lt;Year&gt;1984&lt;/Year&gt;&lt;RecNum&gt;93&lt;/RecNum&gt;&lt;DisplayText&gt;Breiman&lt;style face="italic"&gt; et al.&lt;/style&gt; (1984)&lt;/DisplayText&gt;&lt;record&gt;&lt;rec-number&gt;93&lt;/rec-number&gt;&lt;foreign-keys&gt;&lt;key app="EN" db-id="20frpf5eyrpavaevz925sv9t29f5epa9pd2z"&gt;93&lt;/key&gt;&lt;/foreign-keys&gt;&lt;ref-type name="Book"&gt;6&lt;/ref-type&gt;&lt;contributors&gt;&lt;authors&gt;&lt;author&gt;Breiman, Leo&lt;/author&gt;&lt;author&gt;Friedman, Jerome H.&lt;/author&gt;&lt;author&gt;Olshen, Richard A.&lt;/author&gt;&lt;author&gt;Stone, Charles L.&lt;/author&gt;&lt;/authors&gt;&lt;/contributors&gt;&lt;titles&gt;&lt;title&gt;Classification and regression trees&lt;/title&gt;&lt;/titles&gt;&lt;dates&gt;&lt;year&gt;1984&lt;/year&gt;&lt;/dates&gt;&lt;pub-location&gt;Belmont, CA&lt;/pub-location&gt;&lt;publisher&gt;Wadsworth&lt;/publisher&gt;&lt;urls&gt;&lt;/urls&gt;&lt;/record&gt;&lt;/Cite&gt;&lt;/EndNote&gt;</w:instrText>
      </w:r>
      <w:r w:rsidR="003731B6">
        <w:fldChar w:fldCharType="separate"/>
      </w:r>
      <w:hyperlink w:anchor="_ENREF_9" w:tooltip="Breiman, 1984 #93" w:history="1">
        <w:r w:rsidR="001633BC">
          <w:rPr>
            <w:noProof/>
          </w:rPr>
          <w:t>Breiman</w:t>
        </w:r>
        <w:r w:rsidR="001633BC" w:rsidRPr="00EB0C79">
          <w:rPr>
            <w:i/>
            <w:noProof/>
          </w:rPr>
          <w:t xml:space="preserve"> et al.</w:t>
        </w:r>
        <w:r w:rsidR="001633BC">
          <w:rPr>
            <w:noProof/>
          </w:rPr>
          <w:t xml:space="preserve"> (1984</w:t>
        </w:r>
      </w:hyperlink>
      <w:r w:rsidR="00EB0C79">
        <w:rPr>
          <w:noProof/>
        </w:rPr>
        <w:t>)</w:t>
      </w:r>
      <w:r w:rsidR="003731B6">
        <w:fldChar w:fldCharType="end"/>
      </w:r>
      <w:r w:rsidR="007F4AA6">
        <w:t xml:space="preserve"> state that this method performs well with classification trees and it is the cross-validation method built into SAS Enterprise Miner</w:t>
      </w:r>
      <w:r w:rsidR="005E01DC">
        <w:t xml:space="preserve"> 12.1</w:t>
      </w:r>
      <w:r w:rsidR="007F4AA6">
        <w:t>.</w:t>
      </w:r>
    </w:p>
    <w:p w:rsidR="005B796D" w:rsidRDefault="00096792" w:rsidP="00096792">
      <w:pPr>
        <w:pStyle w:val="Heading3"/>
      </w:pPr>
      <w:bookmarkStart w:id="60" w:name="_Toc222419125"/>
      <w:bookmarkStart w:id="61" w:name="_Toc227982496"/>
      <w:r>
        <w:t>Variable Selection</w:t>
      </w:r>
      <w:bookmarkEnd w:id="60"/>
      <w:bookmarkEnd w:id="61"/>
    </w:p>
    <w:p w:rsidR="00670F2E" w:rsidRDefault="005B796D" w:rsidP="005B796D">
      <w:pPr>
        <w:ind w:firstLine="720"/>
      </w:pPr>
      <w:r>
        <w:t>When running a discriminant analysis on a large set of variables it may be desirable to determine which variables are significant</w:t>
      </w:r>
      <w:r w:rsidR="007E41FB">
        <w:t xml:space="preserve"> predictors of group membership</w:t>
      </w:r>
      <w:r>
        <w:t xml:space="preserve">.  </w:t>
      </w:r>
      <w:r w:rsidR="00C64DB7">
        <w:t xml:space="preserve">Including too many variables in a discriminant analysis can cause the classification accuracy to fall if there are redundant variables or others that do not contribute to group separation.  The model can also become </w:t>
      </w:r>
      <w:r w:rsidR="00FD4E26">
        <w:t>over-fit</w:t>
      </w:r>
      <w:r w:rsidR="00C64DB7">
        <w:t xml:space="preserve">, yielding a strong </w:t>
      </w:r>
      <w:r w:rsidR="009462B3">
        <w:t>re-substitution</w:t>
      </w:r>
      <w:r w:rsidR="00C64DB7">
        <w:t xml:space="preserve"> rate that is very positively biased</w:t>
      </w:r>
      <w:r w:rsidR="00262B13">
        <w:t xml:space="preserve"> </w:t>
      </w:r>
      <w:r w:rsidR="003731B6">
        <w:fldChar w:fldCharType="begin"/>
      </w:r>
      <w:r w:rsidR="00262B13">
        <w:instrText xml:space="preserve"> ADDIN EN.CITE &lt;EndNote&gt;&lt;Cite&gt;&lt;Author&gt;Huberty&lt;/Author&gt;&lt;Year&gt;2006&lt;/Year&gt;&lt;RecNum&gt;85&lt;/RecNum&gt;&lt;DisplayText&gt;(Huberty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sidR="00262B13">
        <w:rPr>
          <w:noProof/>
        </w:rPr>
        <w:t>(</w:t>
      </w:r>
      <w:hyperlink w:anchor="_ENREF_27" w:tooltip="Huberty, 2006 #85" w:history="1">
        <w:r w:rsidR="001633BC">
          <w:rPr>
            <w:noProof/>
          </w:rPr>
          <w:t>Huberty and Olejnik, 2006</w:t>
        </w:r>
      </w:hyperlink>
      <w:r w:rsidR="00262B13">
        <w:rPr>
          <w:noProof/>
        </w:rPr>
        <w:t>)</w:t>
      </w:r>
      <w:r w:rsidR="003731B6">
        <w:fldChar w:fldCharType="end"/>
      </w:r>
      <w:r w:rsidR="00C64DB7">
        <w:t>.</w:t>
      </w:r>
      <w:r w:rsidR="00B506FE">
        <w:t xml:space="preserve">  An </w:t>
      </w:r>
      <w:r w:rsidR="00FD4E26">
        <w:t>over-fit</w:t>
      </w:r>
      <w:r w:rsidR="00B506FE">
        <w:t xml:space="preserve"> model is one that is fit to the training data so well that it is not generalizable to out-of-sample</w:t>
      </w:r>
      <w:r w:rsidR="00C64DB7">
        <w:t xml:space="preserve"> </w:t>
      </w:r>
      <w:r w:rsidR="00B506FE">
        <w:t>observations and performs poorly when classifying them.</w:t>
      </w:r>
      <w:r w:rsidR="00C64DB7">
        <w:t xml:space="preserve"> </w:t>
      </w:r>
      <w:r w:rsidR="00B506FE">
        <w:t xml:space="preserve"> </w:t>
      </w:r>
    </w:p>
    <w:p w:rsidR="00E00E8A" w:rsidRPr="005E6F99" w:rsidRDefault="005B796D" w:rsidP="005B796D">
      <w:pPr>
        <w:ind w:firstLine="720"/>
      </w:pPr>
      <w:r>
        <w:t>A significant advantage of LDA is that with this method a researcher may</w:t>
      </w:r>
      <w:r w:rsidR="00395C81">
        <w:t xml:space="preserve"> select variables statistically, making variable selection much simpler</w:t>
      </w:r>
      <w:r>
        <w:t xml:space="preserve">.  There are a number of ways that this may be done, but those incorporated in popular software packages are typically limited to forward, backward, and stepwise selection.  These add variables, delete variables, or do both one at a time by evaluating significance in maximizing or </w:t>
      </w:r>
      <w:r w:rsidR="00262B13">
        <w:t xml:space="preserve">significantly </w:t>
      </w:r>
      <w:r>
        <w:t xml:space="preserve">contributing to the ratio of between-to-within group variation </w:t>
      </w:r>
      <w:r w:rsidR="003731B6">
        <w:fldChar w:fldCharType="begin"/>
      </w:r>
      <w:r w:rsidR="00E00E8A">
        <w:instrText xml:space="preserve"> ADDIN EN.CITE &lt;EndNote&gt;&lt;Cite&gt;&lt;Author&gt;Rencher&lt;/Author&gt;&lt;Year&gt;2002&lt;/Year&gt;&lt;RecNum&gt;91&lt;/RecNum&gt;&lt;DisplayText&gt;(Rencher, 2002)&lt;/DisplayText&gt;&lt;record&gt;&lt;rec-number&gt;91&lt;/rec-number&gt;&lt;foreign-keys&gt;&lt;key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sidR="00E00E8A">
        <w:rPr>
          <w:noProof/>
        </w:rPr>
        <w:t>(</w:t>
      </w:r>
      <w:hyperlink w:anchor="_ENREF_48" w:tooltip="Rencher, 2002 #91" w:history="1">
        <w:r w:rsidR="001633BC">
          <w:rPr>
            <w:noProof/>
          </w:rPr>
          <w:t>Rencher, 2002</w:t>
        </w:r>
      </w:hyperlink>
      <w:r w:rsidR="00E00E8A">
        <w:rPr>
          <w:noProof/>
        </w:rPr>
        <w:t>)</w:t>
      </w:r>
      <w:r w:rsidR="003731B6">
        <w:fldChar w:fldCharType="end"/>
      </w:r>
      <w:r>
        <w:t xml:space="preserve">.  These methods are only available for LDA because they are based on Wilk’s </w:t>
      </w:r>
      <w:r>
        <w:sym w:font="Symbol" w:char="F04C"/>
      </w:r>
      <w:r>
        <w:t>, which assumes multivariate normality and homogeneity of variance</w:t>
      </w:r>
      <w:r w:rsidR="006E0133">
        <w:t xml:space="preserve"> </w:t>
      </w:r>
      <w:r w:rsidR="003731B6">
        <w:fldChar w:fldCharType="begin"/>
      </w:r>
      <w:r w:rsidR="006E0133">
        <w:instrText xml:space="preserve"> ADDIN EN.CITE &lt;EndNote&gt;&lt;Cite&gt;&lt;Author&gt;Huberty&lt;/Author&gt;&lt;Year&gt;2006&lt;/Year&gt;&lt;RecNum&gt;85&lt;/RecNum&gt;&lt;DisplayText&gt;(Huberty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sidR="006E0133">
        <w:rPr>
          <w:noProof/>
        </w:rPr>
        <w:t>(</w:t>
      </w:r>
      <w:hyperlink w:anchor="_ENREF_27" w:tooltip="Huberty, 2006 #85" w:history="1">
        <w:r w:rsidR="001633BC">
          <w:rPr>
            <w:noProof/>
          </w:rPr>
          <w:t>Huberty and Olejnik, 2006</w:t>
        </w:r>
      </w:hyperlink>
      <w:r w:rsidR="006E0133">
        <w:rPr>
          <w:noProof/>
        </w:rPr>
        <w:t>)</w:t>
      </w:r>
      <w:r w:rsidR="003731B6">
        <w:fldChar w:fldCharType="end"/>
      </w:r>
      <w:r>
        <w:t>.</w:t>
      </w:r>
      <w:r w:rsidR="0016412F">
        <w:t xml:space="preserve">  Therefore, in situations where QDA or KNN are being used, these assumptions are not likely met.</w:t>
      </w:r>
      <w:r>
        <w:t xml:space="preserve">  Both forward and stepwise selection are built into FORDISC </w:t>
      </w:r>
      <w:r w:rsidR="003731B6">
        <w:fldChar w:fldCharType="begin"/>
      </w:r>
      <w:r>
        <w:instrText xml:space="preserve"> ADDIN EN.CITE &lt;EndNote&gt;&lt;Cite&gt;&lt;Author&gt;Ousley&lt;/Author&gt;&lt;Year&gt;2005&lt;/Year&gt;&lt;RecNum&gt;367&lt;/RecNum&gt;&lt;DisplayText&gt;(Ousley and Jantz, 2005)&lt;/DisplayText&gt;&lt;record&gt;&lt;rec-number&gt;367&lt;/rec-number&gt;&lt;foreign-keys&gt;&lt;key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Knoxville&lt;/publisher&gt;&lt;urls&gt;&lt;/urls&gt;&lt;/record&gt;&lt;/Cite&gt;&lt;/EndNote&gt;</w:instrText>
      </w:r>
      <w:r w:rsidR="003731B6">
        <w:fldChar w:fldCharType="separate"/>
      </w:r>
      <w:r>
        <w:rPr>
          <w:noProof/>
        </w:rPr>
        <w:t>(</w:t>
      </w:r>
      <w:hyperlink w:anchor="_ENREF_43" w:tooltip="Ousley, 2005 #367" w:history="1">
        <w:r w:rsidR="001633BC">
          <w:rPr>
            <w:noProof/>
          </w:rPr>
          <w:t>Ousley and Jantz, 2005</w:t>
        </w:r>
      </w:hyperlink>
      <w:r>
        <w:rPr>
          <w:noProof/>
        </w:rPr>
        <w:t>)</w:t>
      </w:r>
      <w:r w:rsidR="003731B6">
        <w:fldChar w:fldCharType="end"/>
      </w:r>
      <w:r>
        <w:t xml:space="preserve">, but </w:t>
      </w:r>
      <w:r w:rsidR="003731B6">
        <w:fldChar w:fldCharType="begin"/>
      </w:r>
      <w:r>
        <w:instrText xml:space="preserve"> ADDIN EN.CITE &lt;EndNote&gt;&lt;Cite AuthorYear="1"&gt;&lt;Author&gt;Ousley&lt;/Author&gt;&lt;Year&gt;2012&lt;/Year&gt;&lt;RecNum&gt;345&lt;/RecNum&gt;&lt;DisplayText&gt;Ousley and Jantz (2012)&lt;/DisplayText&gt;&lt;record&gt;&lt;rec-number&gt;345&lt;/rec-number&gt;&lt;foreign-keys&gt;&lt;key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fldChar w:fldCharType="separate"/>
      </w:r>
      <w:hyperlink w:anchor="_ENREF_44" w:tooltip="Ousley, 2012 #345" w:history="1">
        <w:r w:rsidR="001633BC">
          <w:rPr>
            <w:noProof/>
          </w:rPr>
          <w:t>Ousley and Jantz (2012</w:t>
        </w:r>
      </w:hyperlink>
      <w:r>
        <w:rPr>
          <w:noProof/>
        </w:rPr>
        <w:t>)</w:t>
      </w:r>
      <w:r w:rsidR="003731B6">
        <w:fldChar w:fldCharType="end"/>
      </w:r>
      <w:r>
        <w:t xml:space="preserve"> suggest using stepwise if variable reduction is desirable. Stepwise selection was used in the LDA for this analysis to find a significant subset of variables.</w:t>
      </w:r>
      <w:r w:rsidR="005E6F99">
        <w:t xml:space="preserve">  The</w:t>
      </w:r>
      <w:r w:rsidR="00542F78">
        <w:t xml:space="preserve"> required </w:t>
      </w:r>
      <w:r w:rsidR="00E900D0" w:rsidRPr="00E900D0">
        <w:rPr>
          <w:i/>
        </w:rPr>
        <w:t>p</w:t>
      </w:r>
      <w:r w:rsidR="00E900D0">
        <w:t>-value</w:t>
      </w:r>
      <w:r w:rsidR="005E6F99">
        <w:t xml:space="preserve"> to enter a variable into the analysis was set to 0.2.  Variables were only kept if they maintained a </w:t>
      </w:r>
      <w:r w:rsidR="005E6F99">
        <w:rPr>
          <w:i/>
        </w:rPr>
        <w:t>p-</w:t>
      </w:r>
      <w:r w:rsidR="005E6F99">
        <w:t>value less than 0.15.</w:t>
      </w:r>
    </w:p>
    <w:p w:rsidR="00883714" w:rsidRDefault="003731B6" w:rsidP="00883714">
      <w:pPr>
        <w:ind w:firstLine="720"/>
      </w:pPr>
      <w:r>
        <w:fldChar w:fldCharType="begin"/>
      </w:r>
      <w:r w:rsidR="006E0133">
        <w:instrText xml:space="preserve"> ADDIN EN.CITE &lt;EndNote&gt;&lt;Cite AuthorYear="1"&gt;&lt;Author&gt;Huberty&lt;/Author&gt;&lt;Year&gt;2006&lt;/Year&gt;&lt;RecNum&gt;85&lt;/RecNum&gt;&lt;DisplayText&gt;Huberty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fldChar w:fldCharType="separate"/>
      </w:r>
      <w:hyperlink w:anchor="_ENREF_27" w:tooltip="Huberty, 2006 #85" w:history="1">
        <w:r w:rsidR="001633BC">
          <w:rPr>
            <w:noProof/>
          </w:rPr>
          <w:t>Huberty and Olejnik (2006</w:t>
        </w:r>
      </w:hyperlink>
      <w:r w:rsidR="006E0133">
        <w:rPr>
          <w:noProof/>
        </w:rPr>
        <w:t>)</w:t>
      </w:r>
      <w:r>
        <w:fldChar w:fldCharType="end"/>
      </w:r>
      <w:r w:rsidR="006E0133">
        <w:t xml:space="preserve"> do n</w:t>
      </w:r>
      <w:r w:rsidR="00466579">
        <w:t>ot advocate the use of stepwise</w:t>
      </w:r>
      <w:r w:rsidR="006E0133">
        <w:t xml:space="preserve"> selection, but</w:t>
      </w:r>
      <w:r w:rsidR="003319AC">
        <w:t xml:space="preserve"> they do recognize advantages of</w:t>
      </w:r>
      <w:r w:rsidR="006E0133">
        <w:t xml:space="preserve"> variable deletion.</w:t>
      </w:r>
      <w:r w:rsidR="00920F5E">
        <w:t xml:space="preserve">  They attribute the widespread use of stepwise selection to its availability in two popular statistical software packages, SAS and SPSS.</w:t>
      </w:r>
      <w:r w:rsidR="00A060E9">
        <w:t xml:space="preserve">  They state,</w:t>
      </w:r>
      <w:r w:rsidR="00920F5E">
        <w:t xml:space="preserve"> however,</w:t>
      </w:r>
      <w:r w:rsidR="00A060E9">
        <w:t xml:space="preserve"> “for a fixed total sample size, fewer outcome variables will lead to more precise estimates” </w:t>
      </w:r>
      <w:r>
        <w:fldChar w:fldCharType="begin"/>
      </w:r>
      <w:r w:rsidR="00A060E9">
        <w:instrText xml:space="preserve"> ADDIN EN.CITE &lt;EndNote&gt;&lt;Cite&gt;&lt;Author&gt;Huberty&lt;/Author&gt;&lt;Year&gt;2006&lt;/Year&gt;&lt;RecNum&gt;85&lt;/RecNum&gt;&lt;Suffix&gt;:104&lt;/Suffix&gt;&lt;DisplayText&gt;(Huberty and Olejnik, 2006:104)&lt;/DisplayText&gt;&lt;record&gt;&lt;rec-number&gt;85&lt;/rec-number&gt;&lt;foreign-keys&gt;&lt;key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fldChar w:fldCharType="separate"/>
      </w:r>
      <w:r w:rsidR="00A060E9">
        <w:rPr>
          <w:noProof/>
        </w:rPr>
        <w:t>(</w:t>
      </w:r>
      <w:hyperlink w:anchor="_ENREF_27" w:tooltip="Huberty, 2006 #85" w:history="1">
        <w:r w:rsidR="001633BC">
          <w:rPr>
            <w:noProof/>
          </w:rPr>
          <w:t>Huberty and Olejnik, 2006:104</w:t>
        </w:r>
      </w:hyperlink>
      <w:r w:rsidR="00A060E9">
        <w:rPr>
          <w:noProof/>
        </w:rPr>
        <w:t>)</w:t>
      </w:r>
      <w:r>
        <w:fldChar w:fldCharType="end"/>
      </w:r>
      <w:r w:rsidR="00A060E9">
        <w:t xml:space="preserve">.  </w:t>
      </w:r>
      <w:r w:rsidR="00FE5A34">
        <w:t>They also recognize the advantages of parsimonious models that offer simpler interpretation and description a</w:t>
      </w:r>
      <w:r w:rsidR="000E73A3">
        <w:t>nd more accurate classification</w:t>
      </w:r>
      <w:r w:rsidR="00FE5A34">
        <w:t>.</w:t>
      </w:r>
      <w:r w:rsidR="00E32515">
        <w:t xml:space="preserve">  Though it does offer a couple of significant advantages, variable selection should be used with caution.  </w:t>
      </w:r>
      <w:r>
        <w:fldChar w:fldCharType="begin"/>
      </w:r>
      <w:r w:rsidR="00E32515">
        <w:instrText xml:space="preserve"> ADDIN EN.CITE &lt;EndNote&gt;&lt;Cite AuthorYear="1"&gt;&lt;Author&gt;Manly&lt;/Author&gt;&lt;Year&gt;2005&lt;/Year&gt;&lt;RecNum&gt;83&lt;/RecNum&gt;&lt;Suffix&gt;:114&lt;/Suffix&gt;&lt;DisplayText&gt;Manly (2005:114)&lt;/DisplayText&gt;&lt;record&gt;&lt;rec-number&gt;83&lt;/rec-number&gt;&lt;foreign-keys&gt;&lt;key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Hall/CRC&lt;/publisher&gt;&lt;urls&gt;&lt;/urls&gt;&lt;/record&gt;&lt;/Cite&gt;&lt;/EndNote&gt;</w:instrText>
      </w:r>
      <w:r>
        <w:fldChar w:fldCharType="separate"/>
      </w:r>
      <w:hyperlink w:anchor="_ENREF_38" w:tooltip="Manly, 2005 #83" w:history="1">
        <w:r w:rsidR="001633BC">
          <w:rPr>
            <w:noProof/>
          </w:rPr>
          <w:t>Manly (2005:114</w:t>
        </w:r>
      </w:hyperlink>
      <w:r w:rsidR="00E32515">
        <w:rPr>
          <w:noProof/>
        </w:rPr>
        <w:t>)</w:t>
      </w:r>
      <w:r>
        <w:fldChar w:fldCharType="end"/>
      </w:r>
      <w:r w:rsidR="00E32515">
        <w:t xml:space="preserve"> points out that it has the potential to introduce bias and still cause </w:t>
      </w:r>
      <w:r w:rsidR="00FD4E26">
        <w:t>over-fit</w:t>
      </w:r>
      <w:r w:rsidR="00E32515">
        <w:t>ting stating, “given enough variables, it is almost certain that some combination of them will produce significant discriminant functions by chance alone.”</w:t>
      </w:r>
    </w:p>
    <w:p w:rsidR="00D91B88" w:rsidRDefault="00883714" w:rsidP="00883714">
      <w:pPr>
        <w:ind w:firstLine="720"/>
      </w:pPr>
      <w:r>
        <w:t>There are no built-in methods for variable selection with KNN or QDA in SAS, so a forward selection was conducted manually.  Forward selection methods start wit</w:t>
      </w:r>
      <w:r w:rsidR="0048048C">
        <w:t>h no variables in the model.  I</w:t>
      </w:r>
      <w:r>
        <w:t>n the first step the performances of all of the variables are evaluated individually.  The variable that maximizes group separation is selected and entered.  This process is repeated for the remaining variables until add</w:t>
      </w:r>
      <w:r w:rsidR="00133BB8">
        <w:t>ing</w:t>
      </w:r>
      <w:r>
        <w:t xml:space="preserve"> variables no longer contributes to group separation, or the partial </w:t>
      </w:r>
      <w:r>
        <w:rPr>
          <w:i/>
        </w:rPr>
        <w:t>F</w:t>
      </w:r>
      <w:r>
        <w:t xml:space="preserve">-statistic evaluated with Wilk’s </w:t>
      </w:r>
      <w:r>
        <w:sym w:font="Symbol" w:char="F04C"/>
      </w:r>
      <w:r>
        <w:t xml:space="preserve"> </w:t>
      </w:r>
      <w:r w:rsidR="003731B6">
        <w:fldChar w:fldCharType="begin"/>
      </w:r>
      <w:r>
        <w:instrText xml:space="preserve"> ADDIN EN.CITE &lt;EndNote&gt;&lt;Cite&gt;&lt;Author&gt;Rencher&lt;/Author&gt;&lt;Year&gt;2002&lt;/Year&gt;&lt;RecNum&gt;91&lt;/RecNum&gt;&lt;DisplayText&gt;(Rencher, 2002)&lt;/DisplayText&gt;&lt;record&gt;&lt;rec-number&gt;91&lt;/rec-number&gt;&lt;foreign-keys&gt;&lt;key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Pr>
          <w:noProof/>
        </w:rPr>
        <w:t>(</w:t>
      </w:r>
      <w:hyperlink w:anchor="_ENREF_48" w:tooltip="Rencher, 2002 #91" w:history="1">
        <w:r w:rsidR="001633BC">
          <w:rPr>
            <w:noProof/>
          </w:rPr>
          <w:t>Rencher, 2002</w:t>
        </w:r>
      </w:hyperlink>
      <w:r>
        <w:rPr>
          <w:noProof/>
        </w:rPr>
        <w:t>)</w:t>
      </w:r>
      <w:r w:rsidR="003731B6">
        <w:fldChar w:fldCharType="end"/>
      </w:r>
      <w:r>
        <w:t>.</w:t>
      </w:r>
      <w:r w:rsidR="001B4A0C">
        <w:t xml:space="preserve">  The holdout classification rate was used to evaluate variable performance and selection for the KNN and QDA procedures in this analysis.</w:t>
      </w:r>
      <w:r w:rsidR="00CC24AD">
        <w:t xml:space="preserve">  Variables were added to the analysis one-by-one, selecting the variable that most greatly improved holdout classification, until adding variables ceased to significantly improve performance.  The selection was </w:t>
      </w:r>
      <w:r w:rsidR="009A479D">
        <w:t>stopped after three steps yielded no significant improvement</w:t>
      </w:r>
      <w:r w:rsidR="00CC24AD">
        <w:t>.</w:t>
      </w:r>
      <w:r w:rsidR="009A479D">
        <w:t xml:space="preserve">  The </w:t>
      </w:r>
      <w:r w:rsidR="009462B3">
        <w:t>re-substitution</w:t>
      </w:r>
      <w:r w:rsidR="009A479D">
        <w:t>, jackknife, and holdout classification</w:t>
      </w:r>
      <w:r w:rsidR="00C01B61">
        <w:t xml:space="preserve"> rates for all variable subsets</w:t>
      </w:r>
      <w:r w:rsidR="009A479D">
        <w:t xml:space="preserve"> were</w:t>
      </w:r>
      <w:r w:rsidR="00C01B61">
        <w:t xml:space="preserve"> </w:t>
      </w:r>
      <w:r w:rsidR="00094AE0">
        <w:t>evaluated to determine</w:t>
      </w:r>
      <w:r w:rsidR="00892C71">
        <w:t xml:space="preserve"> which subset to select.</w:t>
      </w:r>
    </w:p>
    <w:p w:rsidR="00613627" w:rsidRDefault="00613627" w:rsidP="00613627">
      <w:pPr>
        <w:pStyle w:val="Heading3"/>
      </w:pPr>
      <w:bookmarkStart w:id="62" w:name="_Toc222419126"/>
      <w:bookmarkStart w:id="63" w:name="_Toc227982497"/>
      <w:r>
        <w:t>Evaluation and Comparison</w:t>
      </w:r>
      <w:bookmarkEnd w:id="62"/>
      <w:bookmarkEnd w:id="63"/>
    </w:p>
    <w:p w:rsidR="00613627" w:rsidRDefault="00613627" w:rsidP="00613627">
      <w:r>
        <w:tab/>
        <w:t xml:space="preserve">There are a variety of methods by which classification performance may be evaluated.  Three common options are </w:t>
      </w:r>
      <w:r w:rsidR="009462B3">
        <w:t>re-substitution</w:t>
      </w:r>
      <w:r>
        <w:t>, jackknife cross-validation, and holdout validation.  The above three methods are different ways of estimating an actual error rate from the available sample and can be compared across methods to compare classification performance.</w:t>
      </w:r>
    </w:p>
    <w:p w:rsidR="00613627" w:rsidRDefault="00613627" w:rsidP="00613627">
      <w:r>
        <w:tab/>
      </w:r>
      <w:r w:rsidR="009462B3">
        <w:t>Re-substitution</w:t>
      </w:r>
      <w:r>
        <w:t xml:space="preserve"> estimates the actual error rate by reclassifying the observations used in the estimation of the classification functions </w:t>
      </w:r>
      <w:r w:rsidR="003731B6">
        <w:fldChar w:fldCharType="begin">
          <w:fldData xml:space="preserve">PEVuZE5vdGU+PENpdGU+PEF1dGhvcj5NYW5seTwvQXV0aG9yPjxZZWFyPjIwMDU8L1llYXI+PFJl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</w:fldData>
        </w:fldChar>
      </w:r>
      <w:r>
        <w:instrText xml:space="preserve"> ADDIN EN.CITE </w:instrText>
      </w:r>
      <w:r w:rsidR="003731B6">
        <w:fldChar w:fldCharType="begin">
          <w:fldData xml:space="preserve">PEVuZE5vdGU+PENpdGU+PEF1dGhvcj5NYW5seTwvQXV0aG9yPjxZZWFyPjIwMDU8L1llYXI+PFJl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</w:fldData>
        </w:fldChar>
      </w:r>
      <w:r>
        <w:instrText xml:space="preserve"> ADDIN EN.CITE.DATA </w:instrText>
      </w:r>
      <w:r w:rsidR="003731B6">
        <w:fldChar w:fldCharType="end"/>
      </w:r>
      <w:r w:rsidR="003731B6">
        <w:fldChar w:fldCharType="separate"/>
      </w:r>
      <w:r>
        <w:rPr>
          <w:noProof/>
        </w:rPr>
        <w:t>(</w:t>
      </w:r>
      <w:hyperlink w:anchor="_ENREF_48" w:tooltip="Rencher, 2002 #91" w:history="1">
        <w:r w:rsidR="001633BC">
          <w:rPr>
            <w:noProof/>
          </w:rPr>
          <w:t>Rencher, 2002</w:t>
        </w:r>
      </w:hyperlink>
      <w:r>
        <w:rPr>
          <w:noProof/>
        </w:rPr>
        <w:t xml:space="preserve">; </w:t>
      </w:r>
      <w:hyperlink w:anchor="_ENREF_38" w:tooltip="Manly, 2005 #83" w:history="1">
        <w:r w:rsidR="001633BC">
          <w:rPr>
            <w:noProof/>
          </w:rPr>
          <w:t>Manly, 2005</w:t>
        </w:r>
      </w:hyperlink>
      <w:r>
        <w:rPr>
          <w:noProof/>
        </w:rPr>
        <w:t xml:space="preserve">; </w:t>
      </w:r>
      <w:hyperlink w:anchor="_ENREF_27" w:tooltip="Huberty, 2006 #85" w:history="1">
        <w:r w:rsidR="001633BC">
          <w:rPr>
            <w:noProof/>
          </w:rPr>
          <w:t>Huberty and Olejnik, 2006</w:t>
        </w:r>
      </w:hyperlink>
      <w:r>
        <w:rPr>
          <w:noProof/>
        </w:rPr>
        <w:t xml:space="preserve">; </w:t>
      </w:r>
      <w:hyperlink w:anchor="_ENREF_16" w:tooltip="Fielding, 2007 #374" w:history="1">
        <w:r w:rsidR="001633BC">
          <w:rPr>
            <w:noProof/>
          </w:rPr>
          <w:t>Fielding, 2007</w:t>
        </w:r>
      </w:hyperlink>
      <w:r>
        <w:rPr>
          <w:noProof/>
        </w:rPr>
        <w:t>)</w:t>
      </w:r>
      <w:r w:rsidR="003731B6">
        <w:fldChar w:fldCharType="end"/>
      </w:r>
      <w:r>
        <w:t xml:space="preserve">.  Though it is the simplest, it is the least accurate of the three methods, providing upwardly biased hit rate estimation.  The classification rules for discriminant methods are derived to maximize between-group variation of the sample, minimizing the number of misclassifications made </w:t>
      </w:r>
      <w:r w:rsidR="003731B6">
        <w:fldChar w:fldCharType="begin"/>
      </w:r>
      <w:r>
        <w:instrText xml:space="preserve"> ADDIN EN.CITE &lt;EndNote&gt;&lt;Cite&gt;&lt;Author&gt;Huberty&lt;/Author&gt;&lt;Year&gt;2006&lt;/Year&gt;&lt;RecNum&gt;85&lt;/RecNum&gt;&lt;DisplayText&gt;(Rencher, 2002; 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Sons&lt;/publisher&gt;&lt;urls&gt;&lt;/urls&gt;&lt;/record&gt;&lt;/Cite&gt;&lt;Cite&gt;&lt;Author&gt;Rencher&lt;/Author&gt;&lt;Year&gt;2002&lt;/Year&gt;&lt;RecNum&gt;91&lt;/RecNum&gt;&lt;record&gt;&lt;rec-number&gt;91&lt;/rec-number&gt;&lt;foreign-keys&gt;&lt;key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Pr>
          <w:noProof/>
        </w:rPr>
        <w:t>(</w:t>
      </w:r>
      <w:hyperlink w:anchor="_ENREF_48" w:tooltip="Rencher, 2002 #91" w:history="1">
        <w:r w:rsidR="001633BC">
          <w:rPr>
            <w:noProof/>
          </w:rPr>
          <w:t>Rencher, 2002</w:t>
        </w:r>
      </w:hyperlink>
      <w:r>
        <w:rPr>
          <w:noProof/>
        </w:rPr>
        <w:t xml:space="preserve">; </w:t>
      </w:r>
      <w:hyperlink w:anchor="_ENREF_27" w:tooltip="Huberty, 2006 #85" w:history="1">
        <w:r w:rsidR="001633BC">
          <w:rPr>
            <w:noProof/>
          </w:rPr>
          <w:t>Huberty and Olejnik, 2006</w:t>
        </w:r>
      </w:hyperlink>
      <w:r>
        <w:rPr>
          <w:noProof/>
        </w:rPr>
        <w:t>)</w:t>
      </w:r>
      <w:r w:rsidR="003731B6">
        <w:fldChar w:fldCharType="end"/>
      </w:r>
      <w:r>
        <w:t>.  Thus, estimating the classification rate using data on which the classification functions were derived provides an optimistically biased estimate.</w:t>
      </w:r>
    </w:p>
    <w:p w:rsidR="00613627" w:rsidRDefault="00613627" w:rsidP="00613627">
      <w:r>
        <w:tab/>
        <w:t xml:space="preserve">Jackknife cross-validation, or leave-one-out cross-validation, is one method used to obtain a more accurate classification rate estimate </w:t>
      </w:r>
      <w:r w:rsidR="003731B6">
        <w:fldChar w:fldCharType="begin"/>
      </w:r>
      <w:r>
        <w:instrText xml:space="preserve"> ADDIN EN.CITE &lt;EndNote&gt;&lt;Cite&gt;&lt;Author&gt;Manly&lt;/Author&gt;&lt;Year&gt;2005&lt;/Year&gt;&lt;RecNum&gt;83&lt;/RecNum&gt;&lt;DisplayText&gt;(Manly, 2005; Huberty and Olejnik, 2006)&lt;/DisplayText&gt;&lt;record&gt;&lt;rec-number&gt;83&lt;/rec-number&gt;&lt;foreign-keys&gt;&lt;key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Hall/CRC&lt;/publisher&gt;&lt;urls&gt;&lt;/urls&gt;&lt;/record&gt;&lt;/Cite&gt;&lt;Cite&gt;&lt;Author&gt;Huberty&lt;/Author&gt;&lt;Year&gt;2006&lt;/Year&gt;&lt;RecNum&gt;85&lt;/RecNum&gt;&lt;record&gt;&lt;rec-number&gt;85&lt;/rec-number&gt;&lt;foreign-keys&gt;&lt;key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Pr>
          <w:noProof/>
        </w:rPr>
        <w:t>(</w:t>
      </w:r>
      <w:hyperlink w:anchor="_ENREF_38" w:tooltip="Manly, 2005 #83" w:history="1">
        <w:r w:rsidR="001633BC">
          <w:rPr>
            <w:noProof/>
          </w:rPr>
          <w:t>Manly, 2005</w:t>
        </w:r>
      </w:hyperlink>
      <w:r>
        <w:rPr>
          <w:noProof/>
        </w:rPr>
        <w:t xml:space="preserve">; </w:t>
      </w:r>
      <w:hyperlink w:anchor="_ENREF_27" w:tooltip="Huberty, 2006 #85" w:history="1">
        <w:r w:rsidR="001633BC">
          <w:rPr>
            <w:noProof/>
          </w:rPr>
          <w:t>Huberty and Olejnik, 2006</w:t>
        </w:r>
      </w:hyperlink>
      <w:r>
        <w:rPr>
          <w:noProof/>
        </w:rPr>
        <w:t>)</w:t>
      </w:r>
      <w:r w:rsidR="003731B6">
        <w:fldChar w:fldCharType="end"/>
      </w:r>
      <w:r>
        <w:t xml:space="preserve">.  To avoid providing an estimate based upon the classification of </w:t>
      </w:r>
      <w:proofErr w:type="gramStart"/>
      <w:r>
        <w:t>observations</w:t>
      </w:r>
      <w:proofErr w:type="gramEnd"/>
      <w:r>
        <w:t xml:space="preserve"> used to derive the classification rules, it derives the classification functions using all of the observations in the sample while holding one observation out.  The held out observation is then classified using the classification functions estimated from the other observations.  This process is repeated for every observation in the sample and the average classification rate from all of the runs is reported.  However, this can still provide an optimistically biased estimate of the classification rate as it is usually only slightly lower than that offered by </w:t>
      </w:r>
      <w:r w:rsidR="009462B3">
        <w:t>re-substitution</w:t>
      </w:r>
      <w:r>
        <w:t xml:space="preserve"> </w:t>
      </w:r>
      <w:r w:rsidR="003731B6">
        <w:fldChar w:fldCharType="begin"/>
      </w:r>
      <w:r>
        <w:instrText xml:space="preserve"> ADDIN EN.CITE &lt;EndNote&gt;&lt;Cite&gt;&lt;Author&gt;Manly&lt;/Author&gt;&lt;Year&gt;2005&lt;/Year&gt;&lt;RecNum&gt;83&lt;/RecNum&gt;&lt;DisplayText&gt;(Manly, 2005)&lt;/DisplayText&gt;&lt;record&gt;&lt;rec-number&gt;83&lt;/rec-number&gt;&lt;foreign-keys&gt;&lt;key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Hall/CRC&lt;/publisher&gt;&lt;urls&gt;&lt;/urls&gt;&lt;/record&gt;&lt;/Cite&gt;&lt;/EndNote&gt;</w:instrText>
      </w:r>
      <w:r w:rsidR="003731B6">
        <w:fldChar w:fldCharType="separate"/>
      </w:r>
      <w:r>
        <w:rPr>
          <w:noProof/>
        </w:rPr>
        <w:t>(</w:t>
      </w:r>
      <w:hyperlink w:anchor="_ENREF_38" w:tooltip="Manly, 2005 #83" w:history="1">
        <w:r w:rsidR="001633BC">
          <w:rPr>
            <w:noProof/>
          </w:rPr>
          <w:t>Manly, 2005</w:t>
        </w:r>
      </w:hyperlink>
      <w:r>
        <w:rPr>
          <w:noProof/>
        </w:rPr>
        <w:t>)</w:t>
      </w:r>
      <w:r w:rsidR="003731B6">
        <w:fldChar w:fldCharType="end"/>
      </w:r>
      <w:r>
        <w:t xml:space="preserve">.  Furthermore, jackknife validation can be unreliable because it is known to have a large variance for its classification rate estimate </w:t>
      </w:r>
      <w:r w:rsidR="003731B6">
        <w:fldChar w:fldCharType="begin"/>
      </w:r>
      <w:r>
        <w:instrText xml:space="preserve"> ADDIN EN.CITE &lt;EndNote&gt;&lt;Cite&gt;&lt;Author&gt;Huberty&lt;/Author&gt;&lt;Year&gt;2006&lt;/Year&gt;&lt;RecNum&gt;85&lt;/RecNum&gt;&lt;DisplayText&gt;(Huberty and Olejnik, 2006; Fielding, 2007)&lt;/DisplayText&gt;&lt;record&gt;&lt;rec-number&gt;85&lt;/rec-number&gt;&lt;foreign-keys&gt;&lt;key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Sons&lt;/publisher&gt;&lt;urls&gt;&lt;/urls&gt;&lt;/record&gt;&lt;/Cite&gt;&lt;Cite&gt;&lt;Author&gt;Fielding&lt;/Author&gt;&lt;Year&gt;2007&lt;/Year&gt;&lt;RecNum&gt;374&lt;/RecNum&gt;&lt;record&gt;&lt;rec-number&gt;374&lt;/rec-number&gt;&lt;foreign-keys&gt;&lt;key app="EN" db-id="20frpf5eyrpavaevz925sv9t29f5epa9pd2z"&gt;374&lt;/key&gt;&lt;/foreign-keys&gt;&lt;ref-type name="Book"&gt;6&lt;/ref-type&gt;&lt;contributors&gt;&lt;authors&gt;&lt;author&gt;Fielding, Alan H.&lt;/author&gt;&lt;/authors&gt;&lt;/contributors&gt;&lt;titles&gt;&lt;title&gt;Cluster and Classification Techniques for the Biosciences&lt;/title&gt;&lt;/titles&gt;&lt;dates&gt;&lt;year&gt;2007&lt;/year&gt;&lt;/dates&gt;&lt;pub-location&gt;New York&lt;/pub-location&gt;&lt;publisher&gt;Cambridge University Press&lt;/publisher&gt;&lt;urls&gt;&lt;/urls&gt;&lt;/record&gt;&lt;/Cite&gt;&lt;/EndNote&gt;</w:instrText>
      </w:r>
      <w:r w:rsidR="003731B6">
        <w:fldChar w:fldCharType="separate"/>
      </w:r>
      <w:r>
        <w:rPr>
          <w:noProof/>
        </w:rPr>
        <w:t>(</w:t>
      </w:r>
      <w:hyperlink w:anchor="_ENREF_27" w:tooltip="Huberty, 2006 #85" w:history="1">
        <w:r w:rsidR="001633BC">
          <w:rPr>
            <w:noProof/>
          </w:rPr>
          <w:t>Huberty and Olejnik, 2006</w:t>
        </w:r>
      </w:hyperlink>
      <w:r>
        <w:rPr>
          <w:noProof/>
        </w:rPr>
        <w:t xml:space="preserve">; </w:t>
      </w:r>
      <w:hyperlink w:anchor="_ENREF_16" w:tooltip="Fielding, 2007 #374" w:history="1">
        <w:r w:rsidR="001633BC">
          <w:rPr>
            <w:noProof/>
          </w:rPr>
          <w:t>Fielding, 2007</w:t>
        </w:r>
      </w:hyperlink>
      <w:r>
        <w:rPr>
          <w:noProof/>
        </w:rPr>
        <w:t>)</w:t>
      </w:r>
      <w:r w:rsidR="003731B6">
        <w:fldChar w:fldCharType="end"/>
      </w:r>
      <w:r>
        <w:t>.</w:t>
      </w:r>
    </w:p>
    <w:p w:rsidR="00613627" w:rsidRDefault="00613627" w:rsidP="00613627">
      <w:r>
        <w:tab/>
        <w:t xml:space="preserve">The last method of classification rate estimation, holdout validation, avoids biasing the estimate by splitting the overall </w:t>
      </w:r>
      <w:r w:rsidR="00627EB0">
        <w:t>sample into two smaller samples:</w:t>
      </w:r>
      <w:r>
        <w:t xml:space="preserve"> </w:t>
      </w:r>
      <w:r w:rsidR="00627EB0">
        <w:t xml:space="preserve"> </w:t>
      </w:r>
      <w:r>
        <w:t xml:space="preserve">training and holdout.  The training sample is used to estimate the classification rules.  The rules are then applied to the holdout sample to estimate their actual classification rate </w:t>
      </w:r>
      <w:r w:rsidR="003731B6">
        <w:fldChar w:fldCharType="begin"/>
      </w:r>
      <w:r>
        <w:instrText xml:space="preserve"> ADDIN EN.CITE &lt;EndNote&gt;&lt;Cite&gt;&lt;Author&gt;Fielding&lt;/Author&gt;&lt;Year&gt;2007&lt;/Year&gt;&lt;RecNum&gt;374&lt;/RecNum&gt;&lt;DisplayText&gt;(Rencher, 2002; Huberty and Olejnik, 2006; Fielding, 2007)&lt;/DisplayText&gt;&lt;record&gt;&lt;rec-number&gt;374&lt;/rec-number&gt;&lt;foreign-keys&gt;&lt;key app="EN" db-id="20frpf5eyrpavaevz925sv9t29f5epa9pd2z"&gt;374&lt;/key&gt;&lt;/foreign-keys&gt;&lt;ref-type name="Book"&gt;6&lt;/ref-type&gt;&lt;contributors&gt;&lt;authors&gt;&lt;author&gt;Fielding, Alan H.&lt;/author&gt;&lt;/authors&gt;&lt;/contributors&gt;&lt;titles&gt;&lt;title&gt;Cluster and Classification Techniques for the Biosciences&lt;/title&gt;&lt;/titles&gt;&lt;dates&gt;&lt;year&gt;2007&lt;/year&gt;&lt;/dates&gt;&lt;pub-location&gt;New York&lt;/pub-location&gt;&lt;publisher&gt;Cambridge University Press&lt;/publisher&gt;&lt;urls&gt;&lt;/urls&gt;&lt;/record&gt;&lt;/Cite&gt;&lt;Cite&gt;&lt;Author&gt;Rencher&lt;/Author&gt;&lt;Year&gt;2002&lt;/Year&gt;&lt;RecNum&gt;91&lt;/RecNum&gt;&lt;record&gt;&lt;rec-number&gt;91&lt;/rec-number&gt;&lt;foreign-keys&gt;&lt;key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Sons&lt;/publisher&gt;&lt;urls&gt;&lt;/urls&gt;&lt;/record&gt;&lt;/Cite&gt;&lt;Cite&gt;&lt;Author&gt;Huberty&lt;/Author&gt;&lt;Year&gt;2006&lt;/Year&gt;&lt;RecNum&gt;85&lt;/RecNum&gt;&lt;record&gt;&lt;rec-number&gt;85&lt;/rec-number&gt;&lt;foreign-keys&gt;&lt;key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Pr>
          <w:noProof/>
        </w:rPr>
        <w:t>(</w:t>
      </w:r>
      <w:hyperlink w:anchor="_ENREF_48" w:tooltip="Rencher, 2002 #91" w:history="1">
        <w:r w:rsidR="001633BC">
          <w:rPr>
            <w:noProof/>
          </w:rPr>
          <w:t>Rencher, 2002</w:t>
        </w:r>
      </w:hyperlink>
      <w:r>
        <w:rPr>
          <w:noProof/>
        </w:rPr>
        <w:t xml:space="preserve">; </w:t>
      </w:r>
      <w:hyperlink w:anchor="_ENREF_27" w:tooltip="Huberty, 2006 #85" w:history="1">
        <w:r w:rsidR="001633BC">
          <w:rPr>
            <w:noProof/>
          </w:rPr>
          <w:t>Huberty and Olejnik, 2006</w:t>
        </w:r>
      </w:hyperlink>
      <w:r>
        <w:rPr>
          <w:noProof/>
        </w:rPr>
        <w:t xml:space="preserve">; </w:t>
      </w:r>
      <w:hyperlink w:anchor="_ENREF_16" w:tooltip="Fielding, 2007 #374" w:history="1">
        <w:r w:rsidR="001633BC">
          <w:rPr>
            <w:noProof/>
          </w:rPr>
          <w:t>Fielding, 2007</w:t>
        </w:r>
      </w:hyperlink>
      <w:r>
        <w:rPr>
          <w:noProof/>
        </w:rPr>
        <w:t>)</w:t>
      </w:r>
      <w:r w:rsidR="003731B6">
        <w:fldChar w:fldCharType="end"/>
      </w:r>
      <w:r>
        <w:t xml:space="preserve">.  Though this method does well at reducing the bias in estimating the classification rate, it has a few drawbacks.  First, it requires a large sample size </w:t>
      </w:r>
      <w:r w:rsidR="003731B6">
        <w:fldChar w:fldCharType="begin"/>
      </w:r>
      <w:r>
        <w:instrText xml:space="preserve"> ADDIN EN.CITE &lt;EndNote&gt;&lt;Cite&gt;&lt;Author&gt;Huberty&lt;/Author&gt;&lt;Year&gt;2006&lt;/Year&gt;&lt;RecNum&gt;85&lt;/RecNum&gt;&lt;DisplayText&gt;(Rencher, 2002; 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Sons&lt;/publisher&gt;&lt;urls&gt;&lt;/urls&gt;&lt;/record&gt;&lt;/Cite&gt;&lt;Cite&gt;&lt;Author&gt;Rencher&lt;/Author&gt;&lt;Year&gt;2002&lt;/Year&gt;&lt;RecNum&gt;91&lt;/RecNum&gt;&lt;record&gt;&lt;rec-number&gt;91&lt;/rec-number&gt;&lt;foreign-keys&gt;&lt;key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fldChar w:fldCharType="separate"/>
      </w:r>
      <w:r>
        <w:rPr>
          <w:noProof/>
        </w:rPr>
        <w:t>(</w:t>
      </w:r>
      <w:hyperlink w:anchor="_ENREF_48" w:tooltip="Rencher, 2002 #91" w:history="1">
        <w:r w:rsidR="001633BC">
          <w:rPr>
            <w:noProof/>
          </w:rPr>
          <w:t>Rencher, 2002</w:t>
        </w:r>
      </w:hyperlink>
      <w:r>
        <w:rPr>
          <w:noProof/>
        </w:rPr>
        <w:t xml:space="preserve">; </w:t>
      </w:r>
      <w:hyperlink w:anchor="_ENREF_27" w:tooltip="Huberty, 2006 #85" w:history="1">
        <w:r w:rsidR="001633BC">
          <w:rPr>
            <w:noProof/>
          </w:rPr>
          <w:t>Huberty and Olejnik, 2006</w:t>
        </w:r>
      </w:hyperlink>
      <w:r>
        <w:rPr>
          <w:noProof/>
        </w:rPr>
        <w:t>)</w:t>
      </w:r>
      <w:r w:rsidR="003731B6">
        <w:fldChar w:fldCharType="end"/>
      </w:r>
      <w:r>
        <w:t xml:space="preserve">.  Second, the classification functions derived on the training sample are not the same as those that would be derived if all available data were used.  Theoretically, classification rules derived from all available data would perform better than those derived from a subset of the data </w:t>
      </w:r>
      <w:r w:rsidR="003731B6">
        <w:fldChar w:fldCharType="begin"/>
      </w:r>
      <w:r>
        <w:instrText xml:space="preserve"> ADDIN EN.CITE &lt;EndNote&gt;&lt;Cite&gt;&lt;Author&gt;Rencher&lt;/Author&gt;&lt;Year&gt;2002&lt;/Year&gt;&lt;RecNum&gt;91&lt;/RecNum&gt;&lt;DisplayText&gt;(Rencher, 2002; Huberty and Olejnik, 2006)&lt;/DisplayText&gt;&lt;record&gt;&lt;rec-number&gt;91&lt;/rec-number&gt;&lt;foreign-keys&gt;&lt;key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Sons&lt;/publisher&gt;&lt;urls&gt;&lt;/urls&gt;&lt;/record&gt;&lt;/Cite&gt;&lt;Cite&gt;&lt;Author&gt;Huberty&lt;/Author&gt;&lt;Year&gt;2006&lt;/Year&gt;&lt;RecNum&gt;85&lt;/RecNum&gt;&lt;record&gt;&lt;rec-number&gt;85&lt;/rec-number&gt;&lt;foreign-keys&gt;&lt;key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r>
        <w:rPr>
          <w:noProof/>
        </w:rPr>
        <w:t>(</w:t>
      </w:r>
      <w:hyperlink w:anchor="_ENREF_48" w:tooltip="Rencher, 2002 #91" w:history="1">
        <w:r w:rsidR="001633BC">
          <w:rPr>
            <w:noProof/>
          </w:rPr>
          <w:t>Rencher, 2002</w:t>
        </w:r>
      </w:hyperlink>
      <w:r>
        <w:rPr>
          <w:noProof/>
        </w:rPr>
        <w:t xml:space="preserve">; </w:t>
      </w:r>
      <w:hyperlink w:anchor="_ENREF_27" w:tooltip="Huberty, 2006 #85" w:history="1">
        <w:r w:rsidR="001633BC">
          <w:rPr>
            <w:noProof/>
          </w:rPr>
          <w:t>Huberty and Olejnik, 2006</w:t>
        </w:r>
      </w:hyperlink>
      <w:r>
        <w:rPr>
          <w:noProof/>
        </w:rPr>
        <w:t>)</w:t>
      </w:r>
      <w:r w:rsidR="003731B6">
        <w:fldChar w:fldCharType="end"/>
      </w:r>
      <w:r>
        <w:t xml:space="preserve">.  Third, the size of the test set in terms of proportion of the overall sample must be determined.  </w:t>
      </w:r>
      <w:r w:rsidR="003731B6">
        <w:fldChar w:fldCharType="begin"/>
      </w:r>
      <w:r>
        <w:instrText xml:space="preserve"> ADDIN EN.CITE &lt;EndNote&gt;&lt;Cite AuthorYear="1"&gt;&lt;Author&gt;Huberty&lt;/Author&gt;&lt;Year&gt;2006&lt;/Year&gt;&lt;RecNum&gt;85&lt;/RecNum&gt;&lt;DisplayText&gt;Huberty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fldChar w:fldCharType="separate"/>
      </w:r>
      <w:hyperlink w:anchor="_ENREF_27" w:tooltip="Huberty, 2006 #85" w:history="1">
        <w:r w:rsidR="001633BC">
          <w:rPr>
            <w:noProof/>
          </w:rPr>
          <w:t>Huberty and Olejnik (2006</w:t>
        </w:r>
      </w:hyperlink>
      <w:r>
        <w:rPr>
          <w:noProof/>
        </w:rPr>
        <w:t>)</w:t>
      </w:r>
      <w:r w:rsidR="003731B6">
        <w:fldChar w:fldCharType="end"/>
      </w:r>
      <w:r>
        <w:t xml:space="preserve"> note that there has not been a lot of work to provide guidelines on how to do this, but that the training sample should be about 75% of the overall sample size.</w:t>
      </w:r>
    </w:p>
    <w:p w:rsidR="00017A4B" w:rsidRPr="001935F9" w:rsidRDefault="00613627" w:rsidP="00613627">
      <w:r>
        <w:tab/>
        <w:t>In this comparison of discriminant method performance, out-of-sample accuracy is of particular interest.  Therefore, this analysis evaluates classification performance with a holdout sample in order to obtain the least biased out-of-sample classification rate estimates possible.  The training sample is 70%  (</w:t>
      </w:r>
      <w:r>
        <w:rPr>
          <w:i/>
        </w:rPr>
        <w:t>n</w:t>
      </w:r>
      <w:r w:rsidR="0082652B">
        <w:rPr>
          <w:i/>
          <w:vertAlign w:val="subscript"/>
        </w:rPr>
        <w:t>t</w:t>
      </w:r>
      <w:r>
        <w:t>=855) of the overall sample, while the holdout sample is the remaining 30% (</w:t>
      </w:r>
      <w:r>
        <w:rPr>
          <w:i/>
        </w:rPr>
        <w:t>n</w:t>
      </w:r>
      <w:r w:rsidR="0082652B">
        <w:rPr>
          <w:i/>
          <w:vertAlign w:val="subscript"/>
        </w:rPr>
        <w:t>h</w:t>
      </w:r>
      <w:r>
        <w:t>=378).  The observations include</w:t>
      </w:r>
      <w:r w:rsidR="001420EC">
        <w:t>d in each were chosen at random.</w:t>
      </w:r>
      <w:r w:rsidR="008C2C34">
        <w:t xml:space="preserve">  </w:t>
      </w:r>
      <w:r w:rsidR="00CA74DB">
        <w:t>Table 9 and Table 10 show the training and holdout sample sizes respectively.</w:t>
      </w:r>
    </w:p>
    <w:p w:rsidR="00CA74DB" w:rsidRPr="00BA35A3" w:rsidRDefault="00CA74DB" w:rsidP="0024354B">
      <w:pPr>
        <w:pStyle w:val="Caption"/>
      </w:pPr>
      <w:bookmarkStart w:id="64" w:name="_Toc227982517"/>
      <w:proofErr w:type="gramStart"/>
      <w:r w:rsidRPr="00BA35A3">
        <w:t xml:space="preserve">Table </w:t>
      </w:r>
      <w:r w:rsidR="003731B6" w:rsidRPr="00BA35A3">
        <w:fldChar w:fldCharType="begin"/>
      </w:r>
      <w:r w:rsidR="00B46B61" w:rsidRPr="00BA35A3">
        <w:instrText xml:space="preserve"> SEQ Table \* ARABIC </w:instrText>
      </w:r>
      <w:r w:rsidR="003731B6" w:rsidRPr="00BA35A3">
        <w:fldChar w:fldCharType="separate"/>
      </w:r>
      <w:r w:rsidR="001633BC">
        <w:rPr>
          <w:noProof/>
        </w:rPr>
        <w:t>9</w:t>
      </w:r>
      <w:r w:rsidR="003731B6" w:rsidRPr="00BA35A3">
        <w:fldChar w:fldCharType="end"/>
      </w:r>
      <w:r w:rsidRPr="00BA35A3">
        <w:t>.</w:t>
      </w:r>
      <w:proofErr w:type="gramEnd"/>
      <w:r w:rsidRPr="00BA35A3">
        <w:t xml:space="preserve"> Training sample size</w:t>
      </w:r>
      <w:bookmarkEnd w:id="64"/>
    </w:p>
    <w:tbl>
      <w:tblPr>
        <w:tblStyle w:val="LightGrid-Accent11"/>
        <w:tblW w:w="0" w:type="auto"/>
        <w:tblLook w:val="04A0"/>
      </w:tblPr>
      <w:tblGrid>
        <w:gridCol w:w="2394"/>
        <w:gridCol w:w="2394"/>
        <w:gridCol w:w="2394"/>
      </w:tblGrid>
      <w:tr w:rsidR="00017A4B">
        <w:trPr>
          <w:cnfStyle w:val="100000000000"/>
        </w:trPr>
        <w:tc>
          <w:tcPr>
            <w:cnfStyle w:val="001000000000"/>
            <w:tcW w:w="2394" w:type="dxa"/>
          </w:tcPr>
          <w:p w:rsidR="00017A4B" w:rsidRDefault="00017A4B">
            <w:r>
              <w:t>Group</w:t>
            </w:r>
          </w:p>
        </w:tc>
        <w:tc>
          <w:tcPr>
            <w:tcW w:w="2394" w:type="dxa"/>
          </w:tcPr>
          <w:p w:rsidR="00017A4B" w:rsidRDefault="00017A4B">
            <w:pPr>
              <w:cnfStyle w:val="100000000000"/>
            </w:pPr>
            <w:r>
              <w:t>Frequency</w:t>
            </w:r>
          </w:p>
        </w:tc>
        <w:tc>
          <w:tcPr>
            <w:tcW w:w="2394" w:type="dxa"/>
          </w:tcPr>
          <w:p w:rsidR="00017A4B" w:rsidRDefault="00017A4B">
            <w:pPr>
              <w:cnfStyle w:val="100000000000"/>
            </w:pPr>
            <w:r>
              <w:t>Percent</w:t>
            </w:r>
          </w:p>
        </w:tc>
      </w:tr>
      <w:tr w:rsidR="00017A4B">
        <w:trPr>
          <w:cnfStyle w:val="000000100000"/>
        </w:trPr>
        <w:tc>
          <w:tcPr>
            <w:cnfStyle w:val="001000000000"/>
            <w:tcW w:w="2394" w:type="dxa"/>
          </w:tcPr>
          <w:p w:rsidR="00017A4B" w:rsidRPr="00CA74DB" w:rsidRDefault="00017A4B">
            <w:pPr>
              <w:rPr>
                <w:b w:val="0"/>
              </w:rPr>
            </w:pPr>
            <w:r w:rsidRPr="00CA74DB">
              <w:rPr>
                <w:b w:val="0"/>
              </w:rPr>
              <w:t>White males</w:t>
            </w:r>
          </w:p>
        </w:tc>
        <w:tc>
          <w:tcPr>
            <w:tcW w:w="2394" w:type="dxa"/>
          </w:tcPr>
          <w:p w:rsidR="00017A4B" w:rsidRDefault="00017A4B">
            <w:pPr>
              <w:cnfStyle w:val="000000100000"/>
            </w:pPr>
            <w:r>
              <w:t>442</w:t>
            </w:r>
          </w:p>
        </w:tc>
        <w:tc>
          <w:tcPr>
            <w:tcW w:w="2394" w:type="dxa"/>
          </w:tcPr>
          <w:p w:rsidR="00017A4B" w:rsidRDefault="00017A4B">
            <w:pPr>
              <w:cnfStyle w:val="000000100000"/>
            </w:pPr>
            <w:r>
              <w:t>51.70</w:t>
            </w:r>
          </w:p>
        </w:tc>
      </w:tr>
      <w:tr w:rsidR="00017A4B">
        <w:trPr>
          <w:cnfStyle w:val="000000010000"/>
        </w:trPr>
        <w:tc>
          <w:tcPr>
            <w:cnfStyle w:val="001000000000"/>
            <w:tcW w:w="2394" w:type="dxa"/>
          </w:tcPr>
          <w:p w:rsidR="00017A4B" w:rsidRPr="00CA74DB" w:rsidRDefault="00017A4B">
            <w:pPr>
              <w:rPr>
                <w:b w:val="0"/>
              </w:rPr>
            </w:pPr>
            <w:r w:rsidRPr="00CA74DB">
              <w:rPr>
                <w:b w:val="0"/>
              </w:rPr>
              <w:t>White females</w:t>
            </w:r>
          </w:p>
        </w:tc>
        <w:tc>
          <w:tcPr>
            <w:tcW w:w="2394" w:type="dxa"/>
          </w:tcPr>
          <w:p w:rsidR="00017A4B" w:rsidRDefault="00017A4B">
            <w:pPr>
              <w:cnfStyle w:val="000000010000"/>
            </w:pPr>
            <w:r>
              <w:t>226</w:t>
            </w:r>
          </w:p>
        </w:tc>
        <w:tc>
          <w:tcPr>
            <w:tcW w:w="2394" w:type="dxa"/>
          </w:tcPr>
          <w:p w:rsidR="00017A4B" w:rsidRDefault="00017A4B">
            <w:pPr>
              <w:cnfStyle w:val="000000010000"/>
            </w:pPr>
            <w:r>
              <w:t>26.43</w:t>
            </w:r>
          </w:p>
        </w:tc>
      </w:tr>
      <w:tr w:rsidR="00017A4B">
        <w:trPr>
          <w:cnfStyle w:val="000000100000"/>
        </w:trPr>
        <w:tc>
          <w:tcPr>
            <w:cnfStyle w:val="001000000000"/>
            <w:tcW w:w="2394" w:type="dxa"/>
          </w:tcPr>
          <w:p w:rsidR="00017A4B" w:rsidRPr="00CA74DB" w:rsidRDefault="00017A4B">
            <w:pPr>
              <w:rPr>
                <w:b w:val="0"/>
              </w:rPr>
            </w:pPr>
            <w:r w:rsidRPr="00CA74DB">
              <w:rPr>
                <w:b w:val="0"/>
              </w:rPr>
              <w:t>Black males</w:t>
            </w:r>
          </w:p>
        </w:tc>
        <w:tc>
          <w:tcPr>
            <w:tcW w:w="2394" w:type="dxa"/>
          </w:tcPr>
          <w:p w:rsidR="00017A4B" w:rsidRDefault="00017A4B">
            <w:pPr>
              <w:cnfStyle w:val="000000100000"/>
            </w:pPr>
            <w:r>
              <w:t>79</w:t>
            </w:r>
          </w:p>
        </w:tc>
        <w:tc>
          <w:tcPr>
            <w:tcW w:w="2394" w:type="dxa"/>
          </w:tcPr>
          <w:p w:rsidR="00017A4B" w:rsidRDefault="00017A4B">
            <w:pPr>
              <w:cnfStyle w:val="000000100000"/>
            </w:pPr>
            <w:r>
              <w:t>9.24</w:t>
            </w:r>
          </w:p>
        </w:tc>
      </w:tr>
      <w:tr w:rsidR="00017A4B">
        <w:trPr>
          <w:cnfStyle w:val="000000010000"/>
        </w:trPr>
        <w:tc>
          <w:tcPr>
            <w:cnfStyle w:val="001000000000"/>
            <w:tcW w:w="2394" w:type="dxa"/>
          </w:tcPr>
          <w:p w:rsidR="00017A4B" w:rsidRPr="00CA74DB" w:rsidRDefault="00017A4B">
            <w:pPr>
              <w:rPr>
                <w:b w:val="0"/>
              </w:rPr>
            </w:pPr>
            <w:r w:rsidRPr="00CA74DB">
              <w:rPr>
                <w:b w:val="0"/>
              </w:rPr>
              <w:t>Black females</w:t>
            </w:r>
          </w:p>
        </w:tc>
        <w:tc>
          <w:tcPr>
            <w:tcW w:w="2394" w:type="dxa"/>
          </w:tcPr>
          <w:p w:rsidR="00017A4B" w:rsidRDefault="00017A4B">
            <w:pPr>
              <w:cnfStyle w:val="000000010000"/>
            </w:pPr>
            <w:r>
              <w:t>52</w:t>
            </w:r>
          </w:p>
        </w:tc>
        <w:tc>
          <w:tcPr>
            <w:tcW w:w="2394" w:type="dxa"/>
          </w:tcPr>
          <w:p w:rsidR="00017A4B" w:rsidRDefault="00017A4B">
            <w:pPr>
              <w:cnfStyle w:val="000000010000"/>
            </w:pPr>
            <w:r>
              <w:t>6.08</w:t>
            </w:r>
          </w:p>
        </w:tc>
      </w:tr>
      <w:tr w:rsidR="00017A4B">
        <w:trPr>
          <w:cnfStyle w:val="000000100000"/>
        </w:trPr>
        <w:tc>
          <w:tcPr>
            <w:cnfStyle w:val="001000000000"/>
            <w:tcW w:w="2394" w:type="dxa"/>
          </w:tcPr>
          <w:p w:rsidR="00017A4B" w:rsidRPr="00CA74DB" w:rsidRDefault="00017A4B">
            <w:pPr>
              <w:rPr>
                <w:b w:val="0"/>
              </w:rPr>
            </w:pPr>
            <w:r w:rsidRPr="00CA74DB">
              <w:rPr>
                <w:b w:val="0"/>
              </w:rPr>
              <w:t>Hispanic Males</w:t>
            </w:r>
          </w:p>
        </w:tc>
        <w:tc>
          <w:tcPr>
            <w:tcW w:w="2394" w:type="dxa"/>
          </w:tcPr>
          <w:p w:rsidR="00017A4B" w:rsidRDefault="00017A4B">
            <w:pPr>
              <w:cnfStyle w:val="000000100000"/>
            </w:pPr>
            <w:r>
              <w:t>56</w:t>
            </w:r>
          </w:p>
        </w:tc>
        <w:tc>
          <w:tcPr>
            <w:tcW w:w="2394" w:type="dxa"/>
          </w:tcPr>
          <w:p w:rsidR="00017A4B" w:rsidRDefault="00017A4B">
            <w:pPr>
              <w:cnfStyle w:val="000000100000"/>
            </w:pPr>
            <w:r>
              <w:t>6.55</w:t>
            </w:r>
          </w:p>
        </w:tc>
      </w:tr>
      <w:tr w:rsidR="00017A4B">
        <w:trPr>
          <w:cnfStyle w:val="000000010000"/>
        </w:trPr>
        <w:tc>
          <w:tcPr>
            <w:cnfStyle w:val="001000000000"/>
            <w:tcW w:w="2394" w:type="dxa"/>
          </w:tcPr>
          <w:p w:rsidR="00017A4B" w:rsidRPr="00CA74DB" w:rsidRDefault="00017A4B">
            <w:pPr>
              <w:rPr>
                <w:b w:val="0"/>
              </w:rPr>
            </w:pPr>
            <w:r w:rsidRPr="00CA74DB">
              <w:rPr>
                <w:b w:val="0"/>
              </w:rPr>
              <w:t>Total</w:t>
            </w:r>
          </w:p>
        </w:tc>
        <w:tc>
          <w:tcPr>
            <w:tcW w:w="2394" w:type="dxa"/>
          </w:tcPr>
          <w:p w:rsidR="00017A4B" w:rsidRDefault="00017A4B">
            <w:pPr>
              <w:cnfStyle w:val="000000010000"/>
            </w:pPr>
            <w:r>
              <w:t>855</w:t>
            </w:r>
          </w:p>
        </w:tc>
        <w:tc>
          <w:tcPr>
            <w:tcW w:w="2394" w:type="dxa"/>
          </w:tcPr>
          <w:p w:rsidR="00017A4B" w:rsidRDefault="00017A4B">
            <w:pPr>
              <w:cnfStyle w:val="000000010000"/>
            </w:pPr>
            <w:r>
              <w:t>100</w:t>
            </w:r>
            <w:r w:rsidR="004B7951">
              <w:t>.00</w:t>
            </w:r>
          </w:p>
        </w:tc>
      </w:tr>
    </w:tbl>
    <w:p w:rsidR="009F6567" w:rsidRDefault="009F6567" w:rsidP="00407970">
      <w:pPr>
        <w:pStyle w:val="Caption"/>
        <w:keepNext/>
        <w:rPr>
          <w:b/>
        </w:rPr>
      </w:pPr>
    </w:p>
    <w:p w:rsidR="00407970" w:rsidRPr="00BA35A3" w:rsidRDefault="00407970" w:rsidP="0024354B">
      <w:pPr>
        <w:pStyle w:val="Caption"/>
      </w:pPr>
      <w:bookmarkStart w:id="65" w:name="_Toc227982518"/>
      <w:proofErr w:type="gramStart"/>
      <w:r w:rsidRPr="00BA35A3">
        <w:t xml:space="preserve">Table </w:t>
      </w:r>
      <w:r w:rsidR="003731B6" w:rsidRPr="00BA35A3">
        <w:fldChar w:fldCharType="begin"/>
      </w:r>
      <w:r w:rsidRPr="00BA35A3">
        <w:instrText xml:space="preserve"> SEQ Table \* ARABIC </w:instrText>
      </w:r>
      <w:r w:rsidR="003731B6" w:rsidRPr="00BA35A3">
        <w:fldChar w:fldCharType="separate"/>
      </w:r>
      <w:r w:rsidR="001633BC">
        <w:rPr>
          <w:noProof/>
        </w:rPr>
        <w:t>10</w:t>
      </w:r>
      <w:r w:rsidR="003731B6" w:rsidRPr="00BA35A3">
        <w:fldChar w:fldCharType="end"/>
      </w:r>
      <w:r w:rsidRPr="00BA35A3">
        <w:t>.</w:t>
      </w:r>
      <w:proofErr w:type="gramEnd"/>
      <w:r w:rsidRPr="00BA35A3">
        <w:t xml:space="preserve"> Holdout sample sizes</w:t>
      </w:r>
      <w:bookmarkEnd w:id="65"/>
    </w:p>
    <w:tbl>
      <w:tblPr>
        <w:tblStyle w:val="LightGrid-Accent11"/>
        <w:tblW w:w="0" w:type="auto"/>
        <w:tblLook w:val="04A0"/>
      </w:tblPr>
      <w:tblGrid>
        <w:gridCol w:w="2394"/>
        <w:gridCol w:w="2394"/>
        <w:gridCol w:w="2394"/>
      </w:tblGrid>
      <w:tr w:rsidR="004B7951">
        <w:trPr>
          <w:cnfStyle w:val="100000000000"/>
        </w:trPr>
        <w:tc>
          <w:tcPr>
            <w:cnfStyle w:val="001000000000"/>
            <w:tcW w:w="2394" w:type="dxa"/>
          </w:tcPr>
          <w:p w:rsidR="004B7951" w:rsidRDefault="004B7951">
            <w:r>
              <w:t>Group</w:t>
            </w:r>
          </w:p>
        </w:tc>
        <w:tc>
          <w:tcPr>
            <w:tcW w:w="2394" w:type="dxa"/>
          </w:tcPr>
          <w:p w:rsidR="004B7951" w:rsidRDefault="004B7951">
            <w:pPr>
              <w:cnfStyle w:val="100000000000"/>
            </w:pPr>
            <w:r>
              <w:t>Frequency</w:t>
            </w:r>
          </w:p>
        </w:tc>
        <w:tc>
          <w:tcPr>
            <w:tcW w:w="2394" w:type="dxa"/>
          </w:tcPr>
          <w:p w:rsidR="004B7951" w:rsidRDefault="004B7951">
            <w:pPr>
              <w:cnfStyle w:val="100000000000"/>
            </w:pPr>
            <w:r>
              <w:t>Percent</w:t>
            </w:r>
          </w:p>
        </w:tc>
      </w:tr>
      <w:tr w:rsidR="004B7951">
        <w:trPr>
          <w:cnfStyle w:val="000000100000"/>
        </w:trPr>
        <w:tc>
          <w:tcPr>
            <w:cnfStyle w:val="001000000000"/>
            <w:tcW w:w="2394" w:type="dxa"/>
          </w:tcPr>
          <w:p w:rsidR="004B7951" w:rsidRPr="00CA74DB" w:rsidRDefault="004B7951">
            <w:pPr>
              <w:rPr>
                <w:b w:val="0"/>
              </w:rPr>
            </w:pPr>
            <w:r w:rsidRPr="00CA74DB">
              <w:rPr>
                <w:b w:val="0"/>
              </w:rPr>
              <w:t>White males</w:t>
            </w:r>
          </w:p>
        </w:tc>
        <w:tc>
          <w:tcPr>
            <w:tcW w:w="2394" w:type="dxa"/>
          </w:tcPr>
          <w:p w:rsidR="004B7951" w:rsidRDefault="004B7951">
            <w:pPr>
              <w:cnfStyle w:val="000000100000"/>
            </w:pPr>
            <w:r>
              <w:t>187</w:t>
            </w:r>
          </w:p>
        </w:tc>
        <w:tc>
          <w:tcPr>
            <w:tcW w:w="2394" w:type="dxa"/>
          </w:tcPr>
          <w:p w:rsidR="004B7951" w:rsidRDefault="004B7951">
            <w:pPr>
              <w:cnfStyle w:val="000000100000"/>
            </w:pPr>
            <w:r>
              <w:t>49.87</w:t>
            </w:r>
          </w:p>
        </w:tc>
      </w:tr>
      <w:tr w:rsidR="004B7951">
        <w:trPr>
          <w:cnfStyle w:val="000000010000"/>
        </w:trPr>
        <w:tc>
          <w:tcPr>
            <w:cnfStyle w:val="001000000000"/>
            <w:tcW w:w="2394" w:type="dxa"/>
          </w:tcPr>
          <w:p w:rsidR="004B7951" w:rsidRPr="00CA74DB" w:rsidRDefault="004B7951">
            <w:pPr>
              <w:rPr>
                <w:b w:val="0"/>
              </w:rPr>
            </w:pPr>
            <w:r w:rsidRPr="00CA74DB">
              <w:rPr>
                <w:b w:val="0"/>
              </w:rPr>
              <w:t>White females</w:t>
            </w:r>
          </w:p>
        </w:tc>
        <w:tc>
          <w:tcPr>
            <w:tcW w:w="2394" w:type="dxa"/>
          </w:tcPr>
          <w:p w:rsidR="004B7951" w:rsidRDefault="004B7951">
            <w:pPr>
              <w:cnfStyle w:val="000000010000"/>
            </w:pPr>
            <w:r>
              <w:t>105</w:t>
            </w:r>
          </w:p>
        </w:tc>
        <w:tc>
          <w:tcPr>
            <w:tcW w:w="2394" w:type="dxa"/>
          </w:tcPr>
          <w:p w:rsidR="004B7951" w:rsidRDefault="004B7951">
            <w:pPr>
              <w:cnfStyle w:val="000000010000"/>
            </w:pPr>
            <w:r>
              <w:t>28.00</w:t>
            </w:r>
          </w:p>
        </w:tc>
      </w:tr>
      <w:tr w:rsidR="004B7951">
        <w:trPr>
          <w:cnfStyle w:val="000000100000"/>
        </w:trPr>
        <w:tc>
          <w:tcPr>
            <w:cnfStyle w:val="001000000000"/>
            <w:tcW w:w="2394" w:type="dxa"/>
          </w:tcPr>
          <w:p w:rsidR="004B7951" w:rsidRPr="00CA74DB" w:rsidRDefault="004B7951">
            <w:pPr>
              <w:rPr>
                <w:b w:val="0"/>
              </w:rPr>
            </w:pPr>
            <w:r w:rsidRPr="00CA74DB">
              <w:rPr>
                <w:b w:val="0"/>
              </w:rPr>
              <w:t>Black males</w:t>
            </w:r>
          </w:p>
        </w:tc>
        <w:tc>
          <w:tcPr>
            <w:tcW w:w="2394" w:type="dxa"/>
          </w:tcPr>
          <w:p w:rsidR="004B7951" w:rsidRDefault="004B7951">
            <w:pPr>
              <w:cnfStyle w:val="000000100000"/>
            </w:pPr>
            <w:r>
              <w:t>38</w:t>
            </w:r>
          </w:p>
        </w:tc>
        <w:tc>
          <w:tcPr>
            <w:tcW w:w="2394" w:type="dxa"/>
          </w:tcPr>
          <w:p w:rsidR="004B7951" w:rsidRDefault="004B7951">
            <w:pPr>
              <w:cnfStyle w:val="000000100000"/>
            </w:pPr>
            <w:r>
              <w:t>10.13</w:t>
            </w:r>
          </w:p>
        </w:tc>
      </w:tr>
      <w:tr w:rsidR="004B7951">
        <w:trPr>
          <w:cnfStyle w:val="000000010000"/>
        </w:trPr>
        <w:tc>
          <w:tcPr>
            <w:cnfStyle w:val="001000000000"/>
            <w:tcW w:w="2394" w:type="dxa"/>
          </w:tcPr>
          <w:p w:rsidR="004B7951" w:rsidRPr="00CA74DB" w:rsidRDefault="004B7951">
            <w:pPr>
              <w:rPr>
                <w:b w:val="0"/>
              </w:rPr>
            </w:pPr>
            <w:r w:rsidRPr="00CA74DB">
              <w:rPr>
                <w:b w:val="0"/>
              </w:rPr>
              <w:t>Black females</w:t>
            </w:r>
          </w:p>
        </w:tc>
        <w:tc>
          <w:tcPr>
            <w:tcW w:w="2394" w:type="dxa"/>
          </w:tcPr>
          <w:p w:rsidR="004B7951" w:rsidRDefault="004B7951">
            <w:pPr>
              <w:cnfStyle w:val="000000010000"/>
            </w:pPr>
            <w:r>
              <w:t>23</w:t>
            </w:r>
          </w:p>
        </w:tc>
        <w:tc>
          <w:tcPr>
            <w:tcW w:w="2394" w:type="dxa"/>
          </w:tcPr>
          <w:p w:rsidR="004B7951" w:rsidRDefault="004B7951">
            <w:pPr>
              <w:cnfStyle w:val="000000010000"/>
            </w:pPr>
            <w:r>
              <w:t>6.13</w:t>
            </w:r>
          </w:p>
        </w:tc>
      </w:tr>
      <w:tr w:rsidR="004B7951">
        <w:trPr>
          <w:cnfStyle w:val="000000100000"/>
        </w:trPr>
        <w:tc>
          <w:tcPr>
            <w:cnfStyle w:val="001000000000"/>
            <w:tcW w:w="2394" w:type="dxa"/>
          </w:tcPr>
          <w:p w:rsidR="004B7951" w:rsidRPr="00CA74DB" w:rsidRDefault="004B7951">
            <w:pPr>
              <w:rPr>
                <w:b w:val="0"/>
              </w:rPr>
            </w:pPr>
            <w:r w:rsidRPr="00CA74DB">
              <w:rPr>
                <w:b w:val="0"/>
              </w:rPr>
              <w:t>Hispanic Males</w:t>
            </w:r>
          </w:p>
        </w:tc>
        <w:tc>
          <w:tcPr>
            <w:tcW w:w="2394" w:type="dxa"/>
          </w:tcPr>
          <w:p w:rsidR="004B7951" w:rsidRDefault="004B7951">
            <w:pPr>
              <w:cnfStyle w:val="000000100000"/>
            </w:pPr>
            <w:r>
              <w:t>22</w:t>
            </w:r>
          </w:p>
        </w:tc>
        <w:tc>
          <w:tcPr>
            <w:tcW w:w="2394" w:type="dxa"/>
          </w:tcPr>
          <w:p w:rsidR="004B7951" w:rsidRDefault="004B7951">
            <w:pPr>
              <w:cnfStyle w:val="000000100000"/>
            </w:pPr>
            <w:r>
              <w:t>5.87</w:t>
            </w:r>
          </w:p>
        </w:tc>
      </w:tr>
      <w:tr w:rsidR="004B7951">
        <w:trPr>
          <w:cnfStyle w:val="000000010000"/>
        </w:trPr>
        <w:tc>
          <w:tcPr>
            <w:cnfStyle w:val="001000000000"/>
            <w:tcW w:w="2394" w:type="dxa"/>
          </w:tcPr>
          <w:p w:rsidR="004B7951" w:rsidRPr="00CA74DB" w:rsidRDefault="004B7951">
            <w:pPr>
              <w:rPr>
                <w:b w:val="0"/>
              </w:rPr>
            </w:pPr>
            <w:r w:rsidRPr="00CA74DB">
              <w:rPr>
                <w:b w:val="0"/>
              </w:rPr>
              <w:t>Total</w:t>
            </w:r>
          </w:p>
        </w:tc>
        <w:tc>
          <w:tcPr>
            <w:tcW w:w="2394" w:type="dxa"/>
          </w:tcPr>
          <w:p w:rsidR="004B7951" w:rsidRDefault="004B7951">
            <w:pPr>
              <w:cnfStyle w:val="000000010000"/>
            </w:pPr>
            <w:r>
              <w:t>375</w:t>
            </w:r>
          </w:p>
        </w:tc>
        <w:tc>
          <w:tcPr>
            <w:tcW w:w="2394" w:type="dxa"/>
          </w:tcPr>
          <w:p w:rsidR="004B7951" w:rsidRDefault="004B7951">
            <w:pPr>
              <w:cnfStyle w:val="000000010000"/>
            </w:pPr>
            <w:r>
              <w:t>100.00</w:t>
            </w:r>
          </w:p>
        </w:tc>
      </w:tr>
    </w:tbl>
    <w:p w:rsidR="004A0EC3" w:rsidRDefault="004A0EC3" w:rsidP="00177D58"/>
    <w:p w:rsidR="004A0EC3" w:rsidRDefault="004A0EC3" w:rsidP="00177D58"/>
    <w:p w:rsidR="004A0EC3" w:rsidRDefault="004A0EC3" w:rsidP="00177D58"/>
    <w:p w:rsidR="004A0EC3" w:rsidRDefault="004A0EC3" w:rsidP="00177D58"/>
    <w:p w:rsidR="004A0EC3" w:rsidRDefault="004A0EC3" w:rsidP="00177D58"/>
    <w:p w:rsidR="00177D58" w:rsidRDefault="00177D58" w:rsidP="00177D58"/>
    <w:p w:rsidR="00632B28" w:rsidRDefault="00A7137A" w:rsidP="00A7137A">
      <w:pPr>
        <w:pStyle w:val="Heading1"/>
      </w:pPr>
      <w:bookmarkStart w:id="66" w:name="_Toc222419127"/>
      <w:bookmarkStart w:id="67" w:name="_Toc227982498"/>
      <w:r>
        <w:t>CHAPTER</w:t>
      </w:r>
      <w:r w:rsidR="0024354B">
        <w:t xml:space="preserve"> III</w:t>
      </w:r>
      <w:r w:rsidR="00177D58">
        <w:br/>
        <w:t>RESULTS</w:t>
      </w:r>
      <w:r w:rsidR="00632B28">
        <w:t xml:space="preserve"> AND DISCUSSION</w:t>
      </w:r>
      <w:bookmarkEnd w:id="66"/>
      <w:bookmarkEnd w:id="67"/>
    </w:p>
    <w:p w:rsidR="00177D58" w:rsidRPr="00632B28" w:rsidRDefault="00632B28" w:rsidP="00632B28">
      <w:pPr>
        <w:pStyle w:val="Heading2"/>
      </w:pPr>
      <w:bookmarkStart w:id="68" w:name="_Toc222419128"/>
      <w:bookmarkStart w:id="69" w:name="_Toc227982499"/>
      <w:r>
        <w:t>Results</w:t>
      </w:r>
      <w:bookmarkEnd w:id="68"/>
      <w:bookmarkEnd w:id="69"/>
    </w:p>
    <w:p w:rsidR="00A7137A" w:rsidRDefault="00177D58" w:rsidP="00177D58">
      <w:pPr>
        <w:pStyle w:val="Heading3"/>
      </w:pPr>
      <w:bookmarkStart w:id="70" w:name="_Toc222419129"/>
      <w:bookmarkStart w:id="71" w:name="_Toc227982500"/>
      <w:r>
        <w:t>Linear Discriminan</w:t>
      </w:r>
      <w:r w:rsidR="00A7137A">
        <w:t>t Analysis</w:t>
      </w:r>
      <w:bookmarkEnd w:id="70"/>
      <w:bookmarkEnd w:id="71"/>
    </w:p>
    <w:p w:rsidR="004E60B0" w:rsidRDefault="00954C64" w:rsidP="00A7137A">
      <w:r>
        <w:tab/>
        <w:t>The first step in the linear discriminant analysis (LDA) was the variable selection.  Stepwise selection was performed</w:t>
      </w:r>
      <w:r w:rsidR="00C66521">
        <w:t xml:space="preserve"> with a </w:t>
      </w:r>
      <w:r w:rsidR="00C66521">
        <w:rPr>
          <w:i/>
        </w:rPr>
        <w:t>p</w:t>
      </w:r>
      <w:r w:rsidR="00C66521">
        <w:t xml:space="preserve">-value for entry into the model set to 0.20 and a </w:t>
      </w:r>
      <w:r w:rsidR="00C66521">
        <w:rPr>
          <w:i/>
        </w:rPr>
        <w:t>p</w:t>
      </w:r>
      <w:r w:rsidR="00C66521">
        <w:t xml:space="preserve">-value for retention set to 0.15.  </w:t>
      </w:r>
      <w:r w:rsidR="009F503F">
        <w:t>The procedure selected 13 variables, all of the variables except the chords (i.e., frontal chord, occipital chord, parietal chord).</w:t>
      </w:r>
      <w:r w:rsidR="005802BC">
        <w:t xml:space="preserve">  The results</w:t>
      </w:r>
      <w:r w:rsidR="00604576">
        <w:t xml:space="preserve"> are shown in F</w:t>
      </w:r>
      <w:r w:rsidR="00F450CB">
        <w:t>igure 3.</w:t>
      </w:r>
    </w:p>
    <w:p w:rsidR="00F450CB" w:rsidRDefault="00F450CB" w:rsidP="00A7137A"/>
    <w:p w:rsidR="00F450CB" w:rsidRDefault="00F450CB" w:rsidP="00F450CB">
      <w:pPr>
        <w:keepNext/>
      </w:pPr>
      <w:r w:rsidRPr="00F450CB">
        <w:rPr>
          <w:noProof/>
        </w:rPr>
        <w:drawing>
          <wp:inline distT="0" distB="0" distL="0" distR="0">
            <wp:extent cx="5943600" cy="30670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067050"/>
                    </a:xfrm>
                    <a:prstGeom prst="rect">
                      <a:avLst/>
                    </a:prstGeom>
                  </pic:spPr>
                </pic:pic>
              </a:graphicData>
            </a:graphic>
          </wp:inline>
        </w:drawing>
      </w:r>
    </w:p>
    <w:p w:rsidR="00BB0E1F" w:rsidRPr="00357C87" w:rsidRDefault="00F450CB" w:rsidP="00F450CB">
      <w:pPr>
        <w:pStyle w:val="Caption"/>
      </w:pPr>
      <w:bookmarkStart w:id="72" w:name="_Toc222377974"/>
      <w:bookmarkStart w:id="73" w:name="_Toc227139300"/>
      <w:proofErr w:type="gramStart"/>
      <w:r w:rsidRPr="00357C87">
        <w:t xml:space="preserve">Figure </w:t>
      </w:r>
      <w:fldSimple w:instr=" SEQ Figure \* ARABIC ">
        <w:r w:rsidR="001633BC">
          <w:rPr>
            <w:noProof/>
          </w:rPr>
          <w:t>3</w:t>
        </w:r>
      </w:fldSimple>
      <w:r w:rsidRPr="00357C87">
        <w:t>.</w:t>
      </w:r>
      <w:proofErr w:type="gramEnd"/>
      <w:r w:rsidRPr="00357C87">
        <w:t xml:space="preserve"> SAS stepwise selection results</w:t>
      </w:r>
      <w:bookmarkEnd w:id="72"/>
      <w:bookmarkEnd w:id="73"/>
    </w:p>
    <w:p w:rsidR="004E60B0" w:rsidRDefault="00F450CB" w:rsidP="001C6C19">
      <w:pPr>
        <w:autoSpaceDE w:val="0"/>
        <w:autoSpaceDN w:val="0"/>
        <w:adjustRightInd w:val="0"/>
        <w:spacing w:after="0"/>
        <w:rPr>
          <w:rFonts w:cs="Times New Roman"/>
          <w:szCs w:val="24"/>
        </w:rPr>
      </w:pPr>
      <w:r>
        <w:rPr>
          <w:rFonts w:cs="Times New Roman"/>
          <w:szCs w:val="24"/>
        </w:rPr>
        <w:tab/>
      </w:r>
    </w:p>
    <w:p w:rsidR="007D4648" w:rsidRDefault="00F450CB" w:rsidP="004E60B0">
      <w:pPr>
        <w:autoSpaceDE w:val="0"/>
        <w:autoSpaceDN w:val="0"/>
        <w:adjustRightInd w:val="0"/>
        <w:spacing w:after="0"/>
        <w:ind w:firstLine="720"/>
        <w:rPr>
          <w:rFonts w:cs="Times New Roman"/>
          <w:szCs w:val="24"/>
        </w:rPr>
      </w:pPr>
      <w:r>
        <w:rPr>
          <w:rFonts w:cs="Times New Roman"/>
          <w:szCs w:val="24"/>
        </w:rPr>
        <w:t>While the results show all 13 selected variables as significant, the partial R</w:t>
      </w:r>
      <w:r>
        <w:rPr>
          <w:rFonts w:cs="Times New Roman"/>
          <w:szCs w:val="24"/>
          <w:vertAlign w:val="superscript"/>
        </w:rPr>
        <w:t>2</w:t>
      </w:r>
      <w:r>
        <w:rPr>
          <w:rFonts w:cs="Times New Roman"/>
          <w:szCs w:val="24"/>
        </w:rPr>
        <w:t xml:space="preserve"> for many of the variables is very small, indicating that they do not explain much variability.  Therefore, the variables were removed one by one in backwards order from which they were selected, removing the least significant variables first</w:t>
      </w:r>
      <w:r w:rsidR="000842DD">
        <w:rPr>
          <w:rFonts w:cs="Times New Roman"/>
          <w:szCs w:val="24"/>
        </w:rPr>
        <w:t>, while assessing the performance of the model at each step</w:t>
      </w:r>
      <w:r>
        <w:rPr>
          <w:rFonts w:cs="Times New Roman"/>
          <w:szCs w:val="24"/>
        </w:rPr>
        <w:t>.  The classification rates were observed to see how they were affected and if a model with fewer parameters could perform as well as the 13-variable model.</w:t>
      </w:r>
      <w:r w:rsidR="00E804CC">
        <w:rPr>
          <w:rFonts w:cs="Times New Roman"/>
          <w:szCs w:val="24"/>
        </w:rPr>
        <w:t xml:space="preserve">  </w:t>
      </w:r>
    </w:p>
    <w:p w:rsidR="0024354B" w:rsidRDefault="00EB40AB" w:rsidP="0024354B">
      <w:pPr>
        <w:autoSpaceDE w:val="0"/>
        <w:autoSpaceDN w:val="0"/>
        <w:adjustRightInd w:val="0"/>
        <w:spacing w:after="0"/>
        <w:ind w:firstLine="720"/>
        <w:rPr>
          <w:rFonts w:cs="Times New Roman"/>
          <w:szCs w:val="24"/>
        </w:rPr>
      </w:pPr>
      <w:r>
        <w:rPr>
          <w:rFonts w:cs="Times New Roman"/>
          <w:szCs w:val="24"/>
        </w:rPr>
        <w:t xml:space="preserve">The holdout </w:t>
      </w:r>
      <w:r w:rsidR="00E804CC">
        <w:rPr>
          <w:rFonts w:cs="Times New Roman"/>
          <w:szCs w:val="24"/>
        </w:rPr>
        <w:t>performance was maintained down</w:t>
      </w:r>
      <w:r w:rsidR="00223D49">
        <w:rPr>
          <w:rFonts w:cs="Times New Roman"/>
          <w:szCs w:val="24"/>
        </w:rPr>
        <w:t xml:space="preserve"> to a six</w:t>
      </w:r>
      <w:r w:rsidR="00E804CC">
        <w:rPr>
          <w:rFonts w:cs="Times New Roman"/>
          <w:szCs w:val="24"/>
        </w:rPr>
        <w:t>-variable model.  The holdout classification rate dropped about 6%, from 64.34% to 58.10%, upon going</w:t>
      </w:r>
      <w:r w:rsidR="00DF5826">
        <w:rPr>
          <w:rFonts w:cs="Times New Roman"/>
          <w:szCs w:val="24"/>
        </w:rPr>
        <w:t xml:space="preserve"> from the six-variable model to a five</w:t>
      </w:r>
      <w:r w:rsidR="00E804CC">
        <w:rPr>
          <w:rFonts w:cs="Times New Roman"/>
          <w:szCs w:val="24"/>
        </w:rPr>
        <w:t>-variable model.</w:t>
      </w:r>
      <w:r w:rsidR="008A0E34">
        <w:rPr>
          <w:rFonts w:cs="Times New Roman"/>
          <w:szCs w:val="24"/>
        </w:rPr>
        <w:t xml:space="preserve">  Therefore, the </w:t>
      </w:r>
      <w:r w:rsidR="00524D6E">
        <w:rPr>
          <w:rFonts w:cs="Times New Roman"/>
          <w:szCs w:val="24"/>
        </w:rPr>
        <w:t xml:space="preserve">former </w:t>
      </w:r>
      <w:r w:rsidR="00EC78D7">
        <w:rPr>
          <w:rFonts w:cs="Times New Roman"/>
          <w:szCs w:val="24"/>
        </w:rPr>
        <w:t>was determined to be the most parsimonious model that maintained the classification rate integrity</w:t>
      </w:r>
      <w:r w:rsidR="00331413">
        <w:rPr>
          <w:rFonts w:cs="Times New Roman"/>
          <w:szCs w:val="24"/>
        </w:rPr>
        <w:t>.  It was applied in testing the LDA performance</w:t>
      </w:r>
      <w:r w:rsidR="004912A1">
        <w:rPr>
          <w:rFonts w:cs="Times New Roman"/>
          <w:szCs w:val="24"/>
        </w:rPr>
        <w:t xml:space="preserve"> along with the 13-variable model</w:t>
      </w:r>
      <w:r w:rsidR="00331413">
        <w:rPr>
          <w:rFonts w:cs="Times New Roman"/>
          <w:szCs w:val="24"/>
        </w:rPr>
        <w:t xml:space="preserve"> because it had a classification rate equivalent to the model selected by the stepwise selection</w:t>
      </w:r>
      <w:r w:rsidR="00B55A24">
        <w:rPr>
          <w:rFonts w:cs="Times New Roman"/>
          <w:szCs w:val="24"/>
        </w:rPr>
        <w:t xml:space="preserve"> and was simpler</w:t>
      </w:r>
      <w:r w:rsidR="00331413">
        <w:rPr>
          <w:rFonts w:cs="Times New Roman"/>
          <w:szCs w:val="24"/>
        </w:rPr>
        <w:t>.</w:t>
      </w:r>
      <w:r w:rsidR="004912A1">
        <w:rPr>
          <w:rFonts w:cs="Times New Roman"/>
          <w:szCs w:val="24"/>
        </w:rPr>
        <w:t xml:space="preserve">  However, its cross-validation classification rate is about 5% lower.  Table 11</w:t>
      </w:r>
      <w:r w:rsidR="007D4648">
        <w:rPr>
          <w:rFonts w:cs="Times New Roman"/>
          <w:szCs w:val="24"/>
        </w:rPr>
        <w:t xml:space="preserve"> shows these results.</w:t>
      </w:r>
    </w:p>
    <w:p w:rsidR="00331413" w:rsidRDefault="00331413" w:rsidP="0024354B">
      <w:pPr>
        <w:autoSpaceDE w:val="0"/>
        <w:autoSpaceDN w:val="0"/>
        <w:adjustRightInd w:val="0"/>
        <w:spacing w:after="0"/>
        <w:ind w:firstLine="720"/>
        <w:rPr>
          <w:rFonts w:cs="Times New Roman"/>
          <w:szCs w:val="24"/>
        </w:rPr>
      </w:pPr>
    </w:p>
    <w:p w:rsidR="00331413" w:rsidRPr="00EA3423" w:rsidRDefault="00331413" w:rsidP="0024354B">
      <w:pPr>
        <w:pStyle w:val="Caption"/>
      </w:pPr>
      <w:bookmarkStart w:id="74" w:name="_Toc227982519"/>
      <w:proofErr w:type="gramStart"/>
      <w:r w:rsidRPr="00EA3423">
        <w:t xml:space="preserve">Table </w:t>
      </w:r>
      <w:r w:rsidR="003731B6" w:rsidRPr="00EA3423">
        <w:fldChar w:fldCharType="begin"/>
      </w:r>
      <w:r w:rsidRPr="00EA3423">
        <w:instrText xml:space="preserve"> SEQ Table \* ARABIC </w:instrText>
      </w:r>
      <w:r w:rsidR="003731B6" w:rsidRPr="00EA3423">
        <w:fldChar w:fldCharType="separate"/>
      </w:r>
      <w:r w:rsidR="001633BC">
        <w:rPr>
          <w:noProof/>
        </w:rPr>
        <w:t>11</w:t>
      </w:r>
      <w:r w:rsidR="003731B6" w:rsidRPr="00EA3423">
        <w:fldChar w:fldCharType="end"/>
      </w:r>
      <w:r w:rsidRPr="00EA3423">
        <w:t>.</w:t>
      </w:r>
      <w:proofErr w:type="gramEnd"/>
      <w:r w:rsidRPr="00EA3423">
        <w:t xml:space="preserve">  LDA classification rates in %</w:t>
      </w:r>
      <w:bookmarkEnd w:id="74"/>
    </w:p>
    <w:tbl>
      <w:tblPr>
        <w:tblStyle w:val="LightGrid-Accent1"/>
        <w:tblW w:w="0" w:type="auto"/>
        <w:tblLook w:val="04A0"/>
      </w:tblPr>
      <w:tblGrid>
        <w:gridCol w:w="2394"/>
        <w:gridCol w:w="2394"/>
        <w:gridCol w:w="2394"/>
        <w:gridCol w:w="2394"/>
      </w:tblGrid>
      <w:tr w:rsidR="00331413" w:rsidRPr="00E905CE">
        <w:trPr>
          <w:cnfStyle w:val="100000000000"/>
        </w:trPr>
        <w:tc>
          <w:tcPr>
            <w:cnfStyle w:val="001000000000"/>
            <w:tcW w:w="2394" w:type="dxa"/>
          </w:tcPr>
          <w:p w:rsidR="00331413" w:rsidRPr="00E905CE" w:rsidRDefault="00331413">
            <w:pPr>
              <w:rPr>
                <w:rFonts w:cs="Arial"/>
                <w:sz w:val="24"/>
                <w:szCs w:val="24"/>
              </w:rPr>
            </w:pPr>
            <w:r w:rsidRPr="00E905CE">
              <w:rPr>
                <w:rFonts w:cs="Arial"/>
                <w:sz w:val="24"/>
                <w:szCs w:val="24"/>
              </w:rPr>
              <w:t>Subset</w:t>
            </w:r>
          </w:p>
        </w:tc>
        <w:tc>
          <w:tcPr>
            <w:tcW w:w="2394" w:type="dxa"/>
          </w:tcPr>
          <w:p w:rsidR="00331413" w:rsidRPr="00E905CE" w:rsidRDefault="009462B3">
            <w:pPr>
              <w:cnfStyle w:val="100000000000"/>
              <w:rPr>
                <w:rFonts w:cs="Arial"/>
                <w:sz w:val="24"/>
                <w:szCs w:val="24"/>
              </w:rPr>
            </w:pPr>
            <w:r>
              <w:rPr>
                <w:rFonts w:cs="Arial"/>
                <w:sz w:val="24"/>
                <w:szCs w:val="24"/>
              </w:rPr>
              <w:t>Re-substitution</w:t>
            </w:r>
          </w:p>
        </w:tc>
        <w:tc>
          <w:tcPr>
            <w:tcW w:w="2394" w:type="dxa"/>
          </w:tcPr>
          <w:p w:rsidR="00331413" w:rsidRPr="00E905CE" w:rsidRDefault="0093472A">
            <w:pPr>
              <w:cnfStyle w:val="100000000000"/>
              <w:rPr>
                <w:rFonts w:cs="Arial"/>
                <w:sz w:val="24"/>
                <w:szCs w:val="24"/>
              </w:rPr>
            </w:pPr>
            <w:r>
              <w:rPr>
                <w:rFonts w:cs="Arial"/>
                <w:sz w:val="24"/>
                <w:szCs w:val="24"/>
              </w:rPr>
              <w:t>Cross-Validation</w:t>
            </w:r>
          </w:p>
        </w:tc>
        <w:tc>
          <w:tcPr>
            <w:tcW w:w="2394" w:type="dxa"/>
          </w:tcPr>
          <w:p w:rsidR="00331413" w:rsidRPr="00E905CE" w:rsidRDefault="00331413">
            <w:pPr>
              <w:cnfStyle w:val="100000000000"/>
              <w:rPr>
                <w:rFonts w:cs="Arial"/>
                <w:sz w:val="24"/>
                <w:szCs w:val="24"/>
              </w:rPr>
            </w:pPr>
            <w:r w:rsidRPr="00E905CE">
              <w:rPr>
                <w:rFonts w:cs="Arial"/>
                <w:sz w:val="24"/>
                <w:szCs w:val="24"/>
              </w:rPr>
              <w:t>Holdout</w:t>
            </w:r>
          </w:p>
        </w:tc>
      </w:tr>
      <w:tr w:rsidR="004F45F8" w:rsidRPr="00E905CE">
        <w:trPr>
          <w:cnfStyle w:val="000000100000"/>
        </w:trPr>
        <w:tc>
          <w:tcPr>
            <w:cnfStyle w:val="001000000000"/>
            <w:tcW w:w="2394" w:type="dxa"/>
          </w:tcPr>
          <w:p w:rsidR="004F45F8" w:rsidRPr="0084348C" w:rsidRDefault="004F45F8">
            <w:pPr>
              <w:rPr>
                <w:rFonts w:cs="Arial"/>
                <w:b w:val="0"/>
                <w:sz w:val="24"/>
                <w:szCs w:val="24"/>
              </w:rPr>
            </w:pPr>
            <w:r w:rsidRPr="0084348C">
              <w:rPr>
                <w:rFonts w:cs="Arial"/>
                <w:b w:val="0"/>
                <w:sz w:val="24"/>
                <w:szCs w:val="24"/>
              </w:rPr>
              <w:t>13 Variables</w:t>
            </w:r>
          </w:p>
        </w:tc>
        <w:tc>
          <w:tcPr>
            <w:tcW w:w="2394" w:type="dxa"/>
          </w:tcPr>
          <w:p w:rsidR="004F45F8" w:rsidRPr="0084348C" w:rsidRDefault="004F45F8">
            <w:pPr>
              <w:cnfStyle w:val="000000100000"/>
              <w:rPr>
                <w:rFonts w:cs="Arial"/>
                <w:sz w:val="24"/>
                <w:szCs w:val="24"/>
              </w:rPr>
            </w:pPr>
            <w:r w:rsidRPr="0084348C">
              <w:rPr>
                <w:rFonts w:cs="Arial"/>
                <w:sz w:val="24"/>
                <w:szCs w:val="24"/>
              </w:rPr>
              <w:t>71.02</w:t>
            </w:r>
          </w:p>
        </w:tc>
        <w:tc>
          <w:tcPr>
            <w:tcW w:w="2394" w:type="dxa"/>
          </w:tcPr>
          <w:p w:rsidR="004F45F8" w:rsidRPr="0084348C" w:rsidRDefault="004F45F8">
            <w:pPr>
              <w:cnfStyle w:val="000000100000"/>
              <w:rPr>
                <w:rFonts w:cs="Arial"/>
                <w:sz w:val="24"/>
                <w:szCs w:val="24"/>
              </w:rPr>
            </w:pPr>
            <w:r w:rsidRPr="0084348C">
              <w:rPr>
                <w:rFonts w:cs="Arial"/>
                <w:sz w:val="24"/>
                <w:szCs w:val="24"/>
              </w:rPr>
              <w:t>67.90</w:t>
            </w:r>
          </w:p>
        </w:tc>
        <w:tc>
          <w:tcPr>
            <w:tcW w:w="2394" w:type="dxa"/>
          </w:tcPr>
          <w:p w:rsidR="004F45F8" w:rsidRPr="0084348C" w:rsidRDefault="004F45F8">
            <w:pPr>
              <w:cnfStyle w:val="000000100000"/>
              <w:rPr>
                <w:rFonts w:cs="Arial"/>
                <w:sz w:val="24"/>
                <w:szCs w:val="24"/>
              </w:rPr>
            </w:pPr>
            <w:r w:rsidRPr="0084348C">
              <w:rPr>
                <w:rFonts w:cs="Arial"/>
                <w:sz w:val="24"/>
                <w:szCs w:val="24"/>
              </w:rPr>
              <w:t>64.22</w:t>
            </w:r>
          </w:p>
        </w:tc>
      </w:tr>
      <w:tr w:rsidR="004F45F8" w:rsidRPr="00E905CE">
        <w:trPr>
          <w:cnfStyle w:val="000000010000"/>
        </w:trPr>
        <w:tc>
          <w:tcPr>
            <w:cnfStyle w:val="001000000000"/>
            <w:tcW w:w="2394" w:type="dxa"/>
          </w:tcPr>
          <w:p w:rsidR="004F45F8" w:rsidRPr="0084348C" w:rsidRDefault="004F45F8">
            <w:pPr>
              <w:rPr>
                <w:rFonts w:cs="Arial"/>
                <w:b w:val="0"/>
                <w:sz w:val="24"/>
                <w:szCs w:val="24"/>
              </w:rPr>
            </w:pPr>
            <w:r w:rsidRPr="0084348C">
              <w:rPr>
                <w:rFonts w:cs="Arial"/>
                <w:b w:val="0"/>
                <w:sz w:val="24"/>
                <w:szCs w:val="24"/>
              </w:rPr>
              <w:t>12 Variables</w:t>
            </w:r>
          </w:p>
        </w:tc>
        <w:tc>
          <w:tcPr>
            <w:tcW w:w="2394" w:type="dxa"/>
          </w:tcPr>
          <w:p w:rsidR="004F45F8" w:rsidRPr="0084348C" w:rsidRDefault="00397591">
            <w:pPr>
              <w:cnfStyle w:val="000000010000"/>
              <w:rPr>
                <w:rFonts w:cs="Arial"/>
                <w:sz w:val="24"/>
                <w:szCs w:val="24"/>
              </w:rPr>
            </w:pPr>
            <w:r w:rsidRPr="0084348C">
              <w:rPr>
                <w:rFonts w:cs="Arial"/>
                <w:sz w:val="24"/>
                <w:szCs w:val="24"/>
              </w:rPr>
              <w:t>71.34</w:t>
            </w:r>
          </w:p>
        </w:tc>
        <w:tc>
          <w:tcPr>
            <w:tcW w:w="2394" w:type="dxa"/>
          </w:tcPr>
          <w:p w:rsidR="004F45F8" w:rsidRPr="0084348C" w:rsidRDefault="00397591">
            <w:pPr>
              <w:cnfStyle w:val="000000010000"/>
              <w:rPr>
                <w:rFonts w:cs="Arial"/>
                <w:sz w:val="24"/>
                <w:szCs w:val="24"/>
              </w:rPr>
            </w:pPr>
            <w:r w:rsidRPr="0084348C">
              <w:rPr>
                <w:rFonts w:cs="Arial"/>
                <w:sz w:val="24"/>
                <w:szCs w:val="24"/>
              </w:rPr>
              <w:t>67.48</w:t>
            </w:r>
          </w:p>
        </w:tc>
        <w:tc>
          <w:tcPr>
            <w:tcW w:w="2394" w:type="dxa"/>
          </w:tcPr>
          <w:p w:rsidR="004F45F8" w:rsidRPr="0084348C" w:rsidRDefault="00397591">
            <w:pPr>
              <w:cnfStyle w:val="000000010000"/>
              <w:rPr>
                <w:rFonts w:cs="Arial"/>
                <w:sz w:val="24"/>
                <w:szCs w:val="24"/>
              </w:rPr>
            </w:pPr>
            <w:r w:rsidRPr="0084348C">
              <w:rPr>
                <w:rFonts w:cs="Arial"/>
                <w:sz w:val="24"/>
                <w:szCs w:val="24"/>
              </w:rPr>
              <w:t>65.8</w:t>
            </w:r>
          </w:p>
        </w:tc>
      </w:tr>
      <w:tr w:rsidR="004F45F8" w:rsidRPr="00E905CE">
        <w:trPr>
          <w:cnfStyle w:val="000000100000"/>
        </w:trPr>
        <w:tc>
          <w:tcPr>
            <w:cnfStyle w:val="001000000000"/>
            <w:tcW w:w="2394" w:type="dxa"/>
          </w:tcPr>
          <w:p w:rsidR="004F45F8" w:rsidRPr="0084348C" w:rsidRDefault="004F45F8">
            <w:pPr>
              <w:rPr>
                <w:rFonts w:cs="Arial"/>
                <w:b w:val="0"/>
                <w:sz w:val="24"/>
                <w:szCs w:val="24"/>
              </w:rPr>
            </w:pPr>
            <w:r w:rsidRPr="0084348C">
              <w:rPr>
                <w:rFonts w:cs="Arial"/>
                <w:b w:val="0"/>
                <w:sz w:val="24"/>
                <w:szCs w:val="24"/>
              </w:rPr>
              <w:t>11 Variables</w:t>
            </w:r>
          </w:p>
        </w:tc>
        <w:tc>
          <w:tcPr>
            <w:tcW w:w="2394" w:type="dxa"/>
          </w:tcPr>
          <w:p w:rsidR="004F45F8" w:rsidRPr="0084348C" w:rsidRDefault="00397591">
            <w:pPr>
              <w:cnfStyle w:val="000000100000"/>
              <w:rPr>
                <w:rFonts w:cs="Arial"/>
                <w:sz w:val="24"/>
                <w:szCs w:val="24"/>
              </w:rPr>
            </w:pPr>
            <w:r w:rsidRPr="0084348C">
              <w:rPr>
                <w:rFonts w:cs="Arial"/>
                <w:sz w:val="24"/>
                <w:szCs w:val="24"/>
              </w:rPr>
              <w:t>70.05</w:t>
            </w:r>
          </w:p>
        </w:tc>
        <w:tc>
          <w:tcPr>
            <w:tcW w:w="2394" w:type="dxa"/>
          </w:tcPr>
          <w:p w:rsidR="004F45F8" w:rsidRPr="0084348C" w:rsidRDefault="00397591">
            <w:pPr>
              <w:cnfStyle w:val="000000100000"/>
              <w:rPr>
                <w:rFonts w:cs="Arial"/>
                <w:sz w:val="24"/>
                <w:szCs w:val="24"/>
              </w:rPr>
            </w:pPr>
            <w:r w:rsidRPr="0084348C">
              <w:rPr>
                <w:rFonts w:cs="Arial"/>
                <w:sz w:val="24"/>
                <w:szCs w:val="24"/>
              </w:rPr>
              <w:t>66.06</w:t>
            </w:r>
          </w:p>
        </w:tc>
        <w:tc>
          <w:tcPr>
            <w:tcW w:w="2394" w:type="dxa"/>
          </w:tcPr>
          <w:p w:rsidR="004F45F8" w:rsidRPr="0084348C" w:rsidRDefault="00397591">
            <w:pPr>
              <w:cnfStyle w:val="000000100000"/>
              <w:rPr>
                <w:rFonts w:cs="Arial"/>
                <w:sz w:val="24"/>
                <w:szCs w:val="24"/>
              </w:rPr>
            </w:pPr>
            <w:r w:rsidRPr="0084348C">
              <w:rPr>
                <w:rFonts w:cs="Arial"/>
                <w:sz w:val="24"/>
                <w:szCs w:val="24"/>
              </w:rPr>
              <w:t>65.72</w:t>
            </w:r>
          </w:p>
        </w:tc>
      </w:tr>
      <w:tr w:rsidR="004F45F8" w:rsidRPr="00E905CE">
        <w:trPr>
          <w:cnfStyle w:val="000000010000"/>
        </w:trPr>
        <w:tc>
          <w:tcPr>
            <w:cnfStyle w:val="001000000000"/>
            <w:tcW w:w="2394" w:type="dxa"/>
          </w:tcPr>
          <w:p w:rsidR="004F45F8" w:rsidRPr="0084348C" w:rsidRDefault="004F45F8">
            <w:pPr>
              <w:rPr>
                <w:rFonts w:cs="Arial"/>
                <w:b w:val="0"/>
                <w:sz w:val="24"/>
                <w:szCs w:val="24"/>
              </w:rPr>
            </w:pPr>
            <w:r w:rsidRPr="0084348C">
              <w:rPr>
                <w:rFonts w:cs="Arial"/>
                <w:b w:val="0"/>
                <w:sz w:val="24"/>
                <w:szCs w:val="24"/>
              </w:rPr>
              <w:t>10 Variables</w:t>
            </w:r>
          </w:p>
        </w:tc>
        <w:tc>
          <w:tcPr>
            <w:tcW w:w="2394" w:type="dxa"/>
          </w:tcPr>
          <w:p w:rsidR="004F45F8" w:rsidRPr="0084348C" w:rsidRDefault="0020348B">
            <w:pPr>
              <w:cnfStyle w:val="000000010000"/>
              <w:rPr>
                <w:rFonts w:cs="Arial"/>
                <w:sz w:val="24"/>
                <w:szCs w:val="24"/>
              </w:rPr>
            </w:pPr>
            <w:r w:rsidRPr="0084348C">
              <w:rPr>
                <w:rFonts w:cs="Arial"/>
                <w:sz w:val="24"/>
                <w:szCs w:val="24"/>
              </w:rPr>
              <w:t>68.42</w:t>
            </w:r>
          </w:p>
        </w:tc>
        <w:tc>
          <w:tcPr>
            <w:tcW w:w="2394" w:type="dxa"/>
          </w:tcPr>
          <w:p w:rsidR="004F45F8" w:rsidRPr="0084348C" w:rsidRDefault="0020348B">
            <w:pPr>
              <w:cnfStyle w:val="000000010000"/>
              <w:rPr>
                <w:rFonts w:cs="Arial"/>
                <w:sz w:val="24"/>
                <w:szCs w:val="24"/>
              </w:rPr>
            </w:pPr>
            <w:r w:rsidRPr="0084348C">
              <w:rPr>
                <w:rFonts w:cs="Arial"/>
                <w:sz w:val="24"/>
                <w:szCs w:val="24"/>
              </w:rPr>
              <w:t>64.80</w:t>
            </w:r>
          </w:p>
        </w:tc>
        <w:tc>
          <w:tcPr>
            <w:tcW w:w="2394" w:type="dxa"/>
          </w:tcPr>
          <w:p w:rsidR="004F45F8" w:rsidRPr="0084348C" w:rsidRDefault="0020348B">
            <w:pPr>
              <w:cnfStyle w:val="000000010000"/>
              <w:rPr>
                <w:rFonts w:cs="Arial"/>
                <w:sz w:val="24"/>
                <w:szCs w:val="24"/>
              </w:rPr>
            </w:pPr>
            <w:r w:rsidRPr="0084348C">
              <w:rPr>
                <w:rFonts w:cs="Arial"/>
                <w:sz w:val="24"/>
                <w:szCs w:val="24"/>
              </w:rPr>
              <w:t>65.66</w:t>
            </w:r>
          </w:p>
        </w:tc>
      </w:tr>
      <w:tr w:rsidR="004F45F8" w:rsidRPr="00E905CE">
        <w:trPr>
          <w:cnfStyle w:val="000000100000"/>
        </w:trPr>
        <w:tc>
          <w:tcPr>
            <w:cnfStyle w:val="001000000000"/>
            <w:tcW w:w="2394" w:type="dxa"/>
          </w:tcPr>
          <w:p w:rsidR="004F45F8" w:rsidRPr="0084348C" w:rsidRDefault="004F45F8">
            <w:pPr>
              <w:rPr>
                <w:rFonts w:cs="Arial"/>
                <w:b w:val="0"/>
                <w:sz w:val="24"/>
                <w:szCs w:val="24"/>
              </w:rPr>
            </w:pPr>
            <w:r w:rsidRPr="0084348C">
              <w:rPr>
                <w:rFonts w:cs="Arial"/>
                <w:b w:val="0"/>
                <w:sz w:val="24"/>
                <w:szCs w:val="24"/>
              </w:rPr>
              <w:t>9 Variables</w:t>
            </w:r>
          </w:p>
        </w:tc>
        <w:tc>
          <w:tcPr>
            <w:tcW w:w="2394" w:type="dxa"/>
          </w:tcPr>
          <w:p w:rsidR="004F45F8" w:rsidRPr="0084348C" w:rsidRDefault="0020348B">
            <w:pPr>
              <w:cnfStyle w:val="000000100000"/>
              <w:rPr>
                <w:rFonts w:cs="Arial"/>
                <w:sz w:val="24"/>
                <w:szCs w:val="24"/>
              </w:rPr>
            </w:pPr>
            <w:r w:rsidRPr="0084348C">
              <w:rPr>
                <w:rFonts w:cs="Arial"/>
                <w:sz w:val="24"/>
                <w:szCs w:val="24"/>
              </w:rPr>
              <w:t>68.45</w:t>
            </w:r>
          </w:p>
        </w:tc>
        <w:tc>
          <w:tcPr>
            <w:tcW w:w="2394" w:type="dxa"/>
          </w:tcPr>
          <w:p w:rsidR="004F45F8" w:rsidRPr="0084348C" w:rsidRDefault="0020348B">
            <w:pPr>
              <w:cnfStyle w:val="000000100000"/>
              <w:rPr>
                <w:rFonts w:cs="Arial"/>
                <w:sz w:val="24"/>
                <w:szCs w:val="24"/>
              </w:rPr>
            </w:pPr>
            <w:r w:rsidRPr="0084348C">
              <w:rPr>
                <w:rFonts w:cs="Arial"/>
                <w:sz w:val="24"/>
                <w:szCs w:val="24"/>
              </w:rPr>
              <w:t>66.40</w:t>
            </w:r>
          </w:p>
        </w:tc>
        <w:tc>
          <w:tcPr>
            <w:tcW w:w="2394" w:type="dxa"/>
          </w:tcPr>
          <w:p w:rsidR="004F45F8" w:rsidRPr="0084348C" w:rsidRDefault="0020348B">
            <w:pPr>
              <w:cnfStyle w:val="000000100000"/>
              <w:rPr>
                <w:rFonts w:cs="Arial"/>
                <w:sz w:val="24"/>
                <w:szCs w:val="24"/>
              </w:rPr>
            </w:pPr>
            <w:r w:rsidRPr="0084348C">
              <w:rPr>
                <w:rFonts w:cs="Arial"/>
                <w:sz w:val="24"/>
                <w:szCs w:val="24"/>
              </w:rPr>
              <w:t>66.18</w:t>
            </w:r>
          </w:p>
        </w:tc>
      </w:tr>
      <w:tr w:rsidR="004F45F8" w:rsidRPr="00E905CE">
        <w:trPr>
          <w:cnfStyle w:val="000000010000"/>
        </w:trPr>
        <w:tc>
          <w:tcPr>
            <w:cnfStyle w:val="001000000000"/>
            <w:tcW w:w="2394" w:type="dxa"/>
          </w:tcPr>
          <w:p w:rsidR="004F45F8" w:rsidRPr="0084348C" w:rsidRDefault="004F45F8">
            <w:pPr>
              <w:rPr>
                <w:rFonts w:cs="Arial"/>
                <w:b w:val="0"/>
                <w:szCs w:val="24"/>
              </w:rPr>
            </w:pPr>
            <w:r w:rsidRPr="0084348C">
              <w:rPr>
                <w:rFonts w:cs="Arial"/>
                <w:b w:val="0"/>
                <w:szCs w:val="24"/>
              </w:rPr>
              <w:t>8 Variables</w:t>
            </w:r>
          </w:p>
        </w:tc>
        <w:tc>
          <w:tcPr>
            <w:tcW w:w="2394" w:type="dxa"/>
          </w:tcPr>
          <w:p w:rsidR="004F45F8" w:rsidRPr="0084348C" w:rsidRDefault="0020348B">
            <w:pPr>
              <w:cnfStyle w:val="000000010000"/>
              <w:rPr>
                <w:rFonts w:cs="Arial"/>
                <w:szCs w:val="24"/>
              </w:rPr>
            </w:pPr>
            <w:r w:rsidRPr="0084348C">
              <w:rPr>
                <w:rFonts w:cs="Arial"/>
                <w:szCs w:val="24"/>
              </w:rPr>
              <w:t>67.49</w:t>
            </w:r>
          </w:p>
        </w:tc>
        <w:tc>
          <w:tcPr>
            <w:tcW w:w="2394" w:type="dxa"/>
          </w:tcPr>
          <w:p w:rsidR="004F45F8" w:rsidRPr="0084348C" w:rsidRDefault="0020348B">
            <w:pPr>
              <w:cnfStyle w:val="000000010000"/>
              <w:rPr>
                <w:rFonts w:cs="Arial"/>
                <w:szCs w:val="24"/>
              </w:rPr>
            </w:pPr>
            <w:r w:rsidRPr="0084348C">
              <w:rPr>
                <w:rFonts w:cs="Arial"/>
                <w:szCs w:val="24"/>
              </w:rPr>
              <w:t>65.56</w:t>
            </w:r>
          </w:p>
        </w:tc>
        <w:tc>
          <w:tcPr>
            <w:tcW w:w="2394" w:type="dxa"/>
          </w:tcPr>
          <w:p w:rsidR="004F45F8" w:rsidRPr="0084348C" w:rsidRDefault="0020348B">
            <w:pPr>
              <w:cnfStyle w:val="000000010000"/>
              <w:rPr>
                <w:rFonts w:cs="Arial"/>
                <w:szCs w:val="24"/>
              </w:rPr>
            </w:pPr>
            <w:r w:rsidRPr="0084348C">
              <w:rPr>
                <w:rFonts w:cs="Arial"/>
                <w:szCs w:val="24"/>
              </w:rPr>
              <w:t>63.65</w:t>
            </w:r>
          </w:p>
        </w:tc>
      </w:tr>
      <w:tr w:rsidR="004F45F8" w:rsidRPr="00E905CE">
        <w:trPr>
          <w:cnfStyle w:val="000000100000"/>
        </w:trPr>
        <w:tc>
          <w:tcPr>
            <w:cnfStyle w:val="001000000000"/>
            <w:tcW w:w="2394" w:type="dxa"/>
          </w:tcPr>
          <w:p w:rsidR="004F45F8" w:rsidRPr="0084348C" w:rsidRDefault="004F45F8">
            <w:pPr>
              <w:rPr>
                <w:rFonts w:cs="Arial"/>
                <w:b w:val="0"/>
                <w:sz w:val="24"/>
                <w:szCs w:val="24"/>
              </w:rPr>
            </w:pPr>
            <w:r w:rsidRPr="0084348C">
              <w:rPr>
                <w:rFonts w:cs="Arial"/>
                <w:b w:val="0"/>
                <w:sz w:val="24"/>
                <w:szCs w:val="24"/>
              </w:rPr>
              <w:t>7 Variables</w:t>
            </w:r>
          </w:p>
        </w:tc>
        <w:tc>
          <w:tcPr>
            <w:tcW w:w="2394" w:type="dxa"/>
          </w:tcPr>
          <w:p w:rsidR="004F45F8" w:rsidRPr="0084348C" w:rsidRDefault="004F45F8">
            <w:pPr>
              <w:cnfStyle w:val="000000100000"/>
              <w:rPr>
                <w:rFonts w:cs="Arial"/>
                <w:sz w:val="24"/>
                <w:szCs w:val="24"/>
              </w:rPr>
            </w:pPr>
            <w:r w:rsidRPr="0084348C">
              <w:rPr>
                <w:rFonts w:cs="Arial"/>
                <w:sz w:val="24"/>
                <w:szCs w:val="24"/>
              </w:rPr>
              <w:t>66.77</w:t>
            </w:r>
          </w:p>
        </w:tc>
        <w:tc>
          <w:tcPr>
            <w:tcW w:w="2394" w:type="dxa"/>
          </w:tcPr>
          <w:p w:rsidR="004F45F8" w:rsidRPr="0084348C" w:rsidRDefault="004F45F8">
            <w:pPr>
              <w:cnfStyle w:val="000000100000"/>
              <w:rPr>
                <w:rFonts w:cs="Arial"/>
                <w:sz w:val="24"/>
                <w:szCs w:val="24"/>
              </w:rPr>
            </w:pPr>
            <w:r w:rsidRPr="0084348C">
              <w:rPr>
                <w:rFonts w:cs="Arial"/>
                <w:sz w:val="24"/>
                <w:szCs w:val="24"/>
              </w:rPr>
              <w:t>64.81</w:t>
            </w:r>
          </w:p>
        </w:tc>
        <w:tc>
          <w:tcPr>
            <w:tcW w:w="2394" w:type="dxa"/>
          </w:tcPr>
          <w:p w:rsidR="004F45F8" w:rsidRPr="0084348C" w:rsidRDefault="004F45F8">
            <w:pPr>
              <w:cnfStyle w:val="000000100000"/>
              <w:rPr>
                <w:rFonts w:cs="Arial"/>
                <w:sz w:val="24"/>
                <w:szCs w:val="24"/>
              </w:rPr>
            </w:pPr>
            <w:r w:rsidRPr="0084348C">
              <w:rPr>
                <w:rFonts w:cs="Arial"/>
                <w:sz w:val="24"/>
                <w:szCs w:val="24"/>
              </w:rPr>
              <w:t>65.37</w:t>
            </w:r>
          </w:p>
        </w:tc>
      </w:tr>
      <w:tr w:rsidR="004F45F8" w:rsidRPr="00E905CE">
        <w:trPr>
          <w:cnfStyle w:val="000000010000"/>
        </w:trPr>
        <w:tc>
          <w:tcPr>
            <w:cnfStyle w:val="001000000000"/>
            <w:tcW w:w="2394" w:type="dxa"/>
          </w:tcPr>
          <w:p w:rsidR="004F45F8" w:rsidRPr="00E905CE" w:rsidRDefault="004F45F8">
            <w:pPr>
              <w:rPr>
                <w:rFonts w:cs="Arial"/>
                <w:sz w:val="24"/>
                <w:szCs w:val="24"/>
              </w:rPr>
            </w:pPr>
            <w:r w:rsidRPr="00E905CE">
              <w:rPr>
                <w:rFonts w:cs="Arial"/>
                <w:sz w:val="24"/>
                <w:szCs w:val="24"/>
              </w:rPr>
              <w:t>6 Variables</w:t>
            </w:r>
          </w:p>
        </w:tc>
        <w:tc>
          <w:tcPr>
            <w:tcW w:w="2394" w:type="dxa"/>
          </w:tcPr>
          <w:p w:rsidR="004F45F8" w:rsidRPr="0084348C" w:rsidRDefault="004F45F8">
            <w:pPr>
              <w:cnfStyle w:val="000000010000"/>
              <w:rPr>
                <w:rFonts w:cs="Arial"/>
                <w:b/>
                <w:sz w:val="24"/>
                <w:szCs w:val="24"/>
              </w:rPr>
            </w:pPr>
            <w:r w:rsidRPr="0084348C">
              <w:rPr>
                <w:rFonts w:cs="Arial"/>
                <w:b/>
                <w:sz w:val="24"/>
                <w:szCs w:val="24"/>
              </w:rPr>
              <w:t>64.65</w:t>
            </w:r>
          </w:p>
        </w:tc>
        <w:tc>
          <w:tcPr>
            <w:tcW w:w="2394" w:type="dxa"/>
          </w:tcPr>
          <w:p w:rsidR="004F45F8" w:rsidRPr="0084348C" w:rsidRDefault="004F45F8">
            <w:pPr>
              <w:cnfStyle w:val="000000010000"/>
              <w:rPr>
                <w:rFonts w:cs="Arial"/>
                <w:b/>
                <w:sz w:val="24"/>
                <w:szCs w:val="24"/>
              </w:rPr>
            </w:pPr>
            <w:r w:rsidRPr="0084348C">
              <w:rPr>
                <w:rFonts w:cs="Arial"/>
                <w:b/>
                <w:sz w:val="24"/>
                <w:szCs w:val="24"/>
              </w:rPr>
              <w:t>62.87</w:t>
            </w:r>
          </w:p>
        </w:tc>
        <w:tc>
          <w:tcPr>
            <w:tcW w:w="2394" w:type="dxa"/>
          </w:tcPr>
          <w:p w:rsidR="004F45F8" w:rsidRPr="0084348C" w:rsidRDefault="004F45F8">
            <w:pPr>
              <w:cnfStyle w:val="000000010000"/>
              <w:rPr>
                <w:rFonts w:cs="Arial"/>
                <w:b/>
                <w:sz w:val="24"/>
                <w:szCs w:val="24"/>
              </w:rPr>
            </w:pPr>
            <w:r w:rsidRPr="0084348C">
              <w:rPr>
                <w:rFonts w:cs="Arial"/>
                <w:b/>
                <w:sz w:val="24"/>
                <w:szCs w:val="24"/>
              </w:rPr>
              <w:t>64.34</w:t>
            </w:r>
          </w:p>
        </w:tc>
      </w:tr>
      <w:tr w:rsidR="004F45F8" w:rsidRPr="00E905CE">
        <w:trPr>
          <w:cnfStyle w:val="000000100000"/>
        </w:trPr>
        <w:tc>
          <w:tcPr>
            <w:cnfStyle w:val="001000000000"/>
            <w:tcW w:w="2394" w:type="dxa"/>
          </w:tcPr>
          <w:p w:rsidR="004F45F8" w:rsidRPr="0084348C" w:rsidRDefault="004F45F8">
            <w:pPr>
              <w:rPr>
                <w:rFonts w:cs="Arial"/>
                <w:b w:val="0"/>
                <w:sz w:val="24"/>
                <w:szCs w:val="24"/>
              </w:rPr>
            </w:pPr>
            <w:r w:rsidRPr="0084348C">
              <w:rPr>
                <w:rFonts w:cs="Arial"/>
                <w:b w:val="0"/>
                <w:sz w:val="24"/>
                <w:szCs w:val="24"/>
              </w:rPr>
              <w:t>5 Variables</w:t>
            </w:r>
          </w:p>
        </w:tc>
        <w:tc>
          <w:tcPr>
            <w:tcW w:w="2394" w:type="dxa"/>
          </w:tcPr>
          <w:p w:rsidR="004F45F8" w:rsidRPr="0084348C" w:rsidRDefault="004F45F8">
            <w:pPr>
              <w:cnfStyle w:val="000000100000"/>
              <w:rPr>
                <w:rFonts w:cs="Arial"/>
                <w:sz w:val="24"/>
                <w:szCs w:val="24"/>
              </w:rPr>
            </w:pPr>
            <w:r w:rsidRPr="0084348C">
              <w:rPr>
                <w:rFonts w:cs="Arial"/>
                <w:sz w:val="24"/>
                <w:szCs w:val="24"/>
              </w:rPr>
              <w:t>63.20</w:t>
            </w:r>
          </w:p>
        </w:tc>
        <w:tc>
          <w:tcPr>
            <w:tcW w:w="2394" w:type="dxa"/>
          </w:tcPr>
          <w:p w:rsidR="004F45F8" w:rsidRPr="0084348C" w:rsidRDefault="004F45F8">
            <w:pPr>
              <w:cnfStyle w:val="000000100000"/>
              <w:rPr>
                <w:rFonts w:cs="Arial"/>
                <w:sz w:val="24"/>
                <w:szCs w:val="24"/>
              </w:rPr>
            </w:pPr>
            <w:r w:rsidRPr="0084348C">
              <w:rPr>
                <w:rFonts w:cs="Arial"/>
                <w:sz w:val="24"/>
                <w:szCs w:val="24"/>
              </w:rPr>
              <w:t>60.97</w:t>
            </w:r>
          </w:p>
        </w:tc>
        <w:tc>
          <w:tcPr>
            <w:tcW w:w="2394" w:type="dxa"/>
          </w:tcPr>
          <w:p w:rsidR="004F45F8" w:rsidRPr="0084348C" w:rsidRDefault="004F45F8">
            <w:pPr>
              <w:cnfStyle w:val="000000100000"/>
              <w:rPr>
                <w:rFonts w:cs="Arial"/>
                <w:sz w:val="24"/>
                <w:szCs w:val="24"/>
              </w:rPr>
            </w:pPr>
            <w:r w:rsidRPr="0084348C">
              <w:rPr>
                <w:rFonts w:cs="Arial"/>
                <w:sz w:val="24"/>
                <w:szCs w:val="24"/>
              </w:rPr>
              <w:t>58.10</w:t>
            </w:r>
          </w:p>
        </w:tc>
      </w:tr>
      <w:tr w:rsidR="004F45F8" w:rsidRPr="00E905CE">
        <w:trPr>
          <w:cnfStyle w:val="000000010000"/>
        </w:trPr>
        <w:tc>
          <w:tcPr>
            <w:cnfStyle w:val="001000000000"/>
            <w:tcW w:w="2394" w:type="dxa"/>
          </w:tcPr>
          <w:p w:rsidR="004F45F8" w:rsidRPr="0084348C" w:rsidRDefault="004F45F8">
            <w:pPr>
              <w:rPr>
                <w:rFonts w:cs="Arial"/>
                <w:b w:val="0"/>
                <w:sz w:val="24"/>
                <w:szCs w:val="24"/>
              </w:rPr>
            </w:pPr>
            <w:r w:rsidRPr="0084348C">
              <w:rPr>
                <w:rFonts w:cs="Arial"/>
                <w:b w:val="0"/>
                <w:sz w:val="24"/>
                <w:szCs w:val="24"/>
              </w:rPr>
              <w:t>4 Variables</w:t>
            </w:r>
          </w:p>
        </w:tc>
        <w:tc>
          <w:tcPr>
            <w:tcW w:w="2394" w:type="dxa"/>
          </w:tcPr>
          <w:p w:rsidR="004F45F8" w:rsidRPr="0084348C" w:rsidRDefault="004F45F8">
            <w:pPr>
              <w:cnfStyle w:val="000000010000"/>
              <w:rPr>
                <w:rFonts w:cs="Arial"/>
                <w:sz w:val="24"/>
                <w:szCs w:val="24"/>
              </w:rPr>
            </w:pPr>
            <w:r w:rsidRPr="0084348C">
              <w:rPr>
                <w:rFonts w:cs="Arial"/>
                <w:sz w:val="24"/>
                <w:szCs w:val="24"/>
              </w:rPr>
              <w:t>61.21</w:t>
            </w:r>
          </w:p>
        </w:tc>
        <w:tc>
          <w:tcPr>
            <w:tcW w:w="2394" w:type="dxa"/>
          </w:tcPr>
          <w:p w:rsidR="004F45F8" w:rsidRPr="0084348C" w:rsidRDefault="004F45F8">
            <w:pPr>
              <w:cnfStyle w:val="000000010000"/>
              <w:rPr>
                <w:rFonts w:cs="Arial"/>
                <w:sz w:val="24"/>
                <w:szCs w:val="24"/>
              </w:rPr>
            </w:pPr>
            <w:r w:rsidRPr="0084348C">
              <w:rPr>
                <w:rFonts w:cs="Arial"/>
                <w:sz w:val="24"/>
                <w:szCs w:val="24"/>
              </w:rPr>
              <w:t>59.54</w:t>
            </w:r>
          </w:p>
        </w:tc>
        <w:tc>
          <w:tcPr>
            <w:tcW w:w="2394" w:type="dxa"/>
          </w:tcPr>
          <w:p w:rsidR="004F45F8" w:rsidRPr="0084348C" w:rsidRDefault="004F45F8">
            <w:pPr>
              <w:cnfStyle w:val="000000010000"/>
              <w:rPr>
                <w:rFonts w:cs="Arial"/>
                <w:sz w:val="24"/>
                <w:szCs w:val="24"/>
              </w:rPr>
            </w:pPr>
            <w:r w:rsidRPr="0084348C">
              <w:rPr>
                <w:rFonts w:cs="Arial"/>
                <w:sz w:val="24"/>
                <w:szCs w:val="24"/>
              </w:rPr>
              <w:t>55.40</w:t>
            </w:r>
          </w:p>
        </w:tc>
      </w:tr>
    </w:tbl>
    <w:p w:rsidR="004E02FB" w:rsidRDefault="004E02FB" w:rsidP="00EA3423">
      <w:pPr>
        <w:autoSpaceDE w:val="0"/>
        <w:autoSpaceDN w:val="0"/>
        <w:adjustRightInd w:val="0"/>
        <w:spacing w:after="0"/>
        <w:ind w:firstLine="720"/>
        <w:rPr>
          <w:rFonts w:cs="Times New Roman"/>
          <w:szCs w:val="24"/>
        </w:rPr>
      </w:pPr>
    </w:p>
    <w:p w:rsidR="00FC763D" w:rsidRDefault="008A0E34" w:rsidP="00EA3423">
      <w:pPr>
        <w:autoSpaceDE w:val="0"/>
        <w:autoSpaceDN w:val="0"/>
        <w:adjustRightInd w:val="0"/>
        <w:spacing w:after="0"/>
        <w:ind w:firstLine="720"/>
        <w:rPr>
          <w:rFonts w:cs="Times New Roman"/>
          <w:szCs w:val="24"/>
        </w:rPr>
      </w:pPr>
      <w:r>
        <w:rPr>
          <w:rFonts w:cs="Times New Roman"/>
          <w:szCs w:val="24"/>
        </w:rPr>
        <w:t>The six</w:t>
      </w:r>
      <w:r w:rsidR="007528A4">
        <w:rPr>
          <w:rFonts w:cs="Times New Roman"/>
          <w:szCs w:val="24"/>
        </w:rPr>
        <w:t>-variable model included bizygomatic breadth (ZYB), maximum cranial length (GOL), nasal breadth (NLB), maximum cranial breadth (XCB), nasal height (NLH), and orbital height (OBH).</w:t>
      </w:r>
      <w:r w:rsidR="0084348C">
        <w:rPr>
          <w:rFonts w:cs="Times New Roman"/>
          <w:szCs w:val="24"/>
        </w:rPr>
        <w:t xml:space="preserve">  It </w:t>
      </w:r>
      <w:r w:rsidR="00057D8B">
        <w:rPr>
          <w:rFonts w:cs="Times New Roman"/>
          <w:szCs w:val="24"/>
        </w:rPr>
        <w:t>correctly classified 64.34% of the holdout sample and had a jackknife classification rate of 62.87%</w:t>
      </w:r>
      <w:r w:rsidR="000708C6">
        <w:rPr>
          <w:rFonts w:cs="Times New Roman"/>
          <w:szCs w:val="24"/>
        </w:rPr>
        <w:t xml:space="preserve">, but the individual group classification rates differ.  </w:t>
      </w:r>
      <w:r w:rsidR="00272E36">
        <w:rPr>
          <w:rFonts w:cs="Times New Roman"/>
          <w:szCs w:val="24"/>
        </w:rPr>
        <w:t xml:space="preserve">The model classified White females the most accurately and Hispanic males least accurately.  </w:t>
      </w:r>
      <w:r w:rsidR="000708C6">
        <w:rPr>
          <w:rFonts w:cs="Times New Roman"/>
          <w:szCs w:val="24"/>
        </w:rPr>
        <w:t xml:space="preserve">The White male hit rate was 66.31%, the White female </w:t>
      </w:r>
      <w:r w:rsidR="00FC763D">
        <w:rPr>
          <w:rFonts w:cs="Times New Roman"/>
          <w:szCs w:val="24"/>
        </w:rPr>
        <w:t xml:space="preserve">rate </w:t>
      </w:r>
      <w:r w:rsidR="000708C6">
        <w:rPr>
          <w:rFonts w:cs="Times New Roman"/>
          <w:szCs w:val="24"/>
        </w:rPr>
        <w:t>was 74.29%, the Black males was 57.89%, Black females</w:t>
      </w:r>
      <w:r w:rsidR="00892245">
        <w:rPr>
          <w:rFonts w:cs="Times New Roman"/>
          <w:szCs w:val="24"/>
        </w:rPr>
        <w:t xml:space="preserve"> was</w:t>
      </w:r>
      <w:r w:rsidR="000708C6">
        <w:rPr>
          <w:rFonts w:cs="Times New Roman"/>
          <w:szCs w:val="24"/>
        </w:rPr>
        <w:t xml:space="preserve"> 62.22%, and Hispanic males was 54.55%.</w:t>
      </w:r>
    </w:p>
    <w:p w:rsidR="00632B28" w:rsidRDefault="00FA3A8D" w:rsidP="00FC763D">
      <w:pPr>
        <w:autoSpaceDE w:val="0"/>
        <w:autoSpaceDN w:val="0"/>
        <w:adjustRightInd w:val="0"/>
        <w:spacing w:after="0"/>
        <w:ind w:firstLine="720"/>
        <w:rPr>
          <w:rFonts w:cs="Times New Roman"/>
          <w:szCs w:val="24"/>
        </w:rPr>
      </w:pPr>
      <w:r>
        <w:rPr>
          <w:rFonts w:cs="Times New Roman"/>
          <w:szCs w:val="24"/>
        </w:rPr>
        <w:t>C-q plots generated in SAS show the</w:t>
      </w:r>
      <w:r w:rsidR="003D0A1E">
        <w:rPr>
          <w:rFonts w:cs="Times New Roman"/>
          <w:szCs w:val="24"/>
        </w:rPr>
        <w:t xml:space="preserve"> </w:t>
      </w:r>
      <w:r w:rsidR="00064389">
        <w:rPr>
          <w:rFonts w:cs="Times New Roman"/>
          <w:szCs w:val="24"/>
        </w:rPr>
        <w:t xml:space="preserve">White </w:t>
      </w:r>
      <w:r w:rsidR="003D0A1E">
        <w:rPr>
          <w:rFonts w:cs="Times New Roman"/>
          <w:szCs w:val="24"/>
        </w:rPr>
        <w:t xml:space="preserve">male </w:t>
      </w:r>
      <w:r w:rsidR="00064389">
        <w:rPr>
          <w:rFonts w:cs="Times New Roman"/>
          <w:szCs w:val="24"/>
        </w:rPr>
        <w:t xml:space="preserve">and White female </w:t>
      </w:r>
      <w:r w:rsidR="003D0A1E">
        <w:rPr>
          <w:rFonts w:cs="Times New Roman"/>
          <w:szCs w:val="24"/>
        </w:rPr>
        <w:t>group</w:t>
      </w:r>
      <w:r w:rsidR="00064389">
        <w:rPr>
          <w:rFonts w:cs="Times New Roman"/>
          <w:szCs w:val="24"/>
        </w:rPr>
        <w:t>s do not exhibit</w:t>
      </w:r>
      <w:r w:rsidR="003D0A1E">
        <w:rPr>
          <w:rFonts w:cs="Times New Roman"/>
          <w:szCs w:val="24"/>
        </w:rPr>
        <w:t xml:space="preserve"> a multivariate normal distr</w:t>
      </w:r>
      <w:r>
        <w:rPr>
          <w:rFonts w:cs="Times New Roman"/>
          <w:szCs w:val="24"/>
        </w:rPr>
        <w:t>ibution on this variable subset</w:t>
      </w:r>
      <w:r w:rsidR="00DE51DC">
        <w:rPr>
          <w:rFonts w:cs="Times New Roman"/>
          <w:szCs w:val="24"/>
        </w:rPr>
        <w:t xml:space="preserve"> (c-q plots for all analyses are shown in the appendix</w:t>
      </w:r>
      <w:r w:rsidR="00007C09">
        <w:rPr>
          <w:rFonts w:cs="Times New Roman"/>
          <w:szCs w:val="24"/>
        </w:rPr>
        <w:t>)</w:t>
      </w:r>
      <w:r w:rsidR="003D0A1E">
        <w:rPr>
          <w:rFonts w:cs="Times New Roman"/>
          <w:szCs w:val="24"/>
        </w:rPr>
        <w:t xml:space="preserve">.  </w:t>
      </w:r>
      <w:r w:rsidR="00064389">
        <w:rPr>
          <w:rFonts w:cs="Times New Roman"/>
          <w:szCs w:val="24"/>
        </w:rPr>
        <w:t>However, the lack of normality seems as though it could be du</w:t>
      </w:r>
      <w:r w:rsidR="00DE51DC">
        <w:rPr>
          <w:rFonts w:cs="Times New Roman"/>
          <w:szCs w:val="24"/>
        </w:rPr>
        <w:t>e to the presence of outliers.</w:t>
      </w:r>
      <w:r w:rsidR="005500D3">
        <w:rPr>
          <w:rFonts w:cs="Times New Roman"/>
          <w:szCs w:val="24"/>
        </w:rPr>
        <w:t xml:space="preserve">  Nonetheless, the Box M-Test indicates that the covariance matrices are not equal across groups (</w:t>
      </w:r>
      <w:r w:rsidR="005500D3" w:rsidRPr="005500D3">
        <w:rPr>
          <w:rFonts w:cs="Times New Roman"/>
          <w:i/>
          <w:szCs w:val="24"/>
        </w:rPr>
        <w:sym w:font="Symbol" w:char="F043"/>
      </w:r>
      <w:r w:rsidR="005500D3">
        <w:rPr>
          <w:rFonts w:cs="Times New Roman"/>
          <w:i/>
          <w:szCs w:val="24"/>
          <w:vertAlign w:val="superscript"/>
        </w:rPr>
        <w:t>2</w:t>
      </w:r>
      <w:r w:rsidR="005500D3">
        <w:rPr>
          <w:rFonts w:cs="Times New Roman"/>
          <w:szCs w:val="24"/>
        </w:rPr>
        <w:t xml:space="preserve">=171.30, </w:t>
      </w:r>
      <w:r w:rsidR="005500D3">
        <w:rPr>
          <w:rFonts w:cs="Times New Roman"/>
          <w:i/>
          <w:szCs w:val="24"/>
        </w:rPr>
        <w:t>p</w:t>
      </w:r>
      <w:r w:rsidR="005500D3">
        <w:rPr>
          <w:rFonts w:cs="Times New Roman"/>
          <w:szCs w:val="24"/>
        </w:rPr>
        <w:t>&lt;</w:t>
      </w:r>
      <w:proofErr w:type="gramStart"/>
      <w:r w:rsidR="005500D3">
        <w:rPr>
          <w:rFonts w:cs="Times New Roman"/>
          <w:szCs w:val="24"/>
        </w:rPr>
        <w:t>.0001</w:t>
      </w:r>
      <w:proofErr w:type="gramEnd"/>
      <w:r w:rsidR="005500D3">
        <w:rPr>
          <w:rFonts w:cs="Times New Roman"/>
          <w:szCs w:val="24"/>
        </w:rPr>
        <w:t>).</w:t>
      </w:r>
      <w:r w:rsidR="00B935CF">
        <w:rPr>
          <w:rFonts w:cs="Times New Roman"/>
          <w:szCs w:val="24"/>
        </w:rPr>
        <w:t xml:space="preserve">  Thus, the accurate classification of these five groups on this six-variable subset may not be best achieved with LDA.</w:t>
      </w:r>
      <w:r w:rsidR="001E6DB4">
        <w:rPr>
          <w:rFonts w:cs="Times New Roman"/>
          <w:szCs w:val="24"/>
        </w:rPr>
        <w:t xml:space="preserve">  Natural log transformations were carried out on the variables to see if violations of normality and variance homogeneity could be resolved.  However, neither assumption was </w:t>
      </w:r>
      <w:r w:rsidR="00147A4A">
        <w:rPr>
          <w:rFonts w:cs="Times New Roman"/>
          <w:szCs w:val="24"/>
        </w:rPr>
        <w:t>satisfied by the transformed data</w:t>
      </w:r>
      <w:r w:rsidR="001E6DB4">
        <w:rPr>
          <w:rFonts w:cs="Times New Roman"/>
          <w:szCs w:val="24"/>
        </w:rPr>
        <w:t>.</w:t>
      </w:r>
    </w:p>
    <w:p w:rsidR="0056330C" w:rsidRPr="005500D3" w:rsidRDefault="00632B28" w:rsidP="00632B28">
      <w:pPr>
        <w:pStyle w:val="Heading3"/>
      </w:pPr>
      <w:bookmarkStart w:id="75" w:name="_Toc222419130"/>
      <w:bookmarkStart w:id="76" w:name="_Toc227982501"/>
      <w:r>
        <w:t>Quadratic Discriminant Analysis</w:t>
      </w:r>
      <w:bookmarkEnd w:id="75"/>
      <w:bookmarkEnd w:id="76"/>
    </w:p>
    <w:p w:rsidR="009F4946" w:rsidRDefault="00172BF7" w:rsidP="001C6C19">
      <w:pPr>
        <w:autoSpaceDE w:val="0"/>
        <w:autoSpaceDN w:val="0"/>
        <w:adjustRightInd w:val="0"/>
        <w:spacing w:after="0"/>
        <w:rPr>
          <w:rFonts w:cs="Times New Roman"/>
          <w:szCs w:val="24"/>
        </w:rPr>
      </w:pPr>
      <w:r>
        <w:rPr>
          <w:rFonts w:cs="Times New Roman"/>
          <w:szCs w:val="24"/>
        </w:rPr>
        <w:tab/>
        <w:t>Quadratic discriminant analysis</w:t>
      </w:r>
      <w:r w:rsidR="00C26BC6">
        <w:rPr>
          <w:rFonts w:cs="Times New Roman"/>
          <w:szCs w:val="24"/>
        </w:rPr>
        <w:t xml:space="preserve"> (QDA)</w:t>
      </w:r>
      <w:r>
        <w:rPr>
          <w:rFonts w:cs="Times New Roman"/>
          <w:szCs w:val="24"/>
        </w:rPr>
        <w:t xml:space="preserve"> does not have stepwise variable selection procedures available.  The assumptions of QDA are not the same as those of the statistics used in stepwise variable selection.  Therefore, they are not appropriate for this analysis.  However, variable selection was performed in a forward, step-up manner using th</w:t>
      </w:r>
      <w:r w:rsidR="006C5E62">
        <w:rPr>
          <w:rFonts w:cs="Times New Roman"/>
          <w:szCs w:val="24"/>
        </w:rPr>
        <w:t>e holdout classification rate for</w:t>
      </w:r>
      <w:r>
        <w:rPr>
          <w:rFonts w:cs="Times New Roman"/>
          <w:szCs w:val="24"/>
        </w:rPr>
        <w:t xml:space="preserve"> select</w:t>
      </w:r>
      <w:r w:rsidR="006C5E62">
        <w:rPr>
          <w:rFonts w:cs="Times New Roman"/>
          <w:szCs w:val="24"/>
        </w:rPr>
        <w:t>ing</w:t>
      </w:r>
      <w:r>
        <w:rPr>
          <w:rFonts w:cs="Times New Roman"/>
          <w:szCs w:val="24"/>
        </w:rPr>
        <w:t xml:space="preserve"> the variable to add in each step.</w:t>
      </w:r>
      <w:r w:rsidR="00D74309">
        <w:rPr>
          <w:rFonts w:cs="Times New Roman"/>
          <w:szCs w:val="24"/>
        </w:rPr>
        <w:t xml:space="preserve">  A three</w:t>
      </w:r>
      <w:r w:rsidR="009F4946">
        <w:rPr>
          <w:rFonts w:cs="Times New Roman"/>
          <w:szCs w:val="24"/>
        </w:rPr>
        <w:t xml:space="preserve">-variable model </w:t>
      </w:r>
      <w:r w:rsidR="00E84E66">
        <w:rPr>
          <w:rFonts w:cs="Times New Roman"/>
          <w:szCs w:val="24"/>
        </w:rPr>
        <w:t xml:space="preserve">[including frontal chord (FRC), nasal breadth (NLB), and biauricular breadth (AUB)] </w:t>
      </w:r>
      <w:r w:rsidR="009F4946">
        <w:rPr>
          <w:rFonts w:cs="Times New Roman"/>
          <w:szCs w:val="24"/>
        </w:rPr>
        <w:t>was selec</w:t>
      </w:r>
      <w:r w:rsidR="00D74309">
        <w:rPr>
          <w:rFonts w:cs="Times New Roman"/>
          <w:szCs w:val="24"/>
        </w:rPr>
        <w:t>ted with this method, though a six</w:t>
      </w:r>
      <w:r w:rsidR="009F4946">
        <w:rPr>
          <w:rFonts w:cs="Times New Roman"/>
          <w:szCs w:val="24"/>
        </w:rPr>
        <w:t>-variable model</w:t>
      </w:r>
      <w:r w:rsidR="00E84E66">
        <w:rPr>
          <w:rFonts w:cs="Times New Roman"/>
          <w:szCs w:val="24"/>
        </w:rPr>
        <w:t xml:space="preserve"> (</w:t>
      </w:r>
      <w:r w:rsidR="003515B5">
        <w:rPr>
          <w:rFonts w:cs="Times New Roman"/>
          <w:szCs w:val="24"/>
        </w:rPr>
        <w:t xml:space="preserve">including </w:t>
      </w:r>
      <w:r w:rsidR="00055F58">
        <w:rPr>
          <w:rFonts w:cs="Times New Roman"/>
          <w:szCs w:val="24"/>
        </w:rPr>
        <w:t>FRC, NLB, AUB, GOL, OBH, and NLH)</w:t>
      </w:r>
      <w:r w:rsidR="009F4946">
        <w:rPr>
          <w:rFonts w:cs="Times New Roman"/>
          <w:szCs w:val="24"/>
        </w:rPr>
        <w:t xml:space="preserve"> may have been appropriate as well.  </w:t>
      </w:r>
      <w:r w:rsidR="00487B6E">
        <w:rPr>
          <w:rFonts w:cs="Times New Roman"/>
          <w:szCs w:val="24"/>
        </w:rPr>
        <w:t xml:space="preserve">The order in which the variables are listed above is the order in which they were added to the model.  </w:t>
      </w:r>
      <w:r w:rsidR="009F4946">
        <w:rPr>
          <w:rFonts w:cs="Times New Roman"/>
          <w:szCs w:val="24"/>
        </w:rPr>
        <w:t xml:space="preserve">The results </w:t>
      </w:r>
      <w:r w:rsidR="00F00DEB">
        <w:rPr>
          <w:rFonts w:cs="Times New Roman"/>
          <w:szCs w:val="24"/>
        </w:rPr>
        <w:t xml:space="preserve">of the forward selection </w:t>
      </w:r>
      <w:r w:rsidR="009E7E8A">
        <w:rPr>
          <w:rFonts w:cs="Times New Roman"/>
          <w:szCs w:val="24"/>
        </w:rPr>
        <w:t>are shown in T</w:t>
      </w:r>
      <w:r w:rsidR="007F4A3A">
        <w:rPr>
          <w:rFonts w:cs="Times New Roman"/>
          <w:szCs w:val="24"/>
        </w:rPr>
        <w:t>able 12</w:t>
      </w:r>
      <w:r w:rsidR="009F4946">
        <w:rPr>
          <w:rFonts w:cs="Times New Roman"/>
          <w:szCs w:val="24"/>
        </w:rPr>
        <w:t>.</w:t>
      </w:r>
    </w:p>
    <w:p w:rsidR="0056330C" w:rsidRPr="00800B21" w:rsidRDefault="0056330C" w:rsidP="004E02FB">
      <w:pPr>
        <w:autoSpaceDE w:val="0"/>
        <w:autoSpaceDN w:val="0"/>
        <w:adjustRightInd w:val="0"/>
        <w:spacing w:after="0"/>
        <w:rPr>
          <w:rFonts w:cs="Times New Roman"/>
          <w:szCs w:val="24"/>
        </w:rPr>
      </w:pPr>
    </w:p>
    <w:p w:rsidR="009F4946" w:rsidRPr="00EA3423" w:rsidRDefault="009F4946" w:rsidP="0024354B">
      <w:pPr>
        <w:pStyle w:val="Caption"/>
      </w:pPr>
      <w:bookmarkStart w:id="77" w:name="_Toc227982520"/>
      <w:proofErr w:type="gramStart"/>
      <w:r w:rsidRPr="00EA3423">
        <w:t xml:space="preserve">Table </w:t>
      </w:r>
      <w:r w:rsidR="003731B6" w:rsidRPr="00EA3423">
        <w:fldChar w:fldCharType="begin"/>
      </w:r>
      <w:r w:rsidRPr="00EA3423">
        <w:instrText xml:space="preserve"> SEQ Table \* ARABIC </w:instrText>
      </w:r>
      <w:r w:rsidR="003731B6" w:rsidRPr="00EA3423">
        <w:fldChar w:fldCharType="separate"/>
      </w:r>
      <w:r w:rsidR="001633BC">
        <w:rPr>
          <w:noProof/>
        </w:rPr>
        <w:t>12</w:t>
      </w:r>
      <w:r w:rsidR="003731B6" w:rsidRPr="00EA3423">
        <w:fldChar w:fldCharType="end"/>
      </w:r>
      <w:r w:rsidRPr="00EA3423">
        <w:t>.</w:t>
      </w:r>
      <w:proofErr w:type="gramEnd"/>
      <w:r w:rsidRPr="00EA3423">
        <w:t xml:space="preserve">  QDA forward selection results</w:t>
      </w:r>
      <w:bookmarkEnd w:id="77"/>
    </w:p>
    <w:tbl>
      <w:tblPr>
        <w:tblStyle w:val="LightGrid-Accent1"/>
        <w:tblW w:w="0" w:type="auto"/>
        <w:tblLook w:val="04A0"/>
      </w:tblPr>
      <w:tblGrid>
        <w:gridCol w:w="2394"/>
        <w:gridCol w:w="2394"/>
        <w:gridCol w:w="2394"/>
        <w:gridCol w:w="2394"/>
      </w:tblGrid>
      <w:tr w:rsidR="009F4946">
        <w:trPr>
          <w:cnfStyle w:val="100000000000"/>
        </w:trPr>
        <w:tc>
          <w:tcPr>
            <w:cnfStyle w:val="001000000000"/>
            <w:tcW w:w="2394" w:type="dxa"/>
          </w:tcPr>
          <w:p w:rsidR="009F4946" w:rsidRDefault="009F4946">
            <w:pPr>
              <w:rPr>
                <w:rFonts w:cs="Arial"/>
                <w:sz w:val="24"/>
                <w:szCs w:val="24"/>
              </w:rPr>
            </w:pPr>
            <w:r>
              <w:rPr>
                <w:rFonts w:cs="Arial"/>
                <w:sz w:val="24"/>
                <w:szCs w:val="24"/>
              </w:rPr>
              <w:t>Model</w:t>
            </w:r>
          </w:p>
        </w:tc>
        <w:tc>
          <w:tcPr>
            <w:tcW w:w="2394" w:type="dxa"/>
          </w:tcPr>
          <w:p w:rsidR="009F4946" w:rsidRDefault="009462B3">
            <w:pPr>
              <w:cnfStyle w:val="100000000000"/>
              <w:rPr>
                <w:rFonts w:cs="Arial"/>
                <w:sz w:val="24"/>
                <w:szCs w:val="24"/>
              </w:rPr>
            </w:pPr>
            <w:r>
              <w:rPr>
                <w:rFonts w:cs="Arial"/>
                <w:sz w:val="24"/>
                <w:szCs w:val="24"/>
              </w:rPr>
              <w:t>Re-substitution</w:t>
            </w:r>
          </w:p>
        </w:tc>
        <w:tc>
          <w:tcPr>
            <w:tcW w:w="2394" w:type="dxa"/>
          </w:tcPr>
          <w:p w:rsidR="009F4946" w:rsidRDefault="0093472A">
            <w:pPr>
              <w:cnfStyle w:val="100000000000"/>
              <w:rPr>
                <w:rFonts w:cs="Arial"/>
                <w:sz w:val="24"/>
                <w:szCs w:val="24"/>
              </w:rPr>
            </w:pPr>
            <w:r>
              <w:rPr>
                <w:rFonts w:cs="Arial"/>
                <w:sz w:val="24"/>
                <w:szCs w:val="24"/>
              </w:rPr>
              <w:t>Cross-Validation</w:t>
            </w:r>
          </w:p>
        </w:tc>
        <w:tc>
          <w:tcPr>
            <w:tcW w:w="2394" w:type="dxa"/>
          </w:tcPr>
          <w:p w:rsidR="009F4946" w:rsidRDefault="009F4946">
            <w:pPr>
              <w:cnfStyle w:val="100000000000"/>
              <w:rPr>
                <w:rFonts w:cs="Arial"/>
                <w:sz w:val="24"/>
                <w:szCs w:val="24"/>
              </w:rPr>
            </w:pPr>
            <w:r>
              <w:rPr>
                <w:rFonts w:cs="Arial"/>
                <w:sz w:val="24"/>
                <w:szCs w:val="24"/>
              </w:rPr>
              <w:t>Holdout</w:t>
            </w:r>
          </w:p>
        </w:tc>
      </w:tr>
      <w:tr w:rsidR="009F4946">
        <w:trPr>
          <w:cnfStyle w:val="000000100000"/>
        </w:trPr>
        <w:tc>
          <w:tcPr>
            <w:cnfStyle w:val="001000000000"/>
            <w:tcW w:w="2394" w:type="dxa"/>
          </w:tcPr>
          <w:p w:rsidR="009F4946" w:rsidRPr="009F4946" w:rsidRDefault="009F4946">
            <w:pPr>
              <w:rPr>
                <w:rFonts w:cs="Arial"/>
                <w:b w:val="0"/>
                <w:sz w:val="24"/>
                <w:szCs w:val="24"/>
              </w:rPr>
            </w:pPr>
            <w:r w:rsidRPr="009F4946">
              <w:rPr>
                <w:rFonts w:cs="Arial"/>
                <w:b w:val="0"/>
                <w:sz w:val="24"/>
                <w:szCs w:val="24"/>
              </w:rPr>
              <w:t>1 Variable</w:t>
            </w:r>
          </w:p>
        </w:tc>
        <w:tc>
          <w:tcPr>
            <w:tcW w:w="2394" w:type="dxa"/>
          </w:tcPr>
          <w:p w:rsidR="009F4946" w:rsidRPr="009F4946" w:rsidRDefault="009F4946">
            <w:pPr>
              <w:cnfStyle w:val="000000100000"/>
              <w:rPr>
                <w:rFonts w:cs="Arial"/>
                <w:sz w:val="24"/>
                <w:szCs w:val="24"/>
              </w:rPr>
            </w:pPr>
            <w:r w:rsidRPr="009F4946">
              <w:rPr>
                <w:rFonts w:cs="Arial"/>
                <w:sz w:val="24"/>
                <w:szCs w:val="24"/>
              </w:rPr>
              <w:t>29.4</w:t>
            </w:r>
          </w:p>
        </w:tc>
        <w:tc>
          <w:tcPr>
            <w:tcW w:w="2394" w:type="dxa"/>
          </w:tcPr>
          <w:p w:rsidR="009F4946" w:rsidRPr="009F4946" w:rsidRDefault="009F4946">
            <w:pPr>
              <w:cnfStyle w:val="000000100000"/>
              <w:rPr>
                <w:rFonts w:cs="Arial"/>
                <w:sz w:val="24"/>
                <w:szCs w:val="24"/>
              </w:rPr>
            </w:pPr>
            <w:r w:rsidRPr="009F4946">
              <w:rPr>
                <w:rFonts w:cs="Arial"/>
                <w:sz w:val="24"/>
                <w:szCs w:val="24"/>
              </w:rPr>
              <w:t>29.4</w:t>
            </w:r>
          </w:p>
        </w:tc>
        <w:tc>
          <w:tcPr>
            <w:tcW w:w="2394" w:type="dxa"/>
          </w:tcPr>
          <w:p w:rsidR="009F4946" w:rsidRPr="009F4946" w:rsidRDefault="009F4946">
            <w:pPr>
              <w:cnfStyle w:val="000000100000"/>
              <w:rPr>
                <w:rFonts w:cs="Arial"/>
                <w:sz w:val="24"/>
                <w:szCs w:val="24"/>
              </w:rPr>
            </w:pPr>
            <w:r w:rsidRPr="009F4946">
              <w:rPr>
                <w:rFonts w:cs="Arial"/>
                <w:sz w:val="24"/>
                <w:szCs w:val="24"/>
              </w:rPr>
              <w:t>34.84</w:t>
            </w:r>
          </w:p>
        </w:tc>
      </w:tr>
      <w:tr w:rsidR="009F4946">
        <w:trPr>
          <w:cnfStyle w:val="000000010000"/>
        </w:trPr>
        <w:tc>
          <w:tcPr>
            <w:cnfStyle w:val="001000000000"/>
            <w:tcW w:w="2394" w:type="dxa"/>
          </w:tcPr>
          <w:p w:rsidR="009F4946" w:rsidRPr="009F4946" w:rsidRDefault="009F4946">
            <w:pPr>
              <w:rPr>
                <w:rFonts w:cs="Arial"/>
                <w:b w:val="0"/>
                <w:sz w:val="24"/>
                <w:szCs w:val="24"/>
              </w:rPr>
            </w:pPr>
            <w:r w:rsidRPr="009F4946">
              <w:rPr>
                <w:rFonts w:cs="Arial"/>
                <w:b w:val="0"/>
                <w:sz w:val="24"/>
                <w:szCs w:val="24"/>
              </w:rPr>
              <w:t>2 Variables</w:t>
            </w:r>
          </w:p>
        </w:tc>
        <w:tc>
          <w:tcPr>
            <w:tcW w:w="2394" w:type="dxa"/>
          </w:tcPr>
          <w:p w:rsidR="009F4946" w:rsidRPr="009F4946" w:rsidRDefault="009F4946">
            <w:pPr>
              <w:cnfStyle w:val="000000010000"/>
              <w:rPr>
                <w:rFonts w:cs="Arial"/>
                <w:sz w:val="24"/>
                <w:szCs w:val="24"/>
              </w:rPr>
            </w:pPr>
            <w:r w:rsidRPr="009F4946">
              <w:rPr>
                <w:rFonts w:cs="Arial"/>
                <w:sz w:val="24"/>
                <w:szCs w:val="24"/>
              </w:rPr>
              <w:t>43.18</w:t>
            </w:r>
          </w:p>
        </w:tc>
        <w:tc>
          <w:tcPr>
            <w:tcW w:w="2394" w:type="dxa"/>
          </w:tcPr>
          <w:p w:rsidR="009F4946" w:rsidRPr="009F4946" w:rsidRDefault="009F4946">
            <w:pPr>
              <w:cnfStyle w:val="000000010000"/>
              <w:rPr>
                <w:rFonts w:cs="Arial"/>
                <w:sz w:val="24"/>
                <w:szCs w:val="24"/>
              </w:rPr>
            </w:pPr>
            <w:r w:rsidRPr="009F4946">
              <w:rPr>
                <w:rFonts w:cs="Arial"/>
                <w:sz w:val="24"/>
                <w:szCs w:val="24"/>
              </w:rPr>
              <w:t>42.38</w:t>
            </w:r>
          </w:p>
        </w:tc>
        <w:tc>
          <w:tcPr>
            <w:tcW w:w="2394" w:type="dxa"/>
          </w:tcPr>
          <w:p w:rsidR="009F4946" w:rsidRPr="009F4946" w:rsidRDefault="009F4946">
            <w:pPr>
              <w:cnfStyle w:val="000000010000"/>
              <w:rPr>
                <w:rFonts w:cs="Arial"/>
                <w:sz w:val="24"/>
                <w:szCs w:val="24"/>
              </w:rPr>
            </w:pPr>
            <w:r w:rsidRPr="009F4946">
              <w:rPr>
                <w:rFonts w:cs="Arial"/>
                <w:sz w:val="24"/>
                <w:szCs w:val="24"/>
              </w:rPr>
              <w:t>40.63</w:t>
            </w:r>
          </w:p>
        </w:tc>
      </w:tr>
      <w:tr w:rsidR="009F4946">
        <w:trPr>
          <w:cnfStyle w:val="000000100000"/>
        </w:trPr>
        <w:tc>
          <w:tcPr>
            <w:cnfStyle w:val="001000000000"/>
            <w:tcW w:w="2394" w:type="dxa"/>
          </w:tcPr>
          <w:p w:rsidR="009F4946" w:rsidRPr="009F4946" w:rsidRDefault="009F4946">
            <w:pPr>
              <w:rPr>
                <w:rFonts w:cs="Arial"/>
                <w:sz w:val="24"/>
                <w:szCs w:val="24"/>
              </w:rPr>
            </w:pPr>
            <w:r w:rsidRPr="009F4946">
              <w:rPr>
                <w:rFonts w:cs="Arial"/>
                <w:sz w:val="24"/>
                <w:szCs w:val="24"/>
              </w:rPr>
              <w:t>3 Variables</w:t>
            </w:r>
          </w:p>
        </w:tc>
        <w:tc>
          <w:tcPr>
            <w:tcW w:w="2394" w:type="dxa"/>
          </w:tcPr>
          <w:p w:rsidR="009F4946" w:rsidRPr="009F4946" w:rsidRDefault="009F4946">
            <w:pPr>
              <w:cnfStyle w:val="000000100000"/>
              <w:rPr>
                <w:rFonts w:cs="Arial"/>
                <w:b/>
                <w:sz w:val="24"/>
                <w:szCs w:val="24"/>
              </w:rPr>
            </w:pPr>
            <w:r w:rsidRPr="009F4946">
              <w:rPr>
                <w:rFonts w:cs="Arial"/>
                <w:b/>
                <w:sz w:val="24"/>
                <w:szCs w:val="24"/>
              </w:rPr>
              <w:t>52.64</w:t>
            </w:r>
          </w:p>
        </w:tc>
        <w:tc>
          <w:tcPr>
            <w:tcW w:w="2394" w:type="dxa"/>
          </w:tcPr>
          <w:p w:rsidR="009F4946" w:rsidRPr="009F4946" w:rsidRDefault="009F4946">
            <w:pPr>
              <w:cnfStyle w:val="000000100000"/>
              <w:rPr>
                <w:rFonts w:cs="Arial"/>
                <w:b/>
                <w:sz w:val="24"/>
                <w:szCs w:val="24"/>
              </w:rPr>
            </w:pPr>
            <w:r w:rsidRPr="009F4946">
              <w:rPr>
                <w:rFonts w:cs="Arial"/>
                <w:b/>
                <w:sz w:val="24"/>
                <w:szCs w:val="24"/>
              </w:rPr>
              <w:t>49.86</w:t>
            </w:r>
          </w:p>
        </w:tc>
        <w:tc>
          <w:tcPr>
            <w:tcW w:w="2394" w:type="dxa"/>
          </w:tcPr>
          <w:p w:rsidR="009F4946" w:rsidRPr="009F4946" w:rsidRDefault="009F4946">
            <w:pPr>
              <w:cnfStyle w:val="000000100000"/>
              <w:rPr>
                <w:rFonts w:cs="Arial"/>
                <w:b/>
                <w:sz w:val="24"/>
                <w:szCs w:val="24"/>
              </w:rPr>
            </w:pPr>
            <w:r w:rsidRPr="009F4946">
              <w:rPr>
                <w:rFonts w:cs="Arial"/>
                <w:b/>
                <w:sz w:val="24"/>
                <w:szCs w:val="24"/>
              </w:rPr>
              <w:t>50.80</w:t>
            </w:r>
          </w:p>
        </w:tc>
      </w:tr>
      <w:tr w:rsidR="009F4946">
        <w:trPr>
          <w:cnfStyle w:val="000000010000"/>
        </w:trPr>
        <w:tc>
          <w:tcPr>
            <w:cnfStyle w:val="001000000000"/>
            <w:tcW w:w="2394" w:type="dxa"/>
          </w:tcPr>
          <w:p w:rsidR="009F4946" w:rsidRPr="009F4946" w:rsidRDefault="009F4946">
            <w:pPr>
              <w:rPr>
                <w:rFonts w:cs="Arial"/>
                <w:b w:val="0"/>
                <w:sz w:val="24"/>
                <w:szCs w:val="24"/>
              </w:rPr>
            </w:pPr>
            <w:r w:rsidRPr="009F4946">
              <w:rPr>
                <w:rFonts w:cs="Arial"/>
                <w:b w:val="0"/>
                <w:sz w:val="24"/>
                <w:szCs w:val="24"/>
              </w:rPr>
              <w:t>4 Variables</w:t>
            </w:r>
          </w:p>
        </w:tc>
        <w:tc>
          <w:tcPr>
            <w:tcW w:w="2394" w:type="dxa"/>
          </w:tcPr>
          <w:p w:rsidR="009F4946" w:rsidRDefault="009F4946">
            <w:pPr>
              <w:cnfStyle w:val="000000010000"/>
              <w:rPr>
                <w:rFonts w:cs="Arial"/>
                <w:sz w:val="24"/>
                <w:szCs w:val="24"/>
              </w:rPr>
            </w:pPr>
            <w:r>
              <w:rPr>
                <w:rFonts w:cs="Arial"/>
                <w:sz w:val="24"/>
                <w:szCs w:val="24"/>
              </w:rPr>
              <w:t>57.68</w:t>
            </w:r>
          </w:p>
        </w:tc>
        <w:tc>
          <w:tcPr>
            <w:tcW w:w="2394" w:type="dxa"/>
          </w:tcPr>
          <w:p w:rsidR="009F4946" w:rsidRDefault="009F4946">
            <w:pPr>
              <w:cnfStyle w:val="000000010000"/>
              <w:rPr>
                <w:rFonts w:cs="Arial"/>
                <w:sz w:val="24"/>
                <w:szCs w:val="24"/>
              </w:rPr>
            </w:pPr>
            <w:r>
              <w:rPr>
                <w:rFonts w:cs="Arial"/>
                <w:sz w:val="24"/>
                <w:szCs w:val="24"/>
              </w:rPr>
              <w:t>54.71</w:t>
            </w:r>
          </w:p>
        </w:tc>
        <w:tc>
          <w:tcPr>
            <w:tcW w:w="2394" w:type="dxa"/>
          </w:tcPr>
          <w:p w:rsidR="009F4946" w:rsidRDefault="009F4946">
            <w:pPr>
              <w:cnfStyle w:val="000000010000"/>
              <w:rPr>
                <w:rFonts w:cs="Arial"/>
                <w:sz w:val="24"/>
                <w:szCs w:val="24"/>
              </w:rPr>
            </w:pPr>
            <w:r>
              <w:rPr>
                <w:rFonts w:cs="Arial"/>
                <w:sz w:val="24"/>
                <w:szCs w:val="24"/>
              </w:rPr>
              <w:t>53.53</w:t>
            </w:r>
          </w:p>
        </w:tc>
      </w:tr>
      <w:tr w:rsidR="009F4946">
        <w:trPr>
          <w:cnfStyle w:val="000000100000"/>
        </w:trPr>
        <w:tc>
          <w:tcPr>
            <w:cnfStyle w:val="001000000000"/>
            <w:tcW w:w="2394" w:type="dxa"/>
          </w:tcPr>
          <w:p w:rsidR="009F4946" w:rsidRPr="009F4946" w:rsidRDefault="009F4946">
            <w:pPr>
              <w:rPr>
                <w:rFonts w:cs="Arial"/>
                <w:b w:val="0"/>
                <w:sz w:val="24"/>
                <w:szCs w:val="24"/>
              </w:rPr>
            </w:pPr>
            <w:r w:rsidRPr="009F4946">
              <w:rPr>
                <w:rFonts w:cs="Arial"/>
                <w:b w:val="0"/>
                <w:sz w:val="24"/>
                <w:szCs w:val="24"/>
              </w:rPr>
              <w:t>5 Variables</w:t>
            </w:r>
          </w:p>
        </w:tc>
        <w:tc>
          <w:tcPr>
            <w:tcW w:w="2394" w:type="dxa"/>
          </w:tcPr>
          <w:p w:rsidR="009F4946" w:rsidRDefault="009F4946">
            <w:pPr>
              <w:cnfStyle w:val="000000100000"/>
              <w:rPr>
                <w:rFonts w:cs="Arial"/>
                <w:sz w:val="24"/>
                <w:szCs w:val="24"/>
              </w:rPr>
            </w:pPr>
            <w:r>
              <w:rPr>
                <w:rFonts w:cs="Arial"/>
                <w:sz w:val="24"/>
                <w:szCs w:val="24"/>
              </w:rPr>
              <w:t>61.46</w:t>
            </w:r>
          </w:p>
        </w:tc>
        <w:tc>
          <w:tcPr>
            <w:tcW w:w="2394" w:type="dxa"/>
          </w:tcPr>
          <w:p w:rsidR="009F4946" w:rsidRDefault="009F4946">
            <w:pPr>
              <w:cnfStyle w:val="000000100000"/>
              <w:rPr>
                <w:rFonts w:cs="Arial"/>
                <w:sz w:val="24"/>
                <w:szCs w:val="24"/>
              </w:rPr>
            </w:pPr>
            <w:r>
              <w:rPr>
                <w:rFonts w:cs="Arial"/>
                <w:sz w:val="24"/>
                <w:szCs w:val="24"/>
              </w:rPr>
              <w:t>58.76</w:t>
            </w:r>
          </w:p>
        </w:tc>
        <w:tc>
          <w:tcPr>
            <w:tcW w:w="2394" w:type="dxa"/>
          </w:tcPr>
          <w:p w:rsidR="009F4946" w:rsidRDefault="009F4946">
            <w:pPr>
              <w:cnfStyle w:val="000000100000"/>
              <w:rPr>
                <w:rFonts w:cs="Arial"/>
                <w:sz w:val="24"/>
                <w:szCs w:val="24"/>
              </w:rPr>
            </w:pPr>
            <w:r>
              <w:rPr>
                <w:rFonts w:cs="Arial"/>
                <w:sz w:val="24"/>
                <w:szCs w:val="24"/>
              </w:rPr>
              <w:t>54.63</w:t>
            </w:r>
          </w:p>
        </w:tc>
      </w:tr>
      <w:tr w:rsidR="009F4946">
        <w:trPr>
          <w:cnfStyle w:val="000000010000"/>
        </w:trPr>
        <w:tc>
          <w:tcPr>
            <w:cnfStyle w:val="001000000000"/>
            <w:tcW w:w="2394" w:type="dxa"/>
          </w:tcPr>
          <w:p w:rsidR="009F4946" w:rsidRPr="009F4946" w:rsidRDefault="009F4946">
            <w:pPr>
              <w:rPr>
                <w:rFonts w:cs="Arial"/>
                <w:sz w:val="24"/>
                <w:szCs w:val="24"/>
              </w:rPr>
            </w:pPr>
            <w:r w:rsidRPr="009F4946">
              <w:rPr>
                <w:rFonts w:cs="Arial"/>
                <w:sz w:val="24"/>
                <w:szCs w:val="24"/>
              </w:rPr>
              <w:t>6 Variables</w:t>
            </w:r>
          </w:p>
        </w:tc>
        <w:tc>
          <w:tcPr>
            <w:tcW w:w="2394" w:type="dxa"/>
          </w:tcPr>
          <w:p w:rsidR="009F4946" w:rsidRPr="009F4946" w:rsidRDefault="009F4946">
            <w:pPr>
              <w:cnfStyle w:val="000000010000"/>
              <w:rPr>
                <w:rFonts w:cs="Arial"/>
                <w:b/>
                <w:sz w:val="24"/>
                <w:szCs w:val="24"/>
              </w:rPr>
            </w:pPr>
            <w:r w:rsidRPr="009F4946">
              <w:rPr>
                <w:rFonts w:cs="Arial"/>
                <w:b/>
                <w:sz w:val="24"/>
                <w:szCs w:val="24"/>
              </w:rPr>
              <w:t>63.98</w:t>
            </w:r>
          </w:p>
        </w:tc>
        <w:tc>
          <w:tcPr>
            <w:tcW w:w="2394" w:type="dxa"/>
          </w:tcPr>
          <w:p w:rsidR="009F4946" w:rsidRPr="009F4946" w:rsidRDefault="009F4946">
            <w:pPr>
              <w:cnfStyle w:val="000000010000"/>
              <w:rPr>
                <w:rFonts w:cs="Arial"/>
                <w:b/>
                <w:sz w:val="24"/>
                <w:szCs w:val="24"/>
              </w:rPr>
            </w:pPr>
            <w:r w:rsidRPr="009F4946">
              <w:rPr>
                <w:rFonts w:cs="Arial"/>
                <w:b/>
                <w:sz w:val="24"/>
                <w:szCs w:val="24"/>
              </w:rPr>
              <w:t>58.63</w:t>
            </w:r>
          </w:p>
        </w:tc>
        <w:tc>
          <w:tcPr>
            <w:tcW w:w="2394" w:type="dxa"/>
          </w:tcPr>
          <w:p w:rsidR="009F4946" w:rsidRPr="009F4946" w:rsidRDefault="009F4946">
            <w:pPr>
              <w:cnfStyle w:val="000000010000"/>
              <w:rPr>
                <w:rFonts w:cs="Arial"/>
                <w:b/>
                <w:sz w:val="24"/>
                <w:szCs w:val="24"/>
              </w:rPr>
            </w:pPr>
            <w:r w:rsidRPr="009F4946">
              <w:rPr>
                <w:rFonts w:cs="Arial"/>
                <w:b/>
                <w:sz w:val="24"/>
                <w:szCs w:val="24"/>
              </w:rPr>
              <w:t>58.96</w:t>
            </w:r>
          </w:p>
        </w:tc>
      </w:tr>
      <w:tr w:rsidR="009F4946">
        <w:trPr>
          <w:cnfStyle w:val="000000100000"/>
        </w:trPr>
        <w:tc>
          <w:tcPr>
            <w:cnfStyle w:val="001000000000"/>
            <w:tcW w:w="2394" w:type="dxa"/>
          </w:tcPr>
          <w:p w:rsidR="009F4946" w:rsidRPr="009F4946" w:rsidRDefault="009F4946">
            <w:pPr>
              <w:rPr>
                <w:rFonts w:cs="Arial"/>
                <w:b w:val="0"/>
                <w:sz w:val="24"/>
                <w:szCs w:val="24"/>
              </w:rPr>
            </w:pPr>
            <w:r w:rsidRPr="009F4946">
              <w:rPr>
                <w:rFonts w:cs="Arial"/>
                <w:b w:val="0"/>
                <w:sz w:val="24"/>
                <w:szCs w:val="24"/>
              </w:rPr>
              <w:t>7 Variables</w:t>
            </w:r>
          </w:p>
        </w:tc>
        <w:tc>
          <w:tcPr>
            <w:tcW w:w="2394" w:type="dxa"/>
          </w:tcPr>
          <w:p w:rsidR="009F4946" w:rsidRDefault="009F4946">
            <w:pPr>
              <w:cnfStyle w:val="000000100000"/>
              <w:rPr>
                <w:rFonts w:cs="Arial"/>
                <w:sz w:val="24"/>
                <w:szCs w:val="24"/>
              </w:rPr>
            </w:pPr>
            <w:r>
              <w:rPr>
                <w:rFonts w:cs="Arial"/>
                <w:sz w:val="24"/>
                <w:szCs w:val="24"/>
              </w:rPr>
              <w:t>69.02</w:t>
            </w:r>
          </w:p>
        </w:tc>
        <w:tc>
          <w:tcPr>
            <w:tcW w:w="2394" w:type="dxa"/>
          </w:tcPr>
          <w:p w:rsidR="009F4946" w:rsidRDefault="009F4946">
            <w:pPr>
              <w:cnfStyle w:val="000000100000"/>
              <w:rPr>
                <w:rFonts w:cs="Arial"/>
                <w:sz w:val="24"/>
                <w:szCs w:val="24"/>
              </w:rPr>
            </w:pPr>
            <w:r>
              <w:rPr>
                <w:rFonts w:cs="Arial"/>
                <w:sz w:val="24"/>
                <w:szCs w:val="24"/>
              </w:rPr>
              <w:t>59.05</w:t>
            </w:r>
          </w:p>
        </w:tc>
        <w:tc>
          <w:tcPr>
            <w:tcW w:w="2394" w:type="dxa"/>
          </w:tcPr>
          <w:p w:rsidR="009F4946" w:rsidRDefault="009F4946">
            <w:pPr>
              <w:cnfStyle w:val="000000100000"/>
              <w:rPr>
                <w:rFonts w:cs="Arial"/>
                <w:sz w:val="24"/>
                <w:szCs w:val="24"/>
              </w:rPr>
            </w:pPr>
            <w:r>
              <w:rPr>
                <w:rFonts w:cs="Arial"/>
                <w:sz w:val="24"/>
                <w:szCs w:val="24"/>
              </w:rPr>
              <w:t>60.93</w:t>
            </w:r>
          </w:p>
        </w:tc>
      </w:tr>
      <w:tr w:rsidR="009F4946">
        <w:trPr>
          <w:cnfStyle w:val="000000010000"/>
        </w:trPr>
        <w:tc>
          <w:tcPr>
            <w:cnfStyle w:val="001000000000"/>
            <w:tcW w:w="2394" w:type="dxa"/>
          </w:tcPr>
          <w:p w:rsidR="009F4946" w:rsidRPr="009F4946" w:rsidRDefault="009F4946">
            <w:pPr>
              <w:rPr>
                <w:rFonts w:cs="Arial"/>
                <w:b w:val="0"/>
                <w:sz w:val="24"/>
                <w:szCs w:val="24"/>
              </w:rPr>
            </w:pPr>
            <w:r w:rsidRPr="009F4946">
              <w:rPr>
                <w:rFonts w:cs="Arial"/>
                <w:b w:val="0"/>
                <w:sz w:val="24"/>
                <w:szCs w:val="24"/>
              </w:rPr>
              <w:t>8 Variables</w:t>
            </w:r>
          </w:p>
        </w:tc>
        <w:tc>
          <w:tcPr>
            <w:tcW w:w="2394" w:type="dxa"/>
          </w:tcPr>
          <w:p w:rsidR="009F4946" w:rsidRDefault="009F4946">
            <w:pPr>
              <w:cnfStyle w:val="000000010000"/>
              <w:rPr>
                <w:rFonts w:cs="Arial"/>
                <w:sz w:val="24"/>
                <w:szCs w:val="24"/>
              </w:rPr>
            </w:pPr>
            <w:r>
              <w:rPr>
                <w:rFonts w:cs="Arial"/>
                <w:sz w:val="24"/>
                <w:szCs w:val="24"/>
              </w:rPr>
              <w:t>69.99</w:t>
            </w:r>
          </w:p>
        </w:tc>
        <w:tc>
          <w:tcPr>
            <w:tcW w:w="2394" w:type="dxa"/>
          </w:tcPr>
          <w:p w:rsidR="009F4946" w:rsidRDefault="009F4946">
            <w:pPr>
              <w:cnfStyle w:val="000000010000"/>
              <w:rPr>
                <w:rFonts w:cs="Arial"/>
                <w:sz w:val="24"/>
                <w:szCs w:val="24"/>
              </w:rPr>
            </w:pPr>
            <w:r>
              <w:rPr>
                <w:rFonts w:cs="Arial"/>
                <w:sz w:val="24"/>
                <w:szCs w:val="24"/>
              </w:rPr>
              <w:t>57.70</w:t>
            </w:r>
          </w:p>
        </w:tc>
        <w:tc>
          <w:tcPr>
            <w:tcW w:w="2394" w:type="dxa"/>
          </w:tcPr>
          <w:p w:rsidR="009F4946" w:rsidRDefault="009F4946">
            <w:pPr>
              <w:cnfStyle w:val="000000010000"/>
              <w:rPr>
                <w:rFonts w:cs="Arial"/>
                <w:sz w:val="24"/>
                <w:szCs w:val="24"/>
              </w:rPr>
            </w:pPr>
            <w:r>
              <w:rPr>
                <w:rFonts w:cs="Arial"/>
                <w:sz w:val="24"/>
                <w:szCs w:val="24"/>
              </w:rPr>
              <w:t>60.23</w:t>
            </w:r>
          </w:p>
        </w:tc>
      </w:tr>
      <w:tr w:rsidR="009F4946">
        <w:trPr>
          <w:cnfStyle w:val="000000100000"/>
        </w:trPr>
        <w:tc>
          <w:tcPr>
            <w:cnfStyle w:val="001000000000"/>
            <w:tcW w:w="2394" w:type="dxa"/>
          </w:tcPr>
          <w:p w:rsidR="009F4946" w:rsidRPr="009F4946" w:rsidRDefault="009F4946">
            <w:pPr>
              <w:rPr>
                <w:rFonts w:cs="Arial"/>
                <w:b w:val="0"/>
                <w:sz w:val="24"/>
                <w:szCs w:val="24"/>
              </w:rPr>
            </w:pPr>
            <w:r w:rsidRPr="009F4946">
              <w:rPr>
                <w:rFonts w:cs="Arial"/>
                <w:b w:val="0"/>
                <w:sz w:val="24"/>
                <w:szCs w:val="24"/>
              </w:rPr>
              <w:t>9 Variables</w:t>
            </w:r>
          </w:p>
        </w:tc>
        <w:tc>
          <w:tcPr>
            <w:tcW w:w="2394" w:type="dxa"/>
          </w:tcPr>
          <w:p w:rsidR="009F4946" w:rsidRDefault="009F4946">
            <w:pPr>
              <w:cnfStyle w:val="000000100000"/>
              <w:rPr>
                <w:rFonts w:cs="Arial"/>
                <w:sz w:val="24"/>
                <w:szCs w:val="24"/>
              </w:rPr>
            </w:pPr>
            <w:r>
              <w:rPr>
                <w:rFonts w:cs="Arial"/>
                <w:sz w:val="24"/>
                <w:szCs w:val="24"/>
              </w:rPr>
              <w:t>72.38</w:t>
            </w:r>
          </w:p>
        </w:tc>
        <w:tc>
          <w:tcPr>
            <w:tcW w:w="2394" w:type="dxa"/>
          </w:tcPr>
          <w:p w:rsidR="009F4946" w:rsidRDefault="009F4946">
            <w:pPr>
              <w:cnfStyle w:val="000000100000"/>
              <w:rPr>
                <w:rFonts w:cs="Arial"/>
                <w:sz w:val="24"/>
                <w:szCs w:val="24"/>
              </w:rPr>
            </w:pPr>
            <w:r>
              <w:rPr>
                <w:rFonts w:cs="Arial"/>
                <w:sz w:val="24"/>
                <w:szCs w:val="24"/>
              </w:rPr>
              <w:t>57.84</w:t>
            </w:r>
          </w:p>
        </w:tc>
        <w:tc>
          <w:tcPr>
            <w:tcW w:w="2394" w:type="dxa"/>
          </w:tcPr>
          <w:p w:rsidR="009F4946" w:rsidRDefault="009F4946">
            <w:pPr>
              <w:cnfStyle w:val="000000100000"/>
              <w:rPr>
                <w:rFonts w:cs="Arial"/>
                <w:sz w:val="24"/>
                <w:szCs w:val="24"/>
              </w:rPr>
            </w:pPr>
            <w:r>
              <w:rPr>
                <w:rFonts w:cs="Arial"/>
                <w:sz w:val="24"/>
                <w:szCs w:val="24"/>
              </w:rPr>
              <w:t>61.51</w:t>
            </w:r>
          </w:p>
        </w:tc>
      </w:tr>
    </w:tbl>
    <w:p w:rsidR="00F04D7D" w:rsidRDefault="00F04D7D" w:rsidP="001C6C19">
      <w:pPr>
        <w:autoSpaceDE w:val="0"/>
        <w:autoSpaceDN w:val="0"/>
        <w:adjustRightInd w:val="0"/>
        <w:spacing w:after="0"/>
        <w:rPr>
          <w:rFonts w:cs="Times New Roman"/>
          <w:szCs w:val="24"/>
        </w:rPr>
      </w:pPr>
    </w:p>
    <w:p w:rsidR="005506B9" w:rsidRDefault="005506B9" w:rsidP="005506B9">
      <w:pPr>
        <w:autoSpaceDE w:val="0"/>
        <w:autoSpaceDN w:val="0"/>
        <w:adjustRightInd w:val="0"/>
        <w:spacing w:after="0"/>
        <w:ind w:firstLine="720"/>
        <w:rPr>
          <w:rFonts w:cs="Times New Roman"/>
          <w:szCs w:val="24"/>
        </w:rPr>
      </w:pPr>
      <w:r>
        <w:rPr>
          <w:rFonts w:cs="Times New Roman"/>
          <w:szCs w:val="24"/>
        </w:rPr>
        <w:t xml:space="preserve">Though the six-variable model has better hit rates for all of the estimates, the three-variable model was ultimately chosen because the improvement in classification accuracy when moving to the six-variable model is not great when considering the number of additional steps it took to achieve; three more variables were added to achieve an 8% increase in classification accuracy.  This can add a good deal of complexity to a quadratic equation.  This consideration along with the notoriety of QDA models for </w:t>
      </w:r>
      <w:r w:rsidR="00FD4E26">
        <w:rPr>
          <w:rFonts w:cs="Times New Roman"/>
          <w:szCs w:val="24"/>
        </w:rPr>
        <w:t>over-fit</w:t>
      </w:r>
      <w:r>
        <w:rPr>
          <w:rFonts w:cs="Times New Roman"/>
          <w:szCs w:val="24"/>
        </w:rPr>
        <w:t>ting and increased sensitivity to errors drove the selection of the simpler model.  Table 13 shows the classification estimates for the three-variable, six-variable, and a 16-variable model.</w:t>
      </w:r>
    </w:p>
    <w:p w:rsidR="005506B9" w:rsidRDefault="005506B9" w:rsidP="005506B9">
      <w:pPr>
        <w:autoSpaceDE w:val="0"/>
        <w:autoSpaceDN w:val="0"/>
        <w:adjustRightInd w:val="0"/>
        <w:spacing w:after="0"/>
        <w:ind w:firstLine="720"/>
        <w:rPr>
          <w:rFonts w:cs="Times New Roman"/>
          <w:szCs w:val="24"/>
        </w:rPr>
      </w:pPr>
      <w:r>
        <w:rPr>
          <w:rFonts w:cs="Times New Roman"/>
          <w:szCs w:val="24"/>
        </w:rPr>
        <w:t>In this case, only the White male data are not multivariate normally distributed.  Once again, the lack of normality appears to be caused by outliers.  Otherwise, the majority of the points on the c-q plot are almost perfectly in line with a multivariate normal distribution.  The groups still do not display equal covariance matrices, as indicated by a Box M-Test (</w:t>
      </w:r>
      <w:r w:rsidRPr="00800B21">
        <w:rPr>
          <w:rFonts w:cs="Times New Roman"/>
          <w:i/>
          <w:szCs w:val="24"/>
        </w:rPr>
        <w:sym w:font="Symbol" w:char="F043"/>
      </w:r>
      <w:r>
        <w:rPr>
          <w:rFonts w:cs="Times New Roman"/>
          <w:i/>
          <w:szCs w:val="24"/>
          <w:vertAlign w:val="superscript"/>
        </w:rPr>
        <w:t>2</w:t>
      </w:r>
      <w:r>
        <w:rPr>
          <w:rFonts w:cs="Times New Roman"/>
          <w:szCs w:val="24"/>
        </w:rPr>
        <w:t xml:space="preserve">=53.08, </w:t>
      </w:r>
      <w:r>
        <w:rPr>
          <w:rFonts w:cs="Times New Roman"/>
          <w:i/>
          <w:szCs w:val="24"/>
        </w:rPr>
        <w:t>p</w:t>
      </w:r>
      <w:r>
        <w:rPr>
          <w:rFonts w:cs="Times New Roman"/>
          <w:szCs w:val="24"/>
        </w:rPr>
        <w:t>&lt;</w:t>
      </w:r>
      <w:proofErr w:type="gramStart"/>
      <w:r>
        <w:rPr>
          <w:rFonts w:cs="Times New Roman"/>
          <w:szCs w:val="24"/>
        </w:rPr>
        <w:t>.001</w:t>
      </w:r>
      <w:proofErr w:type="gramEnd"/>
      <w:r>
        <w:rPr>
          <w:rFonts w:cs="Times New Roman"/>
          <w:szCs w:val="24"/>
        </w:rPr>
        <w:t>).  Thus, as far as the assumptions go, this analysis seems appropriate for the distributional properties of the data.  However, it performs poorly, only correctly classifying about 50% of the observations.  The individual group classification rates are:  White males – 45.99%; White females – 61.90%; Black males – 52.63%; Black females – 43.48%; and Hispanic males – 50%.</w:t>
      </w:r>
    </w:p>
    <w:p w:rsidR="00F52D03" w:rsidRDefault="00F52D03" w:rsidP="001C6C19">
      <w:pPr>
        <w:autoSpaceDE w:val="0"/>
        <w:autoSpaceDN w:val="0"/>
        <w:adjustRightInd w:val="0"/>
        <w:spacing w:after="0"/>
        <w:rPr>
          <w:rFonts w:cs="Times New Roman"/>
          <w:szCs w:val="24"/>
        </w:rPr>
      </w:pPr>
    </w:p>
    <w:p w:rsidR="00F52D03" w:rsidRPr="00EA3423" w:rsidRDefault="00F52D03" w:rsidP="0024354B">
      <w:pPr>
        <w:pStyle w:val="Caption"/>
      </w:pPr>
      <w:bookmarkStart w:id="78" w:name="_Toc227982521"/>
      <w:proofErr w:type="gramStart"/>
      <w:r w:rsidRPr="00EA3423">
        <w:t xml:space="preserve">Table </w:t>
      </w:r>
      <w:r w:rsidR="003731B6" w:rsidRPr="00EA3423">
        <w:fldChar w:fldCharType="begin"/>
      </w:r>
      <w:r w:rsidRPr="00EA3423">
        <w:instrText xml:space="preserve"> SEQ Table \* ARABIC </w:instrText>
      </w:r>
      <w:r w:rsidR="003731B6" w:rsidRPr="00EA3423">
        <w:fldChar w:fldCharType="separate"/>
      </w:r>
      <w:r w:rsidR="001633BC">
        <w:rPr>
          <w:noProof/>
        </w:rPr>
        <w:t>13</w:t>
      </w:r>
      <w:r w:rsidR="003731B6" w:rsidRPr="00EA3423">
        <w:fldChar w:fldCharType="end"/>
      </w:r>
      <w:r w:rsidRPr="00EA3423">
        <w:t>.</w:t>
      </w:r>
      <w:proofErr w:type="gramEnd"/>
      <w:r w:rsidRPr="00EA3423">
        <w:t xml:space="preserve">  QDA classification rates in %</w:t>
      </w:r>
      <w:bookmarkEnd w:id="78"/>
    </w:p>
    <w:tbl>
      <w:tblPr>
        <w:tblStyle w:val="LightGrid-Accent1"/>
        <w:tblW w:w="0" w:type="auto"/>
        <w:tblLook w:val="04A0"/>
      </w:tblPr>
      <w:tblGrid>
        <w:gridCol w:w="2394"/>
        <w:gridCol w:w="2394"/>
        <w:gridCol w:w="2394"/>
        <w:gridCol w:w="2394"/>
      </w:tblGrid>
      <w:tr w:rsidR="00F52D03">
        <w:trPr>
          <w:cnfStyle w:val="100000000000"/>
        </w:trPr>
        <w:tc>
          <w:tcPr>
            <w:cnfStyle w:val="001000000000"/>
            <w:tcW w:w="2394" w:type="dxa"/>
          </w:tcPr>
          <w:p w:rsidR="00F52D03" w:rsidRDefault="00F52D03">
            <w:pPr>
              <w:rPr>
                <w:rFonts w:cs="Arial"/>
                <w:sz w:val="24"/>
                <w:szCs w:val="24"/>
              </w:rPr>
            </w:pPr>
            <w:r>
              <w:rPr>
                <w:rFonts w:cs="Arial"/>
                <w:sz w:val="24"/>
                <w:szCs w:val="24"/>
              </w:rPr>
              <w:t>Model</w:t>
            </w:r>
          </w:p>
        </w:tc>
        <w:tc>
          <w:tcPr>
            <w:tcW w:w="2394" w:type="dxa"/>
          </w:tcPr>
          <w:p w:rsidR="00F52D03" w:rsidRDefault="009462B3">
            <w:pPr>
              <w:cnfStyle w:val="100000000000"/>
              <w:rPr>
                <w:rFonts w:cs="Arial"/>
                <w:sz w:val="24"/>
                <w:szCs w:val="24"/>
              </w:rPr>
            </w:pPr>
            <w:r>
              <w:rPr>
                <w:rFonts w:cs="Arial"/>
                <w:sz w:val="24"/>
                <w:szCs w:val="24"/>
              </w:rPr>
              <w:t>Re-substitution</w:t>
            </w:r>
          </w:p>
        </w:tc>
        <w:tc>
          <w:tcPr>
            <w:tcW w:w="2394" w:type="dxa"/>
          </w:tcPr>
          <w:p w:rsidR="00F52D03" w:rsidRDefault="0093472A">
            <w:pPr>
              <w:cnfStyle w:val="100000000000"/>
              <w:rPr>
                <w:rFonts w:cs="Arial"/>
                <w:sz w:val="24"/>
                <w:szCs w:val="24"/>
              </w:rPr>
            </w:pPr>
            <w:r>
              <w:rPr>
                <w:rFonts w:cs="Arial"/>
                <w:sz w:val="24"/>
                <w:szCs w:val="24"/>
              </w:rPr>
              <w:t>Cross-Validation</w:t>
            </w:r>
          </w:p>
        </w:tc>
        <w:tc>
          <w:tcPr>
            <w:tcW w:w="2394" w:type="dxa"/>
          </w:tcPr>
          <w:p w:rsidR="00F52D03" w:rsidRDefault="00F52D03">
            <w:pPr>
              <w:cnfStyle w:val="100000000000"/>
              <w:rPr>
                <w:rFonts w:cs="Arial"/>
                <w:sz w:val="24"/>
                <w:szCs w:val="24"/>
              </w:rPr>
            </w:pPr>
            <w:r>
              <w:rPr>
                <w:rFonts w:cs="Arial"/>
                <w:sz w:val="24"/>
                <w:szCs w:val="24"/>
              </w:rPr>
              <w:t>Holdout</w:t>
            </w:r>
          </w:p>
        </w:tc>
      </w:tr>
      <w:tr w:rsidR="00F52D03">
        <w:trPr>
          <w:cnfStyle w:val="000000100000"/>
        </w:trPr>
        <w:tc>
          <w:tcPr>
            <w:cnfStyle w:val="001000000000"/>
            <w:tcW w:w="2394" w:type="dxa"/>
          </w:tcPr>
          <w:p w:rsidR="00F52D03" w:rsidRDefault="00F52D03">
            <w:pPr>
              <w:rPr>
                <w:rFonts w:cs="Arial"/>
                <w:sz w:val="24"/>
                <w:szCs w:val="24"/>
              </w:rPr>
            </w:pPr>
            <w:r>
              <w:rPr>
                <w:rFonts w:cs="Arial"/>
                <w:sz w:val="24"/>
                <w:szCs w:val="24"/>
              </w:rPr>
              <w:t>All Variables</w:t>
            </w:r>
          </w:p>
        </w:tc>
        <w:tc>
          <w:tcPr>
            <w:tcW w:w="2394" w:type="dxa"/>
          </w:tcPr>
          <w:p w:rsidR="00F52D03" w:rsidRDefault="00F52D03">
            <w:pPr>
              <w:cnfStyle w:val="000000100000"/>
              <w:rPr>
                <w:rFonts w:cs="Arial"/>
                <w:sz w:val="24"/>
                <w:szCs w:val="24"/>
              </w:rPr>
            </w:pPr>
            <w:r>
              <w:rPr>
                <w:rFonts w:cs="Arial"/>
                <w:sz w:val="24"/>
                <w:szCs w:val="24"/>
              </w:rPr>
              <w:t>80.09</w:t>
            </w:r>
          </w:p>
        </w:tc>
        <w:tc>
          <w:tcPr>
            <w:tcW w:w="2394" w:type="dxa"/>
          </w:tcPr>
          <w:p w:rsidR="00F52D03" w:rsidRDefault="00F52D03">
            <w:pPr>
              <w:cnfStyle w:val="000000100000"/>
              <w:rPr>
                <w:rFonts w:cs="Arial"/>
                <w:sz w:val="24"/>
                <w:szCs w:val="24"/>
              </w:rPr>
            </w:pPr>
            <w:r>
              <w:rPr>
                <w:rFonts w:cs="Arial"/>
                <w:sz w:val="24"/>
                <w:szCs w:val="24"/>
              </w:rPr>
              <w:t>53.04</w:t>
            </w:r>
          </w:p>
        </w:tc>
        <w:tc>
          <w:tcPr>
            <w:tcW w:w="2394" w:type="dxa"/>
          </w:tcPr>
          <w:p w:rsidR="00F52D03" w:rsidRDefault="00F52D03">
            <w:pPr>
              <w:cnfStyle w:val="000000100000"/>
              <w:rPr>
                <w:rFonts w:cs="Arial"/>
                <w:sz w:val="24"/>
                <w:szCs w:val="24"/>
              </w:rPr>
            </w:pPr>
            <w:r>
              <w:rPr>
                <w:rFonts w:cs="Arial"/>
                <w:sz w:val="24"/>
                <w:szCs w:val="24"/>
              </w:rPr>
              <w:t>51.74</w:t>
            </w:r>
          </w:p>
        </w:tc>
      </w:tr>
      <w:tr w:rsidR="00F52D03">
        <w:trPr>
          <w:cnfStyle w:val="000000010000"/>
        </w:trPr>
        <w:tc>
          <w:tcPr>
            <w:cnfStyle w:val="001000000000"/>
            <w:tcW w:w="2394" w:type="dxa"/>
          </w:tcPr>
          <w:p w:rsidR="00F52D03" w:rsidRDefault="00F52D03">
            <w:pPr>
              <w:rPr>
                <w:rFonts w:cs="Arial"/>
                <w:sz w:val="24"/>
                <w:szCs w:val="24"/>
              </w:rPr>
            </w:pPr>
            <w:r>
              <w:rPr>
                <w:rFonts w:cs="Arial"/>
                <w:sz w:val="24"/>
                <w:szCs w:val="24"/>
              </w:rPr>
              <w:t>3 Variable</w:t>
            </w:r>
          </w:p>
        </w:tc>
        <w:tc>
          <w:tcPr>
            <w:tcW w:w="2394" w:type="dxa"/>
          </w:tcPr>
          <w:p w:rsidR="00F52D03" w:rsidRDefault="00F52D03">
            <w:pPr>
              <w:cnfStyle w:val="000000010000"/>
              <w:rPr>
                <w:rFonts w:cs="Arial"/>
                <w:sz w:val="24"/>
                <w:szCs w:val="24"/>
              </w:rPr>
            </w:pPr>
            <w:r>
              <w:rPr>
                <w:rFonts w:cs="Arial"/>
                <w:sz w:val="24"/>
                <w:szCs w:val="24"/>
              </w:rPr>
              <w:t>52.64</w:t>
            </w:r>
          </w:p>
        </w:tc>
        <w:tc>
          <w:tcPr>
            <w:tcW w:w="2394" w:type="dxa"/>
          </w:tcPr>
          <w:p w:rsidR="00F52D03" w:rsidRDefault="00F52D03">
            <w:pPr>
              <w:cnfStyle w:val="000000010000"/>
              <w:rPr>
                <w:rFonts w:cs="Arial"/>
                <w:sz w:val="24"/>
                <w:szCs w:val="24"/>
              </w:rPr>
            </w:pPr>
            <w:r>
              <w:rPr>
                <w:rFonts w:cs="Arial"/>
                <w:sz w:val="24"/>
                <w:szCs w:val="24"/>
              </w:rPr>
              <w:t>49.86</w:t>
            </w:r>
          </w:p>
        </w:tc>
        <w:tc>
          <w:tcPr>
            <w:tcW w:w="2394" w:type="dxa"/>
          </w:tcPr>
          <w:p w:rsidR="00F52D03" w:rsidRDefault="00F52D03">
            <w:pPr>
              <w:cnfStyle w:val="000000010000"/>
              <w:rPr>
                <w:rFonts w:cs="Arial"/>
                <w:sz w:val="24"/>
                <w:szCs w:val="24"/>
              </w:rPr>
            </w:pPr>
            <w:r>
              <w:rPr>
                <w:rFonts w:cs="Arial"/>
                <w:sz w:val="24"/>
                <w:szCs w:val="24"/>
              </w:rPr>
              <w:t>50.80</w:t>
            </w:r>
          </w:p>
        </w:tc>
      </w:tr>
      <w:tr w:rsidR="00F52D03">
        <w:trPr>
          <w:cnfStyle w:val="000000100000"/>
        </w:trPr>
        <w:tc>
          <w:tcPr>
            <w:cnfStyle w:val="001000000000"/>
            <w:tcW w:w="2394" w:type="dxa"/>
          </w:tcPr>
          <w:p w:rsidR="00F52D03" w:rsidRDefault="00F52D03" w:rsidP="000D7C28">
            <w:pPr>
              <w:rPr>
                <w:rFonts w:cs="Arial"/>
                <w:sz w:val="24"/>
                <w:szCs w:val="24"/>
              </w:rPr>
            </w:pPr>
            <w:r>
              <w:rPr>
                <w:rFonts w:cs="Arial"/>
                <w:sz w:val="24"/>
                <w:szCs w:val="24"/>
              </w:rPr>
              <w:t>6 Variables</w:t>
            </w:r>
          </w:p>
        </w:tc>
        <w:tc>
          <w:tcPr>
            <w:tcW w:w="2394" w:type="dxa"/>
          </w:tcPr>
          <w:p w:rsidR="00F52D03" w:rsidRDefault="00F52D03" w:rsidP="000D7C28">
            <w:pPr>
              <w:cnfStyle w:val="000000100000"/>
              <w:rPr>
                <w:rFonts w:cs="Arial"/>
                <w:sz w:val="24"/>
                <w:szCs w:val="24"/>
              </w:rPr>
            </w:pPr>
            <w:r>
              <w:rPr>
                <w:rFonts w:cs="Arial"/>
                <w:sz w:val="24"/>
                <w:szCs w:val="24"/>
              </w:rPr>
              <w:t>63.98</w:t>
            </w:r>
          </w:p>
        </w:tc>
        <w:tc>
          <w:tcPr>
            <w:tcW w:w="2394" w:type="dxa"/>
          </w:tcPr>
          <w:p w:rsidR="00F52D03" w:rsidRDefault="00F52D03" w:rsidP="000D7C28">
            <w:pPr>
              <w:cnfStyle w:val="000000100000"/>
              <w:rPr>
                <w:rFonts w:cs="Arial"/>
                <w:sz w:val="24"/>
                <w:szCs w:val="24"/>
              </w:rPr>
            </w:pPr>
            <w:r>
              <w:rPr>
                <w:rFonts w:cs="Arial"/>
                <w:sz w:val="24"/>
                <w:szCs w:val="24"/>
              </w:rPr>
              <w:t>58.63</w:t>
            </w:r>
          </w:p>
        </w:tc>
        <w:tc>
          <w:tcPr>
            <w:tcW w:w="2394" w:type="dxa"/>
          </w:tcPr>
          <w:p w:rsidR="00F52D03" w:rsidRDefault="00F52D03" w:rsidP="000D7C28">
            <w:pPr>
              <w:cnfStyle w:val="000000100000"/>
              <w:rPr>
                <w:rFonts w:cs="Arial"/>
                <w:sz w:val="24"/>
                <w:szCs w:val="24"/>
              </w:rPr>
            </w:pPr>
            <w:r>
              <w:rPr>
                <w:rFonts w:cs="Arial"/>
                <w:sz w:val="24"/>
                <w:szCs w:val="24"/>
              </w:rPr>
              <w:t>58.96</w:t>
            </w:r>
          </w:p>
        </w:tc>
      </w:tr>
    </w:tbl>
    <w:p w:rsidR="00137F43" w:rsidRDefault="00137F43" w:rsidP="00FE4303"/>
    <w:p w:rsidR="00D42825" w:rsidRDefault="00D42825" w:rsidP="00D42825">
      <w:pPr>
        <w:pStyle w:val="Heading3"/>
      </w:pPr>
      <w:bookmarkStart w:id="79" w:name="_Toc222419131"/>
      <w:bookmarkStart w:id="80" w:name="_Toc227982502"/>
      <w:r>
        <w:t>K-Nearest Neighbor Analysis</w:t>
      </w:r>
      <w:bookmarkEnd w:id="79"/>
      <w:bookmarkEnd w:id="80"/>
    </w:p>
    <w:p w:rsidR="00542582" w:rsidRDefault="00E84E66" w:rsidP="00D42825">
      <w:r>
        <w:tab/>
      </w:r>
      <w:r w:rsidR="00257A3F">
        <w:t>K-nearest neighbor analysis</w:t>
      </w:r>
      <w:r w:rsidR="00C26BC6">
        <w:t xml:space="preserve"> (KNN)</w:t>
      </w:r>
      <w:r w:rsidR="00257A3F">
        <w:t xml:space="preserve"> does not include stepwise variable selection procedures for the same reason as QDA:  its assumptions differ from those of the variable selection statistics.</w:t>
      </w:r>
      <w:r w:rsidR="000B6B06">
        <w:t xml:space="preserve">  Therefore, a forward selection was performed by the same method as that of the QDA.  The results </w:t>
      </w:r>
      <w:r w:rsidR="00936AC0">
        <w:t xml:space="preserve">for the </w:t>
      </w:r>
      <w:r w:rsidR="00936AC0">
        <w:rPr>
          <w:i/>
        </w:rPr>
        <w:t>k</w:t>
      </w:r>
      <w:r w:rsidR="00936AC0">
        <w:t xml:space="preserve">=3 analysis </w:t>
      </w:r>
      <w:r w:rsidR="00702BFB">
        <w:t>are shown in T</w:t>
      </w:r>
      <w:r w:rsidR="007C2E9C">
        <w:t>able 14</w:t>
      </w:r>
      <w:r w:rsidR="000B6B06">
        <w:t>.</w:t>
      </w:r>
    </w:p>
    <w:p w:rsidR="008F1B42" w:rsidRDefault="008F1B42" w:rsidP="00D42825"/>
    <w:p w:rsidR="0024354B" w:rsidRDefault="0024354B" w:rsidP="00D42825"/>
    <w:p w:rsidR="0024354B" w:rsidRDefault="0024354B" w:rsidP="00D42825"/>
    <w:p w:rsidR="0056330C" w:rsidRPr="00D42825" w:rsidRDefault="0056330C" w:rsidP="00D42825"/>
    <w:p w:rsidR="00C26BC6" w:rsidRPr="00EA3423" w:rsidRDefault="00C26BC6" w:rsidP="0024354B">
      <w:pPr>
        <w:pStyle w:val="Caption"/>
      </w:pPr>
      <w:bookmarkStart w:id="81" w:name="_Toc227982522"/>
      <w:proofErr w:type="gramStart"/>
      <w:r w:rsidRPr="00EA3423">
        <w:t xml:space="preserve">Table </w:t>
      </w:r>
      <w:r w:rsidR="003731B6" w:rsidRPr="00EA3423">
        <w:fldChar w:fldCharType="begin"/>
      </w:r>
      <w:r w:rsidRPr="00EA3423">
        <w:instrText xml:space="preserve"> SEQ Table \* ARABIC </w:instrText>
      </w:r>
      <w:r w:rsidR="003731B6" w:rsidRPr="00EA3423">
        <w:fldChar w:fldCharType="separate"/>
      </w:r>
      <w:r w:rsidR="001633BC">
        <w:rPr>
          <w:noProof/>
        </w:rPr>
        <w:t>14</w:t>
      </w:r>
      <w:r w:rsidR="003731B6" w:rsidRPr="00EA3423">
        <w:fldChar w:fldCharType="end"/>
      </w:r>
      <w:r w:rsidRPr="00EA3423">
        <w:t>.</w:t>
      </w:r>
      <w:proofErr w:type="gramEnd"/>
      <w:r w:rsidRPr="00EA3423">
        <w:t xml:space="preserve">  KNN</w:t>
      </w:r>
      <w:r w:rsidR="00A1598C" w:rsidRPr="00EA3423">
        <w:t xml:space="preserve"> (</w:t>
      </w:r>
      <w:r w:rsidR="00A1598C" w:rsidRPr="00EA3423">
        <w:rPr>
          <w:i/>
        </w:rPr>
        <w:t>k</w:t>
      </w:r>
      <w:r w:rsidR="00A1598C" w:rsidRPr="00EA3423">
        <w:t>=3)</w:t>
      </w:r>
      <w:r w:rsidRPr="00EA3423">
        <w:t xml:space="preserve"> forward selection results</w:t>
      </w:r>
      <w:bookmarkEnd w:id="81"/>
    </w:p>
    <w:tbl>
      <w:tblPr>
        <w:tblStyle w:val="LightGrid-Accent1"/>
        <w:tblW w:w="0" w:type="auto"/>
        <w:tblLook w:val="04A0"/>
      </w:tblPr>
      <w:tblGrid>
        <w:gridCol w:w="2394"/>
        <w:gridCol w:w="2394"/>
        <w:gridCol w:w="2394"/>
        <w:gridCol w:w="2394"/>
      </w:tblGrid>
      <w:tr w:rsidR="00C26BC6">
        <w:trPr>
          <w:cnfStyle w:val="100000000000"/>
        </w:trPr>
        <w:tc>
          <w:tcPr>
            <w:cnfStyle w:val="001000000000"/>
            <w:tcW w:w="2394" w:type="dxa"/>
          </w:tcPr>
          <w:p w:rsidR="00C26BC6" w:rsidRDefault="00C26BC6">
            <w:pPr>
              <w:rPr>
                <w:rFonts w:cs="Arial"/>
                <w:sz w:val="24"/>
                <w:szCs w:val="24"/>
              </w:rPr>
            </w:pPr>
            <w:r>
              <w:rPr>
                <w:rFonts w:cs="Arial"/>
                <w:sz w:val="24"/>
                <w:szCs w:val="24"/>
              </w:rPr>
              <w:t>Model</w:t>
            </w:r>
          </w:p>
        </w:tc>
        <w:tc>
          <w:tcPr>
            <w:tcW w:w="2394" w:type="dxa"/>
          </w:tcPr>
          <w:p w:rsidR="00C26BC6" w:rsidRDefault="009462B3">
            <w:pPr>
              <w:cnfStyle w:val="100000000000"/>
              <w:rPr>
                <w:rFonts w:cs="Arial"/>
                <w:sz w:val="24"/>
                <w:szCs w:val="24"/>
              </w:rPr>
            </w:pPr>
            <w:r>
              <w:rPr>
                <w:rFonts w:cs="Arial"/>
                <w:sz w:val="24"/>
                <w:szCs w:val="24"/>
              </w:rPr>
              <w:t>Re-substitution</w:t>
            </w:r>
          </w:p>
        </w:tc>
        <w:tc>
          <w:tcPr>
            <w:tcW w:w="2394" w:type="dxa"/>
          </w:tcPr>
          <w:p w:rsidR="00C26BC6" w:rsidRDefault="0093472A">
            <w:pPr>
              <w:cnfStyle w:val="100000000000"/>
              <w:rPr>
                <w:rFonts w:cs="Arial"/>
                <w:sz w:val="24"/>
                <w:szCs w:val="24"/>
              </w:rPr>
            </w:pPr>
            <w:r>
              <w:rPr>
                <w:rFonts w:cs="Arial"/>
                <w:sz w:val="24"/>
                <w:szCs w:val="24"/>
              </w:rPr>
              <w:t>Cross-Validation</w:t>
            </w:r>
          </w:p>
        </w:tc>
        <w:tc>
          <w:tcPr>
            <w:tcW w:w="2394" w:type="dxa"/>
          </w:tcPr>
          <w:p w:rsidR="00C26BC6" w:rsidRDefault="00C26BC6">
            <w:pPr>
              <w:cnfStyle w:val="100000000000"/>
              <w:rPr>
                <w:rFonts w:cs="Arial"/>
                <w:sz w:val="24"/>
                <w:szCs w:val="24"/>
              </w:rPr>
            </w:pPr>
            <w:r>
              <w:rPr>
                <w:rFonts w:cs="Arial"/>
                <w:sz w:val="24"/>
                <w:szCs w:val="24"/>
              </w:rPr>
              <w:t>Holdout</w:t>
            </w:r>
          </w:p>
        </w:tc>
      </w:tr>
      <w:tr w:rsidR="00C26BC6">
        <w:trPr>
          <w:cnfStyle w:val="000000100000"/>
        </w:trPr>
        <w:tc>
          <w:tcPr>
            <w:cnfStyle w:val="001000000000"/>
            <w:tcW w:w="2394" w:type="dxa"/>
          </w:tcPr>
          <w:p w:rsidR="00C26BC6" w:rsidRPr="004D057D" w:rsidRDefault="00C26BC6" w:rsidP="000D7C28">
            <w:pPr>
              <w:rPr>
                <w:rFonts w:cs="Arial"/>
                <w:b w:val="0"/>
                <w:sz w:val="24"/>
                <w:szCs w:val="24"/>
              </w:rPr>
            </w:pPr>
            <w:r w:rsidRPr="004D057D">
              <w:rPr>
                <w:rFonts w:cs="Arial"/>
                <w:b w:val="0"/>
                <w:sz w:val="24"/>
                <w:szCs w:val="24"/>
              </w:rPr>
              <w:t>1 Variable</w:t>
            </w:r>
          </w:p>
        </w:tc>
        <w:tc>
          <w:tcPr>
            <w:tcW w:w="2394" w:type="dxa"/>
          </w:tcPr>
          <w:p w:rsidR="00C26BC6" w:rsidRDefault="00C26BC6">
            <w:pPr>
              <w:cnfStyle w:val="000000100000"/>
              <w:rPr>
                <w:rFonts w:cs="Arial"/>
                <w:sz w:val="24"/>
                <w:szCs w:val="24"/>
              </w:rPr>
            </w:pPr>
            <w:r>
              <w:rPr>
                <w:rFonts w:cs="Arial"/>
                <w:sz w:val="24"/>
                <w:szCs w:val="24"/>
              </w:rPr>
              <w:t>36.32</w:t>
            </w:r>
          </w:p>
        </w:tc>
        <w:tc>
          <w:tcPr>
            <w:tcW w:w="2394" w:type="dxa"/>
          </w:tcPr>
          <w:p w:rsidR="00C26BC6" w:rsidRDefault="00C26BC6">
            <w:pPr>
              <w:cnfStyle w:val="000000100000"/>
              <w:rPr>
                <w:rFonts w:cs="Arial"/>
                <w:sz w:val="24"/>
                <w:szCs w:val="24"/>
              </w:rPr>
            </w:pPr>
            <w:r>
              <w:rPr>
                <w:rFonts w:cs="Arial"/>
                <w:sz w:val="24"/>
                <w:szCs w:val="24"/>
              </w:rPr>
              <w:t>28.93</w:t>
            </w:r>
          </w:p>
        </w:tc>
        <w:tc>
          <w:tcPr>
            <w:tcW w:w="2394" w:type="dxa"/>
          </w:tcPr>
          <w:p w:rsidR="00C26BC6" w:rsidRDefault="00C26BC6">
            <w:pPr>
              <w:cnfStyle w:val="000000100000"/>
              <w:rPr>
                <w:rFonts w:cs="Arial"/>
                <w:sz w:val="24"/>
                <w:szCs w:val="24"/>
              </w:rPr>
            </w:pPr>
            <w:r>
              <w:rPr>
                <w:rFonts w:cs="Arial"/>
                <w:sz w:val="24"/>
                <w:szCs w:val="24"/>
              </w:rPr>
              <w:t>34.64</w:t>
            </w:r>
          </w:p>
        </w:tc>
      </w:tr>
      <w:tr w:rsidR="00C26BC6">
        <w:trPr>
          <w:cnfStyle w:val="000000010000"/>
        </w:trPr>
        <w:tc>
          <w:tcPr>
            <w:cnfStyle w:val="001000000000"/>
            <w:tcW w:w="2394" w:type="dxa"/>
          </w:tcPr>
          <w:p w:rsidR="00C26BC6" w:rsidRPr="004D057D" w:rsidRDefault="00C26BC6" w:rsidP="000D7C28">
            <w:pPr>
              <w:rPr>
                <w:rFonts w:cs="Arial"/>
                <w:b w:val="0"/>
                <w:sz w:val="24"/>
                <w:szCs w:val="24"/>
              </w:rPr>
            </w:pPr>
            <w:r w:rsidRPr="004D057D">
              <w:rPr>
                <w:rFonts w:cs="Arial"/>
                <w:b w:val="0"/>
                <w:sz w:val="24"/>
                <w:szCs w:val="24"/>
              </w:rPr>
              <w:t>2 Variables</w:t>
            </w:r>
          </w:p>
        </w:tc>
        <w:tc>
          <w:tcPr>
            <w:tcW w:w="2394" w:type="dxa"/>
          </w:tcPr>
          <w:p w:rsidR="00C26BC6" w:rsidRDefault="00C26BC6">
            <w:pPr>
              <w:cnfStyle w:val="000000010000"/>
              <w:rPr>
                <w:rFonts w:cs="Arial"/>
                <w:sz w:val="24"/>
                <w:szCs w:val="24"/>
              </w:rPr>
            </w:pPr>
            <w:r>
              <w:rPr>
                <w:rFonts w:cs="Arial"/>
                <w:sz w:val="24"/>
                <w:szCs w:val="24"/>
              </w:rPr>
              <w:t>59.22</w:t>
            </w:r>
          </w:p>
        </w:tc>
        <w:tc>
          <w:tcPr>
            <w:tcW w:w="2394" w:type="dxa"/>
          </w:tcPr>
          <w:p w:rsidR="00C26BC6" w:rsidRDefault="00C26BC6">
            <w:pPr>
              <w:cnfStyle w:val="000000010000"/>
              <w:rPr>
                <w:rFonts w:cs="Arial"/>
                <w:sz w:val="24"/>
                <w:szCs w:val="24"/>
              </w:rPr>
            </w:pPr>
            <w:r>
              <w:rPr>
                <w:rFonts w:cs="Arial"/>
                <w:sz w:val="24"/>
                <w:szCs w:val="24"/>
              </w:rPr>
              <w:t>28.27</w:t>
            </w:r>
          </w:p>
        </w:tc>
        <w:tc>
          <w:tcPr>
            <w:tcW w:w="2394" w:type="dxa"/>
          </w:tcPr>
          <w:p w:rsidR="00C26BC6" w:rsidRDefault="00C26BC6">
            <w:pPr>
              <w:cnfStyle w:val="000000010000"/>
              <w:rPr>
                <w:rFonts w:cs="Arial"/>
                <w:sz w:val="24"/>
                <w:szCs w:val="24"/>
              </w:rPr>
            </w:pPr>
            <w:r>
              <w:rPr>
                <w:rFonts w:cs="Arial"/>
                <w:sz w:val="24"/>
                <w:szCs w:val="24"/>
              </w:rPr>
              <w:t>32.78</w:t>
            </w:r>
          </w:p>
        </w:tc>
      </w:tr>
      <w:tr w:rsidR="00C26BC6">
        <w:trPr>
          <w:cnfStyle w:val="000000100000"/>
        </w:trPr>
        <w:tc>
          <w:tcPr>
            <w:cnfStyle w:val="001000000000"/>
            <w:tcW w:w="2394" w:type="dxa"/>
          </w:tcPr>
          <w:p w:rsidR="00C26BC6" w:rsidRPr="004D057D" w:rsidRDefault="00C26BC6" w:rsidP="000D7C28">
            <w:pPr>
              <w:rPr>
                <w:rFonts w:cs="Arial"/>
                <w:b w:val="0"/>
                <w:sz w:val="24"/>
                <w:szCs w:val="24"/>
              </w:rPr>
            </w:pPr>
            <w:r w:rsidRPr="004D057D">
              <w:rPr>
                <w:rFonts w:cs="Arial"/>
                <w:b w:val="0"/>
                <w:sz w:val="24"/>
                <w:szCs w:val="24"/>
              </w:rPr>
              <w:t>3 Variables</w:t>
            </w:r>
          </w:p>
        </w:tc>
        <w:tc>
          <w:tcPr>
            <w:tcW w:w="2394" w:type="dxa"/>
          </w:tcPr>
          <w:p w:rsidR="00C26BC6" w:rsidRDefault="00C26BC6">
            <w:pPr>
              <w:cnfStyle w:val="000000100000"/>
              <w:rPr>
                <w:rFonts w:cs="Arial"/>
                <w:sz w:val="24"/>
                <w:szCs w:val="24"/>
              </w:rPr>
            </w:pPr>
            <w:r>
              <w:rPr>
                <w:rFonts w:cs="Arial"/>
                <w:sz w:val="24"/>
                <w:szCs w:val="24"/>
              </w:rPr>
              <w:t>76.48</w:t>
            </w:r>
          </w:p>
        </w:tc>
        <w:tc>
          <w:tcPr>
            <w:tcW w:w="2394" w:type="dxa"/>
          </w:tcPr>
          <w:p w:rsidR="00C26BC6" w:rsidRDefault="00C26BC6">
            <w:pPr>
              <w:cnfStyle w:val="000000100000"/>
              <w:rPr>
                <w:rFonts w:cs="Arial"/>
                <w:sz w:val="24"/>
                <w:szCs w:val="24"/>
              </w:rPr>
            </w:pPr>
            <w:r>
              <w:rPr>
                <w:rFonts w:cs="Arial"/>
                <w:sz w:val="24"/>
                <w:szCs w:val="24"/>
              </w:rPr>
              <w:t>39.12</w:t>
            </w:r>
          </w:p>
        </w:tc>
        <w:tc>
          <w:tcPr>
            <w:tcW w:w="2394" w:type="dxa"/>
          </w:tcPr>
          <w:p w:rsidR="00C26BC6" w:rsidRDefault="00C26BC6">
            <w:pPr>
              <w:cnfStyle w:val="000000100000"/>
              <w:rPr>
                <w:rFonts w:cs="Arial"/>
                <w:sz w:val="24"/>
                <w:szCs w:val="24"/>
              </w:rPr>
            </w:pPr>
            <w:r>
              <w:rPr>
                <w:rFonts w:cs="Arial"/>
                <w:sz w:val="24"/>
                <w:szCs w:val="24"/>
              </w:rPr>
              <w:t>46.67</w:t>
            </w:r>
          </w:p>
        </w:tc>
      </w:tr>
      <w:tr w:rsidR="00C26BC6">
        <w:trPr>
          <w:cnfStyle w:val="000000010000"/>
        </w:trPr>
        <w:tc>
          <w:tcPr>
            <w:cnfStyle w:val="001000000000"/>
            <w:tcW w:w="2394" w:type="dxa"/>
          </w:tcPr>
          <w:p w:rsidR="00C26BC6" w:rsidRPr="004D057D" w:rsidRDefault="00C26BC6" w:rsidP="000D7C28">
            <w:pPr>
              <w:rPr>
                <w:rFonts w:cs="Arial"/>
                <w:b w:val="0"/>
                <w:sz w:val="24"/>
                <w:szCs w:val="24"/>
              </w:rPr>
            </w:pPr>
            <w:r w:rsidRPr="004D057D">
              <w:rPr>
                <w:rFonts w:cs="Arial"/>
                <w:b w:val="0"/>
                <w:sz w:val="24"/>
                <w:szCs w:val="24"/>
              </w:rPr>
              <w:t>4 Variables</w:t>
            </w:r>
          </w:p>
        </w:tc>
        <w:tc>
          <w:tcPr>
            <w:tcW w:w="2394" w:type="dxa"/>
          </w:tcPr>
          <w:p w:rsidR="00C26BC6" w:rsidRDefault="00C26BC6">
            <w:pPr>
              <w:cnfStyle w:val="000000010000"/>
              <w:rPr>
                <w:rFonts w:cs="Arial"/>
                <w:sz w:val="24"/>
                <w:szCs w:val="24"/>
              </w:rPr>
            </w:pPr>
            <w:r>
              <w:rPr>
                <w:rFonts w:cs="Arial"/>
                <w:sz w:val="24"/>
                <w:szCs w:val="24"/>
              </w:rPr>
              <w:t>81.72</w:t>
            </w:r>
          </w:p>
        </w:tc>
        <w:tc>
          <w:tcPr>
            <w:tcW w:w="2394" w:type="dxa"/>
          </w:tcPr>
          <w:p w:rsidR="00C26BC6" w:rsidRDefault="00C26BC6">
            <w:pPr>
              <w:cnfStyle w:val="000000010000"/>
              <w:rPr>
                <w:rFonts w:cs="Arial"/>
                <w:sz w:val="24"/>
                <w:szCs w:val="24"/>
              </w:rPr>
            </w:pPr>
            <w:r>
              <w:rPr>
                <w:rFonts w:cs="Arial"/>
                <w:sz w:val="24"/>
                <w:szCs w:val="24"/>
              </w:rPr>
              <w:t>48.12</w:t>
            </w:r>
          </w:p>
        </w:tc>
        <w:tc>
          <w:tcPr>
            <w:tcW w:w="2394" w:type="dxa"/>
          </w:tcPr>
          <w:p w:rsidR="00C26BC6" w:rsidRDefault="00C26BC6">
            <w:pPr>
              <w:cnfStyle w:val="000000010000"/>
              <w:rPr>
                <w:rFonts w:cs="Arial"/>
                <w:sz w:val="24"/>
                <w:szCs w:val="24"/>
              </w:rPr>
            </w:pPr>
            <w:r>
              <w:rPr>
                <w:rFonts w:cs="Arial"/>
                <w:sz w:val="24"/>
                <w:szCs w:val="24"/>
              </w:rPr>
              <w:t>48.39</w:t>
            </w:r>
          </w:p>
        </w:tc>
      </w:tr>
      <w:tr w:rsidR="00C26BC6">
        <w:trPr>
          <w:cnfStyle w:val="000000100000"/>
        </w:trPr>
        <w:tc>
          <w:tcPr>
            <w:cnfStyle w:val="001000000000"/>
            <w:tcW w:w="2394" w:type="dxa"/>
          </w:tcPr>
          <w:p w:rsidR="00C26BC6" w:rsidRDefault="00C26BC6" w:rsidP="000D7C28">
            <w:pPr>
              <w:rPr>
                <w:rFonts w:cs="Arial"/>
                <w:sz w:val="24"/>
                <w:szCs w:val="24"/>
              </w:rPr>
            </w:pPr>
            <w:r>
              <w:rPr>
                <w:rFonts w:cs="Arial"/>
                <w:sz w:val="24"/>
                <w:szCs w:val="24"/>
              </w:rPr>
              <w:t>5 Variables</w:t>
            </w:r>
          </w:p>
        </w:tc>
        <w:tc>
          <w:tcPr>
            <w:tcW w:w="2394" w:type="dxa"/>
          </w:tcPr>
          <w:p w:rsidR="00C26BC6" w:rsidRPr="004D057D" w:rsidRDefault="00C26BC6">
            <w:pPr>
              <w:cnfStyle w:val="000000100000"/>
              <w:rPr>
                <w:rFonts w:cs="Arial"/>
                <w:b/>
                <w:sz w:val="24"/>
                <w:szCs w:val="24"/>
              </w:rPr>
            </w:pPr>
            <w:r w:rsidRPr="004D057D">
              <w:rPr>
                <w:rFonts w:cs="Arial"/>
                <w:b/>
                <w:sz w:val="24"/>
                <w:szCs w:val="24"/>
              </w:rPr>
              <w:t>79.79</w:t>
            </w:r>
          </w:p>
        </w:tc>
        <w:tc>
          <w:tcPr>
            <w:tcW w:w="2394" w:type="dxa"/>
          </w:tcPr>
          <w:p w:rsidR="00C26BC6" w:rsidRPr="004D057D" w:rsidRDefault="00C26BC6">
            <w:pPr>
              <w:cnfStyle w:val="000000100000"/>
              <w:rPr>
                <w:rFonts w:cs="Arial"/>
                <w:b/>
                <w:sz w:val="24"/>
                <w:szCs w:val="24"/>
              </w:rPr>
            </w:pPr>
            <w:r w:rsidRPr="004D057D">
              <w:rPr>
                <w:rFonts w:cs="Arial"/>
                <w:b/>
                <w:sz w:val="24"/>
                <w:szCs w:val="24"/>
              </w:rPr>
              <w:t>43.74</w:t>
            </w:r>
          </w:p>
        </w:tc>
        <w:tc>
          <w:tcPr>
            <w:tcW w:w="2394" w:type="dxa"/>
          </w:tcPr>
          <w:p w:rsidR="00C26BC6" w:rsidRPr="004D057D" w:rsidRDefault="00C26BC6">
            <w:pPr>
              <w:cnfStyle w:val="000000100000"/>
              <w:rPr>
                <w:rFonts w:cs="Arial"/>
                <w:b/>
                <w:sz w:val="24"/>
                <w:szCs w:val="24"/>
              </w:rPr>
            </w:pPr>
            <w:r w:rsidRPr="004D057D">
              <w:rPr>
                <w:rFonts w:cs="Arial"/>
                <w:b/>
                <w:sz w:val="24"/>
                <w:szCs w:val="24"/>
              </w:rPr>
              <w:t>53.43</w:t>
            </w:r>
          </w:p>
        </w:tc>
      </w:tr>
      <w:tr w:rsidR="00C26BC6">
        <w:trPr>
          <w:cnfStyle w:val="000000010000"/>
        </w:trPr>
        <w:tc>
          <w:tcPr>
            <w:cnfStyle w:val="001000000000"/>
            <w:tcW w:w="2394" w:type="dxa"/>
          </w:tcPr>
          <w:p w:rsidR="00C26BC6" w:rsidRPr="004D057D" w:rsidRDefault="00C26BC6" w:rsidP="000D7C28">
            <w:pPr>
              <w:rPr>
                <w:rFonts w:cs="Arial"/>
                <w:b w:val="0"/>
                <w:sz w:val="24"/>
                <w:szCs w:val="24"/>
              </w:rPr>
            </w:pPr>
            <w:r w:rsidRPr="004D057D">
              <w:rPr>
                <w:rFonts w:cs="Arial"/>
                <w:b w:val="0"/>
                <w:sz w:val="24"/>
                <w:szCs w:val="24"/>
              </w:rPr>
              <w:t>6 Variables</w:t>
            </w:r>
          </w:p>
        </w:tc>
        <w:tc>
          <w:tcPr>
            <w:tcW w:w="2394" w:type="dxa"/>
          </w:tcPr>
          <w:p w:rsidR="00C26BC6" w:rsidRDefault="00C26BC6">
            <w:pPr>
              <w:cnfStyle w:val="000000010000"/>
              <w:rPr>
                <w:rFonts w:cs="Arial"/>
                <w:sz w:val="24"/>
                <w:szCs w:val="24"/>
              </w:rPr>
            </w:pPr>
            <w:r>
              <w:rPr>
                <w:rFonts w:cs="Arial"/>
                <w:sz w:val="24"/>
                <w:szCs w:val="24"/>
              </w:rPr>
              <w:t>80.34</w:t>
            </w:r>
          </w:p>
        </w:tc>
        <w:tc>
          <w:tcPr>
            <w:tcW w:w="2394" w:type="dxa"/>
          </w:tcPr>
          <w:p w:rsidR="00C26BC6" w:rsidRDefault="00C26BC6">
            <w:pPr>
              <w:cnfStyle w:val="000000010000"/>
              <w:rPr>
                <w:rFonts w:cs="Arial"/>
                <w:sz w:val="24"/>
                <w:szCs w:val="24"/>
              </w:rPr>
            </w:pPr>
            <w:r>
              <w:rPr>
                <w:rFonts w:cs="Arial"/>
                <w:sz w:val="24"/>
                <w:szCs w:val="24"/>
              </w:rPr>
              <w:t>43.97</w:t>
            </w:r>
          </w:p>
        </w:tc>
        <w:tc>
          <w:tcPr>
            <w:tcW w:w="2394" w:type="dxa"/>
          </w:tcPr>
          <w:p w:rsidR="00C26BC6" w:rsidRDefault="00C26BC6">
            <w:pPr>
              <w:cnfStyle w:val="000000010000"/>
              <w:rPr>
                <w:rFonts w:cs="Arial"/>
                <w:sz w:val="24"/>
                <w:szCs w:val="24"/>
              </w:rPr>
            </w:pPr>
            <w:r>
              <w:rPr>
                <w:rFonts w:cs="Arial"/>
                <w:sz w:val="24"/>
                <w:szCs w:val="24"/>
              </w:rPr>
              <w:t>52.07</w:t>
            </w:r>
          </w:p>
        </w:tc>
      </w:tr>
      <w:tr w:rsidR="00C26BC6">
        <w:trPr>
          <w:cnfStyle w:val="000000100000"/>
        </w:trPr>
        <w:tc>
          <w:tcPr>
            <w:cnfStyle w:val="001000000000"/>
            <w:tcW w:w="2394" w:type="dxa"/>
          </w:tcPr>
          <w:p w:rsidR="00C26BC6" w:rsidRPr="004D057D" w:rsidRDefault="00C26BC6" w:rsidP="000D7C28">
            <w:pPr>
              <w:rPr>
                <w:rFonts w:cs="Arial"/>
                <w:b w:val="0"/>
                <w:sz w:val="24"/>
                <w:szCs w:val="24"/>
              </w:rPr>
            </w:pPr>
            <w:r w:rsidRPr="004D057D">
              <w:rPr>
                <w:rFonts w:cs="Arial"/>
                <w:b w:val="0"/>
                <w:sz w:val="24"/>
                <w:szCs w:val="24"/>
              </w:rPr>
              <w:t>7 Variables</w:t>
            </w:r>
          </w:p>
        </w:tc>
        <w:tc>
          <w:tcPr>
            <w:tcW w:w="2394" w:type="dxa"/>
          </w:tcPr>
          <w:p w:rsidR="00C26BC6" w:rsidRDefault="00C26BC6">
            <w:pPr>
              <w:cnfStyle w:val="000000100000"/>
              <w:rPr>
                <w:rFonts w:cs="Arial"/>
                <w:sz w:val="24"/>
                <w:szCs w:val="24"/>
              </w:rPr>
            </w:pPr>
            <w:r>
              <w:rPr>
                <w:rFonts w:cs="Arial"/>
                <w:sz w:val="24"/>
                <w:szCs w:val="24"/>
              </w:rPr>
              <w:t>80.64</w:t>
            </w:r>
          </w:p>
        </w:tc>
        <w:tc>
          <w:tcPr>
            <w:tcW w:w="2394" w:type="dxa"/>
          </w:tcPr>
          <w:p w:rsidR="00C26BC6" w:rsidRDefault="00C26BC6">
            <w:pPr>
              <w:cnfStyle w:val="000000100000"/>
              <w:rPr>
                <w:rFonts w:cs="Arial"/>
                <w:sz w:val="24"/>
                <w:szCs w:val="24"/>
              </w:rPr>
            </w:pPr>
            <w:r>
              <w:rPr>
                <w:rFonts w:cs="Arial"/>
                <w:sz w:val="24"/>
                <w:szCs w:val="24"/>
              </w:rPr>
              <w:t>42.45</w:t>
            </w:r>
          </w:p>
        </w:tc>
        <w:tc>
          <w:tcPr>
            <w:tcW w:w="2394" w:type="dxa"/>
          </w:tcPr>
          <w:p w:rsidR="00C26BC6" w:rsidRDefault="00C26BC6">
            <w:pPr>
              <w:cnfStyle w:val="000000100000"/>
              <w:rPr>
                <w:rFonts w:cs="Arial"/>
                <w:sz w:val="24"/>
                <w:szCs w:val="24"/>
              </w:rPr>
            </w:pPr>
            <w:r>
              <w:rPr>
                <w:rFonts w:cs="Arial"/>
                <w:sz w:val="24"/>
                <w:szCs w:val="24"/>
              </w:rPr>
              <w:t>51.88</w:t>
            </w:r>
          </w:p>
        </w:tc>
      </w:tr>
      <w:tr w:rsidR="00C26BC6">
        <w:trPr>
          <w:cnfStyle w:val="000000010000"/>
        </w:trPr>
        <w:tc>
          <w:tcPr>
            <w:cnfStyle w:val="001000000000"/>
            <w:tcW w:w="2394" w:type="dxa"/>
          </w:tcPr>
          <w:p w:rsidR="00C26BC6" w:rsidRPr="00650909" w:rsidRDefault="00C26BC6" w:rsidP="000D7C28">
            <w:pPr>
              <w:rPr>
                <w:rFonts w:cs="Arial"/>
                <w:sz w:val="24"/>
                <w:szCs w:val="24"/>
              </w:rPr>
            </w:pPr>
            <w:r w:rsidRPr="00650909">
              <w:rPr>
                <w:rFonts w:cs="Arial"/>
                <w:sz w:val="24"/>
                <w:szCs w:val="24"/>
              </w:rPr>
              <w:t>8 Variables</w:t>
            </w:r>
          </w:p>
        </w:tc>
        <w:tc>
          <w:tcPr>
            <w:tcW w:w="2394" w:type="dxa"/>
          </w:tcPr>
          <w:p w:rsidR="00C26BC6" w:rsidRPr="00650909" w:rsidRDefault="00C26BC6">
            <w:pPr>
              <w:cnfStyle w:val="000000010000"/>
              <w:rPr>
                <w:rFonts w:cs="Arial"/>
                <w:b/>
                <w:sz w:val="24"/>
                <w:szCs w:val="24"/>
              </w:rPr>
            </w:pPr>
            <w:r w:rsidRPr="00650909">
              <w:rPr>
                <w:rFonts w:cs="Arial"/>
                <w:b/>
                <w:sz w:val="24"/>
                <w:szCs w:val="24"/>
              </w:rPr>
              <w:t>82.30</w:t>
            </w:r>
          </w:p>
        </w:tc>
        <w:tc>
          <w:tcPr>
            <w:tcW w:w="2394" w:type="dxa"/>
          </w:tcPr>
          <w:p w:rsidR="00C26BC6" w:rsidRPr="00650909" w:rsidRDefault="00C26BC6">
            <w:pPr>
              <w:cnfStyle w:val="000000010000"/>
              <w:rPr>
                <w:rFonts w:cs="Arial"/>
                <w:b/>
                <w:sz w:val="24"/>
                <w:szCs w:val="24"/>
              </w:rPr>
            </w:pPr>
            <w:r w:rsidRPr="00650909">
              <w:rPr>
                <w:rFonts w:cs="Arial"/>
                <w:b/>
                <w:sz w:val="24"/>
                <w:szCs w:val="24"/>
              </w:rPr>
              <w:t>47.75</w:t>
            </w:r>
          </w:p>
        </w:tc>
        <w:tc>
          <w:tcPr>
            <w:tcW w:w="2394" w:type="dxa"/>
          </w:tcPr>
          <w:p w:rsidR="00C26BC6" w:rsidRPr="00650909" w:rsidRDefault="00C26BC6">
            <w:pPr>
              <w:cnfStyle w:val="000000010000"/>
              <w:rPr>
                <w:rFonts w:cs="Arial"/>
                <w:b/>
                <w:sz w:val="24"/>
                <w:szCs w:val="24"/>
              </w:rPr>
            </w:pPr>
            <w:r w:rsidRPr="00650909">
              <w:rPr>
                <w:rFonts w:cs="Arial"/>
                <w:b/>
                <w:sz w:val="24"/>
                <w:szCs w:val="24"/>
              </w:rPr>
              <w:t>50.02</w:t>
            </w:r>
          </w:p>
        </w:tc>
      </w:tr>
    </w:tbl>
    <w:p w:rsidR="0056330C" w:rsidRDefault="0056330C" w:rsidP="001C6C19">
      <w:pPr>
        <w:autoSpaceDE w:val="0"/>
        <w:autoSpaceDN w:val="0"/>
        <w:adjustRightInd w:val="0"/>
        <w:spacing w:after="0"/>
        <w:rPr>
          <w:rFonts w:cs="Times New Roman"/>
          <w:szCs w:val="24"/>
        </w:rPr>
      </w:pPr>
    </w:p>
    <w:p w:rsidR="00B31F6A" w:rsidRDefault="00532846" w:rsidP="001C6C19">
      <w:pPr>
        <w:autoSpaceDE w:val="0"/>
        <w:autoSpaceDN w:val="0"/>
        <w:adjustRightInd w:val="0"/>
        <w:spacing w:after="0"/>
        <w:rPr>
          <w:rFonts w:cs="Times New Roman"/>
          <w:szCs w:val="24"/>
        </w:rPr>
      </w:pPr>
      <w:r>
        <w:rPr>
          <w:rFonts w:cs="Times New Roman"/>
          <w:szCs w:val="24"/>
        </w:rPr>
        <w:tab/>
        <w:t xml:space="preserve">The </w:t>
      </w:r>
      <w:r w:rsidR="00083F34">
        <w:rPr>
          <w:rFonts w:cs="Times New Roman"/>
          <w:szCs w:val="24"/>
        </w:rPr>
        <w:t>eight-variable model</w:t>
      </w:r>
      <w:r w:rsidR="00244649">
        <w:rPr>
          <w:rFonts w:cs="Times New Roman"/>
          <w:szCs w:val="24"/>
        </w:rPr>
        <w:t xml:space="preserve"> was</w:t>
      </w:r>
      <w:r w:rsidR="004D057D">
        <w:rPr>
          <w:rFonts w:cs="Times New Roman"/>
          <w:szCs w:val="24"/>
        </w:rPr>
        <w:t xml:space="preserve"> selected as the best for this analysis.  Adding more variables</w:t>
      </w:r>
      <w:r w:rsidR="0031354C">
        <w:rPr>
          <w:rFonts w:cs="Times New Roman"/>
          <w:szCs w:val="24"/>
        </w:rPr>
        <w:t xml:space="preserve"> after five</w:t>
      </w:r>
      <w:r w:rsidR="004D057D">
        <w:rPr>
          <w:rFonts w:cs="Times New Roman"/>
          <w:szCs w:val="24"/>
        </w:rPr>
        <w:t xml:space="preserve"> had negative effects on the holdout classification rate three steps in a row.</w:t>
      </w:r>
      <w:r w:rsidR="0031354C">
        <w:rPr>
          <w:rFonts w:cs="Times New Roman"/>
          <w:szCs w:val="24"/>
        </w:rPr>
        <w:t xml:space="preserve">  However, the eight-variable model has a stronger cross-validation classification rate, which may indicate that it gains performance though its holdout rate is lower.</w:t>
      </w:r>
      <w:r w:rsidR="004610EE">
        <w:rPr>
          <w:rFonts w:cs="Times New Roman"/>
          <w:szCs w:val="24"/>
        </w:rPr>
        <w:t xml:space="preserve">  </w:t>
      </w:r>
      <w:r w:rsidR="008F1B42">
        <w:rPr>
          <w:rFonts w:cs="Times New Roman"/>
          <w:szCs w:val="24"/>
        </w:rPr>
        <w:t>Furthermore, t</w:t>
      </w:r>
      <w:r w:rsidR="004610EE">
        <w:rPr>
          <w:rFonts w:cs="Times New Roman"/>
          <w:szCs w:val="24"/>
        </w:rPr>
        <w:t xml:space="preserve">he eight-variable model offers more stable classification rate estimates, as </w:t>
      </w:r>
      <w:proofErr w:type="gramStart"/>
      <w:r w:rsidR="004610EE">
        <w:rPr>
          <w:rFonts w:cs="Times New Roman"/>
          <w:szCs w:val="24"/>
        </w:rPr>
        <w:t>its</w:t>
      </w:r>
      <w:proofErr w:type="gramEnd"/>
      <w:r w:rsidR="004610EE">
        <w:rPr>
          <w:rFonts w:cs="Times New Roman"/>
          <w:szCs w:val="24"/>
        </w:rPr>
        <w:t xml:space="preserve"> cross-validation and holdout rates are not as divergent as the five-variable model.</w:t>
      </w:r>
    </w:p>
    <w:p w:rsidR="009156E4" w:rsidRDefault="0035713C" w:rsidP="00B31F6A">
      <w:pPr>
        <w:autoSpaceDE w:val="0"/>
        <w:autoSpaceDN w:val="0"/>
        <w:adjustRightInd w:val="0"/>
        <w:spacing w:after="0"/>
        <w:ind w:firstLine="720"/>
        <w:rPr>
          <w:rFonts w:cs="Times New Roman"/>
          <w:szCs w:val="24"/>
        </w:rPr>
      </w:pPr>
      <w:r>
        <w:rPr>
          <w:rFonts w:cs="Times New Roman"/>
          <w:szCs w:val="24"/>
        </w:rPr>
        <w:t xml:space="preserve">The </w:t>
      </w:r>
      <w:r w:rsidR="009462B3">
        <w:rPr>
          <w:rFonts w:cs="Times New Roman"/>
          <w:szCs w:val="24"/>
        </w:rPr>
        <w:t>re-substitution</w:t>
      </w:r>
      <w:r>
        <w:rPr>
          <w:rFonts w:cs="Times New Roman"/>
          <w:szCs w:val="24"/>
        </w:rPr>
        <w:t xml:space="preserve"> rate</w:t>
      </w:r>
      <w:r w:rsidR="00A1598C">
        <w:rPr>
          <w:rFonts w:cs="Times New Roman"/>
          <w:szCs w:val="24"/>
        </w:rPr>
        <w:t xml:space="preserve"> rapidly</w:t>
      </w:r>
      <w:r>
        <w:rPr>
          <w:rFonts w:cs="Times New Roman"/>
          <w:szCs w:val="24"/>
        </w:rPr>
        <w:t xml:space="preserve"> </w:t>
      </w:r>
      <w:r w:rsidR="00A1598C">
        <w:rPr>
          <w:rFonts w:cs="Times New Roman"/>
          <w:szCs w:val="24"/>
        </w:rPr>
        <w:t xml:space="preserve">diverged from </w:t>
      </w:r>
      <w:r w:rsidR="00487E5D">
        <w:rPr>
          <w:rFonts w:cs="Times New Roman"/>
          <w:szCs w:val="24"/>
        </w:rPr>
        <w:t xml:space="preserve">the </w:t>
      </w:r>
      <w:r w:rsidR="00AF4790">
        <w:rPr>
          <w:rFonts w:cs="Times New Roman"/>
          <w:szCs w:val="24"/>
        </w:rPr>
        <w:t>cross-validation</w:t>
      </w:r>
      <w:r w:rsidR="00487E5D">
        <w:rPr>
          <w:rFonts w:cs="Times New Roman"/>
          <w:szCs w:val="24"/>
        </w:rPr>
        <w:t xml:space="preserve"> and holdout </w:t>
      </w:r>
      <w:r w:rsidR="00B218A7">
        <w:rPr>
          <w:rFonts w:cs="Times New Roman"/>
          <w:szCs w:val="24"/>
        </w:rPr>
        <w:t>rates;</w:t>
      </w:r>
      <w:r>
        <w:rPr>
          <w:rFonts w:cs="Times New Roman"/>
          <w:szCs w:val="24"/>
        </w:rPr>
        <w:t xml:space="preserve"> it</w:t>
      </w:r>
      <w:r w:rsidR="00A1598C">
        <w:rPr>
          <w:rFonts w:cs="Times New Roman"/>
          <w:szCs w:val="24"/>
        </w:rPr>
        <w:t xml:space="preserve"> immediately pulled away from the other two.</w:t>
      </w:r>
      <w:r w:rsidR="005C4AD3">
        <w:rPr>
          <w:rFonts w:cs="Times New Roman"/>
          <w:szCs w:val="24"/>
        </w:rPr>
        <w:t xml:space="preserve">  </w:t>
      </w:r>
      <w:r w:rsidR="00D83E0C">
        <w:rPr>
          <w:rFonts w:cs="Times New Roman"/>
          <w:szCs w:val="24"/>
        </w:rPr>
        <w:t>Th</w:t>
      </w:r>
      <w:r w:rsidR="00532846">
        <w:rPr>
          <w:rFonts w:cs="Times New Roman"/>
          <w:szCs w:val="24"/>
        </w:rPr>
        <w:t xml:space="preserve">e classification rates for the </w:t>
      </w:r>
      <w:r w:rsidR="008573FA">
        <w:rPr>
          <w:rFonts w:cs="Times New Roman"/>
          <w:szCs w:val="24"/>
        </w:rPr>
        <w:t>eight-variable model</w:t>
      </w:r>
      <w:r w:rsidR="00D83E0C">
        <w:rPr>
          <w:rFonts w:cs="Times New Roman"/>
          <w:szCs w:val="24"/>
        </w:rPr>
        <w:t xml:space="preserve"> </w:t>
      </w:r>
      <w:r w:rsidR="00AC78C4">
        <w:rPr>
          <w:rFonts w:cs="Times New Roman"/>
          <w:szCs w:val="24"/>
        </w:rPr>
        <w:t>as well as an</w:t>
      </w:r>
      <w:r w:rsidR="00376EE1">
        <w:rPr>
          <w:rFonts w:cs="Times New Roman"/>
          <w:szCs w:val="24"/>
        </w:rPr>
        <w:t xml:space="preserve"> all variables</w:t>
      </w:r>
      <w:r w:rsidR="00AC78C4">
        <w:rPr>
          <w:rFonts w:cs="Times New Roman"/>
          <w:szCs w:val="24"/>
        </w:rPr>
        <w:t xml:space="preserve"> model</w:t>
      </w:r>
      <w:r w:rsidR="00376EE1">
        <w:rPr>
          <w:rFonts w:cs="Times New Roman"/>
          <w:szCs w:val="24"/>
        </w:rPr>
        <w:t xml:space="preserve"> are shown in T</w:t>
      </w:r>
      <w:r w:rsidR="008573FA">
        <w:rPr>
          <w:rFonts w:cs="Times New Roman"/>
          <w:szCs w:val="24"/>
        </w:rPr>
        <w:t>able 15</w:t>
      </w:r>
      <w:r w:rsidR="00D83E0C">
        <w:rPr>
          <w:rFonts w:cs="Times New Roman"/>
          <w:szCs w:val="24"/>
        </w:rPr>
        <w:t>.</w:t>
      </w:r>
      <w:r w:rsidR="00532846">
        <w:rPr>
          <w:rFonts w:cs="Times New Roman"/>
          <w:szCs w:val="24"/>
        </w:rPr>
        <w:t xml:space="preserve">  </w:t>
      </w:r>
      <w:r w:rsidR="00F82369">
        <w:rPr>
          <w:rFonts w:cs="Times New Roman"/>
          <w:szCs w:val="24"/>
        </w:rPr>
        <w:t>The eight</w:t>
      </w:r>
      <w:r w:rsidR="00433A1D">
        <w:rPr>
          <w:rFonts w:cs="Times New Roman"/>
          <w:szCs w:val="24"/>
        </w:rPr>
        <w:t xml:space="preserve">-variable model includes mastoid height (MDH), NLB, ZYB, GOL, </w:t>
      </w:r>
      <w:r w:rsidR="00514ACA">
        <w:rPr>
          <w:rFonts w:cs="Times New Roman"/>
          <w:szCs w:val="24"/>
        </w:rPr>
        <w:t xml:space="preserve">occipital chord </w:t>
      </w:r>
      <w:r w:rsidR="00F82369">
        <w:rPr>
          <w:rFonts w:cs="Times New Roman"/>
          <w:szCs w:val="24"/>
        </w:rPr>
        <w:t xml:space="preserve">(OCC), </w:t>
      </w:r>
      <w:r w:rsidR="008E38E2">
        <w:rPr>
          <w:rFonts w:cs="Times New Roman"/>
          <w:szCs w:val="24"/>
        </w:rPr>
        <w:t xml:space="preserve">BBH, FOL, and XCB.  </w:t>
      </w:r>
      <w:r w:rsidR="00514ACA">
        <w:rPr>
          <w:rFonts w:cs="Times New Roman"/>
          <w:szCs w:val="24"/>
        </w:rPr>
        <w:t>The variables were added to the model during selection in that order.</w:t>
      </w:r>
      <w:r w:rsidR="00B218A7">
        <w:rPr>
          <w:rFonts w:cs="Times New Roman"/>
          <w:szCs w:val="24"/>
        </w:rPr>
        <w:t xml:space="preserve">  The individual group holdout classification rates </w:t>
      </w:r>
      <w:r w:rsidR="00712054">
        <w:rPr>
          <w:rFonts w:cs="Times New Roman"/>
          <w:szCs w:val="24"/>
        </w:rPr>
        <w:t>f</w:t>
      </w:r>
      <w:r w:rsidR="008D5F9E">
        <w:rPr>
          <w:rFonts w:cs="Times New Roman"/>
          <w:szCs w:val="24"/>
        </w:rPr>
        <w:t>or the eight</w:t>
      </w:r>
      <w:r w:rsidR="00712054">
        <w:rPr>
          <w:rFonts w:cs="Times New Roman"/>
          <w:szCs w:val="24"/>
        </w:rPr>
        <w:t xml:space="preserve">-variable model </w:t>
      </w:r>
      <w:r w:rsidR="00B218A7">
        <w:rPr>
          <w:rFonts w:cs="Times New Roman"/>
          <w:szCs w:val="24"/>
        </w:rPr>
        <w:t xml:space="preserve">are:  White males – </w:t>
      </w:r>
      <w:r w:rsidR="008D5F9E">
        <w:rPr>
          <w:rFonts w:cs="Times New Roman"/>
          <w:szCs w:val="24"/>
        </w:rPr>
        <w:t>65.24</w:t>
      </w:r>
      <w:r w:rsidR="00B218A7">
        <w:rPr>
          <w:rFonts w:cs="Times New Roman"/>
          <w:szCs w:val="24"/>
        </w:rPr>
        <w:t xml:space="preserve">%; White females – </w:t>
      </w:r>
      <w:r w:rsidR="008D5F9E">
        <w:rPr>
          <w:rFonts w:cs="Times New Roman"/>
          <w:szCs w:val="24"/>
        </w:rPr>
        <w:t>52.38</w:t>
      </w:r>
      <w:r w:rsidR="00B218A7">
        <w:rPr>
          <w:rFonts w:cs="Times New Roman"/>
          <w:szCs w:val="24"/>
        </w:rPr>
        <w:t xml:space="preserve">%; Black males – </w:t>
      </w:r>
      <w:r w:rsidR="008D5F9E">
        <w:rPr>
          <w:rFonts w:cs="Times New Roman"/>
          <w:szCs w:val="24"/>
        </w:rPr>
        <w:t>39.47</w:t>
      </w:r>
      <w:r w:rsidR="00B218A7">
        <w:rPr>
          <w:rFonts w:cs="Times New Roman"/>
          <w:szCs w:val="24"/>
        </w:rPr>
        <w:t xml:space="preserve">%; Black females – </w:t>
      </w:r>
      <w:r w:rsidR="008D5F9E">
        <w:rPr>
          <w:rFonts w:cs="Times New Roman"/>
          <w:szCs w:val="24"/>
        </w:rPr>
        <w:t>43.48%; and Hispanic males – 54.55</w:t>
      </w:r>
      <w:r w:rsidR="00B218A7">
        <w:rPr>
          <w:rFonts w:cs="Times New Roman"/>
          <w:szCs w:val="24"/>
        </w:rPr>
        <w:t>%.</w:t>
      </w:r>
    </w:p>
    <w:p w:rsidR="004655DF" w:rsidRDefault="009156E4" w:rsidP="001C6C19">
      <w:pPr>
        <w:autoSpaceDE w:val="0"/>
        <w:autoSpaceDN w:val="0"/>
        <w:adjustRightInd w:val="0"/>
        <w:spacing w:after="0"/>
        <w:rPr>
          <w:rFonts w:cs="Times New Roman"/>
          <w:szCs w:val="24"/>
        </w:rPr>
      </w:pPr>
      <w:r>
        <w:rPr>
          <w:rFonts w:cs="Times New Roman"/>
          <w:szCs w:val="24"/>
        </w:rPr>
        <w:tab/>
        <w:t xml:space="preserve">The results for the </w:t>
      </w:r>
      <w:r>
        <w:rPr>
          <w:rFonts w:cs="Times New Roman"/>
          <w:i/>
          <w:szCs w:val="24"/>
        </w:rPr>
        <w:t>k</w:t>
      </w:r>
      <w:r w:rsidR="008573FA">
        <w:rPr>
          <w:rFonts w:cs="Times New Roman"/>
          <w:szCs w:val="24"/>
        </w:rPr>
        <w:t>=1 KNN are shown in Table 16</w:t>
      </w:r>
      <w:r>
        <w:rPr>
          <w:rFonts w:cs="Times New Roman"/>
          <w:szCs w:val="24"/>
        </w:rPr>
        <w:t xml:space="preserve">.  Improvement gains ceased after the addition of a second variable, so the two-variable model was chosen.  Once again, the </w:t>
      </w:r>
      <w:r w:rsidR="009462B3">
        <w:rPr>
          <w:rFonts w:cs="Times New Roman"/>
          <w:szCs w:val="24"/>
        </w:rPr>
        <w:t>re-substitution</w:t>
      </w:r>
      <w:r>
        <w:rPr>
          <w:rFonts w:cs="Times New Roman"/>
          <w:szCs w:val="24"/>
        </w:rPr>
        <w:t xml:space="preserve"> classification rate qui</w:t>
      </w:r>
      <w:r w:rsidR="006C7D8C">
        <w:rPr>
          <w:rFonts w:cs="Times New Roman"/>
          <w:szCs w:val="24"/>
        </w:rPr>
        <w:t>ckly diverges from that of the cross-validation</w:t>
      </w:r>
      <w:r>
        <w:rPr>
          <w:rFonts w:cs="Times New Roman"/>
          <w:szCs w:val="24"/>
        </w:rPr>
        <w:t xml:space="preserve"> and holdout rates, even reaching 100% with only five variables in the model.</w:t>
      </w:r>
      <w:r w:rsidR="003C039C">
        <w:rPr>
          <w:rFonts w:cs="Times New Roman"/>
          <w:szCs w:val="24"/>
        </w:rPr>
        <w:t xml:space="preserve">  The </w:t>
      </w:r>
      <w:r w:rsidR="003C039C">
        <w:rPr>
          <w:rFonts w:cs="Times New Roman"/>
          <w:i/>
          <w:szCs w:val="24"/>
        </w:rPr>
        <w:t>k</w:t>
      </w:r>
      <w:r w:rsidR="003C039C">
        <w:rPr>
          <w:rFonts w:cs="Times New Roman"/>
          <w:szCs w:val="24"/>
        </w:rPr>
        <w:t xml:space="preserve">=1 analysis did not perform as well as the </w:t>
      </w:r>
      <w:r w:rsidR="003C039C">
        <w:rPr>
          <w:rFonts w:cs="Times New Roman"/>
          <w:i/>
          <w:szCs w:val="24"/>
        </w:rPr>
        <w:t>k</w:t>
      </w:r>
      <w:r w:rsidR="003C039C">
        <w:rPr>
          <w:rFonts w:cs="Times New Roman"/>
          <w:szCs w:val="24"/>
        </w:rPr>
        <w:t xml:space="preserve">=3.  It never reached the holdout classification rates of the </w:t>
      </w:r>
      <w:r w:rsidR="003C039C">
        <w:rPr>
          <w:rFonts w:cs="Times New Roman"/>
          <w:i/>
          <w:szCs w:val="24"/>
        </w:rPr>
        <w:t>k</w:t>
      </w:r>
      <w:r w:rsidR="003C039C">
        <w:rPr>
          <w:rFonts w:cs="Times New Roman"/>
          <w:szCs w:val="24"/>
        </w:rPr>
        <w:t xml:space="preserve">=3 models and the selected model’s overall holdout classification is </w:t>
      </w:r>
      <w:r w:rsidR="00274A82">
        <w:rPr>
          <w:rFonts w:cs="Times New Roman"/>
          <w:szCs w:val="24"/>
        </w:rPr>
        <w:t xml:space="preserve">only </w:t>
      </w:r>
      <w:r w:rsidR="003C039C">
        <w:rPr>
          <w:rFonts w:cs="Times New Roman"/>
          <w:szCs w:val="24"/>
        </w:rPr>
        <w:t xml:space="preserve">44.23%, about 10% worse than that of the </w:t>
      </w:r>
      <w:r w:rsidR="003C039C">
        <w:rPr>
          <w:rFonts w:cs="Times New Roman"/>
          <w:i/>
          <w:szCs w:val="24"/>
        </w:rPr>
        <w:t>k</w:t>
      </w:r>
      <w:r w:rsidR="003C039C">
        <w:rPr>
          <w:rFonts w:cs="Times New Roman"/>
          <w:szCs w:val="24"/>
        </w:rPr>
        <w:t>=3 analysis.</w:t>
      </w:r>
      <w:r w:rsidR="009F16A5">
        <w:rPr>
          <w:rFonts w:cs="Times New Roman"/>
          <w:szCs w:val="24"/>
        </w:rPr>
        <w:t xml:space="preserve">  The two variables in the model are ZYB and NLB.  The model’s group hold</w:t>
      </w:r>
      <w:r w:rsidR="00342D01">
        <w:rPr>
          <w:rFonts w:cs="Times New Roman"/>
          <w:szCs w:val="24"/>
        </w:rPr>
        <w:t>out classifications are:  White males – 40.11%; White females – 66.67%; Black males – 39.47%; Black females – 52.17%; and Hispanic males – 22.73%.</w:t>
      </w:r>
    </w:p>
    <w:p w:rsidR="00D83E0C" w:rsidRPr="003C039C" w:rsidRDefault="00D83E0C" w:rsidP="001C6C19">
      <w:pPr>
        <w:autoSpaceDE w:val="0"/>
        <w:autoSpaceDN w:val="0"/>
        <w:adjustRightInd w:val="0"/>
        <w:spacing w:after="0"/>
        <w:rPr>
          <w:rFonts w:cs="Times New Roman"/>
          <w:szCs w:val="24"/>
        </w:rPr>
      </w:pPr>
    </w:p>
    <w:p w:rsidR="00930A22" w:rsidRPr="00EA3423" w:rsidRDefault="00930A22" w:rsidP="0024354B">
      <w:pPr>
        <w:pStyle w:val="Caption"/>
      </w:pPr>
      <w:bookmarkStart w:id="82" w:name="_Toc227982523"/>
      <w:proofErr w:type="gramStart"/>
      <w:r w:rsidRPr="00EA3423">
        <w:t xml:space="preserve">Table </w:t>
      </w:r>
      <w:r w:rsidR="003731B6" w:rsidRPr="00EA3423">
        <w:fldChar w:fldCharType="begin"/>
      </w:r>
      <w:r w:rsidRPr="00EA3423">
        <w:instrText xml:space="preserve"> SEQ Table \* ARABIC </w:instrText>
      </w:r>
      <w:r w:rsidR="003731B6" w:rsidRPr="00EA3423">
        <w:fldChar w:fldCharType="separate"/>
      </w:r>
      <w:r w:rsidR="001633BC">
        <w:rPr>
          <w:noProof/>
        </w:rPr>
        <w:t>15</w:t>
      </w:r>
      <w:r w:rsidR="003731B6" w:rsidRPr="00EA3423">
        <w:fldChar w:fldCharType="end"/>
      </w:r>
      <w:r w:rsidRPr="00EA3423">
        <w:t>.</w:t>
      </w:r>
      <w:proofErr w:type="gramEnd"/>
      <w:r w:rsidRPr="00EA3423">
        <w:t xml:space="preserve"> KNN (</w:t>
      </w:r>
      <w:r w:rsidRPr="00EA3423">
        <w:rPr>
          <w:i/>
        </w:rPr>
        <w:t>k</w:t>
      </w:r>
      <w:r w:rsidRPr="00EA3423">
        <w:t>=3) classification rates in %</w:t>
      </w:r>
      <w:bookmarkEnd w:id="82"/>
    </w:p>
    <w:tbl>
      <w:tblPr>
        <w:tblStyle w:val="LightGrid-Accent1"/>
        <w:tblW w:w="0" w:type="auto"/>
        <w:tblLook w:val="04A0"/>
      </w:tblPr>
      <w:tblGrid>
        <w:gridCol w:w="2394"/>
        <w:gridCol w:w="2394"/>
        <w:gridCol w:w="2394"/>
        <w:gridCol w:w="2394"/>
      </w:tblGrid>
      <w:tr w:rsidR="00D83E0C">
        <w:trPr>
          <w:cnfStyle w:val="100000000000"/>
        </w:trPr>
        <w:tc>
          <w:tcPr>
            <w:cnfStyle w:val="001000000000"/>
            <w:tcW w:w="2394" w:type="dxa"/>
          </w:tcPr>
          <w:p w:rsidR="00D83E0C" w:rsidRDefault="00D83E0C">
            <w:pPr>
              <w:rPr>
                <w:rFonts w:cs="Arial"/>
                <w:sz w:val="24"/>
                <w:szCs w:val="24"/>
              </w:rPr>
            </w:pPr>
            <w:r>
              <w:rPr>
                <w:rFonts w:cs="Arial"/>
                <w:sz w:val="24"/>
                <w:szCs w:val="24"/>
              </w:rPr>
              <w:t>Model</w:t>
            </w:r>
          </w:p>
        </w:tc>
        <w:tc>
          <w:tcPr>
            <w:tcW w:w="2394" w:type="dxa"/>
          </w:tcPr>
          <w:p w:rsidR="00D83E0C" w:rsidRDefault="009462B3">
            <w:pPr>
              <w:cnfStyle w:val="100000000000"/>
              <w:rPr>
                <w:rFonts w:cs="Arial"/>
                <w:sz w:val="24"/>
                <w:szCs w:val="24"/>
              </w:rPr>
            </w:pPr>
            <w:r>
              <w:rPr>
                <w:rFonts w:cs="Arial"/>
                <w:sz w:val="24"/>
                <w:szCs w:val="24"/>
              </w:rPr>
              <w:t>Re-substitution</w:t>
            </w:r>
          </w:p>
        </w:tc>
        <w:tc>
          <w:tcPr>
            <w:tcW w:w="2394" w:type="dxa"/>
          </w:tcPr>
          <w:p w:rsidR="00D83E0C" w:rsidRDefault="00D83E0C">
            <w:pPr>
              <w:cnfStyle w:val="100000000000"/>
              <w:rPr>
                <w:rFonts w:cs="Arial"/>
                <w:sz w:val="24"/>
                <w:szCs w:val="24"/>
              </w:rPr>
            </w:pPr>
            <w:r>
              <w:rPr>
                <w:rFonts w:cs="Arial"/>
                <w:sz w:val="24"/>
                <w:szCs w:val="24"/>
              </w:rPr>
              <w:t>Jackknife</w:t>
            </w:r>
          </w:p>
        </w:tc>
        <w:tc>
          <w:tcPr>
            <w:tcW w:w="2394" w:type="dxa"/>
          </w:tcPr>
          <w:p w:rsidR="00D83E0C" w:rsidRDefault="00D83E0C">
            <w:pPr>
              <w:cnfStyle w:val="100000000000"/>
              <w:rPr>
                <w:rFonts w:cs="Arial"/>
                <w:sz w:val="24"/>
                <w:szCs w:val="24"/>
              </w:rPr>
            </w:pPr>
            <w:r>
              <w:rPr>
                <w:rFonts w:cs="Arial"/>
                <w:sz w:val="24"/>
                <w:szCs w:val="24"/>
              </w:rPr>
              <w:t>Holdout</w:t>
            </w:r>
          </w:p>
        </w:tc>
      </w:tr>
      <w:tr w:rsidR="00D83E0C">
        <w:trPr>
          <w:cnfStyle w:val="000000100000"/>
        </w:trPr>
        <w:tc>
          <w:tcPr>
            <w:cnfStyle w:val="001000000000"/>
            <w:tcW w:w="2394" w:type="dxa"/>
          </w:tcPr>
          <w:p w:rsidR="00D83E0C" w:rsidRDefault="00D83E0C">
            <w:pPr>
              <w:rPr>
                <w:rFonts w:cs="Arial"/>
                <w:sz w:val="24"/>
                <w:szCs w:val="24"/>
              </w:rPr>
            </w:pPr>
            <w:r>
              <w:rPr>
                <w:rFonts w:cs="Arial"/>
                <w:sz w:val="24"/>
                <w:szCs w:val="24"/>
              </w:rPr>
              <w:t>All Variables</w:t>
            </w:r>
          </w:p>
        </w:tc>
        <w:tc>
          <w:tcPr>
            <w:tcW w:w="2394" w:type="dxa"/>
          </w:tcPr>
          <w:p w:rsidR="00D83E0C" w:rsidRDefault="00D83E0C">
            <w:pPr>
              <w:cnfStyle w:val="000000100000"/>
              <w:rPr>
                <w:rFonts w:cs="Arial"/>
                <w:sz w:val="24"/>
                <w:szCs w:val="24"/>
              </w:rPr>
            </w:pPr>
            <w:r>
              <w:rPr>
                <w:rFonts w:cs="Arial"/>
                <w:sz w:val="24"/>
                <w:szCs w:val="24"/>
              </w:rPr>
              <w:t>89.47</w:t>
            </w:r>
          </w:p>
        </w:tc>
        <w:tc>
          <w:tcPr>
            <w:tcW w:w="2394" w:type="dxa"/>
          </w:tcPr>
          <w:p w:rsidR="00D83E0C" w:rsidRDefault="00D83E0C">
            <w:pPr>
              <w:cnfStyle w:val="000000100000"/>
              <w:rPr>
                <w:rFonts w:cs="Arial"/>
                <w:sz w:val="24"/>
                <w:szCs w:val="24"/>
              </w:rPr>
            </w:pPr>
            <w:r>
              <w:rPr>
                <w:rFonts w:cs="Arial"/>
                <w:sz w:val="24"/>
                <w:szCs w:val="24"/>
              </w:rPr>
              <w:t>46.20</w:t>
            </w:r>
          </w:p>
        </w:tc>
        <w:tc>
          <w:tcPr>
            <w:tcW w:w="2394" w:type="dxa"/>
          </w:tcPr>
          <w:p w:rsidR="00D83E0C" w:rsidRDefault="00D83E0C">
            <w:pPr>
              <w:cnfStyle w:val="000000100000"/>
              <w:rPr>
                <w:rFonts w:cs="Arial"/>
                <w:sz w:val="24"/>
                <w:szCs w:val="24"/>
              </w:rPr>
            </w:pPr>
            <w:r>
              <w:rPr>
                <w:rFonts w:cs="Arial"/>
                <w:sz w:val="24"/>
                <w:szCs w:val="24"/>
              </w:rPr>
              <w:t>45.99</w:t>
            </w:r>
          </w:p>
        </w:tc>
      </w:tr>
      <w:tr w:rsidR="00650909">
        <w:trPr>
          <w:cnfStyle w:val="000000010000"/>
        </w:trPr>
        <w:tc>
          <w:tcPr>
            <w:cnfStyle w:val="001000000000"/>
            <w:tcW w:w="2394" w:type="dxa"/>
          </w:tcPr>
          <w:p w:rsidR="00650909" w:rsidRDefault="00650909">
            <w:pPr>
              <w:rPr>
                <w:rFonts w:cs="Arial"/>
                <w:szCs w:val="24"/>
              </w:rPr>
            </w:pPr>
            <w:r>
              <w:rPr>
                <w:rFonts w:cs="Arial"/>
                <w:szCs w:val="24"/>
              </w:rPr>
              <w:t>8 Variable</w:t>
            </w:r>
          </w:p>
        </w:tc>
        <w:tc>
          <w:tcPr>
            <w:tcW w:w="2394" w:type="dxa"/>
          </w:tcPr>
          <w:p w:rsidR="00650909" w:rsidRDefault="00650909">
            <w:pPr>
              <w:cnfStyle w:val="000000010000"/>
              <w:rPr>
                <w:rFonts w:cs="Arial"/>
                <w:sz w:val="24"/>
                <w:szCs w:val="24"/>
              </w:rPr>
            </w:pPr>
            <w:r>
              <w:rPr>
                <w:rFonts w:cs="Arial"/>
                <w:sz w:val="24"/>
                <w:szCs w:val="24"/>
              </w:rPr>
              <w:t>82.30</w:t>
            </w:r>
          </w:p>
        </w:tc>
        <w:tc>
          <w:tcPr>
            <w:tcW w:w="2394" w:type="dxa"/>
          </w:tcPr>
          <w:p w:rsidR="00650909" w:rsidRDefault="00650909">
            <w:pPr>
              <w:cnfStyle w:val="000000010000"/>
              <w:rPr>
                <w:rFonts w:cs="Arial"/>
                <w:sz w:val="24"/>
                <w:szCs w:val="24"/>
              </w:rPr>
            </w:pPr>
            <w:r>
              <w:rPr>
                <w:rFonts w:cs="Arial"/>
                <w:sz w:val="24"/>
                <w:szCs w:val="24"/>
              </w:rPr>
              <w:t>47.75</w:t>
            </w:r>
          </w:p>
        </w:tc>
        <w:tc>
          <w:tcPr>
            <w:tcW w:w="2394" w:type="dxa"/>
          </w:tcPr>
          <w:p w:rsidR="00650909" w:rsidRDefault="00650909">
            <w:pPr>
              <w:cnfStyle w:val="000000010000"/>
              <w:rPr>
                <w:rFonts w:cs="Arial"/>
                <w:sz w:val="24"/>
                <w:szCs w:val="24"/>
              </w:rPr>
            </w:pPr>
            <w:r>
              <w:rPr>
                <w:rFonts w:cs="Arial"/>
                <w:sz w:val="24"/>
                <w:szCs w:val="24"/>
              </w:rPr>
              <w:t>50.02</w:t>
            </w:r>
          </w:p>
        </w:tc>
      </w:tr>
    </w:tbl>
    <w:p w:rsidR="00F444DA" w:rsidRDefault="00F444DA" w:rsidP="001C6C19">
      <w:pPr>
        <w:autoSpaceDE w:val="0"/>
        <w:autoSpaceDN w:val="0"/>
        <w:adjustRightInd w:val="0"/>
        <w:spacing w:after="0"/>
        <w:rPr>
          <w:rFonts w:cs="Times New Roman"/>
          <w:szCs w:val="24"/>
        </w:rPr>
      </w:pPr>
    </w:p>
    <w:p w:rsidR="0024354B" w:rsidRDefault="0024354B" w:rsidP="001C6C19">
      <w:pPr>
        <w:autoSpaceDE w:val="0"/>
        <w:autoSpaceDN w:val="0"/>
        <w:adjustRightInd w:val="0"/>
        <w:spacing w:after="0"/>
        <w:rPr>
          <w:rFonts w:cs="Times New Roman"/>
          <w:szCs w:val="24"/>
        </w:rPr>
      </w:pPr>
    </w:p>
    <w:p w:rsidR="0024354B" w:rsidRDefault="0024354B" w:rsidP="001C6C19">
      <w:pPr>
        <w:autoSpaceDE w:val="0"/>
        <w:autoSpaceDN w:val="0"/>
        <w:adjustRightInd w:val="0"/>
        <w:spacing w:after="0"/>
        <w:rPr>
          <w:rFonts w:cs="Times New Roman"/>
          <w:szCs w:val="24"/>
        </w:rPr>
      </w:pPr>
    </w:p>
    <w:p w:rsidR="0024354B" w:rsidRDefault="0024354B" w:rsidP="001C6C19">
      <w:pPr>
        <w:autoSpaceDE w:val="0"/>
        <w:autoSpaceDN w:val="0"/>
        <w:adjustRightInd w:val="0"/>
        <w:spacing w:after="0"/>
        <w:rPr>
          <w:rFonts w:cs="Times New Roman"/>
          <w:szCs w:val="24"/>
        </w:rPr>
      </w:pPr>
    </w:p>
    <w:p w:rsidR="0024354B" w:rsidRDefault="0024354B" w:rsidP="001C6C19">
      <w:pPr>
        <w:autoSpaceDE w:val="0"/>
        <w:autoSpaceDN w:val="0"/>
        <w:adjustRightInd w:val="0"/>
        <w:spacing w:after="0"/>
        <w:rPr>
          <w:rFonts w:cs="Times New Roman"/>
          <w:szCs w:val="24"/>
        </w:rPr>
      </w:pPr>
    </w:p>
    <w:p w:rsidR="0024354B" w:rsidRDefault="0024354B" w:rsidP="001C6C19">
      <w:pPr>
        <w:autoSpaceDE w:val="0"/>
        <w:autoSpaceDN w:val="0"/>
        <w:adjustRightInd w:val="0"/>
        <w:spacing w:after="0"/>
        <w:rPr>
          <w:rFonts w:cs="Times New Roman"/>
          <w:szCs w:val="24"/>
        </w:rPr>
      </w:pPr>
    </w:p>
    <w:p w:rsidR="002358D7" w:rsidRDefault="002358D7" w:rsidP="001C6C19">
      <w:pPr>
        <w:autoSpaceDE w:val="0"/>
        <w:autoSpaceDN w:val="0"/>
        <w:adjustRightInd w:val="0"/>
        <w:spacing w:after="0"/>
        <w:rPr>
          <w:rFonts w:cs="Times New Roman"/>
          <w:szCs w:val="24"/>
        </w:rPr>
      </w:pPr>
    </w:p>
    <w:p w:rsidR="00837E09" w:rsidRPr="00EA3423" w:rsidRDefault="00837E09" w:rsidP="0024354B">
      <w:pPr>
        <w:pStyle w:val="Caption"/>
      </w:pPr>
      <w:bookmarkStart w:id="83" w:name="_Toc227982524"/>
      <w:proofErr w:type="gramStart"/>
      <w:r w:rsidRPr="00EA3423">
        <w:t xml:space="preserve">Table </w:t>
      </w:r>
      <w:r w:rsidR="003731B6" w:rsidRPr="00EA3423">
        <w:fldChar w:fldCharType="begin"/>
      </w:r>
      <w:r w:rsidRPr="00EA3423">
        <w:instrText xml:space="preserve"> SEQ Table \* ARABIC </w:instrText>
      </w:r>
      <w:r w:rsidR="003731B6" w:rsidRPr="00EA3423">
        <w:fldChar w:fldCharType="separate"/>
      </w:r>
      <w:r w:rsidR="001633BC">
        <w:rPr>
          <w:noProof/>
        </w:rPr>
        <w:t>16</w:t>
      </w:r>
      <w:r w:rsidR="003731B6" w:rsidRPr="00EA3423">
        <w:fldChar w:fldCharType="end"/>
      </w:r>
      <w:r w:rsidRPr="00EA3423">
        <w:t>.</w:t>
      </w:r>
      <w:proofErr w:type="gramEnd"/>
      <w:r w:rsidRPr="00EA3423">
        <w:t xml:space="preserve"> KNN (</w:t>
      </w:r>
      <w:r w:rsidRPr="00EA3423">
        <w:rPr>
          <w:i/>
        </w:rPr>
        <w:t>k</w:t>
      </w:r>
      <w:r w:rsidRPr="00EA3423">
        <w:t>=1) results in %</w:t>
      </w:r>
      <w:bookmarkEnd w:id="83"/>
    </w:p>
    <w:tbl>
      <w:tblPr>
        <w:tblStyle w:val="LightGrid-Accent11"/>
        <w:tblW w:w="0" w:type="auto"/>
        <w:tblLook w:val="04A0"/>
      </w:tblPr>
      <w:tblGrid>
        <w:gridCol w:w="2394"/>
        <w:gridCol w:w="2394"/>
        <w:gridCol w:w="2394"/>
        <w:gridCol w:w="2394"/>
      </w:tblGrid>
      <w:tr w:rsidR="002358D7">
        <w:trPr>
          <w:cnfStyle w:val="100000000000"/>
        </w:trPr>
        <w:tc>
          <w:tcPr>
            <w:cnfStyle w:val="001000000000"/>
            <w:tcW w:w="2394" w:type="dxa"/>
          </w:tcPr>
          <w:p w:rsidR="002358D7" w:rsidRDefault="002358D7">
            <w:r>
              <w:t>Model</w:t>
            </w:r>
          </w:p>
        </w:tc>
        <w:tc>
          <w:tcPr>
            <w:tcW w:w="2394" w:type="dxa"/>
          </w:tcPr>
          <w:p w:rsidR="002358D7" w:rsidRDefault="009462B3">
            <w:pPr>
              <w:cnfStyle w:val="100000000000"/>
            </w:pPr>
            <w:r>
              <w:t>Re-substitution</w:t>
            </w:r>
          </w:p>
        </w:tc>
        <w:tc>
          <w:tcPr>
            <w:tcW w:w="2394" w:type="dxa"/>
          </w:tcPr>
          <w:p w:rsidR="002358D7" w:rsidRDefault="002358D7">
            <w:pPr>
              <w:cnfStyle w:val="100000000000"/>
            </w:pPr>
            <w:r>
              <w:t>Jackknife</w:t>
            </w:r>
          </w:p>
        </w:tc>
        <w:tc>
          <w:tcPr>
            <w:tcW w:w="2394" w:type="dxa"/>
          </w:tcPr>
          <w:p w:rsidR="002358D7" w:rsidRDefault="002358D7">
            <w:pPr>
              <w:cnfStyle w:val="100000000000"/>
            </w:pPr>
            <w:r>
              <w:t>Holdout</w:t>
            </w:r>
          </w:p>
        </w:tc>
      </w:tr>
      <w:tr w:rsidR="002358D7">
        <w:trPr>
          <w:cnfStyle w:val="000000100000"/>
        </w:trPr>
        <w:tc>
          <w:tcPr>
            <w:cnfStyle w:val="001000000000"/>
            <w:tcW w:w="2394" w:type="dxa"/>
          </w:tcPr>
          <w:p w:rsidR="002358D7" w:rsidRPr="002358D7" w:rsidRDefault="002358D7">
            <w:pPr>
              <w:rPr>
                <w:b w:val="0"/>
              </w:rPr>
            </w:pPr>
            <w:r w:rsidRPr="002358D7">
              <w:rPr>
                <w:b w:val="0"/>
              </w:rPr>
              <w:t>1 Variable</w:t>
            </w:r>
          </w:p>
        </w:tc>
        <w:tc>
          <w:tcPr>
            <w:tcW w:w="2394" w:type="dxa"/>
          </w:tcPr>
          <w:p w:rsidR="002358D7" w:rsidRDefault="002358D7">
            <w:pPr>
              <w:cnfStyle w:val="000000100000"/>
            </w:pPr>
            <w:r>
              <w:t>45.35</w:t>
            </w:r>
          </w:p>
        </w:tc>
        <w:tc>
          <w:tcPr>
            <w:tcW w:w="2394" w:type="dxa"/>
          </w:tcPr>
          <w:p w:rsidR="002358D7" w:rsidRDefault="002358D7">
            <w:pPr>
              <w:cnfStyle w:val="000000100000"/>
            </w:pPr>
            <w:r>
              <w:t>30.77</w:t>
            </w:r>
          </w:p>
        </w:tc>
        <w:tc>
          <w:tcPr>
            <w:tcW w:w="2394" w:type="dxa"/>
          </w:tcPr>
          <w:p w:rsidR="002358D7" w:rsidRDefault="002358D7">
            <w:pPr>
              <w:cnfStyle w:val="000000100000"/>
            </w:pPr>
            <w:r>
              <w:t>34.38</w:t>
            </w:r>
          </w:p>
        </w:tc>
      </w:tr>
      <w:tr w:rsidR="002358D7">
        <w:trPr>
          <w:cnfStyle w:val="000000010000"/>
        </w:trPr>
        <w:tc>
          <w:tcPr>
            <w:cnfStyle w:val="001000000000"/>
            <w:tcW w:w="2394" w:type="dxa"/>
          </w:tcPr>
          <w:p w:rsidR="002358D7" w:rsidRPr="002358D7" w:rsidRDefault="002358D7">
            <w:r w:rsidRPr="002358D7">
              <w:t>2 Variable</w:t>
            </w:r>
          </w:p>
        </w:tc>
        <w:tc>
          <w:tcPr>
            <w:tcW w:w="2394" w:type="dxa"/>
          </w:tcPr>
          <w:p w:rsidR="002358D7" w:rsidRPr="002358D7" w:rsidRDefault="002358D7">
            <w:pPr>
              <w:cnfStyle w:val="000000010000"/>
              <w:rPr>
                <w:b/>
              </w:rPr>
            </w:pPr>
            <w:r w:rsidRPr="002358D7">
              <w:rPr>
                <w:b/>
              </w:rPr>
              <w:t>69.41</w:t>
            </w:r>
          </w:p>
        </w:tc>
        <w:tc>
          <w:tcPr>
            <w:tcW w:w="2394" w:type="dxa"/>
          </w:tcPr>
          <w:p w:rsidR="002358D7" w:rsidRPr="002358D7" w:rsidRDefault="002358D7">
            <w:pPr>
              <w:cnfStyle w:val="000000010000"/>
              <w:rPr>
                <w:b/>
              </w:rPr>
            </w:pPr>
            <w:r w:rsidRPr="002358D7">
              <w:rPr>
                <w:b/>
              </w:rPr>
              <w:t>32.65</w:t>
            </w:r>
          </w:p>
        </w:tc>
        <w:tc>
          <w:tcPr>
            <w:tcW w:w="2394" w:type="dxa"/>
          </w:tcPr>
          <w:p w:rsidR="002358D7" w:rsidRPr="002358D7" w:rsidRDefault="002358D7">
            <w:pPr>
              <w:cnfStyle w:val="000000010000"/>
              <w:rPr>
                <w:b/>
              </w:rPr>
            </w:pPr>
            <w:r w:rsidRPr="002358D7">
              <w:rPr>
                <w:b/>
              </w:rPr>
              <w:t>44.23</w:t>
            </w:r>
          </w:p>
        </w:tc>
      </w:tr>
      <w:tr w:rsidR="002358D7">
        <w:trPr>
          <w:cnfStyle w:val="000000100000"/>
        </w:trPr>
        <w:tc>
          <w:tcPr>
            <w:cnfStyle w:val="001000000000"/>
            <w:tcW w:w="2394" w:type="dxa"/>
          </w:tcPr>
          <w:p w:rsidR="002358D7" w:rsidRPr="002358D7" w:rsidRDefault="002358D7">
            <w:pPr>
              <w:rPr>
                <w:b w:val="0"/>
              </w:rPr>
            </w:pPr>
            <w:r w:rsidRPr="002358D7">
              <w:rPr>
                <w:b w:val="0"/>
              </w:rPr>
              <w:t>3 Variable</w:t>
            </w:r>
          </w:p>
        </w:tc>
        <w:tc>
          <w:tcPr>
            <w:tcW w:w="2394" w:type="dxa"/>
          </w:tcPr>
          <w:p w:rsidR="002358D7" w:rsidRDefault="002358D7">
            <w:pPr>
              <w:cnfStyle w:val="000000100000"/>
            </w:pPr>
            <w:r>
              <w:t>93.37</w:t>
            </w:r>
          </w:p>
        </w:tc>
        <w:tc>
          <w:tcPr>
            <w:tcW w:w="2394" w:type="dxa"/>
          </w:tcPr>
          <w:p w:rsidR="002358D7" w:rsidRDefault="002358D7">
            <w:pPr>
              <w:cnfStyle w:val="000000100000"/>
            </w:pPr>
            <w:r>
              <w:t>34.67</w:t>
            </w:r>
          </w:p>
        </w:tc>
        <w:tc>
          <w:tcPr>
            <w:tcW w:w="2394" w:type="dxa"/>
          </w:tcPr>
          <w:p w:rsidR="002358D7" w:rsidRDefault="002358D7">
            <w:pPr>
              <w:cnfStyle w:val="000000100000"/>
            </w:pPr>
            <w:r>
              <w:t>45.25</w:t>
            </w:r>
          </w:p>
        </w:tc>
      </w:tr>
      <w:tr w:rsidR="002358D7">
        <w:trPr>
          <w:cnfStyle w:val="000000010000"/>
        </w:trPr>
        <w:tc>
          <w:tcPr>
            <w:cnfStyle w:val="001000000000"/>
            <w:tcW w:w="2394" w:type="dxa"/>
          </w:tcPr>
          <w:p w:rsidR="002358D7" w:rsidRPr="002358D7" w:rsidRDefault="002358D7">
            <w:pPr>
              <w:rPr>
                <w:b w:val="0"/>
              </w:rPr>
            </w:pPr>
            <w:r w:rsidRPr="002358D7">
              <w:rPr>
                <w:b w:val="0"/>
              </w:rPr>
              <w:t>4 Variable</w:t>
            </w:r>
          </w:p>
        </w:tc>
        <w:tc>
          <w:tcPr>
            <w:tcW w:w="2394" w:type="dxa"/>
          </w:tcPr>
          <w:p w:rsidR="002358D7" w:rsidRDefault="002358D7">
            <w:pPr>
              <w:cnfStyle w:val="000000010000"/>
            </w:pPr>
            <w:r>
              <w:t>99.78</w:t>
            </w:r>
          </w:p>
        </w:tc>
        <w:tc>
          <w:tcPr>
            <w:tcW w:w="2394" w:type="dxa"/>
          </w:tcPr>
          <w:p w:rsidR="002358D7" w:rsidRDefault="002358D7">
            <w:pPr>
              <w:cnfStyle w:val="000000010000"/>
            </w:pPr>
            <w:r>
              <w:t>38.05</w:t>
            </w:r>
          </w:p>
        </w:tc>
        <w:tc>
          <w:tcPr>
            <w:tcW w:w="2394" w:type="dxa"/>
          </w:tcPr>
          <w:p w:rsidR="002358D7" w:rsidRDefault="002358D7">
            <w:pPr>
              <w:cnfStyle w:val="000000010000"/>
            </w:pPr>
            <w:r>
              <w:t>45.57</w:t>
            </w:r>
          </w:p>
        </w:tc>
      </w:tr>
      <w:tr w:rsidR="002358D7">
        <w:trPr>
          <w:cnfStyle w:val="000000100000"/>
        </w:trPr>
        <w:tc>
          <w:tcPr>
            <w:cnfStyle w:val="001000000000"/>
            <w:tcW w:w="2394" w:type="dxa"/>
          </w:tcPr>
          <w:p w:rsidR="002358D7" w:rsidRPr="002358D7" w:rsidRDefault="002358D7">
            <w:pPr>
              <w:rPr>
                <w:b w:val="0"/>
              </w:rPr>
            </w:pPr>
            <w:r w:rsidRPr="002358D7">
              <w:rPr>
                <w:b w:val="0"/>
              </w:rPr>
              <w:t>5 Variable</w:t>
            </w:r>
          </w:p>
        </w:tc>
        <w:tc>
          <w:tcPr>
            <w:tcW w:w="2394" w:type="dxa"/>
          </w:tcPr>
          <w:p w:rsidR="002358D7" w:rsidRDefault="002358D7">
            <w:pPr>
              <w:cnfStyle w:val="000000100000"/>
            </w:pPr>
            <w:r>
              <w:t>100</w:t>
            </w:r>
          </w:p>
        </w:tc>
        <w:tc>
          <w:tcPr>
            <w:tcW w:w="2394" w:type="dxa"/>
          </w:tcPr>
          <w:p w:rsidR="002358D7" w:rsidRDefault="002358D7">
            <w:pPr>
              <w:cnfStyle w:val="000000100000"/>
            </w:pPr>
            <w:r>
              <w:t>41.87</w:t>
            </w:r>
          </w:p>
        </w:tc>
        <w:tc>
          <w:tcPr>
            <w:tcW w:w="2394" w:type="dxa"/>
          </w:tcPr>
          <w:p w:rsidR="002358D7" w:rsidRDefault="002358D7">
            <w:pPr>
              <w:cnfStyle w:val="000000100000"/>
            </w:pPr>
            <w:r>
              <w:t>46.72</w:t>
            </w:r>
          </w:p>
        </w:tc>
      </w:tr>
      <w:tr w:rsidR="002358D7">
        <w:trPr>
          <w:cnfStyle w:val="000000010000"/>
        </w:trPr>
        <w:tc>
          <w:tcPr>
            <w:cnfStyle w:val="001000000000"/>
            <w:tcW w:w="2394" w:type="dxa"/>
          </w:tcPr>
          <w:p w:rsidR="002358D7" w:rsidRPr="002358D7" w:rsidRDefault="002358D7">
            <w:pPr>
              <w:rPr>
                <w:b w:val="0"/>
              </w:rPr>
            </w:pPr>
            <w:r w:rsidRPr="002358D7">
              <w:rPr>
                <w:b w:val="0"/>
              </w:rPr>
              <w:t>6 Variable</w:t>
            </w:r>
          </w:p>
        </w:tc>
        <w:tc>
          <w:tcPr>
            <w:tcW w:w="2394" w:type="dxa"/>
          </w:tcPr>
          <w:p w:rsidR="002358D7" w:rsidRDefault="002358D7">
            <w:pPr>
              <w:cnfStyle w:val="000000010000"/>
            </w:pPr>
            <w:r>
              <w:t>100</w:t>
            </w:r>
          </w:p>
        </w:tc>
        <w:tc>
          <w:tcPr>
            <w:tcW w:w="2394" w:type="dxa"/>
          </w:tcPr>
          <w:p w:rsidR="002358D7" w:rsidRDefault="002358D7">
            <w:pPr>
              <w:cnfStyle w:val="000000010000"/>
            </w:pPr>
            <w:r>
              <w:t>39.87</w:t>
            </w:r>
          </w:p>
        </w:tc>
        <w:tc>
          <w:tcPr>
            <w:tcW w:w="2394" w:type="dxa"/>
          </w:tcPr>
          <w:p w:rsidR="002358D7" w:rsidRDefault="002358D7">
            <w:pPr>
              <w:cnfStyle w:val="000000010000"/>
            </w:pPr>
            <w:r>
              <w:t>48.39</w:t>
            </w:r>
          </w:p>
        </w:tc>
      </w:tr>
      <w:tr w:rsidR="002358D7">
        <w:trPr>
          <w:cnfStyle w:val="000000100000"/>
        </w:trPr>
        <w:tc>
          <w:tcPr>
            <w:cnfStyle w:val="001000000000"/>
            <w:tcW w:w="2394" w:type="dxa"/>
          </w:tcPr>
          <w:p w:rsidR="002358D7" w:rsidRPr="002358D7" w:rsidRDefault="002358D7">
            <w:pPr>
              <w:rPr>
                <w:b w:val="0"/>
              </w:rPr>
            </w:pPr>
            <w:r w:rsidRPr="002358D7">
              <w:rPr>
                <w:b w:val="0"/>
              </w:rPr>
              <w:t>All Variables</w:t>
            </w:r>
          </w:p>
        </w:tc>
        <w:tc>
          <w:tcPr>
            <w:tcW w:w="2394" w:type="dxa"/>
          </w:tcPr>
          <w:p w:rsidR="002358D7" w:rsidRDefault="002358D7">
            <w:pPr>
              <w:cnfStyle w:val="000000100000"/>
            </w:pPr>
            <w:r>
              <w:t>100</w:t>
            </w:r>
          </w:p>
        </w:tc>
        <w:tc>
          <w:tcPr>
            <w:tcW w:w="2394" w:type="dxa"/>
          </w:tcPr>
          <w:p w:rsidR="002358D7" w:rsidRDefault="002358D7">
            <w:pPr>
              <w:cnfStyle w:val="000000100000"/>
            </w:pPr>
            <w:r>
              <w:t>40.69</w:t>
            </w:r>
          </w:p>
        </w:tc>
        <w:tc>
          <w:tcPr>
            <w:tcW w:w="2394" w:type="dxa"/>
          </w:tcPr>
          <w:p w:rsidR="002358D7" w:rsidRDefault="002358D7">
            <w:pPr>
              <w:cnfStyle w:val="000000100000"/>
            </w:pPr>
            <w:r>
              <w:t>41.33</w:t>
            </w:r>
          </w:p>
        </w:tc>
      </w:tr>
    </w:tbl>
    <w:p w:rsidR="009C10A4" w:rsidRDefault="00CC08C1" w:rsidP="001C6C19">
      <w:pPr>
        <w:autoSpaceDE w:val="0"/>
        <w:autoSpaceDN w:val="0"/>
        <w:adjustRightInd w:val="0"/>
        <w:spacing w:after="0"/>
        <w:rPr>
          <w:rFonts w:cs="Times New Roman"/>
          <w:szCs w:val="24"/>
        </w:rPr>
      </w:pPr>
      <w:r>
        <w:rPr>
          <w:rFonts w:cs="Times New Roman"/>
          <w:szCs w:val="24"/>
        </w:rPr>
        <w:tab/>
      </w:r>
    </w:p>
    <w:p w:rsidR="009C10A4" w:rsidRDefault="009C10A4" w:rsidP="009C10A4">
      <w:pPr>
        <w:autoSpaceDE w:val="0"/>
        <w:autoSpaceDN w:val="0"/>
        <w:adjustRightInd w:val="0"/>
        <w:spacing w:after="0"/>
        <w:ind w:firstLine="720"/>
        <w:rPr>
          <w:rFonts w:cs="Times New Roman"/>
          <w:szCs w:val="24"/>
        </w:rPr>
      </w:pPr>
    </w:p>
    <w:p w:rsidR="00A36304" w:rsidRDefault="00CC08C1" w:rsidP="009C10A4">
      <w:pPr>
        <w:autoSpaceDE w:val="0"/>
        <w:autoSpaceDN w:val="0"/>
        <w:adjustRightInd w:val="0"/>
        <w:spacing w:after="0"/>
        <w:ind w:firstLine="720"/>
        <w:rPr>
          <w:rFonts w:cs="Times New Roman"/>
          <w:szCs w:val="24"/>
        </w:rPr>
      </w:pPr>
      <w:r>
        <w:rPr>
          <w:rFonts w:cs="Times New Roman"/>
          <w:szCs w:val="24"/>
        </w:rPr>
        <w:t>An assessment of multivariate normality shows the White males and Black females data are not normally distributed</w:t>
      </w:r>
      <w:r w:rsidR="00B47BB5">
        <w:rPr>
          <w:rFonts w:cs="Times New Roman"/>
          <w:szCs w:val="24"/>
        </w:rPr>
        <w:t xml:space="preserve"> for the eight</w:t>
      </w:r>
      <w:r w:rsidR="00ED0F9A">
        <w:rPr>
          <w:rFonts w:cs="Times New Roman"/>
          <w:szCs w:val="24"/>
        </w:rPr>
        <w:t>-</w:t>
      </w:r>
      <w:r>
        <w:rPr>
          <w:rFonts w:cs="Times New Roman"/>
          <w:szCs w:val="24"/>
        </w:rPr>
        <w:t>variable subset</w:t>
      </w:r>
      <w:r w:rsidR="00ED0F9A">
        <w:rPr>
          <w:rFonts w:cs="Times New Roman"/>
          <w:szCs w:val="24"/>
        </w:rPr>
        <w:t xml:space="preserve"> used in the </w:t>
      </w:r>
      <w:r w:rsidR="00ED0F9A">
        <w:rPr>
          <w:rFonts w:cs="Times New Roman"/>
          <w:i/>
          <w:szCs w:val="24"/>
        </w:rPr>
        <w:t>k</w:t>
      </w:r>
      <w:r w:rsidR="00ED0F9A">
        <w:rPr>
          <w:rFonts w:cs="Times New Roman"/>
          <w:szCs w:val="24"/>
        </w:rPr>
        <w:t>=3 analysis</w:t>
      </w:r>
      <w:r>
        <w:rPr>
          <w:rFonts w:cs="Times New Roman"/>
          <w:szCs w:val="24"/>
        </w:rPr>
        <w:t>.</w:t>
      </w:r>
      <w:r w:rsidR="00635C26">
        <w:rPr>
          <w:rFonts w:cs="Times New Roman"/>
          <w:szCs w:val="24"/>
        </w:rPr>
        <w:t xml:space="preserve">  The not normal distribution of some groups may make KNN appropriate. </w:t>
      </w:r>
      <w:r>
        <w:rPr>
          <w:rFonts w:cs="Times New Roman"/>
          <w:szCs w:val="24"/>
        </w:rPr>
        <w:t xml:space="preserve">  However, the homogeneity of variance assumption is violated, indicated by a significant Box M result (</w:t>
      </w:r>
      <w:r w:rsidRPr="00CC08C1">
        <w:rPr>
          <w:rFonts w:cs="Times New Roman"/>
          <w:i/>
          <w:szCs w:val="24"/>
        </w:rPr>
        <w:sym w:font="Symbol" w:char="F043"/>
      </w:r>
      <w:r>
        <w:rPr>
          <w:rFonts w:cs="Times New Roman"/>
          <w:i/>
          <w:szCs w:val="24"/>
          <w:vertAlign w:val="superscript"/>
        </w:rPr>
        <w:t>2</w:t>
      </w:r>
      <w:r>
        <w:rPr>
          <w:rFonts w:cs="Times New Roman"/>
          <w:szCs w:val="24"/>
        </w:rPr>
        <w:t xml:space="preserve">=99.50, </w:t>
      </w:r>
      <w:r>
        <w:rPr>
          <w:rFonts w:cs="Times New Roman"/>
          <w:i/>
          <w:szCs w:val="24"/>
        </w:rPr>
        <w:t>p</w:t>
      </w:r>
      <w:r w:rsidR="00D934BA">
        <w:rPr>
          <w:rFonts w:cs="Times New Roman"/>
          <w:szCs w:val="24"/>
        </w:rPr>
        <w:t>=0</w:t>
      </w:r>
      <w:r w:rsidR="00050985">
        <w:rPr>
          <w:rFonts w:cs="Times New Roman"/>
          <w:szCs w:val="24"/>
        </w:rPr>
        <w:t>.002</w:t>
      </w:r>
      <w:r w:rsidR="009F60FD">
        <w:rPr>
          <w:rFonts w:cs="Times New Roman"/>
          <w:szCs w:val="24"/>
        </w:rPr>
        <w:t>4</w:t>
      </w:r>
      <w:r>
        <w:rPr>
          <w:rFonts w:cs="Times New Roman"/>
          <w:szCs w:val="24"/>
        </w:rPr>
        <w:t>).</w:t>
      </w:r>
      <w:r w:rsidR="004C2FD1">
        <w:rPr>
          <w:rFonts w:cs="Times New Roman"/>
          <w:szCs w:val="24"/>
        </w:rPr>
        <w:t xml:space="preserve">  The </w:t>
      </w:r>
      <w:r w:rsidR="004C2FD1">
        <w:rPr>
          <w:rFonts w:cs="Times New Roman"/>
          <w:i/>
          <w:szCs w:val="24"/>
        </w:rPr>
        <w:t>k</w:t>
      </w:r>
      <w:r w:rsidR="004C2FD1">
        <w:rPr>
          <w:rFonts w:cs="Times New Roman"/>
          <w:szCs w:val="24"/>
        </w:rPr>
        <w:t>=1 analysis had similar results, but only the Black male data was normally distributed.  The Box M-Test was significant, indicating variance heterogeneity (</w:t>
      </w:r>
      <w:r w:rsidR="004C2FD1" w:rsidRPr="004C2FD1">
        <w:rPr>
          <w:rFonts w:cs="Times New Roman"/>
          <w:i/>
          <w:szCs w:val="24"/>
        </w:rPr>
        <w:sym w:font="Symbol" w:char="F043"/>
      </w:r>
      <w:r w:rsidR="004C2FD1">
        <w:rPr>
          <w:rFonts w:cs="Times New Roman"/>
          <w:i/>
          <w:szCs w:val="24"/>
          <w:vertAlign w:val="superscript"/>
        </w:rPr>
        <w:t>2</w:t>
      </w:r>
      <w:r w:rsidR="004C2FD1">
        <w:rPr>
          <w:rFonts w:cs="Times New Roman"/>
          <w:szCs w:val="24"/>
        </w:rPr>
        <w:t xml:space="preserve">=67.64, </w:t>
      </w:r>
      <w:r w:rsidR="004C2FD1">
        <w:rPr>
          <w:rFonts w:cs="Times New Roman"/>
          <w:i/>
          <w:szCs w:val="24"/>
        </w:rPr>
        <w:t>p&lt;</w:t>
      </w:r>
      <w:r w:rsidR="009F60FD" w:rsidRPr="009F60FD">
        <w:rPr>
          <w:rFonts w:cs="Times New Roman"/>
          <w:szCs w:val="24"/>
        </w:rPr>
        <w:t>0</w:t>
      </w:r>
      <w:r w:rsidR="004C2FD1">
        <w:rPr>
          <w:rFonts w:cs="Times New Roman"/>
          <w:szCs w:val="24"/>
        </w:rPr>
        <w:t>.0001)</w:t>
      </w:r>
      <w:r w:rsidR="002B68D9">
        <w:rPr>
          <w:rFonts w:cs="Times New Roman"/>
          <w:szCs w:val="24"/>
        </w:rPr>
        <w:t>.</w:t>
      </w:r>
      <w:r w:rsidR="00321D37">
        <w:rPr>
          <w:rFonts w:cs="Times New Roman"/>
          <w:szCs w:val="24"/>
        </w:rPr>
        <w:t xml:space="preserve">  Natural log transformations were performed in an attempt to achieve homogeneity of variance, but </w:t>
      </w:r>
      <w:r w:rsidR="002A2D0F">
        <w:rPr>
          <w:rFonts w:cs="Times New Roman"/>
          <w:szCs w:val="24"/>
        </w:rPr>
        <w:t>tests still indicated significant differences.</w:t>
      </w:r>
    </w:p>
    <w:p w:rsidR="00A36304" w:rsidRDefault="00A36304" w:rsidP="00A36304">
      <w:pPr>
        <w:pStyle w:val="Heading3"/>
      </w:pPr>
      <w:bookmarkStart w:id="84" w:name="_Toc222419132"/>
      <w:bookmarkStart w:id="85" w:name="_Toc227982503"/>
      <w:r>
        <w:t>Classification Trees</w:t>
      </w:r>
      <w:bookmarkEnd w:id="84"/>
      <w:bookmarkEnd w:id="85"/>
    </w:p>
    <w:p w:rsidR="00053016" w:rsidRDefault="007F0CF0" w:rsidP="00A36304">
      <w:r>
        <w:tab/>
        <w:t>The Classification Tree (CT)</w:t>
      </w:r>
      <w:r w:rsidR="007312C4">
        <w:t xml:space="preserve"> </w:t>
      </w:r>
      <w:r w:rsidR="00BC0BE8">
        <w:t>analysis was done in SAS Enterprise Miner 12.1.</w:t>
      </w:r>
      <w:r w:rsidR="00F51DDD">
        <w:t xml:space="preserve">  The Gini Index was used as the measure of impurity.   The tree was restricted to binary splits, only allowing for the creation of two subsets per split.</w:t>
      </w:r>
      <w:r w:rsidR="00DB0DAF">
        <w:t xml:space="preserve">  </w:t>
      </w:r>
      <w:r w:rsidR="002C5325">
        <w:t xml:space="preserve">The maximum depth was set to 10, limiting the level of node generations to 10 after the root node, which is generation 0.  </w:t>
      </w:r>
      <w:r w:rsidR="00DB0DAF">
        <w:t xml:space="preserve">Lastly, </w:t>
      </w:r>
      <w:r w:rsidR="00251D8F">
        <w:t xml:space="preserve">the tree was grown on the training sample and </w:t>
      </w:r>
      <w:r w:rsidR="00DB0DAF">
        <w:t>assessed and selected based upon the misclassification rate of the holdout sample.</w:t>
      </w:r>
      <w:r w:rsidR="00CC2288">
        <w:t xml:space="preserve">  </w:t>
      </w:r>
    </w:p>
    <w:p w:rsidR="009C10A4" w:rsidRDefault="00657BB9" w:rsidP="009C10A4">
      <w:pPr>
        <w:ind w:firstLine="720"/>
      </w:pPr>
      <w:r>
        <w:t xml:space="preserve">The results of the </w:t>
      </w:r>
      <w:r w:rsidR="007312C4">
        <w:t>CT</w:t>
      </w:r>
      <w:r>
        <w:t xml:space="preserve"> analyses are shown in Table 16.  </w:t>
      </w:r>
      <w:r w:rsidR="00AA0CC2">
        <w:t>The final tree had 16</w:t>
      </w:r>
      <w:r w:rsidR="00CC2288">
        <w:t xml:space="preserve"> terminal nodes.  The </w:t>
      </w:r>
      <w:r w:rsidR="009462B3">
        <w:t>re-substitution</w:t>
      </w:r>
      <w:r w:rsidR="00CC2288">
        <w:t xml:space="preserve"> and holdout (validation) rates </w:t>
      </w:r>
      <w:r w:rsidR="00053016">
        <w:t xml:space="preserve">are </w:t>
      </w:r>
      <w:r w:rsidR="008932DF">
        <w:t>74.04% and 72% respectively</w:t>
      </w:r>
      <w:r w:rsidR="00053016">
        <w:t>.</w:t>
      </w:r>
      <w:r w:rsidR="008932DF">
        <w:t xml:space="preserve">  However, though the overall classification rates are high, the tree’s performance is not good; this tree only</w:t>
      </w:r>
      <w:r w:rsidR="00667AAE">
        <w:t xml:space="preserve"> accurately</w:t>
      </w:r>
      <w:r w:rsidR="008932DF">
        <w:t xml:space="preserve"> predicts White males and White females.  The othe</w:t>
      </w:r>
      <w:r w:rsidR="00E518C9">
        <w:t>r groups are not</w:t>
      </w:r>
      <w:r w:rsidR="00E216E1">
        <w:t xml:space="preserve"> predicted</w:t>
      </w:r>
      <w:r w:rsidR="00E518C9">
        <w:t xml:space="preserve"> well</w:t>
      </w:r>
      <w:r w:rsidR="00E216E1">
        <w:t>.</w:t>
      </w:r>
      <w:r w:rsidR="008932DF">
        <w:t xml:space="preserve"> </w:t>
      </w:r>
      <w:r w:rsidR="00E216E1">
        <w:t>The large discrepancy between group classification rates is due to the vastly differing sample sizes</w:t>
      </w:r>
      <w:r w:rsidR="008932DF">
        <w:t xml:space="preserve">.  If there are divergent sample sizes between groups included in a classification tree analysis, accurately classifying the smaller group(s) does not significantly increase the accuracy or decrease the impurity enough </w:t>
      </w:r>
      <w:r w:rsidR="002E1697">
        <w:t>for the algorithm to notice</w:t>
      </w:r>
      <w:r w:rsidR="008932DF">
        <w:t xml:space="preserve">.  Thus, though decision trees may have good overall classification rates, they do a poor job of group classification when constructed on a training sample with differently sized groups.  This is demonstrated here, where the White male group </w:t>
      </w:r>
      <w:r w:rsidR="000E046F">
        <w:t>holdout classification rate is about 87% and the White female rate is about 85%.  On the other hand, only 16% of Black males were correctly classified, 35% of Black females, and 18% of Hispanic males in the holdout sample.</w:t>
      </w:r>
      <w:r w:rsidR="00ED5190">
        <w:t xml:space="preserve">  Therefore, a subsample of the data was used in another analysis in which all groups have equal sample sizes in order to obtain some indication of how well </w:t>
      </w:r>
      <w:r w:rsidR="00F41BDC">
        <w:t>CTs</w:t>
      </w:r>
      <w:r w:rsidR="00ED5190">
        <w:t xml:space="preserve"> could perform for ancestry estimation.</w:t>
      </w:r>
    </w:p>
    <w:p w:rsidR="00736F15" w:rsidRDefault="00736F15" w:rsidP="009C10A4"/>
    <w:p w:rsidR="0024354B" w:rsidRDefault="0024354B" w:rsidP="009C10A4"/>
    <w:p w:rsidR="00980C78" w:rsidRDefault="00980C78" w:rsidP="009C10A4"/>
    <w:p w:rsidR="00B462B8" w:rsidRPr="00EA3423" w:rsidRDefault="00B462B8" w:rsidP="0024354B">
      <w:pPr>
        <w:pStyle w:val="Caption"/>
      </w:pPr>
      <w:bookmarkStart w:id="86" w:name="_Toc227982525"/>
      <w:proofErr w:type="gramStart"/>
      <w:r w:rsidRPr="00EA3423">
        <w:t xml:space="preserve">Table </w:t>
      </w:r>
      <w:r w:rsidR="003731B6" w:rsidRPr="00EA3423">
        <w:fldChar w:fldCharType="begin"/>
      </w:r>
      <w:r w:rsidRPr="00EA3423">
        <w:instrText xml:space="preserve"> SEQ Table \* ARABIC </w:instrText>
      </w:r>
      <w:r w:rsidR="003731B6" w:rsidRPr="00EA3423">
        <w:fldChar w:fldCharType="separate"/>
      </w:r>
      <w:r w:rsidR="001633BC">
        <w:rPr>
          <w:noProof/>
        </w:rPr>
        <w:t>17</w:t>
      </w:r>
      <w:r w:rsidR="003731B6" w:rsidRPr="00EA3423">
        <w:fldChar w:fldCharType="end"/>
      </w:r>
      <w:r w:rsidRPr="00EA3423">
        <w:t>.</w:t>
      </w:r>
      <w:proofErr w:type="gramEnd"/>
      <w:r w:rsidRPr="00EA3423">
        <w:t xml:space="preserve"> Classification tree results</w:t>
      </w:r>
      <w:bookmarkEnd w:id="86"/>
    </w:p>
    <w:tbl>
      <w:tblPr>
        <w:tblStyle w:val="LightGrid-Accent1"/>
        <w:tblW w:w="0" w:type="auto"/>
        <w:tblLook w:val="04A0"/>
      </w:tblPr>
      <w:tblGrid>
        <w:gridCol w:w="3192"/>
        <w:gridCol w:w="3192"/>
        <w:gridCol w:w="3192"/>
      </w:tblGrid>
      <w:tr w:rsidR="00B462B8">
        <w:trPr>
          <w:cnfStyle w:val="100000000000"/>
        </w:trPr>
        <w:tc>
          <w:tcPr>
            <w:cnfStyle w:val="001000000000"/>
            <w:tcW w:w="3192" w:type="dxa"/>
          </w:tcPr>
          <w:p w:rsidR="00B462B8" w:rsidRDefault="00B462B8">
            <w:pPr>
              <w:rPr>
                <w:rFonts w:cs="Arial"/>
                <w:sz w:val="24"/>
                <w:szCs w:val="24"/>
              </w:rPr>
            </w:pPr>
            <w:r>
              <w:rPr>
                <w:rFonts w:cs="Arial"/>
                <w:sz w:val="24"/>
                <w:szCs w:val="24"/>
              </w:rPr>
              <w:t>Model</w:t>
            </w:r>
          </w:p>
        </w:tc>
        <w:tc>
          <w:tcPr>
            <w:tcW w:w="3192" w:type="dxa"/>
          </w:tcPr>
          <w:p w:rsidR="00B462B8" w:rsidRDefault="009462B3">
            <w:pPr>
              <w:cnfStyle w:val="100000000000"/>
              <w:rPr>
                <w:rFonts w:cs="Arial"/>
                <w:sz w:val="24"/>
                <w:szCs w:val="24"/>
              </w:rPr>
            </w:pPr>
            <w:r>
              <w:rPr>
                <w:rFonts w:cs="Arial"/>
                <w:sz w:val="24"/>
                <w:szCs w:val="24"/>
              </w:rPr>
              <w:t>Re-substitution</w:t>
            </w:r>
          </w:p>
        </w:tc>
        <w:tc>
          <w:tcPr>
            <w:tcW w:w="3192" w:type="dxa"/>
          </w:tcPr>
          <w:p w:rsidR="00B462B8" w:rsidRDefault="00B462B8">
            <w:pPr>
              <w:cnfStyle w:val="100000000000"/>
              <w:rPr>
                <w:rFonts w:cs="Arial"/>
                <w:sz w:val="24"/>
                <w:szCs w:val="24"/>
              </w:rPr>
            </w:pPr>
            <w:r>
              <w:rPr>
                <w:rFonts w:cs="Arial"/>
                <w:sz w:val="24"/>
                <w:szCs w:val="24"/>
              </w:rPr>
              <w:t>Validation</w:t>
            </w:r>
          </w:p>
        </w:tc>
      </w:tr>
      <w:tr w:rsidR="00B462B8">
        <w:trPr>
          <w:cnfStyle w:val="000000100000"/>
        </w:trPr>
        <w:tc>
          <w:tcPr>
            <w:cnfStyle w:val="001000000000"/>
            <w:tcW w:w="3192" w:type="dxa"/>
          </w:tcPr>
          <w:p w:rsidR="00B462B8" w:rsidRDefault="00B462B8">
            <w:pPr>
              <w:rPr>
                <w:rFonts w:cs="Arial"/>
                <w:sz w:val="24"/>
                <w:szCs w:val="24"/>
              </w:rPr>
            </w:pPr>
            <w:r>
              <w:rPr>
                <w:rFonts w:cs="Arial"/>
                <w:sz w:val="24"/>
                <w:szCs w:val="24"/>
              </w:rPr>
              <w:t>Full Samp</w:t>
            </w:r>
            <w:r w:rsidR="006017F0">
              <w:rPr>
                <w:rFonts w:cs="Arial"/>
                <w:sz w:val="24"/>
                <w:szCs w:val="24"/>
              </w:rPr>
              <w:t>le</w:t>
            </w:r>
          </w:p>
        </w:tc>
        <w:tc>
          <w:tcPr>
            <w:tcW w:w="3192" w:type="dxa"/>
          </w:tcPr>
          <w:p w:rsidR="00B462B8" w:rsidRDefault="00B462B8" w:rsidP="00D701C0">
            <w:pPr>
              <w:cnfStyle w:val="000000100000"/>
              <w:rPr>
                <w:rFonts w:cs="Arial"/>
                <w:sz w:val="24"/>
                <w:szCs w:val="24"/>
              </w:rPr>
            </w:pPr>
            <w:r>
              <w:rPr>
                <w:rFonts w:cs="Arial"/>
                <w:sz w:val="24"/>
                <w:szCs w:val="24"/>
              </w:rPr>
              <w:t>74.04</w:t>
            </w:r>
          </w:p>
        </w:tc>
        <w:tc>
          <w:tcPr>
            <w:tcW w:w="3192" w:type="dxa"/>
          </w:tcPr>
          <w:p w:rsidR="00B462B8" w:rsidRDefault="00B462B8">
            <w:pPr>
              <w:cnfStyle w:val="000000100000"/>
              <w:rPr>
                <w:rFonts w:cs="Arial"/>
                <w:sz w:val="24"/>
                <w:szCs w:val="24"/>
              </w:rPr>
            </w:pPr>
            <w:r>
              <w:rPr>
                <w:rFonts w:cs="Arial"/>
                <w:sz w:val="24"/>
                <w:szCs w:val="24"/>
              </w:rPr>
              <w:t>72.00</w:t>
            </w:r>
          </w:p>
        </w:tc>
      </w:tr>
      <w:tr w:rsidR="00B462B8">
        <w:trPr>
          <w:cnfStyle w:val="000000010000"/>
        </w:trPr>
        <w:tc>
          <w:tcPr>
            <w:cnfStyle w:val="001000000000"/>
            <w:tcW w:w="3192" w:type="dxa"/>
          </w:tcPr>
          <w:p w:rsidR="00B462B8" w:rsidRDefault="00B462B8">
            <w:pPr>
              <w:rPr>
                <w:rFonts w:cs="Arial"/>
                <w:sz w:val="24"/>
                <w:szCs w:val="24"/>
              </w:rPr>
            </w:pPr>
            <w:r>
              <w:rPr>
                <w:rFonts w:cs="Arial"/>
                <w:sz w:val="24"/>
                <w:szCs w:val="24"/>
              </w:rPr>
              <w:t>Equal Samples</w:t>
            </w:r>
          </w:p>
        </w:tc>
        <w:tc>
          <w:tcPr>
            <w:tcW w:w="3192" w:type="dxa"/>
          </w:tcPr>
          <w:p w:rsidR="00B462B8" w:rsidRDefault="00B462B8">
            <w:pPr>
              <w:cnfStyle w:val="000000010000"/>
              <w:rPr>
                <w:rFonts w:cs="Arial"/>
                <w:sz w:val="24"/>
                <w:szCs w:val="24"/>
              </w:rPr>
            </w:pPr>
            <w:r>
              <w:rPr>
                <w:rFonts w:cs="Arial"/>
                <w:sz w:val="24"/>
                <w:szCs w:val="24"/>
              </w:rPr>
              <w:t>60.80</w:t>
            </w:r>
          </w:p>
        </w:tc>
        <w:tc>
          <w:tcPr>
            <w:tcW w:w="3192" w:type="dxa"/>
          </w:tcPr>
          <w:p w:rsidR="00B462B8" w:rsidRDefault="00B462B8">
            <w:pPr>
              <w:cnfStyle w:val="000000010000"/>
              <w:rPr>
                <w:rFonts w:cs="Arial"/>
                <w:sz w:val="24"/>
                <w:szCs w:val="24"/>
              </w:rPr>
            </w:pPr>
            <w:r>
              <w:rPr>
                <w:rFonts w:cs="Arial"/>
                <w:sz w:val="24"/>
                <w:szCs w:val="24"/>
              </w:rPr>
              <w:t>52.80*</w:t>
            </w:r>
          </w:p>
        </w:tc>
      </w:tr>
    </w:tbl>
    <w:p w:rsidR="009C10A4" w:rsidRPr="009C10A4" w:rsidRDefault="00B462B8" w:rsidP="009C10A4">
      <w:pPr>
        <w:pStyle w:val="ListParagraph"/>
        <w:numPr>
          <w:ilvl w:val="0"/>
          <w:numId w:val="7"/>
        </w:numPr>
        <w:rPr>
          <w:rFonts w:cs="Arial"/>
        </w:rPr>
      </w:pPr>
      <w:proofErr w:type="gramStart"/>
      <w:r w:rsidRPr="009C10A4">
        <w:rPr>
          <w:rFonts w:cs="Arial"/>
        </w:rPr>
        <w:t>v</w:t>
      </w:r>
      <w:proofErr w:type="gramEnd"/>
      <w:r w:rsidRPr="009C10A4">
        <w:rPr>
          <w:rFonts w:cs="Arial"/>
        </w:rPr>
        <w:t>-fold cross-</w:t>
      </w:r>
      <w:r w:rsidR="004E1802" w:rsidRPr="009C10A4">
        <w:rPr>
          <w:rFonts w:cs="Arial"/>
        </w:rPr>
        <w:t>validation</w:t>
      </w:r>
    </w:p>
    <w:p w:rsidR="003E4BD0" w:rsidRPr="009C10A4" w:rsidRDefault="003E4BD0" w:rsidP="009C10A4">
      <w:pPr>
        <w:rPr>
          <w:rFonts w:cs="Arial"/>
        </w:rPr>
      </w:pPr>
    </w:p>
    <w:p w:rsidR="006017F0" w:rsidRDefault="0084180E" w:rsidP="00C359BE">
      <w:pPr>
        <w:ind w:firstLine="720"/>
      </w:pPr>
      <w:r>
        <w:t>A stratified random sample of the data was taken in SAS Enterprise Guide 5.1 where each group has 75 observations because that is the sample size of the</w:t>
      </w:r>
      <w:r w:rsidR="00812870">
        <w:t xml:space="preserve"> smallest group in the data set: </w:t>
      </w:r>
      <w:r>
        <w:t xml:space="preserve"> Black females.  The following analysis used the same specifications as the prior</w:t>
      </w:r>
      <w:r w:rsidR="005D6196">
        <w:t xml:space="preserve"> CT</w:t>
      </w:r>
      <w:r>
        <w:t xml:space="preserve">.  However, a holdout sample could not be created because the group sample sizes are too small.  Therefore, v-fold cross-validation was used to assess and select the tree.  This is the only method other than </w:t>
      </w:r>
      <w:r w:rsidR="009462B3">
        <w:t>re-substitution</w:t>
      </w:r>
      <w:r>
        <w:t xml:space="preserve"> offered in Enterprise Miner when a validation sample is not used.  </w:t>
      </w:r>
      <w:r w:rsidR="003731B6">
        <w:fldChar w:fldCharType="begin"/>
      </w:r>
      <w:r w:rsidR="00EB0C79">
        <w:instrText xml:space="preserve"> ADDIN EN.CITE &lt;EndNote&gt;&lt;Cite AuthorYear="1"&gt;&lt;Author&gt;Breiman&lt;/Author&gt;&lt;Year&gt;1984&lt;/Year&gt;&lt;RecNum&gt;93&lt;/RecNum&gt;&lt;DisplayText&gt;Breiman&lt;style face="italic"&gt; et al.&lt;/style&gt; (1984)&lt;/DisplayText&gt;&lt;record&gt;&lt;rec-number&gt;93&lt;/rec-number&gt;&lt;foreign-keys&gt;&lt;key app="EN" db-id="20frpf5eyrpavaevz925sv9t29f5epa9pd2z"&gt;93&lt;/key&gt;&lt;/foreign-keys&gt;&lt;ref-type name="Book"&gt;6&lt;/ref-type&gt;&lt;contributors&gt;&lt;authors&gt;&lt;author&gt;Breiman, Leo&lt;/author&gt;&lt;author&gt;Friedman, Jerome H.&lt;/author&gt;&lt;author&gt;Olshen, Richard A.&lt;/author&gt;&lt;author&gt;Stone, Charles L.&lt;/author&gt;&lt;/authors&gt;&lt;/contributors&gt;&lt;titles&gt;&lt;title&gt;Classification and regression trees&lt;/title&gt;&lt;/titles&gt;&lt;dates&gt;&lt;year&gt;1984&lt;/year&gt;&lt;/dates&gt;&lt;pub-location&gt;Belmont, CA&lt;/pub-location&gt;&lt;publisher&gt;Wadsworth&lt;/publisher&gt;&lt;urls&gt;&lt;/urls&gt;&lt;/record&gt;&lt;/Cite&gt;&lt;/EndNote&gt;</w:instrText>
      </w:r>
      <w:r w:rsidR="003731B6">
        <w:fldChar w:fldCharType="separate"/>
      </w:r>
      <w:hyperlink w:anchor="_ENREF_9" w:tooltip="Breiman, 1984 #93" w:history="1">
        <w:r w:rsidR="001633BC">
          <w:rPr>
            <w:noProof/>
          </w:rPr>
          <w:t>Breiman</w:t>
        </w:r>
        <w:r w:rsidR="001633BC" w:rsidRPr="00EB0C79">
          <w:rPr>
            <w:i/>
            <w:noProof/>
          </w:rPr>
          <w:t xml:space="preserve"> et al.</w:t>
        </w:r>
        <w:r w:rsidR="001633BC">
          <w:rPr>
            <w:noProof/>
          </w:rPr>
          <w:t xml:space="preserve"> (1984</w:t>
        </w:r>
      </w:hyperlink>
      <w:r w:rsidR="00EB0C79">
        <w:rPr>
          <w:noProof/>
        </w:rPr>
        <w:t>)</w:t>
      </w:r>
      <w:r w:rsidR="003731B6">
        <w:fldChar w:fldCharType="end"/>
      </w:r>
      <w:r>
        <w:t xml:space="preserve"> also state that v-fold cross-validation provides accurate classification rate estimates in </w:t>
      </w:r>
      <w:r w:rsidR="00A15E90">
        <w:t>CTs</w:t>
      </w:r>
      <w:r>
        <w:t>.</w:t>
      </w:r>
    </w:p>
    <w:p w:rsidR="00F70DB4" w:rsidRDefault="006017F0" w:rsidP="00C359BE">
      <w:pPr>
        <w:ind w:firstLine="720"/>
      </w:pPr>
      <w:r>
        <w:t xml:space="preserve">The overall tree performance </w:t>
      </w:r>
      <w:r w:rsidR="00F6379A">
        <w:t>using the equal samples</w:t>
      </w:r>
      <w:r>
        <w:t xml:space="preserve"> was much lower than that of the full sample</w:t>
      </w:r>
      <w:r w:rsidR="00A15E90">
        <w:t xml:space="preserve">; the </w:t>
      </w:r>
      <w:r w:rsidR="009462B3">
        <w:t>re-substitution</w:t>
      </w:r>
      <w:r w:rsidR="00A15E90">
        <w:t xml:space="preserve"> rate was 60.80%, whereas the full sample </w:t>
      </w:r>
      <w:r w:rsidR="009462B3">
        <w:t>re-substitution</w:t>
      </w:r>
      <w:r w:rsidR="00A15E90">
        <w:t xml:space="preserve"> rate was 74.04%.  The cross-validation rate (shown in the validation column of Table 16) is also quite low.  However, the group </w:t>
      </w:r>
      <w:r w:rsidR="009462B3">
        <w:t>re-substitution</w:t>
      </w:r>
      <w:r w:rsidR="00A15E90">
        <w:t xml:space="preserve"> rates for this run are more reasonable:  White males – 54.67%; White females – 69.33%; Black males – 50.67%; Black females – 62.67%; and Hispanic males – 66.67%.  </w:t>
      </w:r>
      <w:r w:rsidR="00765AFD">
        <w:t>These rates make it clear that the divergent sample sizes of the CT on the original training data affected the results.</w:t>
      </w:r>
    </w:p>
    <w:p w:rsidR="00F70DB4" w:rsidRDefault="00F70DB4" w:rsidP="00F70DB4">
      <w:pPr>
        <w:pStyle w:val="Heading2"/>
      </w:pPr>
      <w:bookmarkStart w:id="87" w:name="_Toc222419133"/>
      <w:bookmarkStart w:id="88" w:name="_Toc227982504"/>
      <w:r>
        <w:t>Discussion</w:t>
      </w:r>
      <w:bookmarkEnd w:id="87"/>
      <w:bookmarkEnd w:id="88"/>
    </w:p>
    <w:p w:rsidR="00944E88" w:rsidRPr="0065375A" w:rsidRDefault="00E9446E" w:rsidP="00F70DB4">
      <w:r>
        <w:tab/>
      </w:r>
      <w:r w:rsidR="00B577AC" w:rsidRPr="0065375A">
        <w:t xml:space="preserve">Though each of the applied discriminant techniques attempts to separate groups by different methods, they all found many of the same variables as significant predictors of group membership.  </w:t>
      </w:r>
      <w:r w:rsidR="00A52D0B" w:rsidRPr="0065375A">
        <w:t>Table 18 lists the variable selected by each method.</w:t>
      </w:r>
      <w:r w:rsidR="003C7490" w:rsidRPr="0065375A">
        <w:t xml:space="preserve">  Commonly reoccurring variables include:  ZYB; XCB; GOL; and NLB.</w:t>
      </w:r>
      <w:r w:rsidR="00C61A92" w:rsidRPr="0065375A">
        <w:t xml:space="preserve">  The first is mainly associated with sex discrimination, while the latter three are more likely associated with ancestry.</w:t>
      </w:r>
    </w:p>
    <w:p w:rsidR="00A52D0B" w:rsidRPr="0065375A" w:rsidRDefault="00A52D0B" w:rsidP="00F70DB4"/>
    <w:p w:rsidR="00A52D0B" w:rsidRPr="0065375A" w:rsidRDefault="00A52D0B" w:rsidP="0024354B">
      <w:pPr>
        <w:pStyle w:val="Caption"/>
      </w:pPr>
      <w:bookmarkStart w:id="89" w:name="_Toc227982526"/>
      <w:proofErr w:type="gramStart"/>
      <w:r w:rsidRPr="0065375A">
        <w:t xml:space="preserve">Table </w:t>
      </w:r>
      <w:r w:rsidR="003731B6" w:rsidRPr="0065375A">
        <w:fldChar w:fldCharType="begin"/>
      </w:r>
      <w:r w:rsidRPr="0065375A">
        <w:instrText xml:space="preserve"> SEQ Table \* ARABIC </w:instrText>
      </w:r>
      <w:r w:rsidR="003731B6" w:rsidRPr="0065375A">
        <w:fldChar w:fldCharType="separate"/>
      </w:r>
      <w:r w:rsidR="001633BC" w:rsidRPr="0065375A">
        <w:rPr>
          <w:noProof/>
        </w:rPr>
        <w:t>18</w:t>
      </w:r>
      <w:r w:rsidR="003731B6" w:rsidRPr="0065375A">
        <w:fldChar w:fldCharType="end"/>
      </w:r>
      <w:r w:rsidRPr="0065375A">
        <w:t>.</w:t>
      </w:r>
      <w:proofErr w:type="gramEnd"/>
      <w:r w:rsidRPr="0065375A">
        <w:t xml:space="preserve"> Variables selected by the discriminant methods</w:t>
      </w:r>
      <w:bookmarkEnd w:id="89"/>
    </w:p>
    <w:tbl>
      <w:tblPr>
        <w:tblStyle w:val="LightGrid-Accent11"/>
        <w:tblW w:w="0" w:type="auto"/>
        <w:tblLook w:val="04A0"/>
      </w:tblPr>
      <w:tblGrid>
        <w:gridCol w:w="910"/>
        <w:gridCol w:w="7458"/>
      </w:tblGrid>
      <w:tr w:rsidR="00A52D0B" w:rsidRPr="0065375A">
        <w:trPr>
          <w:cnfStyle w:val="100000000000"/>
        </w:trPr>
        <w:tc>
          <w:tcPr>
            <w:cnfStyle w:val="001000000000"/>
            <w:tcW w:w="0" w:type="auto"/>
          </w:tcPr>
          <w:p w:rsidR="00A52D0B" w:rsidRPr="0065375A" w:rsidRDefault="00A52D0B" w:rsidP="002513BA">
            <w:pPr>
              <w:rPr>
                <w:rFonts w:cs="Arial"/>
                <w:sz w:val="24"/>
                <w:szCs w:val="24"/>
              </w:rPr>
            </w:pPr>
            <w:r w:rsidRPr="0065375A">
              <w:rPr>
                <w:rFonts w:cs="Arial"/>
                <w:sz w:val="24"/>
                <w:szCs w:val="24"/>
              </w:rPr>
              <w:t>Model</w:t>
            </w:r>
          </w:p>
        </w:tc>
        <w:tc>
          <w:tcPr>
            <w:tcW w:w="0" w:type="auto"/>
          </w:tcPr>
          <w:p w:rsidR="00A52D0B" w:rsidRPr="0065375A" w:rsidRDefault="00A52D0B" w:rsidP="002513BA">
            <w:pPr>
              <w:cnfStyle w:val="100000000000"/>
              <w:rPr>
                <w:rFonts w:cs="Arial"/>
                <w:sz w:val="24"/>
                <w:szCs w:val="24"/>
              </w:rPr>
            </w:pPr>
            <w:r w:rsidRPr="0065375A">
              <w:rPr>
                <w:rFonts w:cs="Arial"/>
                <w:sz w:val="24"/>
                <w:szCs w:val="24"/>
              </w:rPr>
              <w:t>Variables</w:t>
            </w:r>
          </w:p>
        </w:tc>
      </w:tr>
      <w:tr w:rsidR="00A52D0B" w:rsidRPr="0065375A">
        <w:trPr>
          <w:cnfStyle w:val="000000100000"/>
        </w:trPr>
        <w:tc>
          <w:tcPr>
            <w:cnfStyle w:val="001000000000"/>
            <w:tcW w:w="0" w:type="auto"/>
          </w:tcPr>
          <w:p w:rsidR="00A52D0B" w:rsidRPr="0065375A" w:rsidRDefault="00A52D0B" w:rsidP="002513BA">
            <w:pPr>
              <w:rPr>
                <w:rFonts w:cs="Arial"/>
                <w:sz w:val="24"/>
                <w:szCs w:val="24"/>
              </w:rPr>
            </w:pPr>
            <w:r w:rsidRPr="0065375A">
              <w:rPr>
                <w:rFonts w:cs="Arial"/>
                <w:sz w:val="24"/>
                <w:szCs w:val="24"/>
              </w:rPr>
              <w:t>LDA</w:t>
            </w:r>
          </w:p>
        </w:tc>
        <w:tc>
          <w:tcPr>
            <w:tcW w:w="0" w:type="auto"/>
          </w:tcPr>
          <w:p w:rsidR="00A52D0B" w:rsidRPr="0065375A" w:rsidRDefault="00A52D0B" w:rsidP="002513BA">
            <w:pPr>
              <w:cnfStyle w:val="000000100000"/>
              <w:rPr>
                <w:rFonts w:cs="Arial"/>
                <w:sz w:val="24"/>
                <w:szCs w:val="24"/>
              </w:rPr>
            </w:pPr>
            <w:r w:rsidRPr="0065375A">
              <w:rPr>
                <w:rFonts w:cs="Arial"/>
                <w:sz w:val="24"/>
                <w:szCs w:val="24"/>
              </w:rPr>
              <w:t>ZYB GOL NLB XCB NLH OBH OBB AUB MDH BBH WFB FOL BNL</w:t>
            </w:r>
          </w:p>
        </w:tc>
      </w:tr>
      <w:tr w:rsidR="00A52D0B" w:rsidRPr="0065375A">
        <w:trPr>
          <w:cnfStyle w:val="000000010000"/>
        </w:trPr>
        <w:tc>
          <w:tcPr>
            <w:cnfStyle w:val="001000000000"/>
            <w:tcW w:w="0" w:type="auto"/>
          </w:tcPr>
          <w:p w:rsidR="00A52D0B" w:rsidRPr="0065375A" w:rsidRDefault="00A52D0B" w:rsidP="002513BA">
            <w:pPr>
              <w:rPr>
                <w:rFonts w:cs="Arial"/>
                <w:sz w:val="24"/>
                <w:szCs w:val="24"/>
              </w:rPr>
            </w:pPr>
            <w:r w:rsidRPr="0065375A">
              <w:rPr>
                <w:rFonts w:cs="Arial"/>
                <w:sz w:val="24"/>
                <w:szCs w:val="24"/>
              </w:rPr>
              <w:t>QDA</w:t>
            </w:r>
          </w:p>
        </w:tc>
        <w:tc>
          <w:tcPr>
            <w:tcW w:w="0" w:type="auto"/>
          </w:tcPr>
          <w:p w:rsidR="00A52D0B" w:rsidRPr="0065375A" w:rsidRDefault="00A52D0B" w:rsidP="002513BA">
            <w:pPr>
              <w:cnfStyle w:val="000000010000"/>
              <w:rPr>
                <w:rFonts w:cs="Arial"/>
                <w:sz w:val="24"/>
                <w:szCs w:val="24"/>
              </w:rPr>
            </w:pPr>
            <w:r w:rsidRPr="0065375A">
              <w:rPr>
                <w:rFonts w:cs="Arial"/>
                <w:sz w:val="24"/>
                <w:szCs w:val="24"/>
              </w:rPr>
              <w:t>FRC NLB AUB GOL OBH NLH</w:t>
            </w:r>
          </w:p>
        </w:tc>
      </w:tr>
      <w:tr w:rsidR="00A52D0B" w:rsidRPr="0065375A">
        <w:trPr>
          <w:cnfStyle w:val="000000100000"/>
        </w:trPr>
        <w:tc>
          <w:tcPr>
            <w:cnfStyle w:val="001000000000"/>
            <w:tcW w:w="0" w:type="auto"/>
          </w:tcPr>
          <w:p w:rsidR="00A52D0B" w:rsidRPr="0065375A" w:rsidRDefault="00A52D0B" w:rsidP="002513BA">
            <w:pPr>
              <w:rPr>
                <w:rFonts w:cs="Arial"/>
                <w:sz w:val="24"/>
                <w:szCs w:val="24"/>
              </w:rPr>
            </w:pPr>
            <w:r w:rsidRPr="0065375A">
              <w:rPr>
                <w:rFonts w:cs="Arial"/>
                <w:sz w:val="24"/>
                <w:szCs w:val="24"/>
              </w:rPr>
              <w:t>KNN</w:t>
            </w:r>
          </w:p>
        </w:tc>
        <w:tc>
          <w:tcPr>
            <w:tcW w:w="0" w:type="auto"/>
          </w:tcPr>
          <w:p w:rsidR="00A52D0B" w:rsidRPr="0065375A" w:rsidRDefault="00A52D0B" w:rsidP="002513BA">
            <w:pPr>
              <w:cnfStyle w:val="000000100000"/>
              <w:rPr>
                <w:rFonts w:cs="Arial"/>
                <w:sz w:val="24"/>
                <w:szCs w:val="24"/>
              </w:rPr>
            </w:pPr>
            <w:r w:rsidRPr="0065375A">
              <w:rPr>
                <w:rFonts w:cs="Arial"/>
                <w:sz w:val="24"/>
                <w:szCs w:val="24"/>
              </w:rPr>
              <w:t>MDH NLB ZYB GOL OCC BBH FOL XCB</w:t>
            </w:r>
          </w:p>
        </w:tc>
      </w:tr>
      <w:tr w:rsidR="00A52D0B" w:rsidRPr="0065375A">
        <w:trPr>
          <w:cnfStyle w:val="000000010000"/>
        </w:trPr>
        <w:tc>
          <w:tcPr>
            <w:cnfStyle w:val="001000000000"/>
            <w:tcW w:w="0" w:type="auto"/>
          </w:tcPr>
          <w:p w:rsidR="00A52D0B" w:rsidRPr="0065375A" w:rsidRDefault="00A52D0B" w:rsidP="002513BA">
            <w:pPr>
              <w:rPr>
                <w:rFonts w:cs="Arial"/>
                <w:sz w:val="24"/>
                <w:szCs w:val="24"/>
              </w:rPr>
            </w:pPr>
            <w:r w:rsidRPr="0065375A">
              <w:rPr>
                <w:rFonts w:cs="Arial"/>
                <w:sz w:val="24"/>
                <w:szCs w:val="24"/>
              </w:rPr>
              <w:t>CT</w:t>
            </w:r>
          </w:p>
        </w:tc>
        <w:tc>
          <w:tcPr>
            <w:tcW w:w="0" w:type="auto"/>
          </w:tcPr>
          <w:p w:rsidR="00A52D0B" w:rsidRPr="0065375A" w:rsidRDefault="00A52D0B" w:rsidP="002513BA">
            <w:pPr>
              <w:cnfStyle w:val="000000010000"/>
              <w:rPr>
                <w:rFonts w:cs="Arial"/>
                <w:sz w:val="24"/>
                <w:szCs w:val="24"/>
              </w:rPr>
            </w:pPr>
            <w:r w:rsidRPr="0065375A">
              <w:rPr>
                <w:rFonts w:cs="Arial"/>
                <w:sz w:val="24"/>
                <w:szCs w:val="24"/>
              </w:rPr>
              <w:t>[</w:t>
            </w:r>
            <w:proofErr w:type="gramStart"/>
            <w:r w:rsidRPr="0065375A">
              <w:rPr>
                <w:rFonts w:cs="Arial"/>
                <w:sz w:val="24"/>
                <w:szCs w:val="24"/>
              </w:rPr>
              <w:t>ZYB]</w:t>
            </w:r>
            <w:r w:rsidRPr="0065375A">
              <w:rPr>
                <w:rFonts w:cs="Arial"/>
                <w:sz w:val="24"/>
                <w:szCs w:val="24"/>
                <w:vertAlign w:val="superscript"/>
              </w:rPr>
              <w:t>1</w:t>
            </w:r>
            <w:proofErr w:type="gramEnd"/>
            <w:r w:rsidRPr="0065375A">
              <w:rPr>
                <w:rFonts w:cs="Arial"/>
                <w:sz w:val="24"/>
                <w:szCs w:val="24"/>
              </w:rPr>
              <w:t xml:space="preserve"> [XCB GOL]</w:t>
            </w:r>
            <w:r w:rsidRPr="0065375A">
              <w:rPr>
                <w:rFonts w:cs="Arial"/>
                <w:sz w:val="24"/>
                <w:szCs w:val="24"/>
                <w:vertAlign w:val="superscript"/>
              </w:rPr>
              <w:t>2</w:t>
            </w:r>
            <w:r w:rsidRPr="0065375A">
              <w:rPr>
                <w:rFonts w:cs="Arial"/>
                <w:sz w:val="24"/>
                <w:szCs w:val="24"/>
              </w:rPr>
              <w:t xml:space="preserve"> [NLB BNL]</w:t>
            </w:r>
            <w:r w:rsidRPr="0065375A">
              <w:rPr>
                <w:rFonts w:cs="Arial"/>
                <w:sz w:val="24"/>
                <w:szCs w:val="24"/>
                <w:vertAlign w:val="superscript"/>
              </w:rPr>
              <w:t>3</w:t>
            </w:r>
            <w:r w:rsidRPr="0065375A">
              <w:rPr>
                <w:rFonts w:cs="Arial"/>
                <w:sz w:val="24"/>
                <w:szCs w:val="24"/>
              </w:rPr>
              <w:t xml:space="preserve"> [FOL]</w:t>
            </w:r>
            <w:r w:rsidRPr="0065375A">
              <w:rPr>
                <w:rFonts w:cs="Arial"/>
                <w:sz w:val="24"/>
                <w:szCs w:val="24"/>
                <w:vertAlign w:val="superscript"/>
              </w:rPr>
              <w:t>4</w:t>
            </w:r>
          </w:p>
        </w:tc>
      </w:tr>
    </w:tbl>
    <w:p w:rsidR="005448BC" w:rsidRPr="0065375A" w:rsidRDefault="005448BC" w:rsidP="007B3C68">
      <w:pPr>
        <w:pStyle w:val="ListParagraph"/>
        <w:numPr>
          <w:ilvl w:val="0"/>
          <w:numId w:val="8"/>
        </w:numPr>
        <w:rPr>
          <w:sz w:val="20"/>
        </w:rPr>
      </w:pPr>
      <w:r w:rsidRPr="0065375A">
        <w:rPr>
          <w:sz w:val="20"/>
        </w:rPr>
        <w:t>The variables are listed by</w:t>
      </w:r>
      <w:r w:rsidR="007B3C68" w:rsidRPr="0065375A">
        <w:rPr>
          <w:sz w:val="20"/>
        </w:rPr>
        <w:t xml:space="preserve"> the order in which they were selected.  Bracketed variables were used for splitting different nodes that were in the same level of the tree.  The superscript indicates the level of the tree</w:t>
      </w:r>
      <w:r w:rsidRPr="0065375A">
        <w:rPr>
          <w:sz w:val="20"/>
        </w:rPr>
        <w:t>, showing</w:t>
      </w:r>
      <w:r w:rsidR="007B3C68" w:rsidRPr="0065375A">
        <w:rPr>
          <w:sz w:val="20"/>
        </w:rPr>
        <w:t xml:space="preserve"> the order of selection.</w:t>
      </w:r>
    </w:p>
    <w:p w:rsidR="007B2109" w:rsidRDefault="007B2109" w:rsidP="00B22A43">
      <w:pPr>
        <w:ind w:firstLine="360"/>
      </w:pPr>
    </w:p>
    <w:p w:rsidR="00083768" w:rsidRDefault="00ED6762" w:rsidP="00B22A43">
      <w:pPr>
        <w:ind w:firstLine="360"/>
        <w:rPr>
          <w:rFonts w:cs="Times New Roman"/>
          <w:szCs w:val="24"/>
        </w:rPr>
      </w:pPr>
      <w:r>
        <w:t xml:space="preserve">The </w:t>
      </w:r>
      <w:r w:rsidR="00840FA2">
        <w:t xml:space="preserve">overall </w:t>
      </w:r>
      <w:r w:rsidR="009462B3">
        <w:t>re-substitution</w:t>
      </w:r>
      <w:r>
        <w:t>, jackknife, and holdout classification rates</w:t>
      </w:r>
      <w:r w:rsidR="00840FA2">
        <w:t xml:space="preserve"> for each method</w:t>
      </w:r>
      <w:r>
        <w:t xml:space="preserve"> are displayed in </w:t>
      </w:r>
      <w:r w:rsidR="007B2109">
        <w:t>Table 19</w:t>
      </w:r>
      <w:r w:rsidR="00840FA2">
        <w:t xml:space="preserve">, while the group specific holdout </w:t>
      </w:r>
      <w:r w:rsidR="00CD0C4F">
        <w:t xml:space="preserve">and </w:t>
      </w:r>
      <w:r w:rsidR="009462B3">
        <w:t>re-substitution</w:t>
      </w:r>
      <w:r w:rsidR="00CD0C4F">
        <w:t xml:space="preserve"> </w:t>
      </w:r>
      <w:r w:rsidR="0010695E">
        <w:t xml:space="preserve">rates are </w:t>
      </w:r>
      <w:r w:rsidR="007B2109">
        <w:t>shown in Table 20 and Table 21</w:t>
      </w:r>
      <w:r w:rsidR="00CD0C4F">
        <w:t xml:space="preserve"> respectively</w:t>
      </w:r>
      <w:r w:rsidR="00840FA2">
        <w:t>.</w:t>
      </w:r>
      <w:r w:rsidR="0010695E">
        <w:t xml:space="preserve">  The CT achieved the greatest overall holdout classification accuracy, correctly classifying 72% of the observations in the holdout sample.  However, this figure is misleading, as the classification rate seems due to the large sample size difference between the groups; the CT only predicts the White male and White female groups accurately.  These two groups combined account for about 78% of the training sample.  This biases the classification tree because the criteria used for evaluating splits, an impurity measure (in this case the Gini Index), is calculated based upon proportions of observations from each group that are present in the new nodes.  The algorithm is always looking to make pure term</w:t>
      </w:r>
      <w:r w:rsidR="00EF65D8">
        <w:t>inal nodes.  Therefore,</w:t>
      </w:r>
      <w:r w:rsidR="0010695E">
        <w:t xml:space="preserve"> it is still pos</w:t>
      </w:r>
      <w:r w:rsidR="00EF65D8">
        <w:t>sible to predict smaller groups.  However,</w:t>
      </w:r>
      <w:r w:rsidR="0010695E">
        <w:t xml:space="preserve"> with groups that are difficult to cleanly separate, such as these, terminal nodes are likely to get assigned to the large groups because they will account for the greatest proportion of </w:t>
      </w:r>
      <w:r w:rsidR="001A695B">
        <w:t>observations in many of the nodes</w:t>
      </w:r>
      <w:r w:rsidR="0010695E">
        <w:t xml:space="preserve">.  Therefore, </w:t>
      </w:r>
      <w:r w:rsidR="0010695E">
        <w:rPr>
          <w:rFonts w:cs="Times New Roman"/>
          <w:szCs w:val="24"/>
        </w:rPr>
        <w:t xml:space="preserve">another CT was run on a stratified random sample of the data to assess how well it might work with groups of equal size.  </w:t>
      </w:r>
    </w:p>
    <w:p w:rsidR="00732434" w:rsidRDefault="00083768" w:rsidP="00083768">
      <w:pPr>
        <w:ind w:firstLine="720"/>
        <w:rPr>
          <w:rFonts w:cs="Times New Roman"/>
          <w:szCs w:val="24"/>
        </w:rPr>
      </w:pPr>
      <w:r>
        <w:rPr>
          <w:rFonts w:cs="Times New Roman"/>
          <w:szCs w:val="24"/>
        </w:rPr>
        <w:t>The equal sample CT results</w:t>
      </w:r>
      <w:r w:rsidR="005E2556">
        <w:rPr>
          <w:rFonts w:cs="Times New Roman"/>
          <w:szCs w:val="24"/>
        </w:rPr>
        <w:t xml:space="preserve"> are shown in Table 19 and Table 21</w:t>
      </w:r>
      <w:r w:rsidR="0010695E">
        <w:rPr>
          <w:rFonts w:cs="Times New Roman"/>
          <w:szCs w:val="24"/>
        </w:rPr>
        <w:t xml:space="preserve"> under “CT (=</w:t>
      </w:r>
      <w:r w:rsidR="0010695E">
        <w:rPr>
          <w:rFonts w:cs="Times New Roman"/>
          <w:i/>
          <w:szCs w:val="24"/>
        </w:rPr>
        <w:t>n</w:t>
      </w:r>
      <w:r w:rsidR="0010695E">
        <w:rPr>
          <w:rFonts w:cs="Times New Roman"/>
          <w:i/>
          <w:szCs w:val="24"/>
          <w:vertAlign w:val="subscript"/>
        </w:rPr>
        <w:t>i</w:t>
      </w:r>
      <w:r w:rsidR="0010695E">
        <w:rPr>
          <w:rFonts w:cs="Times New Roman"/>
          <w:szCs w:val="24"/>
        </w:rPr>
        <w:t>)”.  Unfortunately, the group samples sizes (</w:t>
      </w:r>
      <w:r w:rsidR="0010695E">
        <w:rPr>
          <w:rFonts w:cs="Times New Roman"/>
          <w:i/>
          <w:szCs w:val="24"/>
        </w:rPr>
        <w:t>n</w:t>
      </w:r>
      <w:r w:rsidR="0010695E">
        <w:rPr>
          <w:rFonts w:cs="Times New Roman"/>
          <w:i/>
          <w:szCs w:val="24"/>
          <w:vertAlign w:val="subscript"/>
        </w:rPr>
        <w:t>i</w:t>
      </w:r>
      <w:r w:rsidR="0010695E">
        <w:rPr>
          <w:rFonts w:cs="Times New Roman"/>
          <w:i/>
          <w:szCs w:val="24"/>
        </w:rPr>
        <w:t xml:space="preserve"> </w:t>
      </w:r>
      <w:r w:rsidR="0010695E">
        <w:rPr>
          <w:rFonts w:cs="Times New Roman"/>
          <w:szCs w:val="24"/>
        </w:rPr>
        <w:t>= 75) were too small to split into training and holdout samples, so this analysis could not be evaluated by holdout classification.  Also, though SAS Enterprise Miner 12.1 would evaluate split decisions and tree performance with v-fold cross-validation</w:t>
      </w:r>
      <w:r w:rsidR="009A7867">
        <w:rPr>
          <w:rFonts w:cs="Times New Roman"/>
          <w:szCs w:val="24"/>
        </w:rPr>
        <w:t>,</w:t>
      </w:r>
      <w:r w:rsidR="0010695E">
        <w:rPr>
          <w:rFonts w:cs="Times New Roman"/>
          <w:szCs w:val="24"/>
        </w:rPr>
        <w:t xml:space="preserve"> it would not return a classification matrix</w:t>
      </w:r>
      <w:r w:rsidR="008825CD">
        <w:rPr>
          <w:rFonts w:cs="Times New Roman"/>
          <w:szCs w:val="24"/>
        </w:rPr>
        <w:t>.  Therefore,</w:t>
      </w:r>
      <w:r w:rsidR="0010695E">
        <w:rPr>
          <w:rFonts w:cs="Times New Roman"/>
          <w:szCs w:val="24"/>
        </w:rPr>
        <w:t xml:space="preserve"> the </w:t>
      </w:r>
      <w:r w:rsidR="009462B3">
        <w:rPr>
          <w:rFonts w:cs="Times New Roman"/>
          <w:szCs w:val="24"/>
        </w:rPr>
        <w:t>re-substitution</w:t>
      </w:r>
      <w:r w:rsidR="0010695E">
        <w:rPr>
          <w:rFonts w:cs="Times New Roman"/>
          <w:szCs w:val="24"/>
        </w:rPr>
        <w:t xml:space="preserve"> rates have to be used for assessi</w:t>
      </w:r>
      <w:r w:rsidR="00732434">
        <w:rPr>
          <w:rFonts w:cs="Times New Roman"/>
          <w:szCs w:val="24"/>
        </w:rPr>
        <w:t>ng group classification rates.</w:t>
      </w:r>
    </w:p>
    <w:p w:rsidR="00736F15" w:rsidRDefault="00736F15" w:rsidP="00732434"/>
    <w:p w:rsidR="00736F15" w:rsidRDefault="00736F15" w:rsidP="00732434"/>
    <w:p w:rsidR="00736F15" w:rsidRDefault="00736F15" w:rsidP="00732434"/>
    <w:p w:rsidR="00736F15" w:rsidRDefault="00736F15" w:rsidP="00732434"/>
    <w:p w:rsidR="00736F15" w:rsidRDefault="00736F15" w:rsidP="00732434"/>
    <w:p w:rsidR="00736F15" w:rsidRDefault="00736F15" w:rsidP="00732434"/>
    <w:p w:rsidR="0024354B" w:rsidRDefault="0024354B" w:rsidP="00732434"/>
    <w:p w:rsidR="00AA50E9" w:rsidRDefault="00AA50E9" w:rsidP="00732434"/>
    <w:p w:rsidR="00EA3423" w:rsidRPr="00EA3423" w:rsidRDefault="00EA3423" w:rsidP="0024354B">
      <w:pPr>
        <w:pStyle w:val="Caption"/>
      </w:pPr>
      <w:bookmarkStart w:id="90" w:name="_Toc227982527"/>
      <w:proofErr w:type="gramStart"/>
      <w:r w:rsidRPr="00EA3423">
        <w:t xml:space="preserve">Table </w:t>
      </w:r>
      <w:r w:rsidR="003731B6" w:rsidRPr="00EA3423">
        <w:fldChar w:fldCharType="begin"/>
      </w:r>
      <w:r w:rsidRPr="00EA3423">
        <w:instrText xml:space="preserve"> SEQ Table \* ARABIC </w:instrText>
      </w:r>
      <w:r w:rsidR="003731B6" w:rsidRPr="00EA3423">
        <w:fldChar w:fldCharType="separate"/>
      </w:r>
      <w:r w:rsidR="001633BC">
        <w:rPr>
          <w:noProof/>
        </w:rPr>
        <w:t>19</w:t>
      </w:r>
      <w:r w:rsidR="003731B6" w:rsidRPr="00EA3423">
        <w:fldChar w:fldCharType="end"/>
      </w:r>
      <w:r w:rsidRPr="00EA3423">
        <w:t>.</w:t>
      </w:r>
      <w:proofErr w:type="gramEnd"/>
      <w:r w:rsidRPr="00EA3423">
        <w:t xml:space="preserve"> Overall cla</w:t>
      </w:r>
      <w:r>
        <w:t>ssification rates</w:t>
      </w:r>
      <w:r w:rsidR="002611DB">
        <w:t xml:space="preserve"> in %</w:t>
      </w:r>
      <w:bookmarkEnd w:id="90"/>
    </w:p>
    <w:tbl>
      <w:tblPr>
        <w:tblStyle w:val="LightGrid-Accent11"/>
        <w:tblW w:w="0" w:type="auto"/>
        <w:tblLook w:val="04A0"/>
      </w:tblPr>
      <w:tblGrid>
        <w:gridCol w:w="2394"/>
        <w:gridCol w:w="2394"/>
        <w:gridCol w:w="2394"/>
        <w:gridCol w:w="2394"/>
      </w:tblGrid>
      <w:tr w:rsidR="00AA50E9">
        <w:trPr>
          <w:cnfStyle w:val="100000000000"/>
        </w:trPr>
        <w:tc>
          <w:tcPr>
            <w:cnfStyle w:val="001000000000"/>
            <w:tcW w:w="2394" w:type="dxa"/>
          </w:tcPr>
          <w:p w:rsidR="00AA50E9" w:rsidRDefault="00AA50E9">
            <w:r>
              <w:t>Model</w:t>
            </w:r>
          </w:p>
        </w:tc>
        <w:tc>
          <w:tcPr>
            <w:tcW w:w="2394" w:type="dxa"/>
          </w:tcPr>
          <w:p w:rsidR="00AA50E9" w:rsidRDefault="009462B3">
            <w:pPr>
              <w:cnfStyle w:val="100000000000"/>
            </w:pPr>
            <w:r>
              <w:t>Re-substitution</w:t>
            </w:r>
          </w:p>
        </w:tc>
        <w:tc>
          <w:tcPr>
            <w:tcW w:w="2394" w:type="dxa"/>
          </w:tcPr>
          <w:p w:rsidR="00AA50E9" w:rsidRDefault="0058722C">
            <w:pPr>
              <w:cnfStyle w:val="100000000000"/>
            </w:pPr>
            <w:r>
              <w:t>Cross-Validation</w:t>
            </w:r>
          </w:p>
        </w:tc>
        <w:tc>
          <w:tcPr>
            <w:tcW w:w="2394" w:type="dxa"/>
          </w:tcPr>
          <w:p w:rsidR="00AA50E9" w:rsidRDefault="00AA50E9">
            <w:pPr>
              <w:cnfStyle w:val="100000000000"/>
            </w:pPr>
            <w:r>
              <w:t>Holdout</w:t>
            </w:r>
          </w:p>
        </w:tc>
      </w:tr>
      <w:tr w:rsidR="00F348CF">
        <w:trPr>
          <w:cnfStyle w:val="000000100000"/>
        </w:trPr>
        <w:tc>
          <w:tcPr>
            <w:cnfStyle w:val="001000000000"/>
            <w:tcW w:w="2394" w:type="dxa"/>
          </w:tcPr>
          <w:p w:rsidR="00F348CF" w:rsidRDefault="00412371">
            <w:r>
              <w:t>LDA (13 var.)</w:t>
            </w:r>
          </w:p>
        </w:tc>
        <w:tc>
          <w:tcPr>
            <w:tcW w:w="2394" w:type="dxa"/>
          </w:tcPr>
          <w:p w:rsidR="00F348CF" w:rsidRPr="00E905CE" w:rsidRDefault="00BA1C07">
            <w:pPr>
              <w:cnfStyle w:val="000000100000"/>
              <w:rPr>
                <w:rFonts w:cs="Arial"/>
                <w:sz w:val="24"/>
                <w:szCs w:val="24"/>
              </w:rPr>
            </w:pPr>
            <w:r>
              <w:rPr>
                <w:rFonts w:cs="Arial"/>
                <w:sz w:val="24"/>
                <w:szCs w:val="24"/>
              </w:rPr>
              <w:t>71.02</w:t>
            </w:r>
          </w:p>
        </w:tc>
        <w:tc>
          <w:tcPr>
            <w:tcW w:w="2394" w:type="dxa"/>
          </w:tcPr>
          <w:p w:rsidR="00F348CF" w:rsidRPr="00E905CE" w:rsidRDefault="00BA1C07">
            <w:pPr>
              <w:cnfStyle w:val="000000100000"/>
              <w:rPr>
                <w:rFonts w:cs="Arial"/>
                <w:sz w:val="24"/>
                <w:szCs w:val="24"/>
              </w:rPr>
            </w:pPr>
            <w:r>
              <w:rPr>
                <w:rFonts w:cs="Arial"/>
                <w:sz w:val="24"/>
                <w:szCs w:val="24"/>
              </w:rPr>
              <w:t>67.90</w:t>
            </w:r>
          </w:p>
        </w:tc>
        <w:tc>
          <w:tcPr>
            <w:tcW w:w="2394" w:type="dxa"/>
          </w:tcPr>
          <w:p w:rsidR="00F348CF" w:rsidRPr="00E905CE" w:rsidRDefault="00BA1C07">
            <w:pPr>
              <w:cnfStyle w:val="000000100000"/>
              <w:rPr>
                <w:rFonts w:cs="Arial"/>
                <w:sz w:val="24"/>
                <w:szCs w:val="24"/>
              </w:rPr>
            </w:pPr>
            <w:r>
              <w:rPr>
                <w:rFonts w:cs="Arial"/>
                <w:sz w:val="24"/>
                <w:szCs w:val="24"/>
              </w:rPr>
              <w:t>64.22</w:t>
            </w:r>
          </w:p>
        </w:tc>
      </w:tr>
      <w:tr w:rsidR="00412371">
        <w:trPr>
          <w:cnfStyle w:val="000000010000"/>
        </w:trPr>
        <w:tc>
          <w:tcPr>
            <w:cnfStyle w:val="001000000000"/>
            <w:tcW w:w="2394" w:type="dxa"/>
          </w:tcPr>
          <w:p w:rsidR="00412371" w:rsidRDefault="00412371">
            <w:r>
              <w:t>LDA (6 var.)</w:t>
            </w:r>
          </w:p>
        </w:tc>
        <w:tc>
          <w:tcPr>
            <w:tcW w:w="2394" w:type="dxa"/>
          </w:tcPr>
          <w:p w:rsidR="00412371" w:rsidRPr="00E905CE" w:rsidRDefault="00412371">
            <w:pPr>
              <w:cnfStyle w:val="000000010000"/>
              <w:rPr>
                <w:rFonts w:cs="Arial"/>
                <w:sz w:val="24"/>
                <w:szCs w:val="24"/>
              </w:rPr>
            </w:pPr>
            <w:r w:rsidRPr="00E905CE">
              <w:rPr>
                <w:rFonts w:cs="Arial"/>
                <w:sz w:val="24"/>
                <w:szCs w:val="24"/>
              </w:rPr>
              <w:t>64.65</w:t>
            </w:r>
          </w:p>
        </w:tc>
        <w:tc>
          <w:tcPr>
            <w:tcW w:w="2394" w:type="dxa"/>
          </w:tcPr>
          <w:p w:rsidR="00412371" w:rsidRPr="00E905CE" w:rsidRDefault="00412371">
            <w:pPr>
              <w:cnfStyle w:val="000000010000"/>
              <w:rPr>
                <w:rFonts w:cs="Arial"/>
                <w:sz w:val="24"/>
                <w:szCs w:val="24"/>
              </w:rPr>
            </w:pPr>
            <w:r w:rsidRPr="00E905CE">
              <w:rPr>
                <w:rFonts w:cs="Arial"/>
                <w:sz w:val="24"/>
                <w:szCs w:val="24"/>
              </w:rPr>
              <w:t>62.87</w:t>
            </w:r>
          </w:p>
        </w:tc>
        <w:tc>
          <w:tcPr>
            <w:tcW w:w="2394" w:type="dxa"/>
          </w:tcPr>
          <w:p w:rsidR="00412371" w:rsidRPr="00E905CE" w:rsidRDefault="00412371">
            <w:pPr>
              <w:cnfStyle w:val="000000010000"/>
              <w:rPr>
                <w:rFonts w:cs="Arial"/>
                <w:sz w:val="24"/>
                <w:szCs w:val="24"/>
              </w:rPr>
            </w:pPr>
            <w:r w:rsidRPr="00E905CE">
              <w:rPr>
                <w:rFonts w:cs="Arial"/>
                <w:sz w:val="24"/>
                <w:szCs w:val="24"/>
              </w:rPr>
              <w:t>64.34</w:t>
            </w:r>
          </w:p>
        </w:tc>
      </w:tr>
      <w:tr w:rsidR="00412371">
        <w:trPr>
          <w:cnfStyle w:val="000000100000"/>
        </w:trPr>
        <w:tc>
          <w:tcPr>
            <w:cnfStyle w:val="001000000000"/>
            <w:tcW w:w="2394" w:type="dxa"/>
          </w:tcPr>
          <w:p w:rsidR="00412371" w:rsidRDefault="00412371">
            <w:r>
              <w:t>QDA (3 var.)</w:t>
            </w:r>
          </w:p>
        </w:tc>
        <w:tc>
          <w:tcPr>
            <w:tcW w:w="2394" w:type="dxa"/>
          </w:tcPr>
          <w:p w:rsidR="00412371" w:rsidRDefault="00412371">
            <w:pPr>
              <w:cnfStyle w:val="000000100000"/>
              <w:rPr>
                <w:rFonts w:cs="Arial"/>
                <w:sz w:val="24"/>
                <w:szCs w:val="24"/>
              </w:rPr>
            </w:pPr>
            <w:r>
              <w:rPr>
                <w:rFonts w:cs="Arial"/>
                <w:sz w:val="24"/>
                <w:szCs w:val="24"/>
              </w:rPr>
              <w:t>52.64</w:t>
            </w:r>
          </w:p>
        </w:tc>
        <w:tc>
          <w:tcPr>
            <w:tcW w:w="2394" w:type="dxa"/>
          </w:tcPr>
          <w:p w:rsidR="00412371" w:rsidRDefault="00412371">
            <w:pPr>
              <w:cnfStyle w:val="000000100000"/>
              <w:rPr>
                <w:rFonts w:cs="Arial"/>
                <w:sz w:val="24"/>
                <w:szCs w:val="24"/>
              </w:rPr>
            </w:pPr>
            <w:r>
              <w:rPr>
                <w:rFonts w:cs="Arial"/>
                <w:sz w:val="24"/>
                <w:szCs w:val="24"/>
              </w:rPr>
              <w:t>49.86</w:t>
            </w:r>
          </w:p>
        </w:tc>
        <w:tc>
          <w:tcPr>
            <w:tcW w:w="2394" w:type="dxa"/>
          </w:tcPr>
          <w:p w:rsidR="00412371" w:rsidRDefault="00412371">
            <w:pPr>
              <w:cnfStyle w:val="000000100000"/>
              <w:rPr>
                <w:rFonts w:cs="Arial"/>
                <w:sz w:val="24"/>
                <w:szCs w:val="24"/>
              </w:rPr>
            </w:pPr>
            <w:r>
              <w:rPr>
                <w:rFonts w:cs="Arial"/>
                <w:sz w:val="24"/>
                <w:szCs w:val="24"/>
              </w:rPr>
              <w:t>50.80</w:t>
            </w:r>
          </w:p>
        </w:tc>
      </w:tr>
      <w:tr w:rsidR="00412371">
        <w:trPr>
          <w:cnfStyle w:val="000000010000"/>
        </w:trPr>
        <w:tc>
          <w:tcPr>
            <w:cnfStyle w:val="001000000000"/>
            <w:tcW w:w="2394" w:type="dxa"/>
          </w:tcPr>
          <w:p w:rsidR="00412371" w:rsidRPr="00412371" w:rsidRDefault="00412371">
            <w:r>
              <w:t>QDA (6 var.)</w:t>
            </w:r>
          </w:p>
        </w:tc>
        <w:tc>
          <w:tcPr>
            <w:tcW w:w="2394" w:type="dxa"/>
          </w:tcPr>
          <w:p w:rsidR="00412371" w:rsidRPr="003D71BE" w:rsidRDefault="00EF233C">
            <w:pPr>
              <w:cnfStyle w:val="000000010000"/>
            </w:pPr>
            <w:r>
              <w:t>63.98</w:t>
            </w:r>
          </w:p>
        </w:tc>
        <w:tc>
          <w:tcPr>
            <w:tcW w:w="2394" w:type="dxa"/>
          </w:tcPr>
          <w:p w:rsidR="00412371" w:rsidRPr="003D71BE" w:rsidRDefault="00EF233C">
            <w:pPr>
              <w:cnfStyle w:val="000000010000"/>
            </w:pPr>
            <w:r>
              <w:t>58.63</w:t>
            </w:r>
          </w:p>
        </w:tc>
        <w:tc>
          <w:tcPr>
            <w:tcW w:w="2394" w:type="dxa"/>
          </w:tcPr>
          <w:p w:rsidR="00412371" w:rsidRPr="003D71BE" w:rsidRDefault="00EF233C">
            <w:pPr>
              <w:cnfStyle w:val="000000010000"/>
            </w:pPr>
            <w:r>
              <w:t>58.96</w:t>
            </w:r>
          </w:p>
        </w:tc>
      </w:tr>
      <w:tr w:rsidR="00D05096">
        <w:trPr>
          <w:cnfStyle w:val="000000100000"/>
        </w:trPr>
        <w:tc>
          <w:tcPr>
            <w:cnfStyle w:val="001000000000"/>
            <w:tcW w:w="2394" w:type="dxa"/>
          </w:tcPr>
          <w:p w:rsidR="00D05096" w:rsidRPr="00A02742" w:rsidRDefault="00D05096">
            <w:r>
              <w:t xml:space="preserve">KNN </w:t>
            </w:r>
            <w:r>
              <w:rPr>
                <w:i/>
              </w:rPr>
              <w:t>k</w:t>
            </w:r>
            <w:r>
              <w:t>=3</w:t>
            </w:r>
          </w:p>
        </w:tc>
        <w:tc>
          <w:tcPr>
            <w:tcW w:w="2394" w:type="dxa"/>
          </w:tcPr>
          <w:p w:rsidR="00D05096" w:rsidRDefault="00D05096">
            <w:pPr>
              <w:cnfStyle w:val="000000100000"/>
              <w:rPr>
                <w:rFonts w:cs="Arial"/>
                <w:sz w:val="24"/>
                <w:szCs w:val="24"/>
              </w:rPr>
            </w:pPr>
            <w:r>
              <w:rPr>
                <w:rFonts w:cs="Arial"/>
                <w:sz w:val="24"/>
                <w:szCs w:val="24"/>
              </w:rPr>
              <w:t>82.30</w:t>
            </w:r>
          </w:p>
        </w:tc>
        <w:tc>
          <w:tcPr>
            <w:tcW w:w="2394" w:type="dxa"/>
          </w:tcPr>
          <w:p w:rsidR="00D05096" w:rsidRDefault="00D05096">
            <w:pPr>
              <w:cnfStyle w:val="000000100000"/>
              <w:rPr>
                <w:rFonts w:cs="Arial"/>
                <w:sz w:val="24"/>
                <w:szCs w:val="24"/>
              </w:rPr>
            </w:pPr>
            <w:r>
              <w:rPr>
                <w:rFonts w:cs="Arial"/>
                <w:sz w:val="24"/>
                <w:szCs w:val="24"/>
              </w:rPr>
              <w:t>47.75</w:t>
            </w:r>
          </w:p>
        </w:tc>
        <w:tc>
          <w:tcPr>
            <w:tcW w:w="2394" w:type="dxa"/>
          </w:tcPr>
          <w:p w:rsidR="00D05096" w:rsidRDefault="00D05096">
            <w:pPr>
              <w:cnfStyle w:val="000000100000"/>
              <w:rPr>
                <w:rFonts w:cs="Arial"/>
                <w:sz w:val="24"/>
                <w:szCs w:val="24"/>
              </w:rPr>
            </w:pPr>
            <w:r>
              <w:rPr>
                <w:rFonts w:cs="Arial"/>
                <w:sz w:val="24"/>
                <w:szCs w:val="24"/>
              </w:rPr>
              <w:t>50.02</w:t>
            </w:r>
          </w:p>
        </w:tc>
      </w:tr>
      <w:tr w:rsidR="00412371">
        <w:trPr>
          <w:cnfStyle w:val="000000010000"/>
        </w:trPr>
        <w:tc>
          <w:tcPr>
            <w:cnfStyle w:val="001000000000"/>
            <w:tcW w:w="2394" w:type="dxa"/>
          </w:tcPr>
          <w:p w:rsidR="00412371" w:rsidRPr="000C5907" w:rsidRDefault="00412371">
            <w:pPr>
              <w:rPr>
                <w:i/>
              </w:rPr>
            </w:pPr>
            <w:r>
              <w:t xml:space="preserve">KNN </w:t>
            </w:r>
            <w:r>
              <w:rPr>
                <w:i/>
              </w:rPr>
              <w:t>k=1</w:t>
            </w:r>
          </w:p>
        </w:tc>
        <w:tc>
          <w:tcPr>
            <w:tcW w:w="2394" w:type="dxa"/>
          </w:tcPr>
          <w:p w:rsidR="00412371" w:rsidRPr="003D71BE" w:rsidRDefault="00412371">
            <w:pPr>
              <w:cnfStyle w:val="000000010000"/>
            </w:pPr>
            <w:r w:rsidRPr="003D71BE">
              <w:t>69.41</w:t>
            </w:r>
          </w:p>
        </w:tc>
        <w:tc>
          <w:tcPr>
            <w:tcW w:w="2394" w:type="dxa"/>
          </w:tcPr>
          <w:p w:rsidR="00412371" w:rsidRPr="003D71BE" w:rsidRDefault="00412371">
            <w:pPr>
              <w:cnfStyle w:val="000000010000"/>
            </w:pPr>
            <w:r w:rsidRPr="003D71BE">
              <w:t>32.65</w:t>
            </w:r>
          </w:p>
        </w:tc>
        <w:tc>
          <w:tcPr>
            <w:tcW w:w="2394" w:type="dxa"/>
          </w:tcPr>
          <w:p w:rsidR="00412371" w:rsidRPr="003D71BE" w:rsidRDefault="00412371">
            <w:pPr>
              <w:cnfStyle w:val="000000010000"/>
            </w:pPr>
            <w:r w:rsidRPr="003D71BE">
              <w:t>44.23</w:t>
            </w:r>
          </w:p>
        </w:tc>
      </w:tr>
      <w:tr w:rsidR="00412371">
        <w:trPr>
          <w:cnfStyle w:val="000000100000"/>
        </w:trPr>
        <w:tc>
          <w:tcPr>
            <w:cnfStyle w:val="001000000000"/>
            <w:tcW w:w="2394" w:type="dxa"/>
          </w:tcPr>
          <w:p w:rsidR="00412371" w:rsidRDefault="00412371">
            <w:r>
              <w:t>CT</w:t>
            </w:r>
          </w:p>
        </w:tc>
        <w:tc>
          <w:tcPr>
            <w:tcW w:w="2394" w:type="dxa"/>
          </w:tcPr>
          <w:p w:rsidR="00412371" w:rsidRDefault="00412371">
            <w:pPr>
              <w:cnfStyle w:val="000000100000"/>
              <w:rPr>
                <w:rFonts w:cs="Arial"/>
                <w:sz w:val="24"/>
                <w:szCs w:val="24"/>
              </w:rPr>
            </w:pPr>
            <w:r>
              <w:rPr>
                <w:rFonts w:cs="Arial"/>
                <w:sz w:val="24"/>
                <w:szCs w:val="24"/>
              </w:rPr>
              <w:t>74.04</w:t>
            </w:r>
          </w:p>
        </w:tc>
        <w:tc>
          <w:tcPr>
            <w:tcW w:w="2394" w:type="dxa"/>
          </w:tcPr>
          <w:p w:rsidR="00412371" w:rsidRDefault="00412371">
            <w:pPr>
              <w:cnfStyle w:val="000000100000"/>
            </w:pPr>
            <w:r>
              <w:rPr>
                <w:rFonts w:cs="Arial"/>
                <w:sz w:val="24"/>
                <w:szCs w:val="24"/>
              </w:rPr>
              <w:t>NA</w:t>
            </w:r>
          </w:p>
        </w:tc>
        <w:tc>
          <w:tcPr>
            <w:tcW w:w="2394" w:type="dxa"/>
          </w:tcPr>
          <w:p w:rsidR="00412371" w:rsidRDefault="00412371">
            <w:pPr>
              <w:cnfStyle w:val="000000100000"/>
            </w:pPr>
            <w:r>
              <w:t>72.00</w:t>
            </w:r>
          </w:p>
        </w:tc>
      </w:tr>
      <w:tr w:rsidR="00412371">
        <w:trPr>
          <w:cnfStyle w:val="000000010000"/>
        </w:trPr>
        <w:tc>
          <w:tcPr>
            <w:cnfStyle w:val="001000000000"/>
            <w:tcW w:w="2394" w:type="dxa"/>
          </w:tcPr>
          <w:p w:rsidR="00412371" w:rsidRPr="000C171D" w:rsidRDefault="00412371" w:rsidP="00526B2A">
            <w:r>
              <w:t>CT (=</w:t>
            </w:r>
            <w:r w:rsidRPr="000015AA">
              <w:rPr>
                <w:i/>
              </w:rPr>
              <w:t>n</w:t>
            </w:r>
            <w:r>
              <w:rPr>
                <w:i/>
                <w:vertAlign w:val="subscript"/>
              </w:rPr>
              <w:t>i</w:t>
            </w:r>
            <w:r>
              <w:t>)</w:t>
            </w:r>
          </w:p>
        </w:tc>
        <w:tc>
          <w:tcPr>
            <w:tcW w:w="2394" w:type="dxa"/>
          </w:tcPr>
          <w:p w:rsidR="00412371" w:rsidRDefault="00412371">
            <w:pPr>
              <w:cnfStyle w:val="000000010000"/>
              <w:rPr>
                <w:rFonts w:cs="Arial"/>
                <w:szCs w:val="24"/>
              </w:rPr>
            </w:pPr>
            <w:r>
              <w:rPr>
                <w:rFonts w:cs="Arial"/>
                <w:szCs w:val="24"/>
              </w:rPr>
              <w:t>60.80</w:t>
            </w:r>
          </w:p>
        </w:tc>
        <w:tc>
          <w:tcPr>
            <w:tcW w:w="2394" w:type="dxa"/>
          </w:tcPr>
          <w:p w:rsidR="00412371" w:rsidRDefault="00412371">
            <w:pPr>
              <w:cnfStyle w:val="000000010000"/>
              <w:rPr>
                <w:rFonts w:cs="Arial"/>
                <w:szCs w:val="24"/>
              </w:rPr>
            </w:pPr>
            <w:r>
              <w:rPr>
                <w:rFonts w:cs="Arial"/>
                <w:szCs w:val="24"/>
              </w:rPr>
              <w:t>52.80</w:t>
            </w:r>
          </w:p>
        </w:tc>
        <w:tc>
          <w:tcPr>
            <w:tcW w:w="2394" w:type="dxa"/>
          </w:tcPr>
          <w:p w:rsidR="00412371" w:rsidRDefault="00412371">
            <w:pPr>
              <w:cnfStyle w:val="000000010000"/>
            </w:pPr>
            <w:r>
              <w:t>NA</w:t>
            </w:r>
          </w:p>
        </w:tc>
      </w:tr>
    </w:tbl>
    <w:p w:rsidR="00732434" w:rsidRDefault="00732434" w:rsidP="008061C2">
      <w:pPr>
        <w:autoSpaceDE w:val="0"/>
        <w:autoSpaceDN w:val="0"/>
        <w:adjustRightInd w:val="0"/>
        <w:spacing w:after="0"/>
        <w:ind w:firstLine="720"/>
        <w:rPr>
          <w:rFonts w:cs="Times New Roman"/>
          <w:szCs w:val="24"/>
        </w:rPr>
      </w:pPr>
    </w:p>
    <w:p w:rsidR="00A46B00" w:rsidRPr="008061C2" w:rsidRDefault="008061C2" w:rsidP="00AD18DD">
      <w:pPr>
        <w:autoSpaceDE w:val="0"/>
        <w:autoSpaceDN w:val="0"/>
        <w:adjustRightInd w:val="0"/>
        <w:spacing w:after="0"/>
        <w:ind w:firstLine="720"/>
        <w:rPr>
          <w:rFonts w:cs="Times New Roman"/>
          <w:szCs w:val="24"/>
        </w:rPr>
      </w:pPr>
      <w:r>
        <w:rPr>
          <w:rFonts w:cs="Times New Roman"/>
          <w:szCs w:val="24"/>
        </w:rPr>
        <w:t>The overall cross-validation performance for the eq</w:t>
      </w:r>
      <w:r w:rsidR="007F4A3A">
        <w:rPr>
          <w:rFonts w:cs="Times New Roman"/>
          <w:szCs w:val="24"/>
        </w:rPr>
        <w:t>ual-samples CT shown in Table 19</w:t>
      </w:r>
      <w:r>
        <w:rPr>
          <w:rFonts w:cs="Times New Roman"/>
          <w:szCs w:val="24"/>
        </w:rPr>
        <w:t xml:space="preserve"> is 52.8% and the </w:t>
      </w:r>
      <w:r w:rsidR="009462B3">
        <w:rPr>
          <w:rFonts w:cs="Times New Roman"/>
          <w:szCs w:val="24"/>
        </w:rPr>
        <w:t>re-substitution</w:t>
      </w:r>
      <w:r>
        <w:rPr>
          <w:rFonts w:cs="Times New Roman"/>
          <w:szCs w:val="24"/>
        </w:rPr>
        <w:t xml:space="preserve"> rate is 60.8%.  The classification rates for the Black males, Black females, and Hispanic males are much better, but the rates for White males and White females went down.  This model is probably a more realistic representation of CT performance because differing group sample sizes did not bias the analysis.  However, as previously discussed, </w:t>
      </w:r>
      <w:r w:rsidR="009462B3">
        <w:rPr>
          <w:rFonts w:cs="Times New Roman"/>
          <w:szCs w:val="24"/>
        </w:rPr>
        <w:t>re-substitution</w:t>
      </w:r>
      <w:r>
        <w:rPr>
          <w:rFonts w:cs="Times New Roman"/>
          <w:szCs w:val="24"/>
        </w:rPr>
        <w:t xml:space="preserve"> classification rates can offer unrealistically high estimates of model performance.  Table 17 demonstrates this with the KNN rates.  The LDA, QDA, and CT rates show that the </w:t>
      </w:r>
      <w:r w:rsidR="009462B3">
        <w:rPr>
          <w:rFonts w:cs="Times New Roman"/>
          <w:szCs w:val="24"/>
        </w:rPr>
        <w:t>re-substitution</w:t>
      </w:r>
      <w:r>
        <w:rPr>
          <w:rFonts w:cs="Times New Roman"/>
          <w:szCs w:val="24"/>
        </w:rPr>
        <w:t xml:space="preserve"> rate is not always a large overestimate.  However, the 8% difference between the overall </w:t>
      </w:r>
      <w:r w:rsidR="009462B3">
        <w:rPr>
          <w:rFonts w:cs="Times New Roman"/>
          <w:szCs w:val="24"/>
        </w:rPr>
        <w:t>re-substitution</w:t>
      </w:r>
      <w:r>
        <w:rPr>
          <w:rFonts w:cs="Times New Roman"/>
          <w:szCs w:val="24"/>
        </w:rPr>
        <w:t xml:space="preserve"> rate and cross-validation rate for the equal samples CT indicate that the </w:t>
      </w:r>
      <w:r w:rsidR="009462B3">
        <w:rPr>
          <w:rFonts w:cs="Times New Roman"/>
          <w:szCs w:val="24"/>
        </w:rPr>
        <w:t>re-substitution</w:t>
      </w:r>
      <w:r>
        <w:rPr>
          <w:rFonts w:cs="Times New Roman"/>
          <w:szCs w:val="24"/>
        </w:rPr>
        <w:t xml:space="preserve"> rate may overstate the performance.  Unfortunately, the degree to which it is an overestimate on individual groups cannot be evaluated without an out-of-sample classification matrix.</w:t>
      </w:r>
    </w:p>
    <w:p w:rsidR="00EA3423" w:rsidRPr="0010695E" w:rsidRDefault="00EA3423" w:rsidP="0024354B">
      <w:pPr>
        <w:pStyle w:val="Caption"/>
      </w:pPr>
      <w:bookmarkStart w:id="91" w:name="_Toc227982528"/>
      <w:proofErr w:type="gramStart"/>
      <w:r w:rsidRPr="0010695E">
        <w:t xml:space="preserve">Table </w:t>
      </w:r>
      <w:r w:rsidR="003731B6" w:rsidRPr="0010695E">
        <w:fldChar w:fldCharType="begin"/>
      </w:r>
      <w:r w:rsidRPr="0010695E">
        <w:instrText xml:space="preserve"> SEQ Table \* ARABIC </w:instrText>
      </w:r>
      <w:r w:rsidR="003731B6" w:rsidRPr="0010695E">
        <w:fldChar w:fldCharType="separate"/>
      </w:r>
      <w:r w:rsidR="001633BC">
        <w:rPr>
          <w:noProof/>
        </w:rPr>
        <w:t>20</w:t>
      </w:r>
      <w:r w:rsidR="003731B6" w:rsidRPr="0010695E">
        <w:fldChar w:fldCharType="end"/>
      </w:r>
      <w:r w:rsidRPr="0010695E">
        <w:t>.</w:t>
      </w:r>
      <w:proofErr w:type="gramEnd"/>
      <w:r w:rsidRPr="0010695E">
        <w:t xml:space="preserve"> Group </w:t>
      </w:r>
      <w:r w:rsidR="00906BAB" w:rsidRPr="0010695E">
        <w:t xml:space="preserve">holdout </w:t>
      </w:r>
      <w:r w:rsidRPr="0010695E">
        <w:t>classification rates</w:t>
      </w:r>
      <w:r w:rsidR="002611DB" w:rsidRPr="0010695E">
        <w:t xml:space="preserve"> in %</w:t>
      </w:r>
      <w:bookmarkEnd w:id="91"/>
    </w:p>
    <w:tbl>
      <w:tblPr>
        <w:tblStyle w:val="LightGrid-Accent11"/>
        <w:tblW w:w="0" w:type="auto"/>
        <w:tblLook w:val="04A0"/>
      </w:tblPr>
      <w:tblGrid>
        <w:gridCol w:w="1596"/>
        <w:gridCol w:w="1596"/>
        <w:gridCol w:w="1596"/>
        <w:gridCol w:w="1596"/>
        <w:gridCol w:w="1596"/>
        <w:gridCol w:w="1596"/>
      </w:tblGrid>
      <w:tr w:rsidR="00AA50E9">
        <w:trPr>
          <w:cnfStyle w:val="100000000000"/>
        </w:trPr>
        <w:tc>
          <w:tcPr>
            <w:cnfStyle w:val="001000000000"/>
            <w:tcW w:w="1596" w:type="dxa"/>
          </w:tcPr>
          <w:p w:rsidR="00AA50E9" w:rsidRDefault="00AA50E9">
            <w:r>
              <w:t>Model</w:t>
            </w:r>
          </w:p>
        </w:tc>
        <w:tc>
          <w:tcPr>
            <w:tcW w:w="1596" w:type="dxa"/>
          </w:tcPr>
          <w:p w:rsidR="00AA50E9" w:rsidRDefault="00AA50E9">
            <w:pPr>
              <w:cnfStyle w:val="100000000000"/>
            </w:pPr>
            <w:r>
              <w:t xml:space="preserve">White </w:t>
            </w:r>
          </w:p>
          <w:p w:rsidR="00AA50E9" w:rsidRDefault="00AA50E9">
            <w:pPr>
              <w:cnfStyle w:val="100000000000"/>
            </w:pPr>
            <w:r>
              <w:t>Male</w:t>
            </w:r>
          </w:p>
        </w:tc>
        <w:tc>
          <w:tcPr>
            <w:tcW w:w="1596" w:type="dxa"/>
          </w:tcPr>
          <w:p w:rsidR="00AA50E9" w:rsidRDefault="00AA50E9">
            <w:pPr>
              <w:cnfStyle w:val="100000000000"/>
            </w:pPr>
            <w:r>
              <w:t>White Female</w:t>
            </w:r>
          </w:p>
        </w:tc>
        <w:tc>
          <w:tcPr>
            <w:tcW w:w="1596" w:type="dxa"/>
          </w:tcPr>
          <w:p w:rsidR="00AA50E9" w:rsidRDefault="00AA50E9">
            <w:pPr>
              <w:cnfStyle w:val="100000000000"/>
            </w:pPr>
            <w:r>
              <w:t xml:space="preserve">Black </w:t>
            </w:r>
          </w:p>
          <w:p w:rsidR="00AA50E9" w:rsidRDefault="00AA50E9">
            <w:pPr>
              <w:cnfStyle w:val="100000000000"/>
            </w:pPr>
            <w:r>
              <w:t>Male</w:t>
            </w:r>
          </w:p>
        </w:tc>
        <w:tc>
          <w:tcPr>
            <w:tcW w:w="1596" w:type="dxa"/>
          </w:tcPr>
          <w:p w:rsidR="00AA50E9" w:rsidRDefault="00AA50E9">
            <w:pPr>
              <w:cnfStyle w:val="100000000000"/>
            </w:pPr>
            <w:r>
              <w:t>Black Female</w:t>
            </w:r>
          </w:p>
        </w:tc>
        <w:tc>
          <w:tcPr>
            <w:tcW w:w="1596" w:type="dxa"/>
          </w:tcPr>
          <w:p w:rsidR="00AA50E9" w:rsidRDefault="00AA50E9">
            <w:pPr>
              <w:cnfStyle w:val="100000000000"/>
            </w:pPr>
            <w:r>
              <w:t>Hispanic Male</w:t>
            </w:r>
          </w:p>
        </w:tc>
      </w:tr>
      <w:tr w:rsidR="00AA50E9">
        <w:trPr>
          <w:cnfStyle w:val="000000100000"/>
        </w:trPr>
        <w:tc>
          <w:tcPr>
            <w:cnfStyle w:val="001000000000"/>
            <w:tcW w:w="1596" w:type="dxa"/>
          </w:tcPr>
          <w:p w:rsidR="00AA50E9" w:rsidRDefault="00AA50E9">
            <w:r>
              <w:t>LDA</w:t>
            </w:r>
            <w:r w:rsidR="00B22A43">
              <w:t xml:space="preserve"> (6 var.)</w:t>
            </w:r>
          </w:p>
        </w:tc>
        <w:tc>
          <w:tcPr>
            <w:tcW w:w="1596" w:type="dxa"/>
          </w:tcPr>
          <w:p w:rsidR="00AA50E9" w:rsidRDefault="00ED0B9E">
            <w:pPr>
              <w:cnfStyle w:val="000000100000"/>
            </w:pPr>
            <w:r>
              <w:t>62.03</w:t>
            </w:r>
          </w:p>
        </w:tc>
        <w:tc>
          <w:tcPr>
            <w:tcW w:w="1596" w:type="dxa"/>
          </w:tcPr>
          <w:p w:rsidR="00AA50E9" w:rsidRDefault="0077023E">
            <w:pPr>
              <w:cnfStyle w:val="000000100000"/>
            </w:pPr>
            <w:r>
              <w:t>72.38</w:t>
            </w:r>
          </w:p>
        </w:tc>
        <w:tc>
          <w:tcPr>
            <w:tcW w:w="1596" w:type="dxa"/>
          </w:tcPr>
          <w:p w:rsidR="00AA50E9" w:rsidRDefault="0077023E">
            <w:pPr>
              <w:cnfStyle w:val="000000100000"/>
            </w:pPr>
            <w:r>
              <w:t>63.16</w:t>
            </w:r>
          </w:p>
        </w:tc>
        <w:tc>
          <w:tcPr>
            <w:tcW w:w="1596" w:type="dxa"/>
          </w:tcPr>
          <w:p w:rsidR="00AA50E9" w:rsidRDefault="0077023E">
            <w:pPr>
              <w:cnfStyle w:val="000000100000"/>
            </w:pPr>
            <w:r>
              <w:t>69.57</w:t>
            </w:r>
          </w:p>
        </w:tc>
        <w:tc>
          <w:tcPr>
            <w:tcW w:w="1596" w:type="dxa"/>
          </w:tcPr>
          <w:p w:rsidR="00AA50E9" w:rsidRDefault="0077023E">
            <w:pPr>
              <w:cnfStyle w:val="000000100000"/>
            </w:pPr>
            <w:r>
              <w:t>54.55</w:t>
            </w:r>
          </w:p>
        </w:tc>
      </w:tr>
      <w:tr w:rsidR="00AA50E9">
        <w:trPr>
          <w:cnfStyle w:val="000000010000"/>
        </w:trPr>
        <w:tc>
          <w:tcPr>
            <w:cnfStyle w:val="001000000000"/>
            <w:tcW w:w="1596" w:type="dxa"/>
          </w:tcPr>
          <w:p w:rsidR="00AA50E9" w:rsidRDefault="00AA50E9">
            <w:r>
              <w:t>QDA</w:t>
            </w:r>
            <w:r w:rsidR="00600ABB">
              <w:t xml:space="preserve"> (3 var.)</w:t>
            </w:r>
          </w:p>
        </w:tc>
        <w:tc>
          <w:tcPr>
            <w:tcW w:w="1596" w:type="dxa"/>
          </w:tcPr>
          <w:p w:rsidR="00AA50E9" w:rsidRDefault="0077023E">
            <w:pPr>
              <w:cnfStyle w:val="000000010000"/>
            </w:pPr>
            <w:r>
              <w:t>45.99</w:t>
            </w:r>
          </w:p>
        </w:tc>
        <w:tc>
          <w:tcPr>
            <w:tcW w:w="1596" w:type="dxa"/>
          </w:tcPr>
          <w:p w:rsidR="00AA50E9" w:rsidRDefault="0077023E">
            <w:pPr>
              <w:cnfStyle w:val="000000010000"/>
            </w:pPr>
            <w:r>
              <w:t>61.90</w:t>
            </w:r>
          </w:p>
        </w:tc>
        <w:tc>
          <w:tcPr>
            <w:tcW w:w="1596" w:type="dxa"/>
          </w:tcPr>
          <w:p w:rsidR="00AA50E9" w:rsidRDefault="0077023E">
            <w:pPr>
              <w:cnfStyle w:val="000000010000"/>
            </w:pPr>
            <w:r>
              <w:t>52.63</w:t>
            </w:r>
          </w:p>
        </w:tc>
        <w:tc>
          <w:tcPr>
            <w:tcW w:w="1596" w:type="dxa"/>
          </w:tcPr>
          <w:p w:rsidR="00AA50E9" w:rsidRDefault="0077023E">
            <w:pPr>
              <w:cnfStyle w:val="000000010000"/>
            </w:pPr>
            <w:r>
              <w:t>43.48</w:t>
            </w:r>
          </w:p>
        </w:tc>
        <w:tc>
          <w:tcPr>
            <w:tcW w:w="1596" w:type="dxa"/>
          </w:tcPr>
          <w:p w:rsidR="00AA50E9" w:rsidRDefault="0077023E">
            <w:pPr>
              <w:cnfStyle w:val="000000010000"/>
            </w:pPr>
            <w:r>
              <w:t>50.00</w:t>
            </w:r>
          </w:p>
        </w:tc>
      </w:tr>
      <w:tr w:rsidR="00AA50E9">
        <w:trPr>
          <w:cnfStyle w:val="000000100000"/>
        </w:trPr>
        <w:tc>
          <w:tcPr>
            <w:cnfStyle w:val="001000000000"/>
            <w:tcW w:w="1596" w:type="dxa"/>
          </w:tcPr>
          <w:p w:rsidR="00AA50E9" w:rsidRPr="00876985" w:rsidRDefault="00AA50E9">
            <w:r>
              <w:t>KNN</w:t>
            </w:r>
            <w:r w:rsidR="00876985">
              <w:t xml:space="preserve"> </w:t>
            </w:r>
            <w:r w:rsidR="00876985">
              <w:rPr>
                <w:i/>
              </w:rPr>
              <w:t>k=3</w:t>
            </w:r>
          </w:p>
        </w:tc>
        <w:tc>
          <w:tcPr>
            <w:tcW w:w="1596" w:type="dxa"/>
          </w:tcPr>
          <w:p w:rsidR="00AA50E9" w:rsidRDefault="00250F8C">
            <w:pPr>
              <w:cnfStyle w:val="000000100000"/>
            </w:pPr>
            <w:r>
              <w:t>56.15</w:t>
            </w:r>
          </w:p>
        </w:tc>
        <w:tc>
          <w:tcPr>
            <w:tcW w:w="1596" w:type="dxa"/>
          </w:tcPr>
          <w:p w:rsidR="00AA50E9" w:rsidRDefault="00250F8C">
            <w:pPr>
              <w:cnfStyle w:val="000000100000"/>
            </w:pPr>
            <w:r>
              <w:t>56.19</w:t>
            </w:r>
          </w:p>
        </w:tc>
        <w:tc>
          <w:tcPr>
            <w:tcW w:w="1596" w:type="dxa"/>
          </w:tcPr>
          <w:p w:rsidR="00AA50E9" w:rsidRDefault="00250F8C">
            <w:pPr>
              <w:cnfStyle w:val="000000100000"/>
            </w:pPr>
            <w:r>
              <w:t>52.63</w:t>
            </w:r>
          </w:p>
        </w:tc>
        <w:tc>
          <w:tcPr>
            <w:tcW w:w="1596" w:type="dxa"/>
          </w:tcPr>
          <w:p w:rsidR="00AA50E9" w:rsidRDefault="00250F8C">
            <w:pPr>
              <w:cnfStyle w:val="000000100000"/>
            </w:pPr>
            <w:r>
              <w:t>52.17</w:t>
            </w:r>
          </w:p>
        </w:tc>
        <w:tc>
          <w:tcPr>
            <w:tcW w:w="1596" w:type="dxa"/>
          </w:tcPr>
          <w:p w:rsidR="00AA50E9" w:rsidRDefault="00250F8C">
            <w:pPr>
              <w:cnfStyle w:val="000000100000"/>
            </w:pPr>
            <w:r>
              <w:t>50.00</w:t>
            </w:r>
          </w:p>
        </w:tc>
      </w:tr>
      <w:tr w:rsidR="00AA50E9">
        <w:trPr>
          <w:cnfStyle w:val="000000010000"/>
        </w:trPr>
        <w:tc>
          <w:tcPr>
            <w:cnfStyle w:val="001000000000"/>
            <w:tcW w:w="1596" w:type="dxa"/>
          </w:tcPr>
          <w:p w:rsidR="00AA50E9" w:rsidRPr="00A509B4" w:rsidRDefault="00167A72" w:rsidP="00A509B4">
            <w:pPr>
              <w:spacing w:before="240"/>
            </w:pPr>
            <w:r>
              <w:t>CT</w:t>
            </w:r>
          </w:p>
        </w:tc>
        <w:tc>
          <w:tcPr>
            <w:tcW w:w="1596" w:type="dxa"/>
          </w:tcPr>
          <w:p w:rsidR="00AA50E9" w:rsidRDefault="00906BAB">
            <w:pPr>
              <w:cnfStyle w:val="000000010000"/>
            </w:pPr>
            <w:r>
              <w:t>87.16</w:t>
            </w:r>
          </w:p>
        </w:tc>
        <w:tc>
          <w:tcPr>
            <w:tcW w:w="1596" w:type="dxa"/>
          </w:tcPr>
          <w:p w:rsidR="00AA50E9" w:rsidRDefault="00906BAB">
            <w:pPr>
              <w:cnfStyle w:val="000000010000"/>
            </w:pPr>
            <w:r>
              <w:t>84.76</w:t>
            </w:r>
          </w:p>
        </w:tc>
        <w:tc>
          <w:tcPr>
            <w:tcW w:w="1596" w:type="dxa"/>
          </w:tcPr>
          <w:p w:rsidR="00AA50E9" w:rsidRDefault="00906BAB">
            <w:pPr>
              <w:cnfStyle w:val="000000010000"/>
            </w:pPr>
            <w:r>
              <w:t>15.79</w:t>
            </w:r>
          </w:p>
        </w:tc>
        <w:tc>
          <w:tcPr>
            <w:tcW w:w="1596" w:type="dxa"/>
          </w:tcPr>
          <w:p w:rsidR="00AA50E9" w:rsidRDefault="00906BAB">
            <w:pPr>
              <w:cnfStyle w:val="000000010000"/>
            </w:pPr>
            <w:r>
              <w:t>34.78</w:t>
            </w:r>
          </w:p>
        </w:tc>
        <w:tc>
          <w:tcPr>
            <w:tcW w:w="1596" w:type="dxa"/>
          </w:tcPr>
          <w:p w:rsidR="00AA50E9" w:rsidRDefault="00906BAB">
            <w:pPr>
              <w:cnfStyle w:val="000000010000"/>
            </w:pPr>
            <w:r>
              <w:t>18.18</w:t>
            </w:r>
          </w:p>
        </w:tc>
      </w:tr>
    </w:tbl>
    <w:p w:rsidR="008D2698" w:rsidRDefault="008D2698" w:rsidP="00A509B4"/>
    <w:p w:rsidR="0077023E" w:rsidRPr="0010695E" w:rsidRDefault="0077023E" w:rsidP="0024354B">
      <w:pPr>
        <w:pStyle w:val="Caption"/>
      </w:pPr>
      <w:bookmarkStart w:id="92" w:name="_Toc227982529"/>
      <w:proofErr w:type="gramStart"/>
      <w:r w:rsidRPr="0010695E">
        <w:t xml:space="preserve">Table </w:t>
      </w:r>
      <w:r w:rsidR="003731B6" w:rsidRPr="0010695E">
        <w:fldChar w:fldCharType="begin"/>
      </w:r>
      <w:r w:rsidRPr="0010695E">
        <w:instrText xml:space="preserve"> SEQ Table \* ARABIC </w:instrText>
      </w:r>
      <w:r w:rsidR="003731B6" w:rsidRPr="0010695E">
        <w:fldChar w:fldCharType="separate"/>
      </w:r>
      <w:r w:rsidR="001633BC">
        <w:rPr>
          <w:noProof/>
        </w:rPr>
        <w:t>21</w:t>
      </w:r>
      <w:r w:rsidR="003731B6" w:rsidRPr="0010695E">
        <w:fldChar w:fldCharType="end"/>
      </w:r>
      <w:r w:rsidRPr="0010695E">
        <w:t>.</w:t>
      </w:r>
      <w:proofErr w:type="gramEnd"/>
      <w:r w:rsidRPr="0010695E">
        <w:t xml:space="preserve">  Group </w:t>
      </w:r>
      <w:r w:rsidR="009462B3">
        <w:t>re-substitution</w:t>
      </w:r>
      <w:r w:rsidRPr="0010695E">
        <w:t xml:space="preserve"> classification rates in %</w:t>
      </w:r>
      <w:bookmarkEnd w:id="92"/>
    </w:p>
    <w:tbl>
      <w:tblPr>
        <w:tblStyle w:val="LightGrid-Accent11"/>
        <w:tblW w:w="0" w:type="auto"/>
        <w:tblLook w:val="04A0"/>
      </w:tblPr>
      <w:tblGrid>
        <w:gridCol w:w="1596"/>
        <w:gridCol w:w="1596"/>
        <w:gridCol w:w="1596"/>
        <w:gridCol w:w="1596"/>
        <w:gridCol w:w="1596"/>
        <w:gridCol w:w="1596"/>
      </w:tblGrid>
      <w:tr w:rsidR="0077023E">
        <w:trPr>
          <w:cnfStyle w:val="100000000000"/>
        </w:trPr>
        <w:tc>
          <w:tcPr>
            <w:cnfStyle w:val="001000000000"/>
            <w:tcW w:w="1596" w:type="dxa"/>
          </w:tcPr>
          <w:p w:rsidR="0077023E" w:rsidRDefault="0077023E">
            <w:r>
              <w:t>Model</w:t>
            </w:r>
          </w:p>
        </w:tc>
        <w:tc>
          <w:tcPr>
            <w:tcW w:w="1596" w:type="dxa"/>
          </w:tcPr>
          <w:p w:rsidR="0077023E" w:rsidRDefault="0077023E">
            <w:pPr>
              <w:cnfStyle w:val="100000000000"/>
            </w:pPr>
            <w:r>
              <w:t xml:space="preserve">White </w:t>
            </w:r>
          </w:p>
          <w:p w:rsidR="0077023E" w:rsidRDefault="0077023E">
            <w:pPr>
              <w:cnfStyle w:val="100000000000"/>
            </w:pPr>
            <w:r>
              <w:t>Male</w:t>
            </w:r>
          </w:p>
        </w:tc>
        <w:tc>
          <w:tcPr>
            <w:tcW w:w="1596" w:type="dxa"/>
          </w:tcPr>
          <w:p w:rsidR="0077023E" w:rsidRDefault="0077023E">
            <w:pPr>
              <w:cnfStyle w:val="100000000000"/>
            </w:pPr>
            <w:r>
              <w:t>White Female</w:t>
            </w:r>
          </w:p>
        </w:tc>
        <w:tc>
          <w:tcPr>
            <w:tcW w:w="1596" w:type="dxa"/>
          </w:tcPr>
          <w:p w:rsidR="0077023E" w:rsidRDefault="0077023E">
            <w:pPr>
              <w:cnfStyle w:val="100000000000"/>
            </w:pPr>
            <w:r>
              <w:t xml:space="preserve">Black </w:t>
            </w:r>
          </w:p>
          <w:p w:rsidR="0077023E" w:rsidRDefault="0077023E">
            <w:pPr>
              <w:cnfStyle w:val="100000000000"/>
            </w:pPr>
            <w:r>
              <w:t>Male</w:t>
            </w:r>
          </w:p>
        </w:tc>
        <w:tc>
          <w:tcPr>
            <w:tcW w:w="1596" w:type="dxa"/>
          </w:tcPr>
          <w:p w:rsidR="0077023E" w:rsidRDefault="0077023E">
            <w:pPr>
              <w:cnfStyle w:val="100000000000"/>
            </w:pPr>
            <w:r>
              <w:t>Black Female</w:t>
            </w:r>
          </w:p>
        </w:tc>
        <w:tc>
          <w:tcPr>
            <w:tcW w:w="1596" w:type="dxa"/>
          </w:tcPr>
          <w:p w:rsidR="0077023E" w:rsidRDefault="0077023E">
            <w:pPr>
              <w:cnfStyle w:val="100000000000"/>
            </w:pPr>
            <w:r>
              <w:t>Hispanic Male</w:t>
            </w:r>
          </w:p>
        </w:tc>
      </w:tr>
      <w:tr w:rsidR="0077023E">
        <w:trPr>
          <w:cnfStyle w:val="000000100000"/>
        </w:trPr>
        <w:tc>
          <w:tcPr>
            <w:cnfStyle w:val="001000000000"/>
            <w:tcW w:w="1596" w:type="dxa"/>
          </w:tcPr>
          <w:p w:rsidR="0077023E" w:rsidRDefault="0077023E">
            <w:r>
              <w:t>LDA</w:t>
            </w:r>
            <w:r w:rsidR="00600ABB">
              <w:t xml:space="preserve"> (6 var.)</w:t>
            </w:r>
          </w:p>
        </w:tc>
        <w:tc>
          <w:tcPr>
            <w:tcW w:w="1596" w:type="dxa"/>
          </w:tcPr>
          <w:p w:rsidR="0077023E" w:rsidRDefault="00D80006" w:rsidP="0077023E">
            <w:pPr>
              <w:cnfStyle w:val="000000100000"/>
            </w:pPr>
            <w:r>
              <w:t>65.16</w:t>
            </w:r>
          </w:p>
        </w:tc>
        <w:tc>
          <w:tcPr>
            <w:tcW w:w="1596" w:type="dxa"/>
          </w:tcPr>
          <w:p w:rsidR="0077023E" w:rsidRDefault="00D80006">
            <w:pPr>
              <w:cnfStyle w:val="000000100000"/>
            </w:pPr>
            <w:r>
              <w:t>65.93</w:t>
            </w:r>
          </w:p>
        </w:tc>
        <w:tc>
          <w:tcPr>
            <w:tcW w:w="1596" w:type="dxa"/>
          </w:tcPr>
          <w:p w:rsidR="0077023E" w:rsidRDefault="00D80006">
            <w:pPr>
              <w:cnfStyle w:val="000000100000"/>
            </w:pPr>
            <w:r>
              <w:t>64.56</w:t>
            </w:r>
          </w:p>
        </w:tc>
        <w:tc>
          <w:tcPr>
            <w:tcW w:w="1596" w:type="dxa"/>
          </w:tcPr>
          <w:p w:rsidR="0077023E" w:rsidRDefault="00D80006">
            <w:pPr>
              <w:cnfStyle w:val="000000100000"/>
            </w:pPr>
            <w:r>
              <w:t>61.54</w:t>
            </w:r>
          </w:p>
        </w:tc>
        <w:tc>
          <w:tcPr>
            <w:tcW w:w="1596" w:type="dxa"/>
          </w:tcPr>
          <w:p w:rsidR="0077023E" w:rsidRDefault="00D80006">
            <w:pPr>
              <w:cnfStyle w:val="000000100000"/>
            </w:pPr>
            <w:r>
              <w:t>66.07</w:t>
            </w:r>
          </w:p>
        </w:tc>
      </w:tr>
      <w:tr w:rsidR="0077023E">
        <w:trPr>
          <w:cnfStyle w:val="000000010000"/>
        </w:trPr>
        <w:tc>
          <w:tcPr>
            <w:cnfStyle w:val="001000000000"/>
            <w:tcW w:w="1596" w:type="dxa"/>
          </w:tcPr>
          <w:p w:rsidR="0077023E" w:rsidRDefault="0077023E">
            <w:r>
              <w:t>QDA</w:t>
            </w:r>
            <w:r w:rsidR="00600ABB">
              <w:t xml:space="preserve"> (3 var.)</w:t>
            </w:r>
          </w:p>
        </w:tc>
        <w:tc>
          <w:tcPr>
            <w:tcW w:w="1596" w:type="dxa"/>
          </w:tcPr>
          <w:p w:rsidR="0077023E" w:rsidRDefault="0077023E">
            <w:pPr>
              <w:cnfStyle w:val="000000010000"/>
            </w:pPr>
            <w:r>
              <w:t>43.44</w:t>
            </w:r>
          </w:p>
        </w:tc>
        <w:tc>
          <w:tcPr>
            <w:tcW w:w="1596" w:type="dxa"/>
          </w:tcPr>
          <w:p w:rsidR="0077023E" w:rsidRDefault="0077023E">
            <w:pPr>
              <w:cnfStyle w:val="000000010000"/>
            </w:pPr>
            <w:r>
              <w:t>58.85</w:t>
            </w:r>
          </w:p>
        </w:tc>
        <w:tc>
          <w:tcPr>
            <w:tcW w:w="1596" w:type="dxa"/>
          </w:tcPr>
          <w:p w:rsidR="0077023E" w:rsidRDefault="0077023E">
            <w:pPr>
              <w:cnfStyle w:val="000000010000"/>
            </w:pPr>
            <w:r>
              <w:t>55.70</w:t>
            </w:r>
          </w:p>
        </w:tc>
        <w:tc>
          <w:tcPr>
            <w:tcW w:w="1596" w:type="dxa"/>
          </w:tcPr>
          <w:p w:rsidR="0077023E" w:rsidRDefault="0077023E">
            <w:pPr>
              <w:cnfStyle w:val="000000010000"/>
            </w:pPr>
            <w:r>
              <w:t>48.08</w:t>
            </w:r>
          </w:p>
        </w:tc>
        <w:tc>
          <w:tcPr>
            <w:tcW w:w="1596" w:type="dxa"/>
          </w:tcPr>
          <w:p w:rsidR="0077023E" w:rsidRDefault="0077023E">
            <w:pPr>
              <w:cnfStyle w:val="000000010000"/>
            </w:pPr>
            <w:r>
              <w:t>57.14</w:t>
            </w:r>
          </w:p>
        </w:tc>
      </w:tr>
      <w:tr w:rsidR="0077023E">
        <w:trPr>
          <w:cnfStyle w:val="000000100000"/>
        </w:trPr>
        <w:tc>
          <w:tcPr>
            <w:cnfStyle w:val="001000000000"/>
            <w:tcW w:w="1596" w:type="dxa"/>
          </w:tcPr>
          <w:p w:rsidR="0077023E" w:rsidRPr="00876985" w:rsidRDefault="0077023E">
            <w:r>
              <w:t>KNN</w:t>
            </w:r>
            <w:r w:rsidR="00876985">
              <w:t xml:space="preserve"> </w:t>
            </w:r>
            <w:r w:rsidR="00876985">
              <w:rPr>
                <w:i/>
              </w:rPr>
              <w:t>k</w:t>
            </w:r>
            <w:r w:rsidR="00876985">
              <w:t>=3</w:t>
            </w:r>
          </w:p>
        </w:tc>
        <w:tc>
          <w:tcPr>
            <w:tcW w:w="1596" w:type="dxa"/>
          </w:tcPr>
          <w:p w:rsidR="0077023E" w:rsidRDefault="00D80006">
            <w:pPr>
              <w:cnfStyle w:val="000000100000"/>
            </w:pPr>
            <w:r>
              <w:t>67.19</w:t>
            </w:r>
          </w:p>
        </w:tc>
        <w:tc>
          <w:tcPr>
            <w:tcW w:w="1596" w:type="dxa"/>
          </w:tcPr>
          <w:p w:rsidR="0077023E" w:rsidRDefault="00D80006">
            <w:pPr>
              <w:cnfStyle w:val="000000100000"/>
            </w:pPr>
            <w:r>
              <w:t>62.39</w:t>
            </w:r>
          </w:p>
        </w:tc>
        <w:tc>
          <w:tcPr>
            <w:tcW w:w="1596" w:type="dxa"/>
          </w:tcPr>
          <w:p w:rsidR="0077023E" w:rsidRDefault="00D80006">
            <w:pPr>
              <w:cnfStyle w:val="000000100000"/>
            </w:pPr>
            <w:r>
              <w:t>87.34</w:t>
            </w:r>
          </w:p>
        </w:tc>
        <w:tc>
          <w:tcPr>
            <w:tcW w:w="1596" w:type="dxa"/>
          </w:tcPr>
          <w:p w:rsidR="0077023E" w:rsidRDefault="00D80006">
            <w:pPr>
              <w:cnfStyle w:val="000000100000"/>
            </w:pPr>
            <w:r>
              <w:t>98.09</w:t>
            </w:r>
          </w:p>
        </w:tc>
        <w:tc>
          <w:tcPr>
            <w:tcW w:w="1596" w:type="dxa"/>
          </w:tcPr>
          <w:p w:rsidR="0077023E" w:rsidRDefault="00D80006">
            <w:pPr>
              <w:cnfStyle w:val="000000100000"/>
            </w:pPr>
            <w:r>
              <w:t>83.83</w:t>
            </w:r>
          </w:p>
        </w:tc>
      </w:tr>
      <w:tr w:rsidR="0077023E">
        <w:trPr>
          <w:cnfStyle w:val="000000010000"/>
        </w:trPr>
        <w:tc>
          <w:tcPr>
            <w:cnfStyle w:val="001000000000"/>
            <w:tcW w:w="1596" w:type="dxa"/>
          </w:tcPr>
          <w:p w:rsidR="0077023E" w:rsidRDefault="00CF0A8C">
            <w:r>
              <w:t>CT</w:t>
            </w:r>
          </w:p>
        </w:tc>
        <w:tc>
          <w:tcPr>
            <w:tcW w:w="1596" w:type="dxa"/>
          </w:tcPr>
          <w:p w:rsidR="0077023E" w:rsidRDefault="00526B2A">
            <w:pPr>
              <w:cnfStyle w:val="000000010000"/>
            </w:pPr>
            <w:r>
              <w:t>89.37</w:t>
            </w:r>
          </w:p>
        </w:tc>
        <w:tc>
          <w:tcPr>
            <w:tcW w:w="1596" w:type="dxa"/>
          </w:tcPr>
          <w:p w:rsidR="0077023E" w:rsidRDefault="00526B2A">
            <w:pPr>
              <w:cnfStyle w:val="000000010000"/>
            </w:pPr>
            <w:r>
              <w:t>85.40</w:t>
            </w:r>
          </w:p>
        </w:tc>
        <w:tc>
          <w:tcPr>
            <w:tcW w:w="1596" w:type="dxa"/>
          </w:tcPr>
          <w:p w:rsidR="0077023E" w:rsidRDefault="00526B2A">
            <w:pPr>
              <w:cnfStyle w:val="000000010000"/>
            </w:pPr>
            <w:r>
              <w:t>22.78</w:t>
            </w:r>
          </w:p>
        </w:tc>
        <w:tc>
          <w:tcPr>
            <w:tcW w:w="1596" w:type="dxa"/>
          </w:tcPr>
          <w:p w:rsidR="0077023E" w:rsidRDefault="00526B2A">
            <w:pPr>
              <w:cnfStyle w:val="000000010000"/>
            </w:pPr>
            <w:r>
              <w:t>26.92</w:t>
            </w:r>
          </w:p>
        </w:tc>
        <w:tc>
          <w:tcPr>
            <w:tcW w:w="1596" w:type="dxa"/>
          </w:tcPr>
          <w:p w:rsidR="0077023E" w:rsidRDefault="00526B2A">
            <w:pPr>
              <w:cnfStyle w:val="000000010000"/>
            </w:pPr>
            <w:r>
              <w:t>23.21</w:t>
            </w:r>
          </w:p>
        </w:tc>
      </w:tr>
      <w:tr w:rsidR="00526B2A">
        <w:trPr>
          <w:cnfStyle w:val="000000100000"/>
        </w:trPr>
        <w:tc>
          <w:tcPr>
            <w:cnfStyle w:val="001000000000"/>
            <w:tcW w:w="1596" w:type="dxa"/>
          </w:tcPr>
          <w:p w:rsidR="00526B2A" w:rsidRPr="00A509B4" w:rsidRDefault="00CF0A8C">
            <w:r>
              <w:t>CT</w:t>
            </w:r>
            <w:r w:rsidR="00A509B4">
              <w:t xml:space="preserve"> (=</w:t>
            </w:r>
            <w:r w:rsidR="00A509B4">
              <w:rPr>
                <w:i/>
              </w:rPr>
              <w:t>n</w:t>
            </w:r>
            <w:r w:rsidR="000015AA">
              <w:rPr>
                <w:i/>
                <w:vertAlign w:val="subscript"/>
              </w:rPr>
              <w:t>i</w:t>
            </w:r>
            <w:r w:rsidR="00A509B4">
              <w:t>)</w:t>
            </w:r>
          </w:p>
        </w:tc>
        <w:tc>
          <w:tcPr>
            <w:tcW w:w="1596" w:type="dxa"/>
          </w:tcPr>
          <w:p w:rsidR="00526B2A" w:rsidRDefault="00526B2A">
            <w:pPr>
              <w:cnfStyle w:val="000000100000"/>
            </w:pPr>
            <w:r>
              <w:t>54.67</w:t>
            </w:r>
          </w:p>
        </w:tc>
        <w:tc>
          <w:tcPr>
            <w:tcW w:w="1596" w:type="dxa"/>
          </w:tcPr>
          <w:p w:rsidR="00526B2A" w:rsidRDefault="00526B2A">
            <w:pPr>
              <w:cnfStyle w:val="000000100000"/>
            </w:pPr>
            <w:r>
              <w:t>69.33</w:t>
            </w:r>
          </w:p>
        </w:tc>
        <w:tc>
          <w:tcPr>
            <w:tcW w:w="1596" w:type="dxa"/>
          </w:tcPr>
          <w:p w:rsidR="00526B2A" w:rsidRDefault="00526B2A">
            <w:pPr>
              <w:cnfStyle w:val="000000100000"/>
            </w:pPr>
            <w:r>
              <w:t>50.67</w:t>
            </w:r>
          </w:p>
        </w:tc>
        <w:tc>
          <w:tcPr>
            <w:tcW w:w="1596" w:type="dxa"/>
          </w:tcPr>
          <w:p w:rsidR="00526B2A" w:rsidRDefault="00526B2A">
            <w:pPr>
              <w:cnfStyle w:val="000000100000"/>
            </w:pPr>
            <w:r>
              <w:t>62.67</w:t>
            </w:r>
          </w:p>
        </w:tc>
        <w:tc>
          <w:tcPr>
            <w:tcW w:w="1596" w:type="dxa"/>
          </w:tcPr>
          <w:p w:rsidR="00526B2A" w:rsidRDefault="00526B2A">
            <w:pPr>
              <w:cnfStyle w:val="000000100000"/>
            </w:pPr>
            <w:r>
              <w:t>66.67</w:t>
            </w:r>
          </w:p>
        </w:tc>
      </w:tr>
    </w:tbl>
    <w:p w:rsidR="00C32092" w:rsidRPr="0010695E" w:rsidRDefault="00A509B4" w:rsidP="0010695E">
      <w:pPr>
        <w:autoSpaceDE w:val="0"/>
        <w:autoSpaceDN w:val="0"/>
        <w:adjustRightInd w:val="0"/>
        <w:spacing w:after="0"/>
        <w:rPr>
          <w:rFonts w:cs="Times New Roman"/>
          <w:sz w:val="20"/>
          <w:szCs w:val="24"/>
        </w:rPr>
      </w:pPr>
      <w:r>
        <w:rPr>
          <w:rFonts w:cs="Times New Roman"/>
          <w:szCs w:val="24"/>
        </w:rPr>
        <w:tab/>
      </w:r>
    </w:p>
    <w:p w:rsidR="00E745C0" w:rsidRDefault="0031786F" w:rsidP="0031786F">
      <w:pPr>
        <w:autoSpaceDE w:val="0"/>
        <w:autoSpaceDN w:val="0"/>
        <w:adjustRightInd w:val="0"/>
        <w:spacing w:after="0"/>
        <w:ind w:firstLine="720"/>
        <w:rPr>
          <w:rFonts w:cs="Times New Roman"/>
          <w:szCs w:val="24"/>
        </w:rPr>
      </w:pPr>
      <w:r>
        <w:rPr>
          <w:rFonts w:cs="Times New Roman"/>
          <w:szCs w:val="24"/>
        </w:rPr>
        <w:t>While CT did not perform as well as LDA its performance was not far off, based upon the available classification estimates in Table 16.  Furthermore, while it does have reduced performance, it has many advantages that simplify analysis and interpretation as well as reducing uncertainty of the results.  CT makes no assumptions pertaining to data distributions.  Thus, assumptions need not be tested and there are no violation</w:t>
      </w:r>
      <w:r w:rsidR="002E0F06">
        <w:rPr>
          <w:rFonts w:cs="Times New Roman"/>
          <w:szCs w:val="24"/>
        </w:rPr>
        <w:t>s that can invalidate results,</w:t>
      </w:r>
      <w:r>
        <w:rPr>
          <w:rFonts w:cs="Times New Roman"/>
          <w:szCs w:val="24"/>
        </w:rPr>
        <w:t xml:space="preserve"> compromise performance</w:t>
      </w:r>
      <w:r w:rsidR="002E0F06">
        <w:rPr>
          <w:rFonts w:cs="Times New Roman"/>
          <w:szCs w:val="24"/>
        </w:rPr>
        <w:t>, or complicate interpretation</w:t>
      </w:r>
      <w:r>
        <w:rPr>
          <w:rFonts w:cs="Times New Roman"/>
          <w:szCs w:val="24"/>
        </w:rPr>
        <w:t>.  Furthermore, these conditions remain consistent regardless of which and how many groups and variables are included.  CT, by nature of its workings, has built-in variable selectio</w:t>
      </w:r>
      <w:r w:rsidR="00960439">
        <w:rPr>
          <w:rFonts w:cs="Times New Roman"/>
          <w:szCs w:val="24"/>
        </w:rPr>
        <w:t xml:space="preserve">n and is robust to outliers, </w:t>
      </w:r>
      <w:r>
        <w:rPr>
          <w:rFonts w:cs="Times New Roman"/>
          <w:szCs w:val="24"/>
        </w:rPr>
        <w:t>errors</w:t>
      </w:r>
      <w:r w:rsidR="00960439">
        <w:rPr>
          <w:rFonts w:cs="Times New Roman"/>
          <w:szCs w:val="24"/>
        </w:rPr>
        <w:t>,</w:t>
      </w:r>
      <w:r>
        <w:rPr>
          <w:rFonts w:cs="Times New Roman"/>
          <w:szCs w:val="24"/>
        </w:rPr>
        <w:t xml:space="preserve"> and misclassifications in the data.  Furthermore, they have a variety of methods available for handling missing data and do not require the deletion of observations with missing values </w:t>
      </w:r>
      <w:r w:rsidR="003731B6">
        <w:rPr>
          <w:rFonts w:cs="Times New Roman"/>
          <w:szCs w:val="24"/>
        </w:rPr>
        <w:fldChar w:fldCharType="begin">
          <w:fldData xml:space="preserve">PEVuZE5vdGU+PENpdGU+PEF1dGhvcj5CcmVpbWFuPC9BdXRob3I+PFllYXI+MTk4NDwvWWVhcj48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</w:fldData>
        </w:fldChar>
      </w:r>
      <w:r w:rsidR="00721795">
        <w:rPr>
          <w:rFonts w:cs="Times New Roman"/>
          <w:szCs w:val="24"/>
        </w:rPr>
        <w:instrText xml:space="preserve"> ADDIN EN.CITE </w:instrText>
      </w:r>
      <w:r w:rsidR="003731B6">
        <w:rPr>
          <w:rFonts w:cs="Times New Roman"/>
          <w:szCs w:val="24"/>
        </w:rPr>
        <w:fldChar w:fldCharType="begin">
          <w:fldData xml:space="preserve">PEVuZE5vdGU+PENpdGU+PEF1dGhvcj5CcmVpbWFuPC9BdXRob3I+PFllYXI+MTk4NDwvWWVhcj48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</w:fldData>
        </w:fldChar>
      </w:r>
      <w:r w:rsidR="00721795">
        <w:rPr>
          <w:rFonts w:cs="Times New Roman"/>
          <w:szCs w:val="24"/>
        </w:rPr>
        <w:instrText xml:space="preserve"> ADDIN EN.CITE.DATA </w:instrText>
      </w:r>
      <w:r w:rsidR="0024354B" w:rsidRPr="003731B6">
        <w:rPr>
          <w:rFonts w:cs="Times New Roman"/>
          <w:szCs w:val="24"/>
        </w:rPr>
      </w:r>
      <w:r w:rsidR="003731B6">
        <w:rPr>
          <w:rFonts w:cs="Times New Roman"/>
          <w:szCs w:val="24"/>
        </w:rPr>
        <w:fldChar w:fldCharType="end"/>
      </w:r>
      <w:r w:rsidR="0024354B" w:rsidRPr="003731B6">
        <w:rPr>
          <w:rFonts w:cs="Times New Roman"/>
          <w:szCs w:val="24"/>
        </w:rPr>
      </w:r>
      <w:r w:rsidR="003731B6">
        <w:rPr>
          <w:rFonts w:cs="Times New Roman"/>
          <w:szCs w:val="24"/>
        </w:rPr>
        <w:fldChar w:fldCharType="separate"/>
      </w:r>
      <w:r w:rsidR="00EB0C79">
        <w:rPr>
          <w:rFonts w:cs="Times New Roman"/>
          <w:noProof/>
          <w:szCs w:val="24"/>
        </w:rPr>
        <w:t>(</w:t>
      </w:r>
      <w:hyperlink w:anchor="_ENREF_9" w:tooltip="Breiman, 1984 #93" w:history="1">
        <w:r w:rsidR="001633BC">
          <w:rPr>
            <w:rFonts w:cs="Times New Roman"/>
            <w:noProof/>
            <w:szCs w:val="24"/>
          </w:rPr>
          <w:t>Breiman</w:t>
        </w:r>
        <w:r w:rsidR="001633BC" w:rsidRPr="00EB0C79">
          <w:rPr>
            <w:rFonts w:cs="Times New Roman"/>
            <w:i/>
            <w:noProof/>
            <w:szCs w:val="24"/>
          </w:rPr>
          <w:t xml:space="preserve"> et al.</w:t>
        </w:r>
        <w:r w:rsidR="001633BC">
          <w:rPr>
            <w:rFonts w:cs="Times New Roman"/>
            <w:noProof/>
            <w:szCs w:val="24"/>
          </w:rPr>
          <w:t>, 1984</w:t>
        </w:r>
      </w:hyperlink>
      <w:r w:rsidR="00EB0C79">
        <w:rPr>
          <w:rFonts w:cs="Times New Roman"/>
          <w:noProof/>
          <w:szCs w:val="24"/>
        </w:rPr>
        <w:t xml:space="preserve">; </w:t>
      </w:r>
      <w:hyperlink w:anchor="_ENREF_15" w:tooltip="Feldesman, 2002 #199" w:history="1">
        <w:r w:rsidR="001633BC">
          <w:rPr>
            <w:rFonts w:cs="Times New Roman"/>
            <w:noProof/>
            <w:szCs w:val="24"/>
          </w:rPr>
          <w:t>Feldesman, 2002</w:t>
        </w:r>
      </w:hyperlink>
      <w:r w:rsidR="00EB0C79">
        <w:rPr>
          <w:rFonts w:cs="Times New Roman"/>
          <w:noProof/>
          <w:szCs w:val="24"/>
        </w:rPr>
        <w:t xml:space="preserve">; </w:t>
      </w:r>
      <w:hyperlink w:anchor="_ENREF_13" w:tooltip="Ding, 2010 #363" w:history="1">
        <w:r w:rsidR="001633BC">
          <w:rPr>
            <w:rFonts w:cs="Times New Roman"/>
            <w:noProof/>
            <w:szCs w:val="24"/>
          </w:rPr>
          <w:t>Ding and Simonoff, 2010</w:t>
        </w:r>
      </w:hyperlink>
      <w:r w:rsidR="00EB0C79">
        <w:rPr>
          <w:rFonts w:cs="Times New Roman"/>
          <w:noProof/>
          <w:szCs w:val="24"/>
        </w:rPr>
        <w:t>)</w:t>
      </w:r>
      <w:r w:rsidR="003731B6">
        <w:rPr>
          <w:rFonts w:cs="Times New Roman"/>
          <w:szCs w:val="24"/>
        </w:rPr>
        <w:fldChar w:fldCharType="end"/>
      </w:r>
      <w:r>
        <w:rPr>
          <w:rFonts w:cs="Times New Roman"/>
          <w:szCs w:val="24"/>
        </w:rPr>
        <w:t>.</w:t>
      </w:r>
      <w:r w:rsidR="00C50A93">
        <w:rPr>
          <w:rFonts w:cs="Times New Roman"/>
          <w:szCs w:val="24"/>
        </w:rPr>
        <w:t xml:space="preserve">  This would allow </w:t>
      </w:r>
      <w:r w:rsidR="004B5297">
        <w:rPr>
          <w:rFonts w:cs="Times New Roman"/>
          <w:szCs w:val="24"/>
        </w:rPr>
        <w:t>retention of more observations</w:t>
      </w:r>
      <w:r w:rsidR="00C50A93">
        <w:rPr>
          <w:rFonts w:cs="Times New Roman"/>
          <w:szCs w:val="24"/>
        </w:rPr>
        <w:t>, which is particularly important when one of the smaller groups (e.g., Hispanic males, Hispanic females, Black females) are involved.</w:t>
      </w:r>
      <w:r w:rsidR="004B5297">
        <w:rPr>
          <w:rFonts w:cs="Times New Roman"/>
          <w:szCs w:val="24"/>
        </w:rPr>
        <w:t xml:space="preserve">  Furthermore, it could make some of the other variables with larger degrees of missingness more useful, alleviating the degree to which sample sizes would be reduced due to their inclusion in an analysis.</w:t>
      </w:r>
      <w:r w:rsidR="003A0B4C">
        <w:rPr>
          <w:rFonts w:cs="Times New Roman"/>
          <w:szCs w:val="24"/>
        </w:rPr>
        <w:t xml:space="preserve">  Eight variables were removed from the data set in this analysis and FORDISC flags variables with large proportions of missing values because of the limitations their inclusion places on sample sizes.  Therefore, a method that does not require the deletion of observations with missing values may be very beneficial in this context.</w:t>
      </w:r>
    </w:p>
    <w:p w:rsidR="00FC7CE5" w:rsidRDefault="00E745C0" w:rsidP="004A7AEF">
      <w:pPr>
        <w:autoSpaceDE w:val="0"/>
        <w:autoSpaceDN w:val="0"/>
        <w:adjustRightInd w:val="0"/>
        <w:spacing w:after="0"/>
        <w:ind w:firstLine="720"/>
        <w:rPr>
          <w:rFonts w:cs="Times New Roman"/>
          <w:szCs w:val="24"/>
        </w:rPr>
      </w:pPr>
      <w:r>
        <w:rPr>
          <w:rFonts w:cs="Times New Roman"/>
          <w:szCs w:val="24"/>
        </w:rPr>
        <w:t xml:space="preserve">LDA and QDA both had consistent estimates of classification performance; their </w:t>
      </w:r>
      <w:r w:rsidR="009462B3">
        <w:rPr>
          <w:rFonts w:cs="Times New Roman"/>
          <w:szCs w:val="24"/>
        </w:rPr>
        <w:t>re-substitution</w:t>
      </w:r>
      <w:r>
        <w:rPr>
          <w:rFonts w:cs="Times New Roman"/>
          <w:szCs w:val="24"/>
        </w:rPr>
        <w:t>, cross-validation, and holdout estimates</w:t>
      </w:r>
      <w:r w:rsidR="00B65F04">
        <w:rPr>
          <w:rFonts w:cs="Times New Roman"/>
          <w:szCs w:val="24"/>
        </w:rPr>
        <w:t xml:space="preserve"> are close to one another, with a maximum of a 2-3% difference between them.</w:t>
      </w:r>
      <w:r w:rsidR="00F96A46">
        <w:rPr>
          <w:rFonts w:cs="Times New Roman"/>
          <w:szCs w:val="24"/>
        </w:rPr>
        <w:t xml:space="preserve">  However,</w:t>
      </w:r>
      <w:r w:rsidR="002C15F0">
        <w:rPr>
          <w:rFonts w:cs="Times New Roman"/>
          <w:szCs w:val="24"/>
        </w:rPr>
        <w:t xml:space="preserve"> LDA outperformed</w:t>
      </w:r>
      <w:r w:rsidR="00D97388">
        <w:rPr>
          <w:rFonts w:cs="Times New Roman"/>
          <w:szCs w:val="24"/>
        </w:rPr>
        <w:t xml:space="preserve"> QDA by about 14% in the overall holdout rate.  LDA’s individual group classification rat</w:t>
      </w:r>
      <w:r w:rsidR="007A2374">
        <w:rPr>
          <w:rFonts w:cs="Times New Roman"/>
          <w:szCs w:val="24"/>
        </w:rPr>
        <w:t>es were also greater for every group</w:t>
      </w:r>
      <w:r w:rsidR="00D97388">
        <w:rPr>
          <w:rFonts w:cs="Times New Roman"/>
          <w:szCs w:val="24"/>
        </w:rPr>
        <w:t>.</w:t>
      </w:r>
      <w:r w:rsidR="00DD0C32">
        <w:rPr>
          <w:rFonts w:cs="Times New Roman"/>
          <w:szCs w:val="24"/>
        </w:rPr>
        <w:t xml:space="preserve">  Therefore, LDA should be the preferred method for classification</w:t>
      </w:r>
      <w:r w:rsidR="00F600E3">
        <w:rPr>
          <w:rFonts w:cs="Times New Roman"/>
          <w:szCs w:val="24"/>
        </w:rPr>
        <w:t xml:space="preserve"> when deciding between these two</w:t>
      </w:r>
      <w:r w:rsidR="00DD0C32">
        <w:rPr>
          <w:rFonts w:cs="Times New Roman"/>
          <w:szCs w:val="24"/>
        </w:rPr>
        <w:t>.</w:t>
      </w:r>
      <w:r w:rsidR="003D64FC">
        <w:rPr>
          <w:rFonts w:cs="Times New Roman"/>
          <w:szCs w:val="24"/>
        </w:rPr>
        <w:t xml:space="preserve">  </w:t>
      </w:r>
    </w:p>
    <w:p w:rsidR="00B64FB6" w:rsidRPr="001B7A8B" w:rsidRDefault="004F6953" w:rsidP="004A7AEF">
      <w:pPr>
        <w:autoSpaceDE w:val="0"/>
        <w:autoSpaceDN w:val="0"/>
        <w:adjustRightInd w:val="0"/>
        <w:spacing w:after="0"/>
        <w:ind w:firstLine="720"/>
        <w:rPr>
          <w:rFonts w:cs="Times New Roman"/>
          <w:szCs w:val="24"/>
        </w:rPr>
      </w:pPr>
      <w:r w:rsidRPr="001B7A8B">
        <w:rPr>
          <w:rFonts w:cs="Times New Roman"/>
          <w:szCs w:val="24"/>
        </w:rPr>
        <w:t>Posterior probabili</w:t>
      </w:r>
      <w:r w:rsidR="00F51970" w:rsidRPr="001B7A8B">
        <w:rPr>
          <w:rFonts w:cs="Times New Roman"/>
          <w:szCs w:val="24"/>
        </w:rPr>
        <w:t xml:space="preserve">ties of classification for </w:t>
      </w:r>
      <w:r w:rsidRPr="001B7A8B">
        <w:rPr>
          <w:rFonts w:cs="Times New Roman"/>
          <w:szCs w:val="24"/>
        </w:rPr>
        <w:t>correctly classified and misclassified observations provide additional evidence of LDA’s improved performance over QDA (</w:t>
      </w:r>
      <w:r w:rsidR="004A7AEF" w:rsidRPr="001B7A8B">
        <w:rPr>
          <w:rFonts w:cs="Times New Roman"/>
          <w:szCs w:val="24"/>
        </w:rPr>
        <w:t xml:space="preserve">Figures 30 to 37 in the appendix show </w:t>
      </w:r>
      <w:r w:rsidRPr="001B7A8B">
        <w:rPr>
          <w:rFonts w:cs="Times New Roman"/>
          <w:szCs w:val="24"/>
        </w:rPr>
        <w:t xml:space="preserve">histograms </w:t>
      </w:r>
      <w:r w:rsidR="004A7AEF" w:rsidRPr="001B7A8B">
        <w:rPr>
          <w:rFonts w:cs="Times New Roman"/>
          <w:szCs w:val="24"/>
        </w:rPr>
        <w:t>and descriptive statistics</w:t>
      </w:r>
      <w:r w:rsidR="004664A8" w:rsidRPr="001B7A8B">
        <w:rPr>
          <w:rFonts w:cs="Times New Roman"/>
          <w:szCs w:val="24"/>
        </w:rPr>
        <w:t>).</w:t>
      </w:r>
      <w:r w:rsidR="00703809" w:rsidRPr="001B7A8B">
        <w:rPr>
          <w:rFonts w:cs="Times New Roman"/>
          <w:szCs w:val="24"/>
        </w:rPr>
        <w:t xml:space="preserve">  LDA’s correctly classified observations tend to have greater posterior probabilities of belonging to the group into which they were classified.  </w:t>
      </w:r>
      <w:r w:rsidR="00755BFA" w:rsidRPr="001B7A8B">
        <w:rPr>
          <w:rFonts w:cs="Times New Roman"/>
          <w:szCs w:val="24"/>
        </w:rPr>
        <w:t xml:space="preserve">QDA’s </w:t>
      </w:r>
      <w:r w:rsidR="00703809" w:rsidRPr="001B7A8B">
        <w:rPr>
          <w:rFonts w:cs="Times New Roman"/>
          <w:szCs w:val="24"/>
        </w:rPr>
        <w:t>misclassified observations tend to</w:t>
      </w:r>
      <w:r w:rsidR="00755BFA" w:rsidRPr="001B7A8B">
        <w:rPr>
          <w:rFonts w:cs="Times New Roman"/>
          <w:szCs w:val="24"/>
        </w:rPr>
        <w:t xml:space="preserve"> have </w:t>
      </w:r>
      <w:r w:rsidR="00703809" w:rsidRPr="001B7A8B">
        <w:rPr>
          <w:rFonts w:cs="Times New Roman"/>
          <w:szCs w:val="24"/>
        </w:rPr>
        <w:t>lower posterior probabilities of classific</w:t>
      </w:r>
      <w:r w:rsidR="00755BFA" w:rsidRPr="001B7A8B">
        <w:rPr>
          <w:rFonts w:cs="Times New Roman"/>
          <w:szCs w:val="24"/>
        </w:rPr>
        <w:t>ation, but the majority of misclassified observations for LDA and QDA are not near misses</w:t>
      </w:r>
      <w:r w:rsidR="00BA2B97" w:rsidRPr="001B7A8B">
        <w:rPr>
          <w:rFonts w:cs="Times New Roman"/>
          <w:szCs w:val="24"/>
        </w:rPr>
        <w:t>; LDA’s median posterior probability for its misclassifications is in the mid 0.5s, while QDAs is in the mid 0.4s</w:t>
      </w:r>
      <w:r w:rsidR="00755BFA" w:rsidRPr="001B7A8B">
        <w:rPr>
          <w:rFonts w:cs="Times New Roman"/>
          <w:szCs w:val="24"/>
        </w:rPr>
        <w:t>.</w:t>
      </w:r>
      <w:r w:rsidR="006E2169" w:rsidRPr="001B7A8B">
        <w:rPr>
          <w:rFonts w:cs="Times New Roman"/>
          <w:szCs w:val="24"/>
        </w:rPr>
        <w:t xml:space="preserve">  </w:t>
      </w:r>
      <w:r w:rsidR="00B64FB6" w:rsidRPr="001B7A8B">
        <w:rPr>
          <w:rFonts w:cs="Times New Roman"/>
          <w:szCs w:val="24"/>
        </w:rPr>
        <w:t>The misclassification posterior probability distributions for each method are skewed to the right; most observations lie on the lower end with relatively few larger values.</w:t>
      </w:r>
    </w:p>
    <w:p w:rsidR="004A7AEF" w:rsidRDefault="006E2169" w:rsidP="004A7AEF">
      <w:pPr>
        <w:autoSpaceDE w:val="0"/>
        <w:autoSpaceDN w:val="0"/>
        <w:adjustRightInd w:val="0"/>
        <w:spacing w:after="0"/>
        <w:ind w:firstLine="720"/>
        <w:rPr>
          <w:rFonts w:cs="Times New Roman"/>
          <w:szCs w:val="24"/>
        </w:rPr>
      </w:pPr>
      <w:r w:rsidRPr="001B7A8B">
        <w:rPr>
          <w:rFonts w:cs="Times New Roman"/>
          <w:szCs w:val="24"/>
        </w:rPr>
        <w:t xml:space="preserve">Observing the </w:t>
      </w:r>
      <w:r w:rsidR="00FC7CE5" w:rsidRPr="001B7A8B">
        <w:rPr>
          <w:rFonts w:cs="Times New Roman"/>
          <w:szCs w:val="24"/>
        </w:rPr>
        <w:t>difference between the maximum posterior probability of classification and the posterior probability of classification into the correct group</w:t>
      </w:r>
      <w:r w:rsidRPr="001B7A8B">
        <w:rPr>
          <w:rFonts w:cs="Times New Roman"/>
          <w:szCs w:val="24"/>
        </w:rPr>
        <w:t xml:space="preserve"> on misclassified observations </w:t>
      </w:r>
      <w:r w:rsidR="00CB0BC5" w:rsidRPr="001B7A8B">
        <w:rPr>
          <w:rFonts w:cs="Times New Roman"/>
          <w:szCs w:val="24"/>
        </w:rPr>
        <w:t xml:space="preserve">(Figures 38 to 55 in the appendix) </w:t>
      </w:r>
      <w:r w:rsidR="00FC7CE5" w:rsidRPr="001B7A8B">
        <w:rPr>
          <w:rFonts w:cs="Times New Roman"/>
          <w:szCs w:val="24"/>
        </w:rPr>
        <w:t xml:space="preserve">provides an image of how many observations were near misses.  Observing quartile statistics (Figures 39, 42, 45, 48, 51, and 54) </w:t>
      </w:r>
      <w:r w:rsidRPr="001B7A8B">
        <w:rPr>
          <w:rFonts w:cs="Times New Roman"/>
          <w:szCs w:val="24"/>
        </w:rPr>
        <w:t>reveals that only about 25% of them had posterior probabilities of belonging to the proper group that were</w:t>
      </w:r>
      <w:r w:rsidR="00FC7CE5" w:rsidRPr="001B7A8B">
        <w:rPr>
          <w:rFonts w:cs="Times New Roman"/>
          <w:szCs w:val="24"/>
        </w:rPr>
        <w:t xml:space="preserve"> about</w:t>
      </w:r>
      <w:r w:rsidRPr="001B7A8B">
        <w:rPr>
          <w:rFonts w:cs="Times New Roman"/>
          <w:szCs w:val="24"/>
        </w:rPr>
        <w:t xml:space="preserve"> 0.14 less than that of the maximum posterior probability.  </w:t>
      </w:r>
      <w:r w:rsidR="00FC7CE5" w:rsidRPr="001B7A8B">
        <w:rPr>
          <w:rFonts w:cs="Times New Roman"/>
          <w:szCs w:val="24"/>
        </w:rPr>
        <w:t>While the statistics for the first qua</w:t>
      </w:r>
      <w:r w:rsidR="0059451E" w:rsidRPr="001B7A8B">
        <w:rPr>
          <w:rFonts w:cs="Times New Roman"/>
          <w:szCs w:val="24"/>
        </w:rPr>
        <w:t>rtile are very similar for LDA and QDA</w:t>
      </w:r>
      <w:r w:rsidR="00FC7CE5" w:rsidRPr="001B7A8B">
        <w:rPr>
          <w:rFonts w:cs="Times New Roman"/>
          <w:szCs w:val="24"/>
        </w:rPr>
        <w:t>, t</w:t>
      </w:r>
      <w:r w:rsidR="00B64FB6" w:rsidRPr="001B7A8B">
        <w:rPr>
          <w:rFonts w:cs="Times New Roman"/>
          <w:szCs w:val="24"/>
        </w:rPr>
        <w:t>he median difference tended to be in the mid-0.30s for LDA and mid-0.20s for QDA.  This confirms that QDAs misses were nearer than LDAs, but neither method’s misclassified obser</w:t>
      </w:r>
      <w:r w:rsidR="0041518C" w:rsidRPr="001B7A8B">
        <w:rPr>
          <w:rFonts w:cs="Times New Roman"/>
          <w:szCs w:val="24"/>
        </w:rPr>
        <w:t>vations are mostly near misses.</w:t>
      </w:r>
    </w:p>
    <w:p w:rsidR="0017720B" w:rsidRDefault="00755BFA" w:rsidP="00755BFA">
      <w:pPr>
        <w:autoSpaceDE w:val="0"/>
        <w:autoSpaceDN w:val="0"/>
        <w:adjustRightInd w:val="0"/>
        <w:spacing w:after="0"/>
        <w:ind w:firstLine="720"/>
        <w:rPr>
          <w:rFonts w:cs="Times New Roman"/>
          <w:szCs w:val="24"/>
        </w:rPr>
      </w:pPr>
      <w:r>
        <w:rPr>
          <w:rFonts w:cs="Times New Roman"/>
          <w:szCs w:val="24"/>
        </w:rPr>
        <w:t>R</w:t>
      </w:r>
      <w:r w:rsidR="00EA0A55">
        <w:rPr>
          <w:rFonts w:cs="Times New Roman"/>
          <w:szCs w:val="24"/>
        </w:rPr>
        <w:t>esearchers should be cautiou</w:t>
      </w:r>
      <w:r w:rsidR="003D64FC">
        <w:rPr>
          <w:rFonts w:cs="Times New Roman"/>
          <w:szCs w:val="24"/>
        </w:rPr>
        <w:t>s when using LDA due to the violat</w:t>
      </w:r>
      <w:r w:rsidR="00C04B8A">
        <w:rPr>
          <w:rFonts w:cs="Times New Roman"/>
          <w:szCs w:val="24"/>
        </w:rPr>
        <w:t>ions of its assumptions, which may complicate interpretations of significance</w:t>
      </w:r>
      <w:r w:rsidR="00A57BA4">
        <w:rPr>
          <w:rFonts w:cs="Times New Roman"/>
          <w:szCs w:val="24"/>
        </w:rPr>
        <w:t xml:space="preserve"> </w:t>
      </w:r>
      <w:r w:rsidR="003731B6">
        <w:rPr>
          <w:rFonts w:cs="Times New Roman"/>
          <w:szCs w:val="24"/>
        </w:rPr>
        <w:fldChar w:fldCharType="begin"/>
      </w:r>
      <w:r w:rsidR="00A57BA4">
        <w:rPr>
          <w:rFonts w:cs="Times New Roman"/>
          <w:szCs w:val="24"/>
        </w:rPr>
        <w:instrText xml:space="preserve"> ADDIN EN.CITE &lt;EndNote&gt;&lt;Cite&gt;&lt;Author&gt;Manly&lt;/Author&gt;&lt;Year&gt;2005&lt;/Year&gt;&lt;RecNum&gt;83&lt;/RecNum&gt;&lt;DisplayText&gt;(Manly, 2005)&lt;/DisplayText&gt;&lt;record&gt;&lt;rec-number&gt;83&lt;/rec-number&gt;&lt;foreign-keys&gt;&lt;key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Hall/CRC&lt;/publisher&gt;&lt;urls&gt;&lt;/urls&gt;&lt;/record&gt;&lt;/Cite&gt;&lt;/EndNote&gt;</w:instrText>
      </w:r>
      <w:r w:rsidR="003731B6">
        <w:rPr>
          <w:rFonts w:cs="Times New Roman"/>
          <w:szCs w:val="24"/>
        </w:rPr>
        <w:fldChar w:fldCharType="separate"/>
      </w:r>
      <w:r w:rsidR="00A57BA4">
        <w:rPr>
          <w:rFonts w:cs="Times New Roman"/>
          <w:noProof/>
          <w:szCs w:val="24"/>
        </w:rPr>
        <w:t>(</w:t>
      </w:r>
      <w:hyperlink w:anchor="_ENREF_38" w:tooltip="Manly, 2005 #83" w:history="1">
        <w:r w:rsidR="001633BC">
          <w:rPr>
            <w:rFonts w:cs="Times New Roman"/>
            <w:noProof/>
            <w:szCs w:val="24"/>
          </w:rPr>
          <w:t>Manly, 2005</w:t>
        </w:r>
      </w:hyperlink>
      <w:r w:rsidR="00A57BA4">
        <w:rPr>
          <w:rFonts w:cs="Times New Roman"/>
          <w:noProof/>
          <w:szCs w:val="24"/>
        </w:rPr>
        <w:t>)</w:t>
      </w:r>
      <w:r w:rsidR="003731B6">
        <w:rPr>
          <w:rFonts w:cs="Times New Roman"/>
          <w:szCs w:val="24"/>
        </w:rPr>
        <w:fldChar w:fldCharType="end"/>
      </w:r>
      <w:r w:rsidR="00656F5D">
        <w:rPr>
          <w:rFonts w:cs="Times New Roman"/>
          <w:szCs w:val="24"/>
        </w:rPr>
        <w:t xml:space="preserve"> and call into question </w:t>
      </w:r>
      <w:r w:rsidR="00B724F4">
        <w:rPr>
          <w:rFonts w:cs="Times New Roman"/>
          <w:szCs w:val="24"/>
        </w:rPr>
        <w:t xml:space="preserve">whether the models </w:t>
      </w:r>
      <w:r w:rsidR="00C63492">
        <w:rPr>
          <w:rFonts w:cs="Times New Roman"/>
          <w:szCs w:val="24"/>
        </w:rPr>
        <w:t>can be generalized</w:t>
      </w:r>
      <w:r w:rsidR="00B724F4">
        <w:rPr>
          <w:rFonts w:cs="Times New Roman"/>
          <w:szCs w:val="24"/>
        </w:rPr>
        <w:t xml:space="preserve"> to out of sample observations</w:t>
      </w:r>
      <w:r w:rsidR="00656F5D">
        <w:rPr>
          <w:rFonts w:cs="Times New Roman"/>
          <w:szCs w:val="24"/>
        </w:rPr>
        <w:t xml:space="preserve"> </w:t>
      </w:r>
      <w:r w:rsidR="003731B6">
        <w:rPr>
          <w:rFonts w:cs="Times New Roman"/>
          <w:szCs w:val="24"/>
        </w:rPr>
        <w:fldChar w:fldCharType="begin"/>
      </w:r>
      <w:r w:rsidR="00656F5D">
        <w:rPr>
          <w:rFonts w:cs="Times New Roman"/>
          <w:szCs w:val="24"/>
        </w:rPr>
        <w:instrText xml:space="preserve"> ADDIN EN.CITE &lt;EndNote&gt;&lt;Cite&gt;&lt;Author&gt;Ousley&lt;/Author&gt;&lt;Year&gt;2012&lt;/Year&gt;&lt;RecNum&gt;345&lt;/RecNum&gt;&lt;DisplayText&gt;(Ousley and Jantz, 2012)&lt;/DisplayText&gt;&lt;record&gt;&lt;rec-number&gt;345&lt;/rec-number&gt;&lt;foreign-keys&gt;&lt;key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rPr>
          <w:rFonts w:cs="Times New Roman"/>
          <w:szCs w:val="24"/>
        </w:rPr>
        <w:fldChar w:fldCharType="separate"/>
      </w:r>
      <w:r w:rsidR="00656F5D">
        <w:rPr>
          <w:rFonts w:cs="Times New Roman"/>
          <w:noProof/>
          <w:szCs w:val="24"/>
        </w:rPr>
        <w:t>(</w:t>
      </w:r>
      <w:hyperlink w:anchor="_ENREF_44" w:tooltip="Ousley, 2012 #345" w:history="1">
        <w:r w:rsidR="001633BC">
          <w:rPr>
            <w:rFonts w:cs="Times New Roman"/>
            <w:noProof/>
            <w:szCs w:val="24"/>
          </w:rPr>
          <w:t>Ousley and Jantz, 2012</w:t>
        </w:r>
      </w:hyperlink>
      <w:r w:rsidR="00656F5D">
        <w:rPr>
          <w:rFonts w:cs="Times New Roman"/>
          <w:noProof/>
          <w:szCs w:val="24"/>
        </w:rPr>
        <w:t>)</w:t>
      </w:r>
      <w:r w:rsidR="003731B6">
        <w:rPr>
          <w:rFonts w:cs="Times New Roman"/>
          <w:szCs w:val="24"/>
        </w:rPr>
        <w:fldChar w:fldCharType="end"/>
      </w:r>
      <w:r w:rsidR="003D64FC">
        <w:rPr>
          <w:rFonts w:cs="Times New Roman"/>
          <w:szCs w:val="24"/>
        </w:rPr>
        <w:t>.</w:t>
      </w:r>
      <w:r w:rsidR="00C63492">
        <w:rPr>
          <w:rFonts w:cs="Times New Roman"/>
          <w:szCs w:val="24"/>
        </w:rPr>
        <w:t xml:space="preserve">  It should also be recognized </w:t>
      </w:r>
      <w:r w:rsidR="00291852">
        <w:rPr>
          <w:rFonts w:cs="Times New Roman"/>
          <w:szCs w:val="24"/>
        </w:rPr>
        <w:t xml:space="preserve">that LDA does not perform optimally under conditions violating its assumptions </w:t>
      </w:r>
      <w:r w:rsidR="003731B6">
        <w:rPr>
          <w:rFonts w:cs="Times New Roman"/>
          <w:szCs w:val="24"/>
        </w:rPr>
        <w:fldChar w:fldCharType="begin"/>
      </w:r>
      <w:r w:rsidR="00291852">
        <w:rPr>
          <w:rFonts w:cs="Times New Roman"/>
          <w:szCs w:val="24"/>
        </w:rPr>
        <w:instrText xml:space="preserve"> ADDIN EN.CITE &lt;EndNote&gt;&lt;Cite&gt;&lt;Author&gt;Huberty&lt;/Author&gt;&lt;Year&gt;2006&lt;/Year&gt;&lt;RecNum&gt;85&lt;/RecNum&gt;&lt;DisplayText&gt;(Huberty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rPr>
          <w:rFonts w:cs="Times New Roman"/>
          <w:szCs w:val="24"/>
        </w:rPr>
        <w:fldChar w:fldCharType="separate"/>
      </w:r>
      <w:r w:rsidR="00291852">
        <w:rPr>
          <w:rFonts w:cs="Times New Roman"/>
          <w:noProof/>
          <w:szCs w:val="24"/>
        </w:rPr>
        <w:t>(</w:t>
      </w:r>
      <w:hyperlink w:anchor="_ENREF_27" w:tooltip="Huberty, 2006 #85" w:history="1">
        <w:r w:rsidR="001633BC">
          <w:rPr>
            <w:rFonts w:cs="Times New Roman"/>
            <w:noProof/>
            <w:szCs w:val="24"/>
          </w:rPr>
          <w:t>Huberty and Olejnik, 2006</w:t>
        </w:r>
      </w:hyperlink>
      <w:r w:rsidR="00291852">
        <w:rPr>
          <w:rFonts w:cs="Times New Roman"/>
          <w:noProof/>
          <w:szCs w:val="24"/>
        </w:rPr>
        <w:t>)</w:t>
      </w:r>
      <w:r w:rsidR="003731B6">
        <w:rPr>
          <w:rFonts w:cs="Times New Roman"/>
          <w:szCs w:val="24"/>
        </w:rPr>
        <w:fldChar w:fldCharType="end"/>
      </w:r>
      <w:r w:rsidR="00291852">
        <w:rPr>
          <w:rFonts w:cs="Times New Roman"/>
          <w:szCs w:val="24"/>
        </w:rPr>
        <w:t>.</w:t>
      </w:r>
      <w:r w:rsidR="0017720B">
        <w:rPr>
          <w:rFonts w:cs="Times New Roman"/>
          <w:szCs w:val="24"/>
        </w:rPr>
        <w:t xml:space="preserve">  </w:t>
      </w:r>
      <w:r w:rsidR="00291852">
        <w:rPr>
          <w:rFonts w:cs="Times New Roman"/>
          <w:szCs w:val="24"/>
        </w:rPr>
        <w:t>While QDA’s assumptions were better upheld, c</w:t>
      </w:r>
      <w:r w:rsidR="00D546B6">
        <w:rPr>
          <w:rFonts w:cs="Times New Roman"/>
          <w:szCs w:val="24"/>
        </w:rPr>
        <w:t xml:space="preserve">aution is also warranted when applying </w:t>
      </w:r>
      <w:r w:rsidR="00291852">
        <w:rPr>
          <w:rFonts w:cs="Times New Roman"/>
          <w:szCs w:val="24"/>
        </w:rPr>
        <w:t>it</w:t>
      </w:r>
      <w:r w:rsidR="00D546B6">
        <w:rPr>
          <w:rFonts w:cs="Times New Roman"/>
          <w:szCs w:val="24"/>
        </w:rPr>
        <w:t xml:space="preserve">.  </w:t>
      </w:r>
      <w:r w:rsidR="003731B6">
        <w:rPr>
          <w:rFonts w:cs="Times New Roman"/>
          <w:szCs w:val="24"/>
        </w:rPr>
        <w:fldChar w:fldCharType="begin"/>
      </w:r>
      <w:r w:rsidR="00D546B6">
        <w:rPr>
          <w:rFonts w:cs="Times New Roman"/>
          <w:szCs w:val="24"/>
        </w:rPr>
        <w:instrText xml:space="preserve"> ADDIN EN.CITE &lt;EndNote&gt;&lt;Cite AuthorYear="1"&gt;&lt;Author&gt;Holden&lt;/Author&gt;&lt;Year&gt;2010&lt;/Year&gt;&lt;RecNum&gt;340&lt;/RecNum&gt;&lt;DisplayText&gt;Holden and Kelley (2010)&lt;/DisplayText&gt;&lt;record&gt;&lt;rec-number&gt;340&lt;/rec-number&gt;&lt;foreign-keys&gt;&lt;key app="EN" db-id="20frpf5eyrpavaevz925sv9t29f5epa9pd2z"&gt;340&lt;/key&gt;&lt;/foreign-keys&gt;&lt;ref-type name="Journal Article"&gt;17&lt;/ref-type&gt;&lt;contributors&gt;&lt;authors&gt;&lt;author&gt;Holden, Jocelyn E&lt;/author&gt;&lt;author&gt;Kelley, Ken&lt;/author&gt;&lt;/authors&gt;&lt;/contributors&gt;&lt;titles&gt;&lt;title&gt;The Effects of Initially Misclassified Data on the Effectiveness of Discriminant Function Analysis and Finite Mixture Modeling&lt;/title&gt;&lt;secondary-title&gt;Educational and Psychological Measurement&lt;/secondary-title&gt;&lt;/titles&gt;&lt;periodical&gt;&lt;full-title&gt;Educational and Psychological Measurement&lt;/full-title&gt;&lt;/periodical&gt;&lt;pages&gt;36-55&lt;/pages&gt;&lt;volume&gt;70&lt;/volume&gt;&lt;number&gt;1&lt;/number&gt;&lt;dates&gt;&lt;year&gt;2010&lt;/year&gt;&lt;/dates&gt;&lt;accession-num&gt;4984777326865920757related:9bJDfJF8LUUJ&lt;/accession-num&gt;&lt;label&gt;r05294&lt;/label&gt;&lt;urls&gt;&lt;related-urls&gt;&lt;url&gt;http://epm.sagepub.com/content/70/1/36.short&lt;/url&gt;&lt;/related-urls&gt;&lt;pdf-urls&gt;&lt;url&gt;file://localhost/Users/mercergm/Library/Application%20Support/Papers2/Articles/2010/Holden/2010%20Holden.pdf&lt;/url&gt;&lt;/pdf-urls&gt;&lt;/urls&gt;&lt;custom3&gt;papers2://publication/uuid/5861145B-816D-4D61-AEA3-76FB36F9F820&lt;/custom3&gt;&lt;language&gt;English&lt;/language&gt;&lt;/record&gt;&lt;/Cite&gt;&lt;/EndNote&gt;</w:instrText>
      </w:r>
      <w:r w:rsidR="003731B6">
        <w:rPr>
          <w:rFonts w:cs="Times New Roman"/>
          <w:szCs w:val="24"/>
        </w:rPr>
        <w:fldChar w:fldCharType="separate"/>
      </w:r>
      <w:hyperlink w:anchor="_ENREF_23" w:tooltip="Holden, 2010 #340" w:history="1">
        <w:r w:rsidR="001633BC">
          <w:rPr>
            <w:rFonts w:cs="Times New Roman"/>
            <w:noProof/>
            <w:szCs w:val="24"/>
          </w:rPr>
          <w:t>Holden and Kelley (2010</w:t>
        </w:r>
      </w:hyperlink>
      <w:r w:rsidR="00D546B6">
        <w:rPr>
          <w:rFonts w:cs="Times New Roman"/>
          <w:noProof/>
          <w:szCs w:val="24"/>
        </w:rPr>
        <w:t>)</w:t>
      </w:r>
      <w:r w:rsidR="003731B6">
        <w:rPr>
          <w:rFonts w:cs="Times New Roman"/>
          <w:szCs w:val="24"/>
        </w:rPr>
        <w:fldChar w:fldCharType="end"/>
      </w:r>
      <w:r w:rsidR="00D546B6">
        <w:rPr>
          <w:rFonts w:cs="Times New Roman"/>
          <w:szCs w:val="24"/>
        </w:rPr>
        <w:t xml:space="preserve"> note QDA’s increased sensitivity to misclassific</w:t>
      </w:r>
      <w:r w:rsidR="00FE36D1">
        <w:rPr>
          <w:rFonts w:cs="Times New Roman"/>
          <w:szCs w:val="24"/>
        </w:rPr>
        <w:t>at</w:t>
      </w:r>
      <w:r w:rsidR="00D546B6">
        <w:rPr>
          <w:rFonts w:cs="Times New Roman"/>
          <w:szCs w:val="24"/>
        </w:rPr>
        <w:t xml:space="preserve">ions and errors in the training data.  Furthermore, QDA is known for developing </w:t>
      </w:r>
      <w:r w:rsidR="00FD4E26">
        <w:rPr>
          <w:rFonts w:cs="Times New Roman"/>
          <w:szCs w:val="24"/>
        </w:rPr>
        <w:t>over-fit</w:t>
      </w:r>
      <w:r w:rsidR="00D546B6">
        <w:rPr>
          <w:rFonts w:cs="Times New Roman"/>
          <w:szCs w:val="24"/>
        </w:rPr>
        <w:t xml:space="preserve"> models that do not perform as well on out of sample data.</w:t>
      </w:r>
      <w:r w:rsidR="006A5023">
        <w:rPr>
          <w:rFonts w:cs="Times New Roman"/>
          <w:szCs w:val="24"/>
        </w:rPr>
        <w:t xml:space="preserve">  Thus, models developed on available data may be optimistic when applied to new instances.</w:t>
      </w:r>
    </w:p>
    <w:p w:rsidR="00076AFD" w:rsidRPr="00A7548C" w:rsidRDefault="0017720B" w:rsidP="00C32092">
      <w:pPr>
        <w:autoSpaceDE w:val="0"/>
        <w:autoSpaceDN w:val="0"/>
        <w:adjustRightInd w:val="0"/>
        <w:spacing w:after="0"/>
        <w:ind w:firstLine="720"/>
        <w:rPr>
          <w:rFonts w:cs="Times New Roman"/>
          <w:szCs w:val="24"/>
        </w:rPr>
      </w:pPr>
      <w:r>
        <w:rPr>
          <w:rFonts w:cs="Times New Roman"/>
          <w:szCs w:val="24"/>
        </w:rPr>
        <w:t xml:space="preserve">A significant advantage of </w:t>
      </w:r>
      <w:proofErr w:type="gramStart"/>
      <w:r>
        <w:rPr>
          <w:rFonts w:cs="Times New Roman"/>
          <w:szCs w:val="24"/>
        </w:rPr>
        <w:t>LDA,</w:t>
      </w:r>
      <w:proofErr w:type="gramEnd"/>
      <w:r>
        <w:rPr>
          <w:rFonts w:cs="Times New Roman"/>
          <w:szCs w:val="24"/>
        </w:rPr>
        <w:t xml:space="preserve"> is the availability of variable selection techniques that may find a subset of the original variables that most accurately predicts group.  This simplifies the analysis and interpretation by reducing dimensionality.  It also leads to the creation of more parsimonious models, which are generally more accurate in a predictive analysis </w:t>
      </w:r>
      <w:r w:rsidR="003731B6">
        <w:rPr>
          <w:rFonts w:cs="Times New Roman"/>
          <w:szCs w:val="24"/>
        </w:rPr>
        <w:fldChar w:fldCharType="begin"/>
      </w:r>
      <w:r>
        <w:rPr>
          <w:rFonts w:cs="Times New Roman"/>
          <w:szCs w:val="24"/>
        </w:rPr>
        <w:instrText xml:space="preserve"> ADDIN EN.CITE &lt;EndNote&gt;&lt;Cite&gt;&lt;Author&gt;Huberty&lt;/Author&gt;&lt;Year&gt;2006&lt;/Year&gt;&lt;RecNum&gt;85&lt;/RecNum&gt;&lt;DisplayText&gt;(Huberty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Sons&lt;/publisher&gt;&lt;urls&gt;&lt;/urls&gt;&lt;/record&gt;&lt;/Cite&gt;&lt;/EndNote&gt;</w:instrText>
      </w:r>
      <w:r w:rsidR="003731B6">
        <w:rPr>
          <w:rFonts w:cs="Times New Roman"/>
          <w:szCs w:val="24"/>
        </w:rPr>
        <w:fldChar w:fldCharType="separate"/>
      </w:r>
      <w:r>
        <w:rPr>
          <w:rFonts w:cs="Times New Roman"/>
          <w:noProof/>
          <w:szCs w:val="24"/>
        </w:rPr>
        <w:t>(</w:t>
      </w:r>
      <w:hyperlink w:anchor="_ENREF_27" w:tooltip="Huberty, 2006 #85" w:history="1">
        <w:r w:rsidR="001633BC">
          <w:rPr>
            <w:rFonts w:cs="Times New Roman"/>
            <w:noProof/>
            <w:szCs w:val="24"/>
          </w:rPr>
          <w:t>Huberty and Olejnik, 2006</w:t>
        </w:r>
      </w:hyperlink>
      <w:r>
        <w:rPr>
          <w:rFonts w:cs="Times New Roman"/>
          <w:noProof/>
          <w:szCs w:val="24"/>
        </w:rPr>
        <w:t>)</w:t>
      </w:r>
      <w:r w:rsidR="003731B6">
        <w:rPr>
          <w:rFonts w:cs="Times New Roman"/>
          <w:szCs w:val="24"/>
        </w:rPr>
        <w:fldChar w:fldCharType="end"/>
      </w:r>
      <w:r>
        <w:rPr>
          <w:rFonts w:cs="Times New Roman"/>
          <w:szCs w:val="24"/>
        </w:rPr>
        <w:t xml:space="preserve">.  However, it is not always the case that the most </w:t>
      </w:r>
      <w:r w:rsidR="00D31BC2">
        <w:rPr>
          <w:rFonts w:cs="Times New Roman"/>
          <w:szCs w:val="24"/>
        </w:rPr>
        <w:t>parsimonious</w:t>
      </w:r>
      <w:r>
        <w:rPr>
          <w:rFonts w:cs="Times New Roman"/>
          <w:szCs w:val="24"/>
        </w:rPr>
        <w:t xml:space="preserve"> model is found by variable selection or that the selected variables are actually significant predictors of group membership.  </w:t>
      </w:r>
      <w:r w:rsidR="003731B6">
        <w:rPr>
          <w:rFonts w:cs="Times New Roman"/>
          <w:szCs w:val="24"/>
        </w:rPr>
        <w:fldChar w:fldCharType="begin"/>
      </w:r>
      <w:r>
        <w:rPr>
          <w:rFonts w:cs="Times New Roman"/>
          <w:szCs w:val="24"/>
        </w:rPr>
        <w:instrText xml:space="preserve"> ADDIN EN.CITE &lt;EndNote&gt;&lt;Cite AuthorYear="1"&gt;&lt;Author&gt;Manly&lt;/Author&gt;&lt;Year&gt;2005&lt;/Year&gt;&lt;RecNum&gt;83&lt;/RecNum&gt;&lt;DisplayText&gt;Manly (2005)&lt;/DisplayText&gt;&lt;record&gt;&lt;rec-number&gt;83&lt;/rec-number&gt;&lt;foreign-keys&gt;&lt;key app="EN" db-id="20frpf5eyrpavaevz925sv9t29f5epa9pd2z"&gt;83&lt;/key&gt;&lt;/foreign-keys&gt;&lt;ref-type name="Book"&gt;6&lt;/ref-type&gt;&lt;contributors&gt;&lt;authors&gt;&lt;author&gt;Manly, Bryan F. J.&lt;/author&gt;&lt;/authors&gt;&lt;/contributors&gt;&lt;titles&gt;&lt;title&gt;Multivariate statistical methods: a primer&lt;/title&gt;&lt;/titles&gt;&lt;dates&gt;&lt;year&gt;2005&lt;/year&gt;&lt;/dates&gt;&lt;pub-location&gt;New York, NY&lt;/pub-location&gt;&lt;publisher&gt;Chapman &amp;amp; Hall/CRC&lt;/publisher&gt;&lt;urls&gt;&lt;/urls&gt;&lt;/record&gt;&lt;/Cite&gt;&lt;/EndNote&gt;</w:instrText>
      </w:r>
      <w:r w:rsidR="003731B6">
        <w:rPr>
          <w:rFonts w:cs="Times New Roman"/>
          <w:szCs w:val="24"/>
        </w:rPr>
        <w:fldChar w:fldCharType="separate"/>
      </w:r>
      <w:hyperlink w:anchor="_ENREF_38" w:tooltip="Manly, 2005 #83" w:history="1">
        <w:r w:rsidR="001633BC">
          <w:rPr>
            <w:rFonts w:cs="Times New Roman"/>
            <w:noProof/>
            <w:szCs w:val="24"/>
          </w:rPr>
          <w:t>Manly (2005</w:t>
        </w:r>
      </w:hyperlink>
      <w:r>
        <w:rPr>
          <w:rFonts w:cs="Times New Roman"/>
          <w:noProof/>
          <w:szCs w:val="24"/>
        </w:rPr>
        <w:t>)</w:t>
      </w:r>
      <w:r w:rsidR="003731B6">
        <w:rPr>
          <w:rFonts w:cs="Times New Roman"/>
          <w:szCs w:val="24"/>
        </w:rPr>
        <w:fldChar w:fldCharType="end"/>
      </w:r>
      <w:r>
        <w:rPr>
          <w:rFonts w:cs="Times New Roman"/>
          <w:szCs w:val="24"/>
        </w:rPr>
        <w:t xml:space="preserve"> explains that, given enough variables, it is possible for variable selection procedures to find a significant subset simpl</w:t>
      </w:r>
      <w:r w:rsidR="00A7548C">
        <w:rPr>
          <w:rFonts w:cs="Times New Roman"/>
          <w:szCs w:val="24"/>
        </w:rPr>
        <w:t>y by chance.  This analysis was</w:t>
      </w:r>
      <w:r>
        <w:rPr>
          <w:rFonts w:cs="Times New Roman"/>
          <w:szCs w:val="24"/>
        </w:rPr>
        <w:t xml:space="preserve"> a </w:t>
      </w:r>
      <w:r w:rsidR="00A7548C">
        <w:rPr>
          <w:rFonts w:cs="Times New Roman"/>
          <w:szCs w:val="24"/>
        </w:rPr>
        <w:t xml:space="preserve">good </w:t>
      </w:r>
      <w:r>
        <w:rPr>
          <w:rFonts w:cs="Times New Roman"/>
          <w:szCs w:val="24"/>
        </w:rPr>
        <w:t xml:space="preserve">demonstration of how a greater number of variables can be selected </w:t>
      </w:r>
      <w:r w:rsidR="00A7548C">
        <w:rPr>
          <w:rFonts w:cs="Times New Roman"/>
          <w:szCs w:val="24"/>
        </w:rPr>
        <w:t>than are necessary</w:t>
      </w:r>
      <w:r>
        <w:rPr>
          <w:rFonts w:cs="Times New Roman"/>
          <w:szCs w:val="24"/>
        </w:rPr>
        <w:t xml:space="preserve">.  The stepwise selection found a subset of 13 </w:t>
      </w:r>
      <w:r w:rsidR="00A7548C">
        <w:rPr>
          <w:rFonts w:cs="Times New Roman"/>
          <w:szCs w:val="24"/>
        </w:rPr>
        <w:t>s</w:t>
      </w:r>
      <w:r w:rsidR="00D31BC2">
        <w:rPr>
          <w:rFonts w:cs="Times New Roman"/>
          <w:szCs w:val="24"/>
        </w:rPr>
        <w:t>ignificant variables.  However,</w:t>
      </w:r>
      <w:r w:rsidR="00A7548C">
        <w:rPr>
          <w:rFonts w:cs="Times New Roman"/>
          <w:szCs w:val="24"/>
        </w:rPr>
        <w:t xml:space="preserve"> the selection statistics </w:t>
      </w:r>
      <w:r w:rsidR="00D31BC2">
        <w:rPr>
          <w:rFonts w:cs="Times New Roman"/>
          <w:szCs w:val="24"/>
        </w:rPr>
        <w:t>showed</w:t>
      </w:r>
      <w:r w:rsidR="00A7548C">
        <w:rPr>
          <w:rFonts w:cs="Times New Roman"/>
          <w:szCs w:val="24"/>
        </w:rPr>
        <w:t xml:space="preserve"> that the partial R</w:t>
      </w:r>
      <w:r w:rsidR="00A7548C">
        <w:rPr>
          <w:rFonts w:cs="Times New Roman"/>
          <w:szCs w:val="24"/>
          <w:vertAlign w:val="superscript"/>
        </w:rPr>
        <w:t>2</w:t>
      </w:r>
      <w:r w:rsidR="00A7548C">
        <w:rPr>
          <w:rFonts w:cs="Times New Roman"/>
          <w:szCs w:val="24"/>
        </w:rPr>
        <w:t xml:space="preserve"> for many of the variables was very small.  Removing the variables one by one in a backward manner while observing the classification rates resulted in the selection of a six-variable model that performed equally as well as the 13-variable model</w:t>
      </w:r>
      <w:r w:rsidR="003E02A2">
        <w:rPr>
          <w:rFonts w:cs="Times New Roman"/>
          <w:szCs w:val="24"/>
        </w:rPr>
        <w:t xml:space="preserve"> on the holdout</w:t>
      </w:r>
      <w:r w:rsidR="00A7548C">
        <w:rPr>
          <w:rFonts w:cs="Times New Roman"/>
          <w:szCs w:val="24"/>
        </w:rPr>
        <w:t>.</w:t>
      </w:r>
      <w:r w:rsidR="00AA62DF">
        <w:rPr>
          <w:rFonts w:cs="Times New Roman"/>
          <w:szCs w:val="24"/>
        </w:rPr>
        <w:t xml:space="preserve">  However, observation of the cross-validation may lead to the selection of a 12 or 11 variable model.</w:t>
      </w:r>
      <w:r w:rsidR="000B2800">
        <w:rPr>
          <w:rFonts w:cs="Times New Roman"/>
          <w:szCs w:val="24"/>
        </w:rPr>
        <w:t xml:space="preserve">  While the 6-</w:t>
      </w:r>
      <w:r w:rsidR="00B22A43">
        <w:rPr>
          <w:rFonts w:cs="Times New Roman"/>
          <w:szCs w:val="24"/>
        </w:rPr>
        <w:t xml:space="preserve">variable model is more parsimonious, the </w:t>
      </w:r>
      <w:r w:rsidR="000B2800">
        <w:rPr>
          <w:rFonts w:cs="Times New Roman"/>
          <w:szCs w:val="24"/>
        </w:rPr>
        <w:t>13-</w:t>
      </w:r>
      <w:r w:rsidR="00B22A43">
        <w:rPr>
          <w:rFonts w:cs="Times New Roman"/>
          <w:szCs w:val="24"/>
        </w:rPr>
        <w:t xml:space="preserve">variable model classification rates do not suggest that it is </w:t>
      </w:r>
      <w:r w:rsidR="00FD4E26">
        <w:rPr>
          <w:rFonts w:cs="Times New Roman"/>
          <w:szCs w:val="24"/>
        </w:rPr>
        <w:t>over-fit</w:t>
      </w:r>
      <w:r w:rsidR="000B2800">
        <w:rPr>
          <w:rFonts w:cs="Times New Roman"/>
          <w:szCs w:val="24"/>
        </w:rPr>
        <w:t>; the various classification rate estimates are reasonably close</w:t>
      </w:r>
      <w:r w:rsidR="00B22A43">
        <w:rPr>
          <w:rFonts w:cs="Times New Roman"/>
          <w:szCs w:val="24"/>
        </w:rPr>
        <w:t>.</w:t>
      </w:r>
      <w:r w:rsidR="00A7548C">
        <w:rPr>
          <w:rFonts w:cs="Times New Roman"/>
          <w:szCs w:val="24"/>
        </w:rPr>
        <w:t xml:space="preserve">  </w:t>
      </w:r>
      <w:r w:rsidR="00EB40AB">
        <w:rPr>
          <w:rFonts w:cs="Times New Roman"/>
          <w:szCs w:val="24"/>
        </w:rPr>
        <w:t>I</w:t>
      </w:r>
      <w:r w:rsidR="00A7548C">
        <w:rPr>
          <w:rFonts w:cs="Times New Roman"/>
          <w:szCs w:val="24"/>
        </w:rPr>
        <w:t>t is</w:t>
      </w:r>
      <w:r w:rsidR="00EB40AB">
        <w:rPr>
          <w:rFonts w:cs="Times New Roman"/>
          <w:szCs w:val="24"/>
        </w:rPr>
        <w:t xml:space="preserve"> also</w:t>
      </w:r>
      <w:r w:rsidR="00A7548C">
        <w:rPr>
          <w:rFonts w:cs="Times New Roman"/>
          <w:szCs w:val="24"/>
        </w:rPr>
        <w:t xml:space="preserve"> possible for variables that are not significant in the selection to contribute to classification.</w:t>
      </w:r>
      <w:r w:rsidR="00D31BC2">
        <w:rPr>
          <w:rFonts w:cs="Times New Roman"/>
          <w:szCs w:val="24"/>
        </w:rPr>
        <w:t xml:space="preserve">  Careful attention should be paid to the results of a variabl</w:t>
      </w:r>
      <w:r w:rsidR="00B3408F">
        <w:rPr>
          <w:rFonts w:cs="Times New Roman"/>
          <w:szCs w:val="24"/>
        </w:rPr>
        <w:t>e selection for these reasons.</w:t>
      </w:r>
    </w:p>
    <w:p w:rsidR="00294125" w:rsidRDefault="00076AFD" w:rsidP="00C32092">
      <w:pPr>
        <w:autoSpaceDE w:val="0"/>
        <w:autoSpaceDN w:val="0"/>
        <w:adjustRightInd w:val="0"/>
        <w:spacing w:after="0"/>
        <w:ind w:firstLine="720"/>
        <w:rPr>
          <w:rFonts w:cs="Times New Roman"/>
          <w:szCs w:val="24"/>
        </w:rPr>
      </w:pPr>
      <w:r>
        <w:rPr>
          <w:rFonts w:cs="Times New Roman"/>
          <w:szCs w:val="24"/>
        </w:rPr>
        <w:t xml:space="preserve">KNN analysis had erratic classification estimates.  The </w:t>
      </w:r>
      <w:r w:rsidR="009462B3">
        <w:rPr>
          <w:rFonts w:cs="Times New Roman"/>
          <w:szCs w:val="24"/>
        </w:rPr>
        <w:t>re-substitution</w:t>
      </w:r>
      <w:r>
        <w:rPr>
          <w:rFonts w:cs="Times New Roman"/>
          <w:szCs w:val="24"/>
        </w:rPr>
        <w:t xml:space="preserve"> rate rapidly rose with the addition of new variables, while the cross-validation and holdout rates were not as greatly affected.  The cross-validation rate is also lower than the holdout rate in both the </w:t>
      </w:r>
      <w:r>
        <w:rPr>
          <w:rFonts w:cs="Times New Roman"/>
          <w:i/>
          <w:szCs w:val="24"/>
        </w:rPr>
        <w:t>k</w:t>
      </w:r>
      <w:r>
        <w:rPr>
          <w:rFonts w:cs="Times New Roman"/>
          <w:szCs w:val="24"/>
        </w:rPr>
        <w:t xml:space="preserve">=3 and </w:t>
      </w:r>
      <w:r>
        <w:rPr>
          <w:rFonts w:cs="Times New Roman"/>
          <w:i/>
          <w:szCs w:val="24"/>
        </w:rPr>
        <w:t>k</w:t>
      </w:r>
      <w:r>
        <w:rPr>
          <w:rFonts w:cs="Times New Roman"/>
          <w:szCs w:val="24"/>
        </w:rPr>
        <w:t>=1 cases.</w:t>
      </w:r>
      <w:r w:rsidR="00736AF2">
        <w:rPr>
          <w:rFonts w:cs="Times New Roman"/>
          <w:szCs w:val="24"/>
        </w:rPr>
        <w:t xml:space="preserve">  </w:t>
      </w:r>
      <w:r w:rsidR="00F81AFF">
        <w:rPr>
          <w:rFonts w:cs="Times New Roman"/>
          <w:szCs w:val="24"/>
        </w:rPr>
        <w:t>T</w:t>
      </w:r>
      <w:r w:rsidR="00736AF2">
        <w:rPr>
          <w:rFonts w:cs="Times New Roman"/>
          <w:szCs w:val="24"/>
        </w:rPr>
        <w:t xml:space="preserve">he strange patterns and behavior of the classification rates are cause for concern.  Typically, large differences between internal and out-of-sample classification rates are indicative of an </w:t>
      </w:r>
      <w:r w:rsidR="00FD4E26">
        <w:rPr>
          <w:rFonts w:cs="Times New Roman"/>
          <w:szCs w:val="24"/>
        </w:rPr>
        <w:t>over-fit</w:t>
      </w:r>
      <w:r w:rsidR="00301606">
        <w:rPr>
          <w:rFonts w:cs="Times New Roman"/>
          <w:szCs w:val="24"/>
        </w:rPr>
        <w:t xml:space="preserve"> model.  </w:t>
      </w:r>
      <w:r w:rsidR="00954936">
        <w:rPr>
          <w:rFonts w:cs="Times New Roman"/>
          <w:szCs w:val="24"/>
        </w:rPr>
        <w:t>I</w:t>
      </w:r>
      <w:r w:rsidR="00301606">
        <w:rPr>
          <w:rFonts w:cs="Times New Roman"/>
          <w:szCs w:val="24"/>
        </w:rPr>
        <w:t>n this case</w:t>
      </w:r>
      <w:r w:rsidR="00954936">
        <w:rPr>
          <w:rFonts w:cs="Times New Roman"/>
          <w:szCs w:val="24"/>
        </w:rPr>
        <w:t xml:space="preserve"> it seems that KNN models can become </w:t>
      </w:r>
      <w:r w:rsidR="00FD4E26">
        <w:rPr>
          <w:rFonts w:cs="Times New Roman"/>
          <w:szCs w:val="24"/>
        </w:rPr>
        <w:t>over-fit</w:t>
      </w:r>
      <w:r w:rsidR="00954936">
        <w:rPr>
          <w:rFonts w:cs="Times New Roman"/>
          <w:szCs w:val="24"/>
        </w:rPr>
        <w:t xml:space="preserve"> very rapidly.</w:t>
      </w:r>
      <w:r w:rsidR="00736AF2">
        <w:rPr>
          <w:rFonts w:cs="Times New Roman"/>
          <w:szCs w:val="24"/>
        </w:rPr>
        <w:t xml:space="preserve"> </w:t>
      </w:r>
      <w:r w:rsidR="00954936">
        <w:rPr>
          <w:rFonts w:cs="Times New Roman"/>
          <w:szCs w:val="24"/>
        </w:rPr>
        <w:t xml:space="preserve"> L</w:t>
      </w:r>
      <w:r w:rsidR="00736AF2">
        <w:rPr>
          <w:rFonts w:cs="Times New Roman"/>
          <w:szCs w:val="24"/>
        </w:rPr>
        <w:t xml:space="preserve">arge differences </w:t>
      </w:r>
      <w:r w:rsidR="00954936">
        <w:rPr>
          <w:rFonts w:cs="Times New Roman"/>
          <w:szCs w:val="24"/>
        </w:rPr>
        <w:t xml:space="preserve">between the </w:t>
      </w:r>
      <w:r w:rsidR="009462B3">
        <w:rPr>
          <w:rFonts w:cs="Times New Roman"/>
          <w:szCs w:val="24"/>
        </w:rPr>
        <w:t>re-substitution</w:t>
      </w:r>
      <w:r w:rsidR="00954936">
        <w:rPr>
          <w:rFonts w:cs="Times New Roman"/>
          <w:szCs w:val="24"/>
        </w:rPr>
        <w:t xml:space="preserve"> and jackknife and holdout rates </w:t>
      </w:r>
      <w:r w:rsidR="00736AF2">
        <w:rPr>
          <w:rFonts w:cs="Times New Roman"/>
          <w:szCs w:val="24"/>
        </w:rPr>
        <w:t>occur with a two-variable model</w:t>
      </w:r>
      <w:r w:rsidR="00056382">
        <w:rPr>
          <w:rFonts w:cs="Times New Roman"/>
          <w:szCs w:val="24"/>
        </w:rPr>
        <w:t>.</w:t>
      </w:r>
      <w:r w:rsidR="00294125">
        <w:rPr>
          <w:rFonts w:cs="Times New Roman"/>
          <w:szCs w:val="24"/>
        </w:rPr>
        <w:t xml:space="preserve">  Furthermore, holdout rates do not rise very high before beginning to fall with either KNN model.</w:t>
      </w:r>
      <w:r w:rsidR="00316625">
        <w:rPr>
          <w:rFonts w:cs="Times New Roman"/>
          <w:szCs w:val="24"/>
        </w:rPr>
        <w:t xml:space="preserve"> </w:t>
      </w:r>
    </w:p>
    <w:p w:rsidR="00A038CE" w:rsidRPr="00026A96" w:rsidRDefault="00316625" w:rsidP="00C32092">
      <w:pPr>
        <w:autoSpaceDE w:val="0"/>
        <w:autoSpaceDN w:val="0"/>
        <w:adjustRightInd w:val="0"/>
        <w:spacing w:after="0"/>
        <w:ind w:firstLine="720"/>
        <w:rPr>
          <w:rFonts w:cs="Times New Roman"/>
          <w:szCs w:val="24"/>
        </w:rPr>
      </w:pPr>
      <w:r w:rsidRPr="00026A96">
        <w:rPr>
          <w:rFonts w:cs="Times New Roman"/>
          <w:szCs w:val="24"/>
        </w:rPr>
        <w:t xml:space="preserve">It is not clear as to why </w:t>
      </w:r>
      <w:r w:rsidR="00891397" w:rsidRPr="00026A96">
        <w:rPr>
          <w:rFonts w:cs="Times New Roman"/>
          <w:szCs w:val="24"/>
        </w:rPr>
        <w:t xml:space="preserve">there is </w:t>
      </w:r>
      <w:r w:rsidRPr="00026A96">
        <w:rPr>
          <w:rFonts w:cs="Times New Roman"/>
          <w:szCs w:val="24"/>
        </w:rPr>
        <w:t xml:space="preserve">such a great difference between the </w:t>
      </w:r>
      <w:r w:rsidR="009462B3" w:rsidRPr="00026A96">
        <w:rPr>
          <w:rFonts w:cs="Times New Roman"/>
          <w:szCs w:val="24"/>
        </w:rPr>
        <w:t>re-substitution</w:t>
      </w:r>
      <w:r w:rsidRPr="00026A96">
        <w:rPr>
          <w:rFonts w:cs="Times New Roman"/>
          <w:szCs w:val="24"/>
        </w:rPr>
        <w:t xml:space="preserve"> and leave-one-out cross-validation rates.</w:t>
      </w:r>
      <w:r w:rsidR="009C37DD" w:rsidRPr="00026A96">
        <w:rPr>
          <w:rFonts w:cs="Times New Roman"/>
          <w:szCs w:val="24"/>
        </w:rPr>
        <w:t xml:space="preserve">  KNN does not construct functions for classification, it classifies by observing group membership of nearby observations.  Thus, if leave-one-out cross-validation is as simple as taking an observation out of the data set and then reclassifying it based upon the training sample, then the </w:t>
      </w:r>
      <w:r w:rsidR="009462B3" w:rsidRPr="00026A96">
        <w:rPr>
          <w:rFonts w:cs="Times New Roman"/>
          <w:szCs w:val="24"/>
        </w:rPr>
        <w:t>re-substitution</w:t>
      </w:r>
      <w:r w:rsidR="009C37DD" w:rsidRPr="00026A96">
        <w:rPr>
          <w:rFonts w:cs="Times New Roman"/>
          <w:szCs w:val="24"/>
        </w:rPr>
        <w:t xml:space="preserve"> and cross-validation classification rates would be identical, or at leas</w:t>
      </w:r>
      <w:r w:rsidR="00B361A6" w:rsidRPr="00026A96">
        <w:rPr>
          <w:rFonts w:cs="Times New Roman"/>
          <w:szCs w:val="24"/>
        </w:rPr>
        <w:t xml:space="preserve">t nearly so; upon being placed back into the training sample, the </w:t>
      </w:r>
      <w:r w:rsidR="00A038CE" w:rsidRPr="00026A96">
        <w:rPr>
          <w:rFonts w:cs="Times New Roman"/>
          <w:szCs w:val="24"/>
        </w:rPr>
        <w:t>left</w:t>
      </w:r>
      <w:r w:rsidR="00B361A6" w:rsidRPr="00026A96">
        <w:rPr>
          <w:rFonts w:cs="Times New Roman"/>
          <w:szCs w:val="24"/>
        </w:rPr>
        <w:t xml:space="preserve"> out observation should have the same nearest neighbors as it did when creating the </w:t>
      </w:r>
      <w:r w:rsidR="009462B3" w:rsidRPr="00026A96">
        <w:rPr>
          <w:rFonts w:cs="Times New Roman"/>
          <w:szCs w:val="24"/>
        </w:rPr>
        <w:t>re-substitution</w:t>
      </w:r>
      <w:r w:rsidR="00B361A6" w:rsidRPr="00026A96">
        <w:rPr>
          <w:rFonts w:cs="Times New Roman"/>
          <w:szCs w:val="24"/>
        </w:rPr>
        <w:t xml:space="preserve"> classifications.</w:t>
      </w:r>
      <w:r w:rsidR="00A038CE" w:rsidRPr="00026A96">
        <w:rPr>
          <w:rFonts w:cs="Times New Roman"/>
          <w:szCs w:val="24"/>
        </w:rPr>
        <w:t xml:space="preserve">  This is especially true in SAS because it calculates distances using a covariance matrix that includes the left out observation.</w:t>
      </w:r>
      <w:r w:rsidR="009C37DD" w:rsidRPr="00026A96">
        <w:rPr>
          <w:rFonts w:cs="Times New Roman"/>
          <w:szCs w:val="24"/>
        </w:rPr>
        <w:t xml:space="preserve">  </w:t>
      </w:r>
      <w:r w:rsidR="00505D2E" w:rsidRPr="00026A96">
        <w:rPr>
          <w:rFonts w:cs="Times New Roman"/>
          <w:szCs w:val="24"/>
        </w:rPr>
        <w:t>Unfortunately, the SAS documentation is not clear on exactly how it performs leave-one-out cross-validation for the k-nearest neighbor procedure.</w:t>
      </w:r>
    </w:p>
    <w:p w:rsidR="001353AD" w:rsidRPr="008659CB" w:rsidRDefault="00122860" w:rsidP="00C32092">
      <w:pPr>
        <w:autoSpaceDE w:val="0"/>
        <w:autoSpaceDN w:val="0"/>
        <w:adjustRightInd w:val="0"/>
        <w:spacing w:after="0"/>
        <w:ind w:firstLine="720"/>
        <w:rPr>
          <w:rFonts w:cs="Times New Roman"/>
          <w:szCs w:val="24"/>
        </w:rPr>
      </w:pPr>
      <w:r w:rsidRPr="00026A96">
        <w:rPr>
          <w:rFonts w:cs="Times New Roman"/>
          <w:szCs w:val="24"/>
        </w:rPr>
        <w:t>Dimensionality is o</w:t>
      </w:r>
      <w:r w:rsidR="00294125" w:rsidRPr="00026A96">
        <w:rPr>
          <w:rFonts w:cs="Times New Roman"/>
          <w:szCs w:val="24"/>
        </w:rPr>
        <w:t xml:space="preserve">ne possible explanation </w:t>
      </w:r>
      <w:r w:rsidRPr="00026A96">
        <w:rPr>
          <w:rFonts w:cs="Times New Roman"/>
          <w:szCs w:val="24"/>
        </w:rPr>
        <w:t xml:space="preserve">for the large difference between the </w:t>
      </w:r>
      <w:r w:rsidR="009462B3" w:rsidRPr="00026A96">
        <w:rPr>
          <w:rFonts w:cs="Times New Roman"/>
          <w:szCs w:val="24"/>
        </w:rPr>
        <w:t>re-substitution</w:t>
      </w:r>
      <w:r w:rsidRPr="00026A96">
        <w:rPr>
          <w:rFonts w:cs="Times New Roman"/>
          <w:szCs w:val="24"/>
        </w:rPr>
        <w:t xml:space="preserve"> and cross-validation classification rates</w:t>
      </w:r>
      <w:r w:rsidR="00294125" w:rsidRPr="00026A96">
        <w:rPr>
          <w:rFonts w:cs="Times New Roman"/>
          <w:szCs w:val="24"/>
        </w:rPr>
        <w:t xml:space="preserve">.  </w:t>
      </w:r>
      <w:r w:rsidR="003731B6" w:rsidRPr="00026A96">
        <w:rPr>
          <w:rFonts w:cs="Times New Roman"/>
          <w:szCs w:val="24"/>
        </w:rPr>
        <w:fldChar w:fldCharType="begin"/>
      </w:r>
      <w:r w:rsidR="00294125" w:rsidRPr="00026A96">
        <w:rPr>
          <w:rFonts w:cs="Times New Roman"/>
          <w:szCs w:val="24"/>
        </w:rPr>
        <w:instrText xml:space="preserve"> ADDIN EN.CITE &lt;EndNote&gt;&lt;Cite AuthorYear="1"&gt;&lt;Author&gt;Beyer&lt;/Author&gt;&lt;Year&gt;1999&lt;/Year&gt;&lt;RecNum&gt;402&lt;/RecNum&gt;&lt;DisplayText&gt;Beyer&lt;style face="italic"&gt; et al.&lt;/style&gt; (1999)&lt;/DisplayText&gt;&lt;record&gt;&lt;rec-number&gt;402&lt;/rec-number&gt;&lt;foreign-keys&gt;&lt;key app="EN" db-id="20frpf5eyrpavaevz925sv9t29f5epa9pd2z"&gt;402&lt;/key&gt;&lt;/foreign-keys&gt;&lt;ref-type name="Journal Article"&gt;17&lt;/ref-type&gt;&lt;contributors&gt;&lt;authors&gt;&lt;author&gt;Beyer, Kevin&lt;/author&gt;&lt;author&gt;Goldstein, Jonathan&lt;/author&gt;&lt;author&gt;Ramakrishnan, Raghu&lt;/author&gt;&lt;author&gt;Shaft, Uri&lt;/author&gt;&lt;/authors&gt;&lt;/contributors&gt;&lt;titles&gt;&lt;title&gt;When is “nearest neighbor” meaningful?&lt;/title&gt;&lt;/titles&gt;&lt;pages&gt;217-235&lt;/pages&gt;&lt;volume&gt;1540&lt;/volume&gt;&lt;dates&gt;&lt;year&gt;1999&lt;/year&gt;&lt;/dates&gt;&lt;publisher&gt;Springer&lt;/publisher&gt;&lt;isbn&gt;3540654526&lt;/isbn&gt;&lt;accession-num&gt;1087694559670927655related:J4FPbXBEGA8J&lt;/accession-num&gt;&lt;label&gt;r05933&lt;/label&gt;&lt;urls&gt;&lt;related-urls&gt;&lt;url&gt;http://link.springer.com/chapter/10.1007/3-540-49257-7_15&lt;/url&gt;&lt;/related-urls&gt;&lt;pdf-urls&gt;&lt;url&gt;file://localhost/Users/mercergm/Library/Application%20Support/Papers2/Articles/1999/Beyer/Lecture%20Notes%20in%20Computer%20Science%201999%20Beyer.pdf&lt;/url&gt;&lt;/pdf-urls&gt;&lt;/urls&gt;&lt;custom3&gt;papers2://publication/uuid/E395A5C9-A876-4D5B-8751-F5BBE4DA3D99&lt;/custom3&gt;&lt;/record&gt;&lt;/Cite&gt;&lt;/EndNote&gt;</w:instrText>
      </w:r>
      <w:r w:rsidR="003731B6" w:rsidRPr="00026A96">
        <w:rPr>
          <w:rFonts w:cs="Times New Roman"/>
          <w:szCs w:val="24"/>
        </w:rPr>
        <w:fldChar w:fldCharType="separate"/>
      </w:r>
      <w:hyperlink w:anchor="_ENREF_6" w:tooltip="Beyer, 1999 #402" w:history="1">
        <w:r w:rsidR="001633BC" w:rsidRPr="00026A96">
          <w:rPr>
            <w:rFonts w:cs="Times New Roman"/>
            <w:noProof/>
            <w:szCs w:val="24"/>
          </w:rPr>
          <w:t>Beyer</w:t>
        </w:r>
        <w:r w:rsidR="001633BC" w:rsidRPr="00026A96">
          <w:rPr>
            <w:rFonts w:cs="Times New Roman"/>
            <w:i/>
            <w:noProof/>
            <w:szCs w:val="24"/>
          </w:rPr>
          <w:t xml:space="preserve"> et al.</w:t>
        </w:r>
        <w:r w:rsidR="001633BC" w:rsidRPr="00026A96">
          <w:rPr>
            <w:rFonts w:cs="Times New Roman"/>
            <w:noProof/>
            <w:szCs w:val="24"/>
          </w:rPr>
          <w:t xml:space="preserve"> (1999</w:t>
        </w:r>
      </w:hyperlink>
      <w:r w:rsidR="00294125" w:rsidRPr="00026A96">
        <w:rPr>
          <w:rFonts w:cs="Times New Roman"/>
          <w:noProof/>
          <w:szCs w:val="24"/>
        </w:rPr>
        <w:t>)</w:t>
      </w:r>
      <w:r w:rsidR="003731B6" w:rsidRPr="00026A96">
        <w:rPr>
          <w:rFonts w:cs="Times New Roman"/>
          <w:szCs w:val="24"/>
        </w:rPr>
        <w:fldChar w:fldCharType="end"/>
      </w:r>
      <w:r w:rsidR="00294125" w:rsidRPr="00026A96">
        <w:rPr>
          <w:rFonts w:cs="Times New Roman"/>
          <w:szCs w:val="24"/>
        </w:rPr>
        <w:t xml:space="preserve"> revealed that as dimensionality increases, the distance from an observation to its nearest neighbor approaches the distance between that observation and its furthest neighbor</w:t>
      </w:r>
      <w:r w:rsidR="006B4A18" w:rsidRPr="00026A96">
        <w:rPr>
          <w:rFonts w:cs="Times New Roman"/>
          <w:szCs w:val="24"/>
        </w:rPr>
        <w:t>.  It was found that these distances decrease the fastest within the first 20 dimensions and that having as few as 10 dimensions can cause the nearest neighbor procedure to become unstable, making the distance between the nearest neighbor an</w:t>
      </w:r>
      <w:r w:rsidR="00B361A6" w:rsidRPr="00026A96">
        <w:rPr>
          <w:rFonts w:cs="Times New Roman"/>
          <w:szCs w:val="24"/>
        </w:rPr>
        <w:t>d other data points negligible.  While only eight variable</w:t>
      </w:r>
      <w:r w:rsidR="00F95A2A" w:rsidRPr="00026A96">
        <w:rPr>
          <w:rFonts w:cs="Times New Roman"/>
          <w:szCs w:val="24"/>
        </w:rPr>
        <w:t>s</w:t>
      </w:r>
      <w:r w:rsidR="00B361A6" w:rsidRPr="00026A96">
        <w:rPr>
          <w:rFonts w:cs="Times New Roman"/>
          <w:szCs w:val="24"/>
        </w:rPr>
        <w:t xml:space="preserve"> were used here, this number still causes significant reduction in the difference between nearest and furthest neighbor distance.  Furthermore, </w:t>
      </w:r>
      <w:r w:rsidR="003731B6" w:rsidRPr="00026A96">
        <w:rPr>
          <w:rFonts w:cs="Times New Roman"/>
          <w:szCs w:val="24"/>
        </w:rPr>
        <w:fldChar w:fldCharType="begin"/>
      </w:r>
      <w:r w:rsidR="00B361A6" w:rsidRPr="00026A96">
        <w:rPr>
          <w:rFonts w:cs="Times New Roman"/>
          <w:szCs w:val="24"/>
        </w:rPr>
        <w:instrText xml:space="preserve"> ADDIN EN.CITE &lt;EndNote&gt;&lt;Cite AuthorYear="1"&gt;&lt;Author&gt;Beyer&lt;/Author&gt;&lt;Year&gt;1999&lt;/Year&gt;&lt;RecNum&gt;402&lt;/RecNum&gt;&lt;DisplayText&gt;Beyer&lt;style face="italic"&gt; et al.&lt;/style&gt; (1999)&lt;/DisplayText&gt;&lt;record&gt;&lt;rec-number&gt;402&lt;/rec-number&gt;&lt;foreign-keys&gt;&lt;key app="EN" db-id="20frpf5eyrpavaevz925sv9t29f5epa9pd2z"&gt;402&lt;/key&gt;&lt;/foreign-keys&gt;&lt;ref-type name="Journal Article"&gt;17&lt;/ref-type&gt;&lt;contributors&gt;&lt;authors&gt;&lt;author&gt;Beyer, Kevin&lt;/author&gt;&lt;author&gt;Goldstein, Jonathan&lt;/author&gt;&lt;author&gt;Ramakrishnan, Raghu&lt;/author&gt;&lt;author&gt;Shaft, Uri&lt;/author&gt;&lt;/authors&gt;&lt;/contributors&gt;&lt;titles&gt;&lt;title&gt;When is “nearest neighbor” meaningful?&lt;/title&gt;&lt;/titles&gt;&lt;pages&gt;217-235&lt;/pages&gt;&lt;volume&gt;1540&lt;/volume&gt;&lt;dates&gt;&lt;year&gt;1999&lt;/year&gt;&lt;/dates&gt;&lt;publisher&gt;Springer&lt;/publisher&gt;&lt;isbn&gt;3540654526&lt;/isbn&gt;&lt;accession-num&gt;1087694559670927655related:J4FPbXBEGA8J&lt;/accession-num&gt;&lt;label&gt;r05933&lt;/label&gt;&lt;urls&gt;&lt;related-urls&gt;&lt;url&gt;http://link.springer.com/chapter/10.1007/3-540-49257-7_15&lt;/url&gt;&lt;/related-urls&gt;&lt;pdf-urls&gt;&lt;url&gt;file://localhost/Users/mercergm/Library/Application%20Support/Papers2/Articles/1999/Beyer/Lecture%20Notes%20in%20Computer%20Science%201999%20Beyer.pdf&lt;/url&gt;&lt;/pdf-urls&gt;&lt;/urls&gt;&lt;custom3&gt;papers2://publication/uuid/E395A5C9-A876-4D5B-8751-F5BBE4DA3D99&lt;/custom3&gt;&lt;/record&gt;&lt;/Cite&gt;&lt;/EndNote&gt;</w:instrText>
      </w:r>
      <w:r w:rsidR="003731B6" w:rsidRPr="00026A96">
        <w:rPr>
          <w:rFonts w:cs="Times New Roman"/>
          <w:szCs w:val="24"/>
        </w:rPr>
        <w:fldChar w:fldCharType="separate"/>
      </w:r>
      <w:hyperlink w:anchor="_ENREF_6" w:tooltip="Beyer, 1999 #402" w:history="1">
        <w:r w:rsidR="001633BC" w:rsidRPr="00026A96">
          <w:rPr>
            <w:rFonts w:cs="Times New Roman"/>
            <w:noProof/>
            <w:szCs w:val="24"/>
          </w:rPr>
          <w:t>Beyer</w:t>
        </w:r>
        <w:r w:rsidR="001633BC" w:rsidRPr="00026A96">
          <w:rPr>
            <w:rFonts w:cs="Times New Roman"/>
            <w:i/>
            <w:noProof/>
            <w:szCs w:val="24"/>
          </w:rPr>
          <w:t xml:space="preserve"> et al.</w:t>
        </w:r>
        <w:r w:rsidR="001633BC" w:rsidRPr="00026A96">
          <w:rPr>
            <w:rFonts w:cs="Times New Roman"/>
            <w:noProof/>
            <w:szCs w:val="24"/>
          </w:rPr>
          <w:t xml:space="preserve"> (1999</w:t>
        </w:r>
      </w:hyperlink>
      <w:r w:rsidR="00B361A6" w:rsidRPr="00026A96">
        <w:rPr>
          <w:rFonts w:cs="Times New Roman"/>
          <w:noProof/>
          <w:szCs w:val="24"/>
        </w:rPr>
        <w:t>)</w:t>
      </w:r>
      <w:r w:rsidR="003731B6" w:rsidRPr="00026A96">
        <w:rPr>
          <w:rFonts w:cs="Times New Roman"/>
          <w:szCs w:val="24"/>
        </w:rPr>
        <w:fldChar w:fldCharType="end"/>
      </w:r>
      <w:r w:rsidR="00B361A6" w:rsidRPr="00026A96">
        <w:rPr>
          <w:rFonts w:cs="Times New Roman"/>
          <w:szCs w:val="24"/>
        </w:rPr>
        <w:t xml:space="preserve"> reported that smaller values of </w:t>
      </w:r>
      <w:r w:rsidR="00B361A6" w:rsidRPr="00026A96">
        <w:rPr>
          <w:rFonts w:cs="Times New Roman"/>
          <w:i/>
          <w:szCs w:val="24"/>
        </w:rPr>
        <w:t>k</w:t>
      </w:r>
      <w:r w:rsidR="00B361A6" w:rsidRPr="00026A96">
        <w:rPr>
          <w:rFonts w:cs="Times New Roman"/>
          <w:szCs w:val="24"/>
        </w:rPr>
        <w:t xml:space="preserve"> are more sensitive to dimensionality, and a small value of </w:t>
      </w:r>
      <w:r w:rsidR="00B361A6" w:rsidRPr="00026A96">
        <w:rPr>
          <w:rFonts w:cs="Times New Roman"/>
          <w:i/>
          <w:szCs w:val="24"/>
        </w:rPr>
        <w:t xml:space="preserve">k </w:t>
      </w:r>
      <w:r w:rsidR="00B361A6" w:rsidRPr="00026A96">
        <w:rPr>
          <w:rFonts w:cs="Times New Roman"/>
          <w:szCs w:val="24"/>
        </w:rPr>
        <w:t>(3) was used.</w:t>
      </w:r>
      <w:r w:rsidR="00F73992" w:rsidRPr="00026A96">
        <w:rPr>
          <w:rFonts w:cs="Times New Roman"/>
          <w:szCs w:val="24"/>
        </w:rPr>
        <w:t xml:space="preserve">  However, Table 14 shows that the large difference between the </w:t>
      </w:r>
      <w:r w:rsidR="009462B3" w:rsidRPr="00026A96">
        <w:rPr>
          <w:rFonts w:cs="Times New Roman"/>
          <w:szCs w:val="24"/>
        </w:rPr>
        <w:t>re-substitution</w:t>
      </w:r>
      <w:r w:rsidR="00F73992" w:rsidRPr="00026A96">
        <w:rPr>
          <w:rFonts w:cs="Times New Roman"/>
          <w:szCs w:val="24"/>
        </w:rPr>
        <w:t xml:space="preserve"> and cross-validation rates occurs with only three variables, so dimensionality is not necessarily the issue.  The gap between the two estimates is maintained for the model with all 16 variables; it does not become much worse after the addition of the third variable.</w:t>
      </w:r>
    </w:p>
    <w:p w:rsidR="00583C82" w:rsidRDefault="00F15C68" w:rsidP="00466523">
      <w:pPr>
        <w:autoSpaceDE w:val="0"/>
        <w:autoSpaceDN w:val="0"/>
        <w:adjustRightInd w:val="0"/>
        <w:spacing w:after="0"/>
        <w:ind w:firstLine="720"/>
        <w:rPr>
          <w:rFonts w:cs="Times New Roman"/>
          <w:szCs w:val="24"/>
        </w:rPr>
      </w:pPr>
      <w:r>
        <w:rPr>
          <w:rFonts w:cs="Times New Roman"/>
          <w:szCs w:val="24"/>
        </w:rPr>
        <w:t xml:space="preserve">While </w:t>
      </w:r>
      <w:r w:rsidR="000127AB">
        <w:rPr>
          <w:rFonts w:cs="Times New Roman"/>
          <w:szCs w:val="24"/>
        </w:rPr>
        <w:t>KNN</w:t>
      </w:r>
      <w:r>
        <w:rPr>
          <w:rFonts w:cs="Times New Roman"/>
          <w:szCs w:val="24"/>
        </w:rPr>
        <w:t xml:space="preserve"> is more appropriate in situations where normality assumptions are violated, it</w:t>
      </w:r>
      <w:r w:rsidR="001353AD">
        <w:rPr>
          <w:rFonts w:cs="Times New Roman"/>
          <w:szCs w:val="24"/>
        </w:rPr>
        <w:t xml:space="preserve"> may not be a very useful method in the context of forensic ancestry estimation.  </w:t>
      </w:r>
      <w:r>
        <w:rPr>
          <w:rFonts w:cs="Times New Roman"/>
          <w:szCs w:val="24"/>
        </w:rPr>
        <w:t xml:space="preserve">First, </w:t>
      </w:r>
      <w:r w:rsidR="00161CA6">
        <w:rPr>
          <w:rFonts w:cs="Times New Roman"/>
          <w:szCs w:val="24"/>
        </w:rPr>
        <w:t xml:space="preserve">it is a nonparametric statistic that is good for situations where data are not normally distributed.  In this analysis the data for </w:t>
      </w:r>
      <w:r>
        <w:rPr>
          <w:rFonts w:cs="Times New Roman"/>
          <w:szCs w:val="24"/>
        </w:rPr>
        <w:t xml:space="preserve">many of the variable subsets ended up approximating normality on most of the groups.  In some cases where normality was violated it appeared that a few outliers were the cause.  </w:t>
      </w:r>
      <w:r w:rsidR="00447C61">
        <w:rPr>
          <w:rFonts w:cs="Times New Roman"/>
          <w:szCs w:val="24"/>
        </w:rPr>
        <w:t>Second, e</w:t>
      </w:r>
      <w:r w:rsidR="00810893">
        <w:rPr>
          <w:rFonts w:cs="Times New Roman"/>
          <w:szCs w:val="24"/>
        </w:rPr>
        <w:t>arly explorations of human craniometric variation noted large degrees of overlap between</w:t>
      </w:r>
      <w:r w:rsidR="0052538C">
        <w:rPr>
          <w:rFonts w:cs="Times New Roman"/>
          <w:szCs w:val="24"/>
        </w:rPr>
        <w:t xml:space="preserve"> geographic</w:t>
      </w:r>
      <w:r w:rsidR="00810893">
        <w:rPr>
          <w:rFonts w:cs="Times New Roman"/>
          <w:szCs w:val="24"/>
        </w:rPr>
        <w:t xml:space="preserve"> groups </w:t>
      </w:r>
      <w:r w:rsidR="003731B6">
        <w:rPr>
          <w:rFonts w:cs="Times New Roman"/>
          <w:szCs w:val="24"/>
        </w:rPr>
        <w:fldChar w:fldCharType="begin"/>
      </w:r>
      <w:r w:rsidR="00810893">
        <w:rPr>
          <w:rFonts w:cs="Times New Roman"/>
          <w:szCs w:val="24"/>
        </w:rPr>
        <w:instrText xml:space="preserve"> ADDIN EN.CITE &lt;EndNote&gt;&lt;Cite&gt;&lt;Author&gt;Howells&lt;/Author&gt;&lt;Year&gt;1989&lt;/Year&gt;&lt;RecNum&gt;61&lt;/RecNum&gt;&lt;DisplayText&gt;(Howells, 1989)&lt;/DisplayText&gt;&lt;record&gt;&lt;rec-number&gt;61&lt;/rec-number&gt;&lt;foreign-keys&gt;&lt;key app="EN" db-id="20frpf5eyrpavaevz925sv9t29f5epa9pd2z"&gt;61&lt;/key&gt;&lt;/foreign-keys&gt;&lt;ref-type name="Manuscript"&gt;36&lt;/ref-type&gt;&lt;contributors&gt;&lt;authors&gt;&lt;author&gt;Howells, W. W.&lt;/author&gt;&lt;/authors&gt;&lt;/contributors&gt;&lt;titles&gt;&lt;title&gt;Skull shpaes and the map&lt;/title&gt;&lt;secondary-title&gt;Papers of the Peabody Museum of Archaeology and Ethnology&lt;/secondary-title&gt;&lt;/titles&gt;&lt;pages&gt;1-189&lt;/pages&gt;&lt;volume&gt;79&lt;/volume&gt;&lt;dates&gt;&lt;year&gt;1989&lt;/year&gt;&lt;/dates&gt;&lt;pub-location&gt;Cambridge, MA&lt;/pub-location&gt;&lt;urls&gt;&lt;/urls&gt;&lt;/record&gt;&lt;/Cite&gt;&lt;/EndNote&gt;</w:instrText>
      </w:r>
      <w:r w:rsidR="003731B6">
        <w:rPr>
          <w:rFonts w:cs="Times New Roman"/>
          <w:szCs w:val="24"/>
        </w:rPr>
        <w:fldChar w:fldCharType="separate"/>
      </w:r>
      <w:r w:rsidR="00810893">
        <w:rPr>
          <w:rFonts w:cs="Times New Roman"/>
          <w:noProof/>
          <w:szCs w:val="24"/>
        </w:rPr>
        <w:t>(</w:t>
      </w:r>
      <w:hyperlink w:anchor="_ENREF_25" w:tooltip="Howells, 1989 #61" w:history="1">
        <w:r w:rsidR="001633BC">
          <w:rPr>
            <w:rFonts w:cs="Times New Roman"/>
            <w:noProof/>
            <w:szCs w:val="24"/>
          </w:rPr>
          <w:t>Howells, 1989</w:t>
        </w:r>
      </w:hyperlink>
      <w:r w:rsidR="00810893">
        <w:rPr>
          <w:rFonts w:cs="Times New Roman"/>
          <w:noProof/>
          <w:szCs w:val="24"/>
        </w:rPr>
        <w:t>)</w:t>
      </w:r>
      <w:r w:rsidR="003731B6">
        <w:rPr>
          <w:rFonts w:cs="Times New Roman"/>
          <w:szCs w:val="24"/>
        </w:rPr>
        <w:fldChar w:fldCharType="end"/>
      </w:r>
      <w:r w:rsidR="00810893">
        <w:rPr>
          <w:rFonts w:cs="Times New Roman"/>
          <w:szCs w:val="24"/>
        </w:rPr>
        <w:t xml:space="preserve">.  This </w:t>
      </w:r>
      <w:r w:rsidR="00447C61">
        <w:rPr>
          <w:rFonts w:cs="Times New Roman"/>
          <w:szCs w:val="24"/>
        </w:rPr>
        <w:t>observation has been repeated</w:t>
      </w:r>
      <w:r w:rsidR="00810893">
        <w:rPr>
          <w:rFonts w:cs="Times New Roman"/>
          <w:szCs w:val="24"/>
        </w:rPr>
        <w:t xml:space="preserve"> in more recent analyses </w:t>
      </w:r>
      <w:r w:rsidR="003731B6">
        <w:rPr>
          <w:rFonts w:cs="Times New Roman"/>
          <w:szCs w:val="24"/>
        </w:rPr>
        <w:fldChar w:fldCharType="begin"/>
      </w:r>
      <w:r w:rsidR="00810893">
        <w:rPr>
          <w:rFonts w:cs="Times New Roman"/>
          <w:szCs w:val="24"/>
        </w:rPr>
        <w:instrText xml:space="preserve"> ADDIN EN.CITE &lt;EndNote&gt;&lt;Cite&gt;&lt;Author&gt;Roseman&lt;/Author&gt;&lt;Year&gt;2004&lt;/Year&gt;&lt;RecNum&gt;277&lt;/RecNum&gt;&lt;DisplayText&gt;(Roseman and Weaver, 2004)&lt;/DisplayText&gt;&lt;record&gt;&lt;rec-number&gt;277&lt;/rec-number&gt;&lt;foreign-keys&gt;&lt;key app="EN" db-id="20frpf5eyrpavaevz925sv9t29f5epa9pd2z"&gt;277&lt;/key&gt;&lt;/foreign-keys&gt;&lt;ref-type name="Journal Article"&gt;17&lt;/ref-type&gt;&lt;contributors&gt;&lt;authors&gt;&lt;author&gt;Roseman, Charles C&lt;/author&gt;&lt;author&gt;Weaver, Timothy D&lt;/author&gt;&lt;/authors&gt;&lt;/contributors&gt;&lt;titles&gt;&lt;title&gt;Multivariate apportionment of global human craniometric diversity&lt;/title&gt;&lt;secondary-title&gt;American Journal of Physical Anthropology&lt;/secondary-title&gt;&lt;/titles&gt;&lt;periodical&gt;&lt;full-title&gt;American Journal of Physical Anthropology&lt;/full-title&gt;&lt;/periodical&gt;&lt;pages&gt;257-263&lt;/pages&gt;&lt;volume&gt;125&lt;/volume&gt;&lt;dates&gt;&lt;year&gt;2004&lt;/year&gt;&lt;/dates&gt;&lt;accession-num&gt;542EA96F-456A-46EF-8D87-8F66B32DBBF2&lt;/accession-num&gt;&lt;label&gt;r00376&lt;/label&gt;&lt;urls&gt;&lt;related-urls&gt;&lt;url&gt;http://onlinelibrary.wiley.com/doi/10.1002/ajpa.10424/full&lt;/url&gt;&lt;/related-urls&gt;&lt;pdf-urls&gt;&lt;url&gt;file://localhost/Users/mercergm/Library/Application%20Support/Papers2/Articles/2004/Roseman/Am.%20J.%20Phys.%20Anthropol.%202004%20Roseman.pdf&lt;/url&gt;&lt;/pdf-urls&gt;&lt;/urls&gt;&lt;custom3&gt;papers2://publication/uuid/30B9C813-1EFF-41B7-A438-9BC529621CE4&lt;/custom3&gt;&lt;/record&gt;&lt;/Cite&gt;&lt;/EndNote&gt;</w:instrText>
      </w:r>
      <w:r w:rsidR="003731B6">
        <w:rPr>
          <w:rFonts w:cs="Times New Roman"/>
          <w:szCs w:val="24"/>
        </w:rPr>
        <w:fldChar w:fldCharType="separate"/>
      </w:r>
      <w:r w:rsidR="00810893">
        <w:rPr>
          <w:rFonts w:cs="Times New Roman"/>
          <w:noProof/>
          <w:szCs w:val="24"/>
        </w:rPr>
        <w:t>(</w:t>
      </w:r>
      <w:hyperlink w:anchor="_ENREF_49" w:tooltip="Roseman, 2004 #277" w:history="1">
        <w:r w:rsidR="001633BC">
          <w:rPr>
            <w:rFonts w:cs="Times New Roman"/>
            <w:noProof/>
            <w:szCs w:val="24"/>
          </w:rPr>
          <w:t>Roseman and Weaver, 2004</w:t>
        </w:r>
      </w:hyperlink>
      <w:r w:rsidR="00810893">
        <w:rPr>
          <w:rFonts w:cs="Times New Roman"/>
          <w:noProof/>
          <w:szCs w:val="24"/>
        </w:rPr>
        <w:t>)</w:t>
      </w:r>
      <w:r w:rsidR="003731B6">
        <w:rPr>
          <w:rFonts w:cs="Times New Roman"/>
          <w:szCs w:val="24"/>
        </w:rPr>
        <w:fldChar w:fldCharType="end"/>
      </w:r>
      <w:r w:rsidR="00AA1B74">
        <w:rPr>
          <w:rFonts w:cs="Times New Roman"/>
          <w:szCs w:val="24"/>
        </w:rPr>
        <w:t>.</w:t>
      </w:r>
      <w:r w:rsidR="00953EF1">
        <w:rPr>
          <w:rFonts w:cs="Times New Roman"/>
          <w:szCs w:val="24"/>
        </w:rPr>
        <w:t xml:space="preserve">  Therefore, it may not be the case that an individual’s nearest neighbor(s) in multivariate space </w:t>
      </w:r>
      <w:r w:rsidR="004D1165">
        <w:rPr>
          <w:rFonts w:cs="Times New Roman"/>
          <w:szCs w:val="24"/>
        </w:rPr>
        <w:t>is</w:t>
      </w:r>
      <w:r w:rsidR="00953EF1">
        <w:rPr>
          <w:rFonts w:cs="Times New Roman"/>
          <w:szCs w:val="24"/>
        </w:rPr>
        <w:t xml:space="preserve"> from their same class.</w:t>
      </w:r>
      <w:r w:rsidR="00E53326">
        <w:rPr>
          <w:rFonts w:cs="Times New Roman"/>
          <w:szCs w:val="24"/>
        </w:rPr>
        <w:t xml:space="preserve">  A larger </w:t>
      </w:r>
      <w:r w:rsidR="00E53326">
        <w:rPr>
          <w:rFonts w:cs="Times New Roman"/>
          <w:i/>
          <w:szCs w:val="24"/>
        </w:rPr>
        <w:t>k</w:t>
      </w:r>
      <w:r w:rsidR="00E53326">
        <w:rPr>
          <w:rFonts w:cs="Times New Roman"/>
          <w:szCs w:val="24"/>
        </w:rPr>
        <w:t xml:space="preserve"> may improve classification if </w:t>
      </w:r>
      <w:r w:rsidR="00E25905">
        <w:rPr>
          <w:rFonts w:cs="Times New Roman"/>
          <w:szCs w:val="24"/>
        </w:rPr>
        <w:t>it</w:t>
      </w:r>
      <w:r w:rsidR="00E53326">
        <w:rPr>
          <w:rFonts w:cs="Times New Roman"/>
          <w:szCs w:val="24"/>
        </w:rPr>
        <w:t xml:space="preserve"> would</w:t>
      </w:r>
      <w:r w:rsidR="00E25905">
        <w:rPr>
          <w:rFonts w:cs="Times New Roman"/>
          <w:szCs w:val="24"/>
        </w:rPr>
        <w:t xml:space="preserve"> generally</w:t>
      </w:r>
      <w:r w:rsidR="00E53326">
        <w:rPr>
          <w:rFonts w:cs="Times New Roman"/>
          <w:szCs w:val="24"/>
        </w:rPr>
        <w:t xml:space="preserve"> allow more observations from t</w:t>
      </w:r>
      <w:r w:rsidR="00E25905">
        <w:rPr>
          <w:rFonts w:cs="Times New Roman"/>
          <w:szCs w:val="24"/>
        </w:rPr>
        <w:t>he same class to be considered</w:t>
      </w:r>
      <w:r w:rsidR="00E53326">
        <w:rPr>
          <w:rFonts w:cs="Times New Roman"/>
          <w:szCs w:val="24"/>
        </w:rPr>
        <w:t xml:space="preserve">.  However, a larger </w:t>
      </w:r>
      <w:r w:rsidR="00E53326">
        <w:rPr>
          <w:rFonts w:cs="Times New Roman"/>
          <w:i/>
          <w:szCs w:val="24"/>
        </w:rPr>
        <w:t xml:space="preserve">k </w:t>
      </w:r>
      <w:r w:rsidR="00E53326">
        <w:rPr>
          <w:rFonts w:cs="Times New Roman"/>
          <w:szCs w:val="24"/>
        </w:rPr>
        <w:t>enables the consideration of less similar observations when classifying an unknown</w:t>
      </w:r>
      <w:r w:rsidR="00C311A6">
        <w:rPr>
          <w:rFonts w:cs="Times New Roman"/>
          <w:szCs w:val="24"/>
        </w:rPr>
        <w:t xml:space="preserve"> </w:t>
      </w:r>
      <w:r w:rsidR="003731B6">
        <w:rPr>
          <w:rFonts w:cs="Times New Roman"/>
          <w:szCs w:val="24"/>
        </w:rPr>
        <w:fldChar w:fldCharType="begin"/>
      </w:r>
      <w:r w:rsidR="00C311A6">
        <w:rPr>
          <w:rFonts w:cs="Times New Roman"/>
          <w:szCs w:val="24"/>
        </w:rPr>
        <w:instrText xml:space="preserve"> ADDIN EN.CITE &lt;EndNote&gt;&lt;Cite&gt;&lt;Author&gt;Huberty&lt;/Author&gt;&lt;Year&gt;2006&lt;/Year&gt;&lt;RecNum&gt;85&lt;/RecNum&gt;&lt;DisplayText&gt;(Rencher, 2002; Huberty and Olejnik, 2006)&lt;/DisplayText&gt;&lt;record&gt;&lt;rec-number&gt;85&lt;/rec-number&gt;&lt;foreign-keys&gt;&lt;key app="EN" db-id="20frpf5eyrpavaevz925sv9t29f5epa9pd2z"&gt;85&lt;/key&gt;&lt;/foreign-keys&gt;&lt;ref-type name="Book"&gt;6&lt;/ref-type&gt;&lt;contributors&gt;&lt;authors&gt;&lt;author&gt;Huberty, Carl L.&lt;/author&gt;&lt;author&gt;Olejnik, Stephen&lt;/author&gt;&lt;/authors&gt;&lt;/contributors&gt;&lt;titles&gt;&lt;title&gt;Applied MANOVA and discriminant analysis&lt;/title&gt;&lt;/titles&gt;&lt;dates&gt;&lt;year&gt;2006&lt;/year&gt;&lt;/dates&gt;&lt;pub-location&gt;Hoboken, NJ&lt;/pub-location&gt;&lt;publisher&gt;John Wiley &amp;amp; Sons&lt;/publisher&gt;&lt;urls&gt;&lt;/urls&gt;&lt;/record&gt;&lt;/Cite&gt;&lt;Cite&gt;&lt;Author&gt;Rencher&lt;/Author&gt;&lt;Year&gt;2002&lt;/Year&gt;&lt;RecNum&gt;91&lt;/RecNum&gt;&lt;record&gt;&lt;rec-number&gt;91&lt;/rec-number&gt;&lt;foreign-keys&gt;&lt;key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rPr>
          <w:rFonts w:cs="Times New Roman"/>
          <w:szCs w:val="24"/>
        </w:rPr>
        <w:fldChar w:fldCharType="separate"/>
      </w:r>
      <w:r w:rsidR="00C311A6">
        <w:rPr>
          <w:rFonts w:cs="Times New Roman"/>
          <w:noProof/>
          <w:szCs w:val="24"/>
        </w:rPr>
        <w:t>(</w:t>
      </w:r>
      <w:hyperlink w:anchor="_ENREF_48" w:tooltip="Rencher, 2002 #91" w:history="1">
        <w:r w:rsidR="001633BC">
          <w:rPr>
            <w:rFonts w:cs="Times New Roman"/>
            <w:noProof/>
            <w:szCs w:val="24"/>
          </w:rPr>
          <w:t>Rencher, 2002</w:t>
        </w:r>
      </w:hyperlink>
      <w:r w:rsidR="00C311A6">
        <w:rPr>
          <w:rFonts w:cs="Times New Roman"/>
          <w:noProof/>
          <w:szCs w:val="24"/>
        </w:rPr>
        <w:t xml:space="preserve">; </w:t>
      </w:r>
      <w:hyperlink w:anchor="_ENREF_27" w:tooltip="Huberty, 2006 #85" w:history="1">
        <w:r w:rsidR="001633BC">
          <w:rPr>
            <w:rFonts w:cs="Times New Roman"/>
            <w:noProof/>
            <w:szCs w:val="24"/>
          </w:rPr>
          <w:t>Huberty and Olejnik, 2006</w:t>
        </w:r>
      </w:hyperlink>
      <w:r w:rsidR="00C311A6">
        <w:rPr>
          <w:rFonts w:cs="Times New Roman"/>
          <w:noProof/>
          <w:szCs w:val="24"/>
        </w:rPr>
        <w:t>)</w:t>
      </w:r>
      <w:r w:rsidR="003731B6">
        <w:rPr>
          <w:rFonts w:cs="Times New Roman"/>
          <w:szCs w:val="24"/>
        </w:rPr>
        <w:fldChar w:fldCharType="end"/>
      </w:r>
      <w:r w:rsidR="004622AA">
        <w:rPr>
          <w:rFonts w:cs="Times New Roman"/>
          <w:szCs w:val="24"/>
        </w:rPr>
        <w:t>.</w:t>
      </w:r>
    </w:p>
    <w:p w:rsidR="004622AA" w:rsidRDefault="00583C82" w:rsidP="00466523">
      <w:pPr>
        <w:autoSpaceDE w:val="0"/>
        <w:autoSpaceDN w:val="0"/>
        <w:adjustRightInd w:val="0"/>
        <w:spacing w:after="0"/>
        <w:ind w:firstLine="720"/>
        <w:rPr>
          <w:rFonts w:cs="Times New Roman"/>
          <w:szCs w:val="24"/>
        </w:rPr>
      </w:pPr>
      <w:r w:rsidRPr="00DE1D88">
        <w:rPr>
          <w:rFonts w:cs="Times New Roman"/>
          <w:szCs w:val="24"/>
        </w:rPr>
        <w:t>The Hispanic group had partic</w:t>
      </w:r>
      <w:r w:rsidR="00BA5BCF" w:rsidRPr="00DE1D88">
        <w:rPr>
          <w:rFonts w:cs="Times New Roman"/>
          <w:szCs w:val="24"/>
        </w:rPr>
        <w:t>ularly low classifications in the KNN cross-validation.  Table 30 and Table 32</w:t>
      </w:r>
      <w:r w:rsidR="001633BC" w:rsidRPr="00DE1D88">
        <w:rPr>
          <w:rFonts w:cs="Times New Roman"/>
          <w:szCs w:val="24"/>
        </w:rPr>
        <w:t xml:space="preserve"> (in the appendix)</w:t>
      </w:r>
      <w:r w:rsidR="00BA5BCF" w:rsidRPr="00DE1D88">
        <w:rPr>
          <w:rFonts w:cs="Times New Roman"/>
          <w:szCs w:val="24"/>
        </w:rPr>
        <w:t xml:space="preserve"> show cross-validation classification rates for the 5-variable and 8-variable KNN analyses respectively.  The former only classifies about 21% of Hispanics correctly, allocating 41% of them to the White group.  Table 32 shows similar figures, with 27% of Hispanics correctly classified and 45% classified into the White group. </w:t>
      </w:r>
      <w:r w:rsidR="001633BC" w:rsidRPr="00DE1D88">
        <w:rPr>
          <w:rFonts w:cs="Times New Roman"/>
          <w:szCs w:val="24"/>
        </w:rPr>
        <w:t xml:space="preserve"> These classification rates seem to be particularly low.  However, </w:t>
      </w:r>
      <w:r w:rsidR="003731B6" w:rsidRPr="00DE1D88">
        <w:rPr>
          <w:rFonts w:cs="Times New Roman"/>
          <w:szCs w:val="24"/>
        </w:rPr>
        <w:fldChar w:fldCharType="begin"/>
      </w:r>
      <w:r w:rsidR="001633BC" w:rsidRPr="00DE1D88">
        <w:rPr>
          <w:rFonts w:cs="Times New Roman"/>
          <w:szCs w:val="24"/>
        </w:rPr>
        <w:instrText xml:space="preserve"> ADDIN EN.CITE &lt;EndNote&gt;&lt;Cite AuthorYear="1"&gt;&lt;Author&gt;Spradley&lt;/Author&gt;&lt;Year&gt;2008&lt;/Year&gt;&lt;RecNum&gt;242&lt;/RecNum&gt;&lt;DisplayText&gt;Spradley&lt;style face="italic"&gt; et al.&lt;/style&gt; (2008)&lt;/DisplayText&gt;&lt;record&gt;&lt;rec-number&gt;242&lt;/rec-number&gt;&lt;foreign-keys&gt;&lt;key app="EN" db-id="20frpf5eyrpavaevz925sv9t29f5epa9pd2z"&gt;242&lt;/key&gt;&lt;/foreign-keys&gt;&lt;ref-type name="Journal Article"&gt;17&lt;/ref-type&gt;&lt;contributors&gt;&lt;authors&gt;&lt;author&gt;Spradley, M Katherine&lt;/author&gt;&lt;author&gt;Jantz, Richard L&lt;/author&gt;&lt;author&gt;Robinson, Alan&lt;/author&gt;&lt;author&gt;Peccerelli, Fredy&lt;/author&gt;&lt;/authors&gt;&lt;/contributors&gt;&lt;titles&gt;&lt;title&gt;Demographic Change and Forensic Identification: Problems in Metric Identification of Hispanic Skeletons&lt;/title&gt;&lt;secondary-title&gt;Journal of Forensic Sciences&lt;/secondary-title&gt;&lt;/titles&gt;&lt;periodical&gt;&lt;full-title&gt;Journal of Forensic Sciences&lt;/full-title&gt;&lt;/periodical&gt;&lt;pages&gt;21-28&lt;/pages&gt;&lt;volume&gt;53&lt;/volume&gt;&lt;number&gt;1&lt;/number&gt;&lt;dates&gt;&lt;year&gt;2008&lt;/year&gt;&lt;pub-dates&gt;&lt;date&gt;Feb&lt;/date&gt;&lt;/pub-dates&gt;&lt;/dates&gt;&lt;label&gt;r00315&lt;/label&gt;&lt;urls&gt;&lt;related-urls&gt;&lt;url&gt;http://doi.wiley.com/10.1111/j.1556-4029.2007.00614.x&lt;/url&gt;&lt;/related-urls&gt;&lt;pdf-urls&gt;&lt;url&gt;file://localhost/Users/mercergm/Library/Application%20Support/Papers2/Articles/2008/Spradley/Journal%20of%20Forensic%20Sciences%202008%20Spradley.pdf&lt;/url&gt;&lt;/pdf-urls&gt;&lt;/urls&gt;&lt;custom3&gt;papers2://publication/uuid/4899EB4D-F35C-40E5-8C4D-010C3426A47F&lt;/custom3&gt;&lt;electronic-resource-num&gt;10.1111/j.1556-4029.2007.00614.x&lt;/electronic-resource-num&gt;&lt;language&gt;English&lt;/language&gt;&lt;/record&gt;&lt;/Cite&gt;&lt;/EndNote&gt;</w:instrText>
      </w:r>
      <w:r w:rsidR="003731B6" w:rsidRPr="00DE1D88">
        <w:rPr>
          <w:rFonts w:cs="Times New Roman"/>
          <w:szCs w:val="24"/>
        </w:rPr>
        <w:fldChar w:fldCharType="separate"/>
      </w:r>
      <w:hyperlink w:anchor="_ENREF_56" w:tooltip="Spradley, 2008 #242" w:history="1">
        <w:r w:rsidR="001633BC" w:rsidRPr="00DE1D88">
          <w:rPr>
            <w:rFonts w:cs="Times New Roman"/>
            <w:noProof/>
            <w:szCs w:val="24"/>
          </w:rPr>
          <w:t>Spradley</w:t>
        </w:r>
        <w:r w:rsidR="001633BC" w:rsidRPr="00DE1D88">
          <w:rPr>
            <w:rFonts w:cs="Times New Roman"/>
            <w:i/>
            <w:noProof/>
            <w:szCs w:val="24"/>
          </w:rPr>
          <w:t xml:space="preserve"> et al.</w:t>
        </w:r>
        <w:r w:rsidR="001633BC" w:rsidRPr="00DE1D88">
          <w:rPr>
            <w:rFonts w:cs="Times New Roman"/>
            <w:noProof/>
            <w:szCs w:val="24"/>
          </w:rPr>
          <w:t xml:space="preserve"> (2008</w:t>
        </w:r>
      </w:hyperlink>
      <w:r w:rsidR="001633BC" w:rsidRPr="00DE1D88">
        <w:rPr>
          <w:rFonts w:cs="Times New Roman"/>
          <w:noProof/>
          <w:szCs w:val="24"/>
        </w:rPr>
        <w:t>)</w:t>
      </w:r>
      <w:r w:rsidR="003731B6" w:rsidRPr="00DE1D88">
        <w:rPr>
          <w:rFonts w:cs="Times New Roman"/>
          <w:szCs w:val="24"/>
        </w:rPr>
        <w:fldChar w:fldCharType="end"/>
      </w:r>
      <w:r w:rsidR="001633BC" w:rsidRPr="00DE1D88">
        <w:rPr>
          <w:rFonts w:cs="Times New Roman"/>
          <w:szCs w:val="24"/>
        </w:rPr>
        <w:t xml:space="preserve"> report only 45% of Hispanics were correctly classified when four racial groups were considered in an LDA.  </w:t>
      </w:r>
      <w:r w:rsidR="00437A1C" w:rsidRPr="00DE1D88">
        <w:rPr>
          <w:rFonts w:cs="Times New Roman"/>
          <w:szCs w:val="24"/>
        </w:rPr>
        <w:t xml:space="preserve">While this exceeds the cross-validation estimates, it is closer to </w:t>
      </w:r>
      <w:r w:rsidR="000E53FB" w:rsidRPr="00DE1D88">
        <w:rPr>
          <w:rFonts w:cs="Times New Roman"/>
          <w:szCs w:val="24"/>
        </w:rPr>
        <w:t>and</w:t>
      </w:r>
      <w:r w:rsidR="00437A1C" w:rsidRPr="00DE1D88">
        <w:rPr>
          <w:rFonts w:cs="Times New Roman"/>
          <w:szCs w:val="24"/>
        </w:rPr>
        <w:t xml:space="preserve"> lesser than the KNN holdout estimates shown in tables 31 and 33</w:t>
      </w:r>
      <w:r w:rsidR="000E53FB" w:rsidRPr="00DE1D88">
        <w:rPr>
          <w:rFonts w:cs="Times New Roman"/>
          <w:szCs w:val="24"/>
        </w:rPr>
        <w:t xml:space="preserve"> in the appendix</w:t>
      </w:r>
      <w:r w:rsidR="00437A1C" w:rsidRPr="00DE1D88">
        <w:rPr>
          <w:rFonts w:cs="Times New Roman"/>
          <w:szCs w:val="24"/>
        </w:rPr>
        <w:t>.</w:t>
      </w:r>
    </w:p>
    <w:p w:rsidR="00161CA6" w:rsidRDefault="005F3F4E" w:rsidP="00466523">
      <w:pPr>
        <w:autoSpaceDE w:val="0"/>
        <w:autoSpaceDN w:val="0"/>
        <w:adjustRightInd w:val="0"/>
        <w:spacing w:after="0"/>
        <w:ind w:firstLine="720"/>
        <w:rPr>
          <w:rFonts w:cs="Times New Roman"/>
          <w:szCs w:val="24"/>
        </w:rPr>
      </w:pPr>
      <w:r>
        <w:rPr>
          <w:rFonts w:cs="Times New Roman"/>
          <w:szCs w:val="24"/>
        </w:rPr>
        <w:t>Another issue with KNN is it assumes</w:t>
      </w:r>
      <w:r w:rsidR="00466523">
        <w:rPr>
          <w:rFonts w:cs="Times New Roman"/>
          <w:szCs w:val="24"/>
        </w:rPr>
        <w:t xml:space="preserve"> homogeneity of variance.  E</w:t>
      </w:r>
      <w:r w:rsidR="001353AD">
        <w:rPr>
          <w:rFonts w:cs="Times New Roman"/>
          <w:szCs w:val="24"/>
        </w:rPr>
        <w:t xml:space="preserve">very evaluation of </w:t>
      </w:r>
      <w:r w:rsidR="00466523">
        <w:rPr>
          <w:rFonts w:cs="Times New Roman"/>
          <w:szCs w:val="24"/>
        </w:rPr>
        <w:t>covariance matrix equality</w:t>
      </w:r>
      <w:r w:rsidR="001353AD">
        <w:rPr>
          <w:rFonts w:cs="Times New Roman"/>
          <w:szCs w:val="24"/>
        </w:rPr>
        <w:t xml:space="preserve"> resulted in significance regardless of how many or few variables were included.  </w:t>
      </w:r>
      <w:r w:rsidR="00466523">
        <w:rPr>
          <w:rFonts w:cs="Times New Roman"/>
          <w:szCs w:val="24"/>
        </w:rPr>
        <w:t>It</w:t>
      </w:r>
      <w:r w:rsidR="001353AD">
        <w:rPr>
          <w:rFonts w:cs="Times New Roman"/>
          <w:szCs w:val="24"/>
        </w:rPr>
        <w:t xml:space="preserve"> is difficult </w:t>
      </w:r>
      <w:r w:rsidR="008B2665">
        <w:rPr>
          <w:rFonts w:cs="Times New Roman"/>
          <w:szCs w:val="24"/>
        </w:rPr>
        <w:t xml:space="preserve">for </w:t>
      </w:r>
      <w:r w:rsidR="00505824">
        <w:rPr>
          <w:rFonts w:cs="Times New Roman"/>
          <w:szCs w:val="24"/>
        </w:rPr>
        <w:t>this assumption</w:t>
      </w:r>
      <w:r w:rsidR="008B2665">
        <w:rPr>
          <w:rFonts w:cs="Times New Roman"/>
          <w:szCs w:val="24"/>
        </w:rPr>
        <w:t xml:space="preserve"> to be met, but it may be easier to satisfy in an analysis with fewer groups.</w:t>
      </w:r>
      <w:r w:rsidR="007475A2">
        <w:rPr>
          <w:rFonts w:cs="Times New Roman"/>
          <w:szCs w:val="24"/>
        </w:rPr>
        <w:t xml:space="preserve">  Furthermore, it is difficult to evaluate KNN assumptions because of the distributional situation </w:t>
      </w:r>
      <w:r w:rsidR="00166F89">
        <w:rPr>
          <w:rFonts w:cs="Times New Roman"/>
          <w:szCs w:val="24"/>
        </w:rPr>
        <w:t>for which it is most appropriate</w:t>
      </w:r>
      <w:r w:rsidR="007475A2">
        <w:rPr>
          <w:rFonts w:cs="Times New Roman"/>
          <w:szCs w:val="24"/>
        </w:rPr>
        <w:t xml:space="preserve"> – equal covariance matrices and lack of multivariate normality; tests for equality of covariance matrices are known for their sensitivity to violations of their multivariate normal assumptions</w:t>
      </w:r>
      <w:r w:rsidR="00CB618E">
        <w:rPr>
          <w:rFonts w:cs="Times New Roman"/>
          <w:szCs w:val="24"/>
        </w:rPr>
        <w:t xml:space="preserve"> </w:t>
      </w:r>
      <w:r w:rsidR="003731B6">
        <w:rPr>
          <w:rFonts w:cs="Times New Roman"/>
          <w:szCs w:val="24"/>
        </w:rPr>
        <w:fldChar w:fldCharType="begin"/>
      </w:r>
      <w:r w:rsidR="003853D1">
        <w:rPr>
          <w:rFonts w:cs="Times New Roman"/>
          <w:szCs w:val="24"/>
        </w:rPr>
        <w:instrText xml:space="preserve"> ADDIN EN.CITE &lt;EndNote&gt;&lt;Cite&gt;&lt;Author&gt;Rencher&lt;/Author&gt;&lt;Year&gt;2002&lt;/Year&gt;&lt;RecNum&gt;91&lt;/RecNum&gt;&lt;DisplayText&gt;(Rencher, 2002)&lt;/DisplayText&gt;&lt;record&gt;&lt;rec-number&gt;91&lt;/rec-number&gt;&lt;foreign-keys&gt;&lt;key app="EN" db-id="20frpf5eyrpavaevz925sv9t29f5epa9pd2z"&gt;91&lt;/key&gt;&lt;/foreign-keys&gt;&lt;ref-type name="Book"&gt;6&lt;/ref-type&gt;&lt;contributors&gt;&lt;authors&gt;&lt;author&gt;Rencher, Alvin C.&lt;/author&gt;&lt;/authors&gt;&lt;/contributors&gt;&lt;titles&gt;&lt;title&gt;Methods of multivariate analysis&lt;/title&gt;&lt;/titles&gt;&lt;edition&gt;2&lt;/edition&gt;&lt;dates&gt;&lt;year&gt;2002&lt;/year&gt;&lt;/dates&gt;&lt;pub-location&gt;Hoboken, NJ&lt;/pub-location&gt;&lt;publisher&gt;John Wiley &amp;amp; Sons&lt;/publisher&gt;&lt;urls&gt;&lt;/urls&gt;&lt;/record&gt;&lt;/Cite&gt;&lt;/EndNote&gt;</w:instrText>
      </w:r>
      <w:r w:rsidR="003731B6">
        <w:rPr>
          <w:rFonts w:cs="Times New Roman"/>
          <w:szCs w:val="24"/>
        </w:rPr>
        <w:fldChar w:fldCharType="separate"/>
      </w:r>
      <w:r w:rsidR="003853D1">
        <w:rPr>
          <w:rFonts w:cs="Times New Roman"/>
          <w:noProof/>
          <w:szCs w:val="24"/>
        </w:rPr>
        <w:t>(</w:t>
      </w:r>
      <w:hyperlink w:anchor="_ENREF_48" w:tooltip="Rencher, 2002 #91" w:history="1">
        <w:r w:rsidR="001633BC">
          <w:rPr>
            <w:rFonts w:cs="Times New Roman"/>
            <w:noProof/>
            <w:szCs w:val="24"/>
          </w:rPr>
          <w:t>Rencher, 2002</w:t>
        </w:r>
      </w:hyperlink>
      <w:r w:rsidR="003853D1">
        <w:rPr>
          <w:rFonts w:cs="Times New Roman"/>
          <w:noProof/>
          <w:szCs w:val="24"/>
        </w:rPr>
        <w:t>)</w:t>
      </w:r>
      <w:r w:rsidR="003731B6">
        <w:rPr>
          <w:rFonts w:cs="Times New Roman"/>
          <w:szCs w:val="24"/>
        </w:rPr>
        <w:fldChar w:fldCharType="end"/>
      </w:r>
      <w:r w:rsidR="007475A2">
        <w:rPr>
          <w:rFonts w:cs="Times New Roman"/>
          <w:szCs w:val="24"/>
        </w:rPr>
        <w:t>.</w:t>
      </w:r>
      <w:r w:rsidR="004B6AAB">
        <w:rPr>
          <w:rFonts w:cs="Times New Roman"/>
          <w:szCs w:val="24"/>
        </w:rPr>
        <w:t xml:space="preserve">  Tests for homogeneity of variance that are robust to departures from normality have been proposed </w:t>
      </w:r>
      <w:r w:rsidR="003731B6">
        <w:rPr>
          <w:rFonts w:cs="Times New Roman"/>
          <w:szCs w:val="24"/>
        </w:rPr>
        <w:fldChar w:fldCharType="begin"/>
      </w:r>
      <w:r w:rsidR="00E475B5">
        <w:rPr>
          <w:rFonts w:cs="Times New Roman"/>
          <w:szCs w:val="24"/>
        </w:rPr>
        <w:instrText xml:space="preserve"> ADDIN EN.CITE &lt;EndNote&gt;&lt;Cite&gt;&lt;Author&gt;O&amp;apos;Brien&lt;/Author&gt;&lt;Year&gt;1992&lt;/Year&gt;&lt;RecNum&gt;341&lt;/RecNum&gt;&lt;DisplayText&gt;(O&amp;apos;Brien, 1992)&lt;/DisplayText&gt;&lt;record&gt;&lt;rec-number&gt;341&lt;/rec-number&gt;&lt;foreign-keys&gt;&lt;key app="EN" db-id="20frpf5eyrpavaevz925sv9t29f5epa9pd2z"&gt;341&lt;/key&gt;&lt;/foreign-keys&gt;&lt;ref-type name="Journal Article"&gt;17&lt;/ref-type&gt;&lt;contributors&gt;&lt;authors&gt;&lt;author&gt;O&amp;apos;Brien, P C&lt;/author&gt;&lt;/authors&gt;&lt;/contributors&gt;&lt;titles&gt;&lt;title&gt;Robust procedures for testing equality of covariance matrices&lt;/title&gt;&lt;secondary-title&gt;Biometrics&lt;/secondary-title&gt;&lt;/titles&gt;&lt;periodical&gt;&lt;full-title&gt;Biometrics&lt;/full-title&gt;&lt;/periodical&gt;&lt;pages&gt;819-827&lt;/pages&gt;&lt;volume&gt;48&lt;/volume&gt;&lt;dates&gt;&lt;year&gt;1992&lt;/year&gt;&lt;/dates&gt;&lt;accession-num&gt;477130978501037424related:cI3j1BgcnwYJ&lt;/accession-num&gt;&lt;label&gt;r04674&lt;/label&gt;&lt;urls&gt;&lt;related-urls&gt;&lt;url&gt;http://www.jstor.org/stable/10.2307/2532347&lt;/url&gt;&lt;/related-urls&gt;&lt;pdf-urls&gt;&lt;url&gt;file://localhost/Users/mercergm/Library/Application%20Support/Papers2/Articles/1992/O&amp;amp;apos&lt;/url&gt;&lt;url&gt;Brien/Biometrics%201992%20O&amp;amp;apos&lt;/url&gt;&lt;url&gt;Brien.pdf&lt;/url&gt;&lt;/pdf-urls&gt;&lt;/urls&gt;&lt;custom3&gt;papers2://publication/uuid/62EE1DCC-0E62-4E6B-A477-772A75EC1957&lt;/custom3&gt;&lt;/record&gt;&lt;/Cite&gt;&lt;/EndNote&gt;</w:instrText>
      </w:r>
      <w:r w:rsidR="003731B6">
        <w:rPr>
          <w:rFonts w:cs="Times New Roman"/>
          <w:szCs w:val="24"/>
        </w:rPr>
        <w:fldChar w:fldCharType="separate"/>
      </w:r>
      <w:r w:rsidR="004B6AAB">
        <w:rPr>
          <w:rFonts w:cs="Times New Roman"/>
          <w:noProof/>
          <w:szCs w:val="24"/>
        </w:rPr>
        <w:t>(</w:t>
      </w:r>
      <w:hyperlink w:anchor="_ENREF_41" w:tooltip="O'Brien, 1992 #341" w:history="1">
        <w:r w:rsidR="001633BC">
          <w:rPr>
            <w:rFonts w:cs="Times New Roman"/>
            <w:noProof/>
            <w:szCs w:val="24"/>
          </w:rPr>
          <w:t>O'Brien, 1992</w:t>
        </w:r>
      </w:hyperlink>
      <w:r w:rsidR="004B6AAB">
        <w:rPr>
          <w:rFonts w:cs="Times New Roman"/>
          <w:noProof/>
          <w:szCs w:val="24"/>
        </w:rPr>
        <w:t>)</w:t>
      </w:r>
      <w:r w:rsidR="003731B6">
        <w:rPr>
          <w:rFonts w:cs="Times New Roman"/>
          <w:szCs w:val="24"/>
        </w:rPr>
        <w:fldChar w:fldCharType="end"/>
      </w:r>
      <w:r w:rsidR="004B6AAB">
        <w:rPr>
          <w:rFonts w:cs="Times New Roman"/>
          <w:szCs w:val="24"/>
        </w:rPr>
        <w:t>, but they are neither common nor built into any available software known by the author.</w:t>
      </w:r>
    </w:p>
    <w:p w:rsidR="00794381" w:rsidRDefault="00161CA6" w:rsidP="007D16DC">
      <w:pPr>
        <w:autoSpaceDE w:val="0"/>
        <w:autoSpaceDN w:val="0"/>
        <w:adjustRightInd w:val="0"/>
        <w:spacing w:after="0"/>
        <w:ind w:firstLine="720"/>
        <w:rPr>
          <w:rFonts w:cs="Times New Roman"/>
          <w:szCs w:val="24"/>
        </w:rPr>
      </w:pPr>
      <w:r>
        <w:rPr>
          <w:rFonts w:cs="Times New Roman"/>
          <w:szCs w:val="24"/>
        </w:rPr>
        <w:t>Aside from comparisons between methods, it should be noted that none of the analyses had strong classification rates.  The greatest holdout classification rate was about 64% with the next greatest being about 53%.  While all classification rates were greater than random (20% in this case), none were particularly strong</w:t>
      </w:r>
      <w:r w:rsidR="00D351B3">
        <w:rPr>
          <w:rFonts w:cs="Times New Roman"/>
          <w:szCs w:val="24"/>
        </w:rPr>
        <w:t xml:space="preserve">.  </w:t>
      </w:r>
      <w:r w:rsidR="003731B6">
        <w:rPr>
          <w:rFonts w:cs="Times New Roman"/>
          <w:szCs w:val="24"/>
        </w:rPr>
        <w:fldChar w:fldCharType="begin"/>
      </w:r>
      <w:r w:rsidR="00EB0C79">
        <w:rPr>
          <w:rFonts w:cs="Times New Roman"/>
          <w:szCs w:val="24"/>
        </w:rPr>
        <w:instrText xml:space="preserve"> ADDIN EN.CITE &lt;EndNote&gt;&lt;Cite AuthorYear="1"&gt;&lt;Author&gt;Spradley&lt;/Author&gt;&lt;Year&gt;2008&lt;/Year&gt;&lt;RecNum&gt;242&lt;/RecNum&gt;&lt;DisplayText&gt;Spradley&lt;style face="italic"&gt; et al.&lt;/style&gt; (2008)&lt;/DisplayText&gt;&lt;record&gt;&lt;rec-number&gt;242&lt;/rec-number&gt;&lt;foreign-keys&gt;&lt;key app="EN" db-id="20frpf5eyrpavaevz925sv9t29f5epa9pd2z"&gt;242&lt;/key&gt;&lt;/foreign-keys&gt;&lt;ref-type name="Journal Article"&gt;17&lt;/ref-type&gt;&lt;contributors&gt;&lt;authors&gt;&lt;author&gt;Spradley, M Katherine&lt;/author&gt;&lt;author&gt;Jantz, Richard L&lt;/author&gt;&lt;author&gt;Robinson, Alan&lt;/author&gt;&lt;author&gt;Peccerelli, Fredy&lt;/author&gt;&lt;/authors&gt;&lt;/contributors&gt;&lt;titles&gt;&lt;title&gt;Demographic Change and Forensic Identification: Problems in Metric Identification of Hispanic Skeletons&lt;/title&gt;&lt;secondary-title&gt;Journal of Forensic Sciences&lt;/secondary-title&gt;&lt;/titles&gt;&lt;periodical&gt;&lt;full-title&gt;Journal of Forensic Sciences&lt;/full-title&gt;&lt;/periodical&gt;&lt;pages&gt;21-28&lt;/pages&gt;&lt;volume&gt;53&lt;/volume&gt;&lt;number&gt;1&lt;/number&gt;&lt;dates&gt;&lt;year&gt;2008&lt;/year&gt;&lt;pub-dates&gt;&lt;date&gt;Feb&lt;/date&gt;&lt;/pub-dates&gt;&lt;/dates&gt;&lt;label&gt;r00315&lt;/label&gt;&lt;urls&gt;&lt;related-urls&gt;&lt;url&gt;http://doi.wiley.com/10.1111/j.1556-4029.2007.00614.x&lt;/url&gt;&lt;/related-urls&gt;&lt;pdf-urls&gt;&lt;url&gt;file://localhost/Users/mercergm/Library/Application%20Support/Papers2/Articles/2008/Spradley/Journal%20of%20Forensic%20Sciences%202008%20Spradley.pdf&lt;/url&gt;&lt;/pdf-urls&gt;&lt;/urls&gt;&lt;custom3&gt;papers2://publication/uuid/4899EB4D-F35C-40E5-8C4D-010C3426A47F&lt;/custom3&gt;&lt;electronic-resource-num&gt;10.1111/j.1556-4029.2007.00614.x&lt;/electronic-resource-num&gt;&lt;language&gt;English&lt;/language&gt;&lt;/record&gt;&lt;/Cite&gt;&lt;/EndNote&gt;</w:instrText>
      </w:r>
      <w:r w:rsidR="003731B6">
        <w:rPr>
          <w:rFonts w:cs="Times New Roman"/>
          <w:szCs w:val="24"/>
        </w:rPr>
        <w:fldChar w:fldCharType="separate"/>
      </w:r>
      <w:hyperlink w:anchor="_ENREF_56" w:tooltip="Spradley, 2008 #242" w:history="1">
        <w:r w:rsidR="001633BC">
          <w:rPr>
            <w:rFonts w:cs="Times New Roman"/>
            <w:noProof/>
            <w:szCs w:val="24"/>
          </w:rPr>
          <w:t>Spradley</w:t>
        </w:r>
        <w:r w:rsidR="001633BC" w:rsidRPr="00EB0C79">
          <w:rPr>
            <w:rFonts w:cs="Times New Roman"/>
            <w:i/>
            <w:noProof/>
            <w:szCs w:val="24"/>
          </w:rPr>
          <w:t xml:space="preserve"> et al.</w:t>
        </w:r>
        <w:r w:rsidR="001633BC">
          <w:rPr>
            <w:rFonts w:cs="Times New Roman"/>
            <w:noProof/>
            <w:szCs w:val="24"/>
          </w:rPr>
          <w:t xml:space="preserve"> (2008</w:t>
        </w:r>
      </w:hyperlink>
      <w:r w:rsidR="00EB0C79">
        <w:rPr>
          <w:rFonts w:cs="Times New Roman"/>
          <w:noProof/>
          <w:szCs w:val="24"/>
        </w:rPr>
        <w:t>)</w:t>
      </w:r>
      <w:r w:rsidR="003731B6">
        <w:rPr>
          <w:rFonts w:cs="Times New Roman"/>
          <w:szCs w:val="24"/>
        </w:rPr>
        <w:fldChar w:fldCharType="end"/>
      </w:r>
      <w:r w:rsidR="000E381A">
        <w:rPr>
          <w:rFonts w:cs="Times New Roman"/>
          <w:szCs w:val="24"/>
        </w:rPr>
        <w:t xml:space="preserve"> demonstrate that including fewer groups can help improve classification rates</w:t>
      </w:r>
      <w:r w:rsidR="006C1E4A">
        <w:rPr>
          <w:rFonts w:cs="Times New Roman"/>
          <w:szCs w:val="24"/>
        </w:rPr>
        <w:t xml:space="preserve"> and</w:t>
      </w:r>
      <w:r w:rsidR="00491A86">
        <w:rPr>
          <w:rFonts w:cs="Times New Roman"/>
          <w:szCs w:val="24"/>
        </w:rPr>
        <w:t xml:space="preserve"> </w:t>
      </w:r>
      <w:r w:rsidR="003731B6">
        <w:rPr>
          <w:rFonts w:cs="Times New Roman"/>
          <w:szCs w:val="24"/>
        </w:rPr>
        <w:fldChar w:fldCharType="begin"/>
      </w:r>
      <w:r w:rsidR="00491A86">
        <w:rPr>
          <w:rFonts w:cs="Times New Roman"/>
          <w:szCs w:val="24"/>
        </w:rPr>
        <w:instrText xml:space="preserve"> ADDIN EN.CITE &lt;EndNote&gt;&lt;Cite AuthorYear="1"&gt;&lt;Author&gt;Ousley&lt;/Author&gt;&lt;Year&gt;2005&lt;/Year&gt;&lt;RecNum&gt;367&lt;/RecNum&gt;&lt;DisplayText&gt;Ousley and Jantz (2005)&lt;/DisplayText&gt;&lt;record&gt;&lt;rec-number&gt;367&lt;/rec-number&gt;&lt;foreign-keys&gt;&lt;key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Knoxville&lt;/publisher&gt;&lt;urls&gt;&lt;/urls&gt;&lt;/record&gt;&lt;/Cite&gt;&lt;/EndNote&gt;</w:instrText>
      </w:r>
      <w:r w:rsidR="003731B6">
        <w:rPr>
          <w:rFonts w:cs="Times New Roman"/>
          <w:szCs w:val="24"/>
        </w:rPr>
        <w:fldChar w:fldCharType="separate"/>
      </w:r>
      <w:hyperlink w:anchor="_ENREF_43" w:tooltip="Ousley, 2005 #367" w:history="1">
        <w:r w:rsidR="001633BC">
          <w:rPr>
            <w:rFonts w:cs="Times New Roman"/>
            <w:noProof/>
            <w:szCs w:val="24"/>
          </w:rPr>
          <w:t>Ousley and Jantz (2005</w:t>
        </w:r>
      </w:hyperlink>
      <w:r w:rsidR="00491A86">
        <w:rPr>
          <w:rFonts w:cs="Times New Roman"/>
          <w:noProof/>
          <w:szCs w:val="24"/>
        </w:rPr>
        <w:t>)</w:t>
      </w:r>
      <w:r w:rsidR="003731B6">
        <w:rPr>
          <w:rFonts w:cs="Times New Roman"/>
          <w:szCs w:val="24"/>
        </w:rPr>
        <w:fldChar w:fldCharType="end"/>
      </w:r>
      <w:r w:rsidR="00491A86">
        <w:rPr>
          <w:rFonts w:cs="Times New Roman"/>
          <w:szCs w:val="24"/>
        </w:rPr>
        <w:t xml:space="preserve"> provide guidelines for narrowing down group membership.  They state, “classifications into two to five groups are expected to be more accurate than those</w:t>
      </w:r>
      <w:r w:rsidR="001520A3">
        <w:rPr>
          <w:rFonts w:cs="Times New Roman"/>
          <w:szCs w:val="24"/>
        </w:rPr>
        <w:t xml:space="preserve"> involving many more groups</w:t>
      </w:r>
      <w:r w:rsidR="00491A86">
        <w:rPr>
          <w:rFonts w:cs="Times New Roman"/>
          <w:szCs w:val="24"/>
        </w:rPr>
        <w:t xml:space="preserve">…” </w:t>
      </w:r>
      <w:r w:rsidR="003731B6">
        <w:rPr>
          <w:rFonts w:cs="Times New Roman"/>
          <w:szCs w:val="24"/>
        </w:rPr>
        <w:fldChar w:fldCharType="begin"/>
      </w:r>
      <w:r w:rsidR="00491A86">
        <w:rPr>
          <w:rFonts w:cs="Times New Roman"/>
          <w:szCs w:val="24"/>
        </w:rPr>
        <w:instrText xml:space="preserve"> ADDIN EN.CITE &lt;EndNote&gt;&lt;Cite&gt;&lt;Author&gt;Ousley&lt;/Author&gt;&lt;Year&gt;2005&lt;/Year&gt;&lt;RecNum&gt;367&lt;/RecNum&gt;&lt;Suffix&gt;:np&lt;/Suffix&gt;&lt;DisplayText&gt;(Ousley and Jantz, 2005:np)&lt;/DisplayText&gt;&lt;record&gt;&lt;rec-number&gt;367&lt;/rec-number&gt;&lt;foreign-keys&gt;&lt;key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Knoxville&lt;/publisher&gt;&lt;urls&gt;&lt;/urls&gt;&lt;/record&gt;&lt;/Cite&gt;&lt;/EndNote&gt;</w:instrText>
      </w:r>
      <w:r w:rsidR="003731B6">
        <w:rPr>
          <w:rFonts w:cs="Times New Roman"/>
          <w:szCs w:val="24"/>
        </w:rPr>
        <w:fldChar w:fldCharType="separate"/>
      </w:r>
      <w:r w:rsidR="00491A86">
        <w:rPr>
          <w:rFonts w:cs="Times New Roman"/>
          <w:noProof/>
          <w:szCs w:val="24"/>
        </w:rPr>
        <w:t>(</w:t>
      </w:r>
      <w:hyperlink w:anchor="_ENREF_43" w:tooltip="Ousley, 2005 #367" w:history="1">
        <w:r w:rsidR="001633BC">
          <w:rPr>
            <w:rFonts w:cs="Times New Roman"/>
            <w:noProof/>
            <w:szCs w:val="24"/>
          </w:rPr>
          <w:t>Ousley and Jantz, 2005:np</w:t>
        </w:r>
      </w:hyperlink>
      <w:r w:rsidR="00491A86">
        <w:rPr>
          <w:rFonts w:cs="Times New Roman"/>
          <w:noProof/>
          <w:szCs w:val="24"/>
        </w:rPr>
        <w:t>)</w:t>
      </w:r>
      <w:r w:rsidR="003731B6">
        <w:rPr>
          <w:rFonts w:cs="Times New Roman"/>
          <w:szCs w:val="24"/>
        </w:rPr>
        <w:fldChar w:fldCharType="end"/>
      </w:r>
      <w:r w:rsidR="00491A86">
        <w:rPr>
          <w:rFonts w:cs="Times New Roman"/>
          <w:szCs w:val="24"/>
        </w:rPr>
        <w:t>, but this analysis shows that five groups can still be too many for reliable classifications.</w:t>
      </w:r>
    </w:p>
    <w:p w:rsidR="006F1E7B" w:rsidRDefault="00794381" w:rsidP="0024354B">
      <w:pPr>
        <w:autoSpaceDE w:val="0"/>
        <w:autoSpaceDN w:val="0"/>
        <w:adjustRightInd w:val="0"/>
        <w:spacing w:after="0"/>
        <w:ind w:firstLine="720"/>
        <w:rPr>
          <w:rFonts w:cs="Times New Roman"/>
          <w:szCs w:val="24"/>
        </w:rPr>
      </w:pPr>
      <w:r w:rsidRPr="00221B42">
        <w:rPr>
          <w:rFonts w:cs="Times New Roman"/>
          <w:szCs w:val="24"/>
        </w:rPr>
        <w:t>One cause of the lower classification rates could be that this analysis is estimating both ancestry and sex</w:t>
      </w:r>
      <w:r w:rsidR="0086192E" w:rsidRPr="00221B42">
        <w:rPr>
          <w:rFonts w:cs="Times New Roman"/>
          <w:szCs w:val="24"/>
        </w:rPr>
        <w:t xml:space="preserve"> simultaneously</w:t>
      </w:r>
      <w:r w:rsidRPr="00221B42">
        <w:rPr>
          <w:rFonts w:cs="Times New Roman"/>
          <w:szCs w:val="24"/>
        </w:rPr>
        <w:t>; an observation is considered misclassified if it is classified into the correct ancestry group, but incorrect sex group.</w:t>
      </w:r>
      <w:r w:rsidR="00966C97" w:rsidRPr="00221B42">
        <w:rPr>
          <w:rFonts w:cs="Times New Roman"/>
          <w:szCs w:val="24"/>
        </w:rPr>
        <w:t xml:space="preserve">  A crude way of observing where misclassifications more commonly lie is to aggregate ancestry groups and sex groups and observe the new classification rates. Tables with these classification rates are shown in the appendix</w:t>
      </w:r>
      <w:r w:rsidR="00437A1C" w:rsidRPr="00221B42">
        <w:rPr>
          <w:rFonts w:cs="Times New Roman"/>
          <w:szCs w:val="24"/>
        </w:rPr>
        <w:t xml:space="preserve"> (Table 22 to Table 45)</w:t>
      </w:r>
      <w:r w:rsidR="00966C97" w:rsidRPr="00221B42">
        <w:rPr>
          <w:rFonts w:cs="Times New Roman"/>
          <w:szCs w:val="24"/>
        </w:rPr>
        <w:t>.</w:t>
      </w:r>
      <w:r w:rsidRPr="00221B42">
        <w:rPr>
          <w:rFonts w:cs="Times New Roman"/>
          <w:szCs w:val="24"/>
        </w:rPr>
        <w:t xml:space="preserve"> </w:t>
      </w:r>
      <w:r w:rsidR="00966C97" w:rsidRPr="00221B42">
        <w:rPr>
          <w:rFonts w:cs="Times New Roman"/>
          <w:szCs w:val="24"/>
        </w:rPr>
        <w:t xml:space="preserve"> From these tables it can be seen that ancestry is more difficult to capture than sex; overall classification rates for ancestry groups tend to be about 10% to 20% less than classification rates for sex groups.</w:t>
      </w:r>
      <w:r w:rsidR="00AA59ED" w:rsidRPr="00221B42">
        <w:rPr>
          <w:rFonts w:cs="Times New Roman"/>
          <w:szCs w:val="24"/>
        </w:rPr>
        <w:t xml:space="preserve">  However, by pooling ancestry groups overall classification rates rise by about 8% to 15% depending on the</w:t>
      </w:r>
      <w:r w:rsidR="005D556E" w:rsidRPr="00221B42">
        <w:rPr>
          <w:rFonts w:cs="Times New Roman"/>
          <w:szCs w:val="24"/>
        </w:rPr>
        <w:t xml:space="preserve"> discriminant</w:t>
      </w:r>
      <w:r w:rsidR="00AA59ED" w:rsidRPr="00221B42">
        <w:rPr>
          <w:rFonts w:cs="Times New Roman"/>
          <w:szCs w:val="24"/>
        </w:rPr>
        <w:t xml:space="preserve"> method.</w:t>
      </w:r>
    </w:p>
    <w:p w:rsidR="007D4355" w:rsidRDefault="002625E3" w:rsidP="00F30A03">
      <w:pPr>
        <w:pStyle w:val="Heading1"/>
      </w:pPr>
      <w:bookmarkStart w:id="93" w:name="_Toc222419134"/>
      <w:bookmarkStart w:id="94" w:name="_Toc227982505"/>
      <w:r>
        <w:t>CONCLUSION</w:t>
      </w:r>
      <w:r w:rsidR="007D4355">
        <w:t xml:space="preserve"> AND RECOMMENDATIONS</w:t>
      </w:r>
      <w:bookmarkEnd w:id="93"/>
      <w:bookmarkEnd w:id="94"/>
    </w:p>
    <w:p w:rsidR="00E41D13" w:rsidRDefault="00E41D13" w:rsidP="00466523">
      <w:pPr>
        <w:autoSpaceDE w:val="0"/>
        <w:autoSpaceDN w:val="0"/>
        <w:adjustRightInd w:val="0"/>
        <w:spacing w:after="0"/>
        <w:ind w:firstLine="720"/>
      </w:pPr>
      <w:r>
        <w:t xml:space="preserve">This research was a comparative </w:t>
      </w:r>
      <w:r w:rsidR="00592000">
        <w:t>evaluation</w:t>
      </w:r>
      <w:r>
        <w:t xml:space="preserve"> of four statistical discriminant analysis techniques in forensic ancestry estimaton:  linear discriminant analysis (LDA); quadratic discriminant analysis (QDA); k-nearest neighbor analysis (KNN); and classification trees (CT).   Performance evaluations were based upon correct classification rates f</w:t>
      </w:r>
      <w:r w:rsidR="002625E3">
        <w:t>or each method.  Data consisted</w:t>
      </w:r>
      <w:r>
        <w:t xml:space="preserve"> of 16 craniometric variables and 1257 individuals from the Forensic Data Bank were used.  The data included American White, American Black, and Hispanic males and females.  However, the Hispanic female group was excluded</w:t>
      </w:r>
      <w:r w:rsidR="000B729A">
        <w:t xml:space="preserve"> due to its small sample size.</w:t>
      </w:r>
    </w:p>
    <w:p w:rsidR="001201DE" w:rsidRDefault="007B0CEB" w:rsidP="00466523">
      <w:pPr>
        <w:autoSpaceDE w:val="0"/>
        <w:autoSpaceDN w:val="0"/>
        <w:adjustRightInd w:val="0"/>
        <w:spacing w:after="0"/>
        <w:ind w:firstLine="720"/>
        <w:rPr>
          <w:rFonts w:cs="Times New Roman"/>
          <w:szCs w:val="24"/>
        </w:rPr>
      </w:pPr>
      <w:r>
        <w:rPr>
          <w:rFonts w:cs="Times New Roman"/>
          <w:szCs w:val="24"/>
        </w:rPr>
        <w:t>Overall, LDA performed the best</w:t>
      </w:r>
      <w:r w:rsidR="0034220B">
        <w:rPr>
          <w:rFonts w:cs="Times New Roman"/>
          <w:szCs w:val="24"/>
        </w:rPr>
        <w:t>, indicated by the classification rate estimates in Table 16 and Table 19.  While the classification rates for the CT in Table 16 are better than those of LDA, the results were likely due to the</w:t>
      </w:r>
      <w:r w:rsidR="007A54AA">
        <w:rPr>
          <w:rFonts w:cs="Times New Roman"/>
          <w:szCs w:val="24"/>
        </w:rPr>
        <w:t xml:space="preserve"> great disparity between</w:t>
      </w:r>
      <w:r w:rsidR="0034220B">
        <w:rPr>
          <w:rFonts w:cs="Times New Roman"/>
          <w:szCs w:val="24"/>
        </w:rPr>
        <w:t xml:space="preserve"> group sample sizes.  </w:t>
      </w:r>
      <w:r w:rsidR="00E23EE5">
        <w:rPr>
          <w:rFonts w:cs="Times New Roman"/>
          <w:szCs w:val="24"/>
        </w:rPr>
        <w:t xml:space="preserve">A follow-up CT with equal </w:t>
      </w:r>
      <w:r w:rsidR="007D4355">
        <w:rPr>
          <w:rFonts w:cs="Times New Roman"/>
          <w:szCs w:val="24"/>
        </w:rPr>
        <w:t xml:space="preserve">group </w:t>
      </w:r>
      <w:r w:rsidR="00E23EE5">
        <w:rPr>
          <w:rFonts w:cs="Times New Roman"/>
          <w:szCs w:val="24"/>
        </w:rPr>
        <w:t xml:space="preserve">sample sizes </w:t>
      </w:r>
      <w:r w:rsidR="007D4355">
        <w:rPr>
          <w:rFonts w:cs="Times New Roman"/>
          <w:szCs w:val="24"/>
        </w:rPr>
        <w:t xml:space="preserve">did not perform as well based upon the </w:t>
      </w:r>
      <w:r w:rsidR="009462B3">
        <w:rPr>
          <w:rFonts w:cs="Times New Roman"/>
          <w:szCs w:val="24"/>
        </w:rPr>
        <w:t>re-substitution</w:t>
      </w:r>
      <w:r w:rsidR="007D4355">
        <w:rPr>
          <w:rFonts w:cs="Times New Roman"/>
          <w:szCs w:val="24"/>
        </w:rPr>
        <w:t xml:space="preserve"> and cross-validation estimates.</w:t>
      </w:r>
      <w:r>
        <w:rPr>
          <w:rFonts w:cs="Times New Roman"/>
          <w:szCs w:val="24"/>
        </w:rPr>
        <w:t xml:space="preserve">  QDA and KNN analysis did </w:t>
      </w:r>
      <w:r w:rsidR="009A2F08">
        <w:rPr>
          <w:rFonts w:cs="Times New Roman"/>
          <w:szCs w:val="24"/>
        </w:rPr>
        <w:t>not perform very well, only correctly classifying 50-53% of the holdout observations</w:t>
      </w:r>
      <w:r>
        <w:rPr>
          <w:rFonts w:cs="Times New Roman"/>
          <w:szCs w:val="24"/>
        </w:rPr>
        <w:t>.  Furthermore, they have some risky drawbacks, such as QDA’s notoriety for</w:t>
      </w:r>
      <w:r w:rsidR="00F46DD4">
        <w:rPr>
          <w:rFonts w:cs="Times New Roman"/>
          <w:szCs w:val="24"/>
        </w:rPr>
        <w:t xml:space="preserve"> </w:t>
      </w:r>
      <w:r w:rsidR="00FD4E26">
        <w:rPr>
          <w:rFonts w:cs="Times New Roman"/>
          <w:szCs w:val="24"/>
        </w:rPr>
        <w:t>over-fit</w:t>
      </w:r>
      <w:r w:rsidR="00F46DD4">
        <w:rPr>
          <w:rFonts w:cs="Times New Roman"/>
          <w:szCs w:val="24"/>
        </w:rPr>
        <w:t>ting and</w:t>
      </w:r>
      <w:r>
        <w:rPr>
          <w:rFonts w:cs="Times New Roman"/>
          <w:szCs w:val="24"/>
        </w:rPr>
        <w:t xml:space="preserve"> sensitivity to error and KNN’s rapid </w:t>
      </w:r>
      <w:r w:rsidR="00FD4E26">
        <w:rPr>
          <w:rFonts w:cs="Times New Roman"/>
          <w:szCs w:val="24"/>
        </w:rPr>
        <w:t>over-fit</w:t>
      </w:r>
      <w:r>
        <w:rPr>
          <w:rFonts w:cs="Times New Roman"/>
          <w:szCs w:val="24"/>
        </w:rPr>
        <w:t>ting in this analysis.</w:t>
      </w:r>
      <w:r w:rsidR="007D4355">
        <w:rPr>
          <w:rFonts w:cs="Times New Roman"/>
          <w:szCs w:val="24"/>
        </w:rPr>
        <w:t xml:space="preserve">  </w:t>
      </w:r>
      <w:r w:rsidR="00F46DD4">
        <w:rPr>
          <w:rFonts w:cs="Times New Roman"/>
          <w:szCs w:val="24"/>
        </w:rPr>
        <w:t>Furthermore, neither QDA nor KNN have any variable selection methods available.</w:t>
      </w:r>
    </w:p>
    <w:p w:rsidR="000B729A" w:rsidRDefault="001201DE" w:rsidP="000B729A">
      <w:pPr>
        <w:autoSpaceDE w:val="0"/>
        <w:autoSpaceDN w:val="0"/>
        <w:adjustRightInd w:val="0"/>
        <w:spacing w:after="0"/>
        <w:ind w:firstLine="720"/>
        <w:rPr>
          <w:rFonts w:cs="Times New Roman"/>
          <w:szCs w:val="24"/>
        </w:rPr>
      </w:pPr>
      <w:r>
        <w:rPr>
          <w:rFonts w:cs="Times New Roman"/>
          <w:szCs w:val="24"/>
        </w:rPr>
        <w:t>LDA, however, while performing the best, also has some drawbacks.  Its distributional assumptions of multivariate normality and equality of covariance are difficult to satisfy.  This analysis shows that multivariate normality may be achieved by removing some outliers.  However, there must be theo</w:t>
      </w:r>
      <w:r w:rsidR="000B729A">
        <w:rPr>
          <w:rFonts w:cs="Times New Roman"/>
          <w:szCs w:val="24"/>
        </w:rPr>
        <w:t>retical reasons behind removing</w:t>
      </w:r>
    </w:p>
    <w:p w:rsidR="009B2454" w:rsidRDefault="001201DE" w:rsidP="00DA53EF">
      <w:pPr>
        <w:autoSpaceDE w:val="0"/>
        <w:autoSpaceDN w:val="0"/>
        <w:adjustRightInd w:val="0"/>
        <w:spacing w:after="0"/>
        <w:rPr>
          <w:rFonts w:cs="Times New Roman"/>
          <w:szCs w:val="24"/>
        </w:rPr>
      </w:pPr>
      <w:proofErr w:type="gramStart"/>
      <w:r>
        <w:rPr>
          <w:rFonts w:cs="Times New Roman"/>
          <w:szCs w:val="24"/>
        </w:rPr>
        <w:t>outliers</w:t>
      </w:r>
      <w:proofErr w:type="gramEnd"/>
      <w:r>
        <w:rPr>
          <w:rFonts w:cs="Times New Roman"/>
          <w:szCs w:val="24"/>
        </w:rPr>
        <w:t>; making the data fit the distributional assumptions of a particular method is not a valid reason.</w:t>
      </w:r>
      <w:r w:rsidR="002D0BE2">
        <w:rPr>
          <w:rFonts w:cs="Times New Roman"/>
          <w:szCs w:val="24"/>
        </w:rPr>
        <w:t xml:space="preserve">  </w:t>
      </w:r>
      <w:r w:rsidR="004A4B2A">
        <w:rPr>
          <w:rFonts w:cs="Times New Roman"/>
          <w:szCs w:val="24"/>
        </w:rPr>
        <w:t>For example, a</w:t>
      </w:r>
      <w:r w:rsidR="002D0BE2">
        <w:rPr>
          <w:rFonts w:cs="Times New Roman"/>
          <w:szCs w:val="24"/>
        </w:rPr>
        <w:t>n outlier was removed from this analysis due to a clear data entry or recording error (MDH = 113 mm.)</w:t>
      </w:r>
      <w:r w:rsidR="001849FC">
        <w:rPr>
          <w:rFonts w:cs="Times New Roman"/>
          <w:szCs w:val="24"/>
        </w:rPr>
        <w:t>.</w:t>
      </w:r>
      <w:r w:rsidR="00DA53EF">
        <w:rPr>
          <w:rFonts w:cs="Times New Roman"/>
          <w:szCs w:val="24"/>
        </w:rPr>
        <w:t xml:space="preserve">  </w:t>
      </w:r>
      <w:r w:rsidR="0048537F">
        <w:rPr>
          <w:rFonts w:cs="Times New Roman"/>
          <w:szCs w:val="24"/>
        </w:rPr>
        <w:t xml:space="preserve">On the other hand, homogeneity of variance does not seem as easily met, as every test in this analysis resulted in significance with very small </w:t>
      </w:r>
      <w:r w:rsidR="0048537F">
        <w:rPr>
          <w:rFonts w:cs="Times New Roman"/>
          <w:i/>
          <w:szCs w:val="24"/>
        </w:rPr>
        <w:t>p</w:t>
      </w:r>
      <w:r w:rsidR="0048537F">
        <w:rPr>
          <w:rFonts w:cs="Times New Roman"/>
          <w:szCs w:val="24"/>
        </w:rPr>
        <w:t>-values.</w:t>
      </w:r>
      <w:r w:rsidR="00F60AEF">
        <w:rPr>
          <w:rFonts w:cs="Times New Roman"/>
          <w:szCs w:val="24"/>
        </w:rPr>
        <w:t xml:space="preserve">  Furthermore, whether or not the data meet these assumptions varies from analysis to analysis because the number of variables and groups as well as which are included will have effects</w:t>
      </w:r>
      <w:r w:rsidR="00F9338C">
        <w:rPr>
          <w:rFonts w:cs="Times New Roman"/>
          <w:szCs w:val="24"/>
        </w:rPr>
        <w:t xml:space="preserve"> on data distributions</w:t>
      </w:r>
      <w:r w:rsidR="00F60AEF">
        <w:rPr>
          <w:rFonts w:cs="Times New Roman"/>
          <w:szCs w:val="24"/>
        </w:rPr>
        <w:t>.</w:t>
      </w:r>
      <w:r w:rsidR="00E733A4">
        <w:rPr>
          <w:rFonts w:cs="Times New Roman"/>
          <w:szCs w:val="24"/>
        </w:rPr>
        <w:t xml:space="preserve">  </w:t>
      </w:r>
      <w:r w:rsidR="002B61C4">
        <w:rPr>
          <w:rFonts w:cs="Times New Roman"/>
          <w:szCs w:val="24"/>
        </w:rPr>
        <w:t>Also</w:t>
      </w:r>
      <w:r w:rsidR="00E733A4">
        <w:rPr>
          <w:rFonts w:cs="Times New Roman"/>
          <w:szCs w:val="24"/>
        </w:rPr>
        <w:t xml:space="preserve">, one of LDA’s significant advantages – </w:t>
      </w:r>
      <w:r w:rsidR="003200E5">
        <w:rPr>
          <w:rFonts w:cs="Times New Roman"/>
          <w:szCs w:val="24"/>
        </w:rPr>
        <w:t>the availability of variable selection procedures</w:t>
      </w:r>
      <w:r w:rsidR="00E733A4">
        <w:rPr>
          <w:rFonts w:cs="Times New Roman"/>
          <w:szCs w:val="24"/>
        </w:rPr>
        <w:t xml:space="preserve"> – shares these assumptions and neither the LDA nor the variable selection may perform optimally</w:t>
      </w:r>
      <w:r w:rsidR="00C3368D">
        <w:rPr>
          <w:rFonts w:cs="Times New Roman"/>
          <w:szCs w:val="24"/>
        </w:rPr>
        <w:t xml:space="preserve"> with</w:t>
      </w:r>
      <w:r w:rsidR="00E733A4">
        <w:rPr>
          <w:rFonts w:cs="Times New Roman"/>
          <w:szCs w:val="24"/>
        </w:rPr>
        <w:t xml:space="preserve"> their assumptions violated.</w:t>
      </w:r>
    </w:p>
    <w:p w:rsidR="002B61C4" w:rsidRDefault="00E475B5" w:rsidP="00466523">
      <w:pPr>
        <w:autoSpaceDE w:val="0"/>
        <w:autoSpaceDN w:val="0"/>
        <w:adjustRightInd w:val="0"/>
        <w:spacing w:after="0"/>
        <w:ind w:firstLine="720"/>
        <w:rPr>
          <w:rFonts w:cs="Times New Roman"/>
          <w:szCs w:val="24"/>
        </w:rPr>
      </w:pPr>
      <w:r>
        <w:rPr>
          <w:rFonts w:cs="Times New Roman"/>
          <w:szCs w:val="24"/>
        </w:rPr>
        <w:t xml:space="preserve">In their discussion of LDA’s assumptions, </w:t>
      </w:r>
      <w:r w:rsidR="003731B6">
        <w:rPr>
          <w:rFonts w:cs="Times New Roman"/>
          <w:szCs w:val="24"/>
        </w:rPr>
        <w:fldChar w:fldCharType="begin"/>
      </w:r>
      <w:r w:rsidR="00F657B1">
        <w:rPr>
          <w:rFonts w:cs="Times New Roman"/>
          <w:szCs w:val="24"/>
        </w:rPr>
        <w:instrText xml:space="preserve"> ADDIN EN.CITE &lt;EndNote&gt;&lt;Cite AuthorYear="1"&gt;&lt;Author&gt;Ousley&lt;/Author&gt;&lt;Year&gt;2012&lt;/Year&gt;&lt;RecNum&gt;345&lt;/RecNum&gt;&lt;Suffix&gt;:317&lt;/Suffix&gt;&lt;DisplayText&gt;Ousley and Jantz (2012:317)&lt;/DisplayText&gt;&lt;record&gt;&lt;rec-number&gt;345&lt;/rec-number&gt;&lt;foreign-keys&gt;&lt;key app="EN" db-id="20frpf5eyrpavaevz925sv9t29f5epa9pd2z"&gt;345&lt;/key&gt;&lt;/foreign-keys&gt;&lt;ref-type name="Book Section"&gt;5&lt;/ref-type&gt;&lt;contributors&gt;&lt;authors&gt;&lt;author&gt;Ousley, Stephen D&lt;/author&gt;&lt;author&gt;Jantz, Richard L&lt;/author&gt;&lt;/authors&gt;&lt;secondary-authors&gt;&lt;author&gt;Dirkmaat, Dennis C&lt;/author&gt;&lt;/secondary-authors&gt;&lt;/contributors&gt;&lt;titles&gt;&lt;title&gt;FORDISC 3 and Statistical Methods for Estimating Sex and Ancestry&lt;/title&gt;&lt;secondary-title&gt;A Companion to Forensic Anthropology&lt;/secondary-title&gt;&lt;/titles&gt;&lt;pages&gt;311-329&lt;/pages&gt;&lt;number&gt;15&lt;/number&gt;&lt;dates&gt;&lt;year&gt;2012&lt;/year&gt;&lt;/dates&gt;&lt;pub-location&gt;Malden, MA&lt;/pub-location&gt;&lt;publisher&gt;Wiley-Blackwell&lt;/publisher&gt;&lt;label&gt;r05356&lt;/label&gt;&lt;urls&gt;&lt;pdf-urls&gt;&lt;url&gt;file://localhost/Users/mercergm/Library/Application%20Support/Papers2/Books/2012/Ousley/2012%20Ousley.pdf&lt;/url&gt;&lt;/pdf-urls&gt;&lt;/urls&gt;&lt;custom3&gt;papers2://publication/uuid/6DC2AF22-B6EB-4F82-89CE-715BA84A1C8D&lt;/custom3&gt;&lt;/record&gt;&lt;/Cite&gt;&lt;/EndNote&gt;</w:instrText>
      </w:r>
      <w:r w:rsidR="003731B6">
        <w:rPr>
          <w:rFonts w:cs="Times New Roman"/>
          <w:szCs w:val="24"/>
        </w:rPr>
        <w:fldChar w:fldCharType="separate"/>
      </w:r>
      <w:hyperlink w:anchor="_ENREF_44" w:tooltip="Ousley, 2012 #345" w:history="1">
        <w:r w:rsidR="001633BC">
          <w:rPr>
            <w:rFonts w:cs="Times New Roman"/>
            <w:noProof/>
            <w:szCs w:val="24"/>
          </w:rPr>
          <w:t>Ousley and Jantz (2012:317</w:t>
        </w:r>
      </w:hyperlink>
      <w:r w:rsidR="00F657B1">
        <w:rPr>
          <w:rFonts w:cs="Times New Roman"/>
          <w:noProof/>
          <w:szCs w:val="24"/>
        </w:rPr>
        <w:t>)</w:t>
      </w:r>
      <w:r w:rsidR="003731B6">
        <w:rPr>
          <w:rFonts w:cs="Times New Roman"/>
          <w:szCs w:val="24"/>
        </w:rPr>
        <w:fldChar w:fldCharType="end"/>
      </w:r>
      <w:r>
        <w:rPr>
          <w:rFonts w:cs="Times New Roman"/>
          <w:szCs w:val="24"/>
        </w:rPr>
        <w:t xml:space="preserve"> state, “if groups show very different levels of variability…other statistical procedures…may be necessary, although they may not produce the most accurate statistics.”</w:t>
      </w:r>
      <w:r w:rsidR="00A846F8">
        <w:rPr>
          <w:rFonts w:cs="Times New Roman"/>
          <w:szCs w:val="24"/>
        </w:rPr>
        <w:t xml:space="preserve">  The results of this analysis support their statement; the nonparametric procedures evaluated </w:t>
      </w:r>
      <w:r w:rsidR="00D22766">
        <w:rPr>
          <w:rFonts w:cs="Times New Roman"/>
          <w:szCs w:val="24"/>
        </w:rPr>
        <w:t xml:space="preserve">here did not perform as well as </w:t>
      </w:r>
      <w:r w:rsidR="007475C1">
        <w:rPr>
          <w:rFonts w:cs="Times New Roman"/>
          <w:szCs w:val="24"/>
        </w:rPr>
        <w:t>LDA</w:t>
      </w:r>
      <w:r w:rsidR="00D22766">
        <w:rPr>
          <w:rFonts w:cs="Times New Roman"/>
          <w:szCs w:val="24"/>
        </w:rPr>
        <w:t>.</w:t>
      </w:r>
      <w:r w:rsidR="001378B7">
        <w:rPr>
          <w:rFonts w:cs="Times New Roman"/>
          <w:szCs w:val="24"/>
        </w:rPr>
        <w:t xml:space="preserve">  However, it should be recognized that LDA’s distributional assumptions, their probable violation, difficult</w:t>
      </w:r>
      <w:r w:rsidR="00831378">
        <w:rPr>
          <w:rFonts w:cs="Times New Roman"/>
          <w:szCs w:val="24"/>
        </w:rPr>
        <w:t xml:space="preserve"> evaluation</w:t>
      </w:r>
      <w:r w:rsidR="001378B7">
        <w:rPr>
          <w:rFonts w:cs="Times New Roman"/>
          <w:szCs w:val="24"/>
        </w:rPr>
        <w:t xml:space="preserve">, and variation in whether they are met </w:t>
      </w:r>
      <w:r w:rsidR="00841C85">
        <w:rPr>
          <w:rFonts w:cs="Times New Roman"/>
          <w:szCs w:val="24"/>
        </w:rPr>
        <w:t>affected</w:t>
      </w:r>
      <w:r w:rsidR="001378B7">
        <w:rPr>
          <w:rFonts w:cs="Times New Roman"/>
          <w:szCs w:val="24"/>
        </w:rPr>
        <w:t xml:space="preserve"> by variable and group selection introduce uncertainty that cannot be accounted for.</w:t>
      </w:r>
      <w:r w:rsidR="00BC5BC0">
        <w:rPr>
          <w:rFonts w:cs="Times New Roman"/>
          <w:szCs w:val="24"/>
        </w:rPr>
        <w:t xml:space="preserve">  This is especially true without a holdout sample with which to evaluate out-of-sample performance.</w:t>
      </w:r>
    </w:p>
    <w:p w:rsidR="001000A1" w:rsidRDefault="002B61C4" w:rsidP="00466523">
      <w:pPr>
        <w:autoSpaceDE w:val="0"/>
        <w:autoSpaceDN w:val="0"/>
        <w:adjustRightInd w:val="0"/>
        <w:spacing w:after="0"/>
        <w:ind w:firstLine="720"/>
        <w:rPr>
          <w:rFonts w:cs="Times New Roman"/>
          <w:szCs w:val="24"/>
        </w:rPr>
      </w:pPr>
      <w:r>
        <w:rPr>
          <w:rFonts w:cs="Times New Roman"/>
          <w:szCs w:val="24"/>
        </w:rPr>
        <w:t xml:space="preserve">If the conditions are such that a nonparametric method should be applied, then CT </w:t>
      </w:r>
      <w:r w:rsidR="00245EBA">
        <w:rPr>
          <w:rFonts w:cs="Times New Roman"/>
          <w:szCs w:val="24"/>
        </w:rPr>
        <w:t>is</w:t>
      </w:r>
      <w:r w:rsidR="00156583">
        <w:rPr>
          <w:rFonts w:cs="Times New Roman"/>
          <w:szCs w:val="24"/>
        </w:rPr>
        <w:t xml:space="preserve"> recommended</w:t>
      </w:r>
      <w:r>
        <w:rPr>
          <w:rFonts w:cs="Times New Roman"/>
          <w:szCs w:val="24"/>
        </w:rPr>
        <w:t xml:space="preserve">.  QDA is advantageous in that it does not assume variance homogeneity.  However, it is sensitive to errors in the training data and is known for developing over fit models that do not perform well when applied to data not used during model estimation.  </w:t>
      </w:r>
      <w:r w:rsidR="005F0161">
        <w:rPr>
          <w:rFonts w:cs="Times New Roman"/>
          <w:szCs w:val="24"/>
        </w:rPr>
        <w:t xml:space="preserve">KNN is not recommended because it assumes variance homogeneity and the KNN models in this analysis became </w:t>
      </w:r>
      <w:r w:rsidR="00FD4E26">
        <w:rPr>
          <w:rFonts w:cs="Times New Roman"/>
          <w:szCs w:val="24"/>
        </w:rPr>
        <w:t>over-fit</w:t>
      </w:r>
      <w:r w:rsidR="005F0161">
        <w:rPr>
          <w:rFonts w:cs="Times New Roman"/>
          <w:szCs w:val="24"/>
        </w:rPr>
        <w:t xml:space="preserve"> very quickly.</w:t>
      </w:r>
      <w:r w:rsidR="00EA1628">
        <w:rPr>
          <w:rFonts w:cs="Times New Roman"/>
          <w:szCs w:val="24"/>
        </w:rPr>
        <w:t xml:space="preserve">  CT, on the other hand, has many advantages among which are easy comprehension, interpretation, and application.  </w:t>
      </w:r>
      <w:r w:rsidR="00160359">
        <w:rPr>
          <w:rFonts w:cs="Times New Roman"/>
          <w:szCs w:val="24"/>
        </w:rPr>
        <w:t>However, users must be careful when applying them to groups with very different sample sizes</w:t>
      </w:r>
      <w:r w:rsidR="00A646F1">
        <w:rPr>
          <w:rFonts w:cs="Times New Roman"/>
          <w:szCs w:val="24"/>
        </w:rPr>
        <w:t>.</w:t>
      </w:r>
    </w:p>
    <w:p w:rsidR="00986B8C" w:rsidRDefault="001000A1" w:rsidP="00466523">
      <w:pPr>
        <w:autoSpaceDE w:val="0"/>
        <w:autoSpaceDN w:val="0"/>
        <w:adjustRightInd w:val="0"/>
        <w:spacing w:after="0"/>
        <w:ind w:firstLine="720"/>
        <w:rPr>
          <w:rFonts w:cs="Times New Roman"/>
          <w:szCs w:val="24"/>
        </w:rPr>
      </w:pPr>
      <w:r>
        <w:rPr>
          <w:rFonts w:cs="Times New Roman"/>
          <w:szCs w:val="24"/>
        </w:rPr>
        <w:t>The CT accuracy in this analysis was not far below tha</w:t>
      </w:r>
      <w:r w:rsidR="003A5422">
        <w:rPr>
          <w:rFonts w:cs="Times New Roman"/>
          <w:szCs w:val="24"/>
        </w:rPr>
        <w:t>t of LDA.  Further work with CTs</w:t>
      </w:r>
      <w:r>
        <w:rPr>
          <w:rFonts w:cs="Times New Roman"/>
          <w:szCs w:val="24"/>
        </w:rPr>
        <w:t xml:space="preserve"> is recommended.  This analysis only tested one set of parameter specifications that is most in line with the CART algorithm developed by </w:t>
      </w:r>
      <w:r w:rsidR="003731B6">
        <w:rPr>
          <w:rFonts w:cs="Times New Roman"/>
          <w:szCs w:val="24"/>
        </w:rPr>
        <w:fldChar w:fldCharType="begin"/>
      </w:r>
      <w:r w:rsidR="00EB0C79">
        <w:rPr>
          <w:rFonts w:cs="Times New Roman"/>
          <w:szCs w:val="24"/>
        </w:rPr>
        <w:instrText xml:space="preserve"> ADDIN EN.CITE &lt;EndNote&gt;&lt;Cite AuthorYear="1"&gt;&lt;Author&gt;Breiman&lt;/Author&gt;&lt;Year&gt;1984&lt;/Year&gt;&lt;RecNum&gt;93&lt;/RecNum&gt;&lt;DisplayText&gt;Breiman&lt;style face="italic"&gt; et al.&lt;/style&gt; (1984)&lt;/DisplayText&gt;&lt;record&gt;&lt;rec-number&gt;93&lt;/rec-number&gt;&lt;foreign-keys&gt;&lt;key app="EN" db-id="20frpf5eyrpavaevz925sv9t29f5epa9pd2z"&gt;93&lt;/key&gt;&lt;/foreign-keys&gt;&lt;ref-type name="Book"&gt;6&lt;/ref-type&gt;&lt;contributors&gt;&lt;authors&gt;&lt;author&gt;Breiman, Leo&lt;/author&gt;&lt;author&gt;Friedman, Jerome H.&lt;/author&gt;&lt;author&gt;Olshen, Richard A.&lt;/author&gt;&lt;author&gt;Stone, Charles L.&lt;/author&gt;&lt;/authors&gt;&lt;/contributors&gt;&lt;titles&gt;&lt;title&gt;Classification and regression trees&lt;/title&gt;&lt;/titles&gt;&lt;dates&gt;&lt;year&gt;1984&lt;/year&gt;&lt;/dates&gt;&lt;pub-location&gt;Belmont, CA&lt;/pub-location&gt;&lt;publisher&gt;Wadsworth&lt;/publisher&gt;&lt;urls&gt;&lt;/urls&gt;&lt;/record&gt;&lt;/Cite&gt;&lt;/EndNote&gt;</w:instrText>
      </w:r>
      <w:r w:rsidR="003731B6">
        <w:rPr>
          <w:rFonts w:cs="Times New Roman"/>
          <w:szCs w:val="24"/>
        </w:rPr>
        <w:fldChar w:fldCharType="separate"/>
      </w:r>
      <w:hyperlink w:anchor="_ENREF_9" w:tooltip="Breiman, 1984 #93" w:history="1">
        <w:r w:rsidR="001633BC">
          <w:rPr>
            <w:rFonts w:cs="Times New Roman"/>
            <w:noProof/>
            <w:szCs w:val="24"/>
          </w:rPr>
          <w:t>Breiman</w:t>
        </w:r>
        <w:r w:rsidR="001633BC" w:rsidRPr="00EB0C79">
          <w:rPr>
            <w:rFonts w:cs="Times New Roman"/>
            <w:i/>
            <w:noProof/>
            <w:szCs w:val="24"/>
          </w:rPr>
          <w:t xml:space="preserve"> et al.</w:t>
        </w:r>
        <w:r w:rsidR="001633BC">
          <w:rPr>
            <w:rFonts w:cs="Times New Roman"/>
            <w:noProof/>
            <w:szCs w:val="24"/>
          </w:rPr>
          <w:t xml:space="preserve"> (1984</w:t>
        </w:r>
      </w:hyperlink>
      <w:r w:rsidR="00EB0C79">
        <w:rPr>
          <w:rFonts w:cs="Times New Roman"/>
          <w:noProof/>
          <w:szCs w:val="24"/>
        </w:rPr>
        <w:t>)</w:t>
      </w:r>
      <w:r w:rsidR="003731B6">
        <w:rPr>
          <w:rFonts w:cs="Times New Roman"/>
          <w:szCs w:val="24"/>
        </w:rPr>
        <w:fldChar w:fldCharType="end"/>
      </w:r>
      <w:r>
        <w:rPr>
          <w:rFonts w:cs="Times New Roman"/>
          <w:szCs w:val="24"/>
        </w:rPr>
        <w:t>.  However, other settings or algorithms may provide improved performance.  The vast array of benefits offered by CT</w:t>
      </w:r>
      <w:r w:rsidR="00FB0186">
        <w:rPr>
          <w:rFonts w:cs="Times New Roman"/>
          <w:szCs w:val="24"/>
        </w:rPr>
        <w:t>s</w:t>
      </w:r>
      <w:r>
        <w:rPr>
          <w:rFonts w:cs="Times New Roman"/>
          <w:szCs w:val="24"/>
        </w:rPr>
        <w:t xml:space="preserve"> make them a strong altern</w:t>
      </w:r>
      <w:r w:rsidR="003A5422">
        <w:rPr>
          <w:rFonts w:cs="Times New Roman"/>
          <w:szCs w:val="24"/>
        </w:rPr>
        <w:t>ative even in the face of their</w:t>
      </w:r>
      <w:r>
        <w:rPr>
          <w:rFonts w:cs="Times New Roman"/>
          <w:szCs w:val="24"/>
        </w:rPr>
        <w:t xml:space="preserve"> lower accuracy.  CT does not make any assumptions about the data that if violated can confound interpretation</w:t>
      </w:r>
      <w:r w:rsidR="00010BEF">
        <w:rPr>
          <w:rFonts w:cs="Times New Roman"/>
          <w:szCs w:val="24"/>
        </w:rPr>
        <w:t xml:space="preserve"> or call into question the validity of any statistics or estimates made.  Thus, there is no need for additional statistical tests of assumptions</w:t>
      </w:r>
      <w:r w:rsidR="00097FBE">
        <w:rPr>
          <w:rFonts w:cs="Times New Roman"/>
          <w:szCs w:val="24"/>
        </w:rPr>
        <w:t xml:space="preserve"> either</w:t>
      </w:r>
      <w:r w:rsidR="00010BEF">
        <w:rPr>
          <w:rFonts w:cs="Times New Roman"/>
          <w:szCs w:val="24"/>
        </w:rPr>
        <w:t>.  There is</w:t>
      </w:r>
      <w:r w:rsidR="00325B81">
        <w:rPr>
          <w:rFonts w:cs="Times New Roman"/>
          <w:szCs w:val="24"/>
        </w:rPr>
        <w:t xml:space="preserve"> also</w:t>
      </w:r>
      <w:r w:rsidR="00010BEF">
        <w:rPr>
          <w:rFonts w:cs="Times New Roman"/>
          <w:szCs w:val="24"/>
        </w:rPr>
        <w:t xml:space="preserve"> no need for a variable selection analysis because variable selection is inherent to CT algorithms.  CTs can incorporate continuous, categorical, or both variable types in its analysis.</w:t>
      </w:r>
      <w:r w:rsidR="00FB0186">
        <w:rPr>
          <w:rFonts w:cs="Times New Roman"/>
          <w:szCs w:val="24"/>
        </w:rPr>
        <w:t xml:space="preserve">  </w:t>
      </w:r>
      <w:r w:rsidR="00325B81">
        <w:rPr>
          <w:rFonts w:cs="Times New Roman"/>
          <w:szCs w:val="24"/>
        </w:rPr>
        <w:t>They can include observations with missing values</w:t>
      </w:r>
      <w:r w:rsidR="00942B25">
        <w:rPr>
          <w:rFonts w:cs="Times New Roman"/>
          <w:szCs w:val="24"/>
        </w:rPr>
        <w:t xml:space="preserve"> and have a variety of methods for handling missingness</w:t>
      </w:r>
      <w:r w:rsidR="00325B81">
        <w:rPr>
          <w:rFonts w:cs="Times New Roman"/>
          <w:szCs w:val="24"/>
        </w:rPr>
        <w:t>.</w:t>
      </w:r>
      <w:r w:rsidR="00942B25">
        <w:rPr>
          <w:rFonts w:cs="Times New Roman"/>
          <w:szCs w:val="24"/>
        </w:rPr>
        <w:t xml:space="preserve">  Lastly, </w:t>
      </w:r>
      <w:r w:rsidR="00637CB2">
        <w:rPr>
          <w:rFonts w:cs="Times New Roman"/>
          <w:szCs w:val="24"/>
        </w:rPr>
        <w:t>CTs</w:t>
      </w:r>
      <w:r w:rsidR="00942B25">
        <w:rPr>
          <w:rFonts w:cs="Times New Roman"/>
          <w:szCs w:val="24"/>
        </w:rPr>
        <w:t xml:space="preserve"> are more easily applied and interpreted </w:t>
      </w:r>
      <w:r w:rsidR="00B20759">
        <w:rPr>
          <w:rFonts w:cs="Times New Roman"/>
          <w:szCs w:val="24"/>
        </w:rPr>
        <w:t>than other discriminant analysis methods.</w:t>
      </w:r>
    </w:p>
    <w:p w:rsidR="00092BDD" w:rsidRDefault="00986B8C" w:rsidP="00466523">
      <w:pPr>
        <w:autoSpaceDE w:val="0"/>
        <w:autoSpaceDN w:val="0"/>
        <w:adjustRightInd w:val="0"/>
        <w:spacing w:after="0"/>
        <w:ind w:firstLine="720"/>
        <w:rPr>
          <w:rFonts w:cs="Times New Roman"/>
          <w:szCs w:val="24"/>
        </w:rPr>
      </w:pPr>
      <w:r>
        <w:rPr>
          <w:rFonts w:cs="Times New Roman"/>
          <w:szCs w:val="24"/>
        </w:rPr>
        <w:t xml:space="preserve">Missing values were </w:t>
      </w:r>
      <w:r w:rsidR="000526F0">
        <w:rPr>
          <w:rFonts w:cs="Times New Roman"/>
          <w:szCs w:val="24"/>
        </w:rPr>
        <w:t>significant issue</w:t>
      </w:r>
      <w:r>
        <w:rPr>
          <w:rFonts w:cs="Times New Roman"/>
          <w:szCs w:val="24"/>
        </w:rPr>
        <w:t xml:space="preserve"> </w:t>
      </w:r>
      <w:r w:rsidR="000526F0">
        <w:rPr>
          <w:rFonts w:cs="Times New Roman"/>
          <w:szCs w:val="24"/>
        </w:rPr>
        <w:t xml:space="preserve">in </w:t>
      </w:r>
      <w:r>
        <w:rPr>
          <w:rFonts w:cs="Times New Roman"/>
          <w:szCs w:val="24"/>
        </w:rPr>
        <w:t>this analysis.  LDA, QDA, and KNN cannot handle missing values.  Case deletion is often used to address this, deleting observations with a value missing for any of the var</w:t>
      </w:r>
      <w:r w:rsidR="00B267B9">
        <w:rPr>
          <w:rFonts w:cs="Times New Roman"/>
          <w:szCs w:val="24"/>
        </w:rPr>
        <w:t>iables included in the analysis.</w:t>
      </w:r>
      <w:r w:rsidR="00A20102">
        <w:rPr>
          <w:rFonts w:cs="Times New Roman"/>
          <w:szCs w:val="24"/>
        </w:rPr>
        <w:t xml:space="preserve">  It is a quick and very simple method.  However, it</w:t>
      </w:r>
      <w:r w:rsidR="00B267B9">
        <w:rPr>
          <w:rFonts w:cs="Times New Roman"/>
          <w:szCs w:val="24"/>
        </w:rPr>
        <w:t xml:space="preserve"> can limit sample sizes and bias results.  Furthermore, case deletion </w:t>
      </w:r>
      <w:r w:rsidR="007715F5">
        <w:rPr>
          <w:rFonts w:cs="Times New Roman"/>
          <w:szCs w:val="24"/>
        </w:rPr>
        <w:t>has been</w:t>
      </w:r>
      <w:r w:rsidR="00B267B9">
        <w:rPr>
          <w:rFonts w:cs="Times New Roman"/>
          <w:szCs w:val="24"/>
        </w:rPr>
        <w:t xml:space="preserve"> </w:t>
      </w:r>
      <w:r w:rsidR="00491B90">
        <w:rPr>
          <w:rFonts w:cs="Times New Roman"/>
          <w:szCs w:val="24"/>
        </w:rPr>
        <w:t>recognized</w:t>
      </w:r>
      <w:r w:rsidR="00B267B9">
        <w:rPr>
          <w:rFonts w:cs="Times New Roman"/>
          <w:szCs w:val="24"/>
        </w:rPr>
        <w:t xml:space="preserve"> as </w:t>
      </w:r>
      <w:r w:rsidR="00491B90">
        <w:rPr>
          <w:rFonts w:cs="Times New Roman"/>
          <w:szCs w:val="24"/>
        </w:rPr>
        <w:t>a poor</w:t>
      </w:r>
      <w:r w:rsidR="00B267B9">
        <w:rPr>
          <w:rFonts w:cs="Times New Roman"/>
          <w:szCs w:val="24"/>
        </w:rPr>
        <w:t xml:space="preserve"> method for handling missing values in discriminant analyses</w:t>
      </w:r>
      <w:r w:rsidR="00A9658E">
        <w:rPr>
          <w:rFonts w:cs="Times New Roman"/>
          <w:szCs w:val="24"/>
        </w:rPr>
        <w:t xml:space="preserve"> </w:t>
      </w:r>
      <w:r w:rsidR="003731B6">
        <w:rPr>
          <w:rFonts w:cs="Times New Roman"/>
          <w:szCs w:val="24"/>
        </w:rPr>
        <w:fldChar w:fldCharType="begin"/>
      </w:r>
      <w:r w:rsidR="00A9658E">
        <w:rPr>
          <w:rFonts w:cs="Times New Roman"/>
          <w:szCs w:val="24"/>
        </w:rPr>
        <w:instrText xml:space="preserve"> ADDIN EN.CITE &lt;EndNote&gt;&lt;Cite&gt;&lt;Author&gt;Acuña&lt;/Author&gt;&lt;Year&gt;2004&lt;/Year&gt;&lt;RecNum&gt;211&lt;/RecNum&gt;&lt;DisplayText&gt;(Acuña and Rodriguez, 2004)&lt;/DisplayText&gt;&lt;record&gt;&lt;rec-number&gt;211&lt;/rec-number&gt;&lt;foreign-keys&gt;&lt;key app="EN" db-id="20frpf5eyrpavaevz925sv9t29f5epa9pd2z"&gt;211&lt;/key&gt;&lt;/foreign-keys&gt;&lt;ref-type name="Journal Article"&gt;17&lt;/ref-type&gt;&lt;contributors&gt;&lt;authors&gt;&lt;author&gt;Acuña, E&lt;/author&gt;&lt;author&gt;Rodriguez, C.&lt;/author&gt;&lt;/authors&gt;&lt;/contributors&gt;&lt;titles&gt;&lt;title&gt;The treatment of missing values and its effect on classifier accuracy&lt;/title&gt;&lt;secondary-title&gt;Classification, Clustering, and Data Mining Applications&lt;/secondary-title&gt;&lt;/titles&gt;&lt;periodical&gt;&lt;full-title&gt;Classification, Clustering, and Data Mining Applications&lt;/full-title&gt;&lt;/periodical&gt;&lt;pages&gt;639-647&lt;/pages&gt;&lt;dates&gt;&lt;year&gt;2004&lt;/year&gt;&lt;/dates&gt;&lt;publisher&gt;Springer&lt;/publisher&gt;&lt;accession-num&gt;16302329974621801940related:1A2JDL2CPeIJ&lt;/accession-num&gt;&lt;label&gt;r03402&lt;/label&gt;&lt;urls&gt;&lt;related-urls&gt;&lt;url&gt;http://www.springerlink.com/index/R5716059P702735L.pdf&lt;/url&gt;&lt;/related-urls&gt;&lt;pdf-urls&gt;&lt;url&gt;file://localhost/Users/mercergm/Library/Application%20Support/Papers2/Articles/2004/Acu%C3%B1a/2004%20Acu%C3%B1a.pdf&lt;/url&gt;&lt;/pdf-urls&gt;&lt;/urls&gt;&lt;custom3&gt;papers2://publication/uuid/3CC9C21B-5436-460F-AEFF-C55E99FE972E&lt;/custom3&gt;&lt;/record&gt;&lt;/Cite&gt;&lt;/EndNote&gt;</w:instrText>
      </w:r>
      <w:r w:rsidR="003731B6">
        <w:rPr>
          <w:rFonts w:cs="Times New Roman"/>
          <w:szCs w:val="24"/>
        </w:rPr>
        <w:fldChar w:fldCharType="separate"/>
      </w:r>
      <w:r w:rsidR="00A9658E">
        <w:rPr>
          <w:rFonts w:cs="Times New Roman"/>
          <w:noProof/>
          <w:szCs w:val="24"/>
        </w:rPr>
        <w:t>(</w:t>
      </w:r>
      <w:hyperlink w:anchor="_ENREF_3" w:tooltip="Acuña, 2004 #211" w:history="1">
        <w:r w:rsidR="001633BC">
          <w:rPr>
            <w:rFonts w:cs="Times New Roman"/>
            <w:noProof/>
            <w:szCs w:val="24"/>
          </w:rPr>
          <w:t>Acuña and Rodriguez, 2004</w:t>
        </w:r>
      </w:hyperlink>
      <w:r w:rsidR="00A9658E">
        <w:rPr>
          <w:rFonts w:cs="Times New Roman"/>
          <w:noProof/>
          <w:szCs w:val="24"/>
        </w:rPr>
        <w:t>)</w:t>
      </w:r>
      <w:r w:rsidR="003731B6">
        <w:rPr>
          <w:rFonts w:cs="Times New Roman"/>
          <w:szCs w:val="24"/>
        </w:rPr>
        <w:fldChar w:fldCharType="end"/>
      </w:r>
      <w:r w:rsidR="00B267B9">
        <w:rPr>
          <w:rFonts w:cs="Times New Roman"/>
          <w:szCs w:val="24"/>
        </w:rPr>
        <w:t>.</w:t>
      </w:r>
      <w:r>
        <w:rPr>
          <w:rFonts w:cs="Times New Roman"/>
          <w:szCs w:val="24"/>
        </w:rPr>
        <w:t xml:space="preserve"> </w:t>
      </w:r>
      <w:r w:rsidR="006527B7">
        <w:rPr>
          <w:rFonts w:cs="Times New Roman"/>
          <w:szCs w:val="24"/>
        </w:rPr>
        <w:t xml:space="preserve"> Case deletion is the method used in FORDISC.  Even if this method does not typically produce biased results in ancestry estimations, it can significantly limit sample size depending on which variables are included.</w:t>
      </w:r>
      <w:r w:rsidR="00A20102">
        <w:rPr>
          <w:rFonts w:cs="Times New Roman"/>
          <w:szCs w:val="24"/>
        </w:rPr>
        <w:t xml:space="preserve">  As could be seen from this analysis, some group sample sizes in the FDB are very small to begin with.  These groups, if included in an analysis, cannot afford to lose many observations.  Furthermore, e</w:t>
      </w:r>
      <w:r w:rsidR="006527B7">
        <w:rPr>
          <w:rFonts w:cs="Times New Roman"/>
          <w:szCs w:val="24"/>
        </w:rPr>
        <w:t xml:space="preserve">ight variables had to be removed from this analysis because they had degrees of missingness that were too large </w:t>
      </w:r>
      <w:r w:rsidR="00A20102">
        <w:rPr>
          <w:rFonts w:cs="Times New Roman"/>
          <w:szCs w:val="24"/>
        </w:rPr>
        <w:t>to</w:t>
      </w:r>
      <w:r w:rsidR="006527B7">
        <w:rPr>
          <w:rFonts w:cs="Times New Roman"/>
          <w:szCs w:val="24"/>
        </w:rPr>
        <w:t xml:space="preserve"> handle with simple missing value methods or too large to address with missing value imputation at all.</w:t>
      </w:r>
      <w:r w:rsidR="00A20102">
        <w:rPr>
          <w:rFonts w:cs="Times New Roman"/>
          <w:szCs w:val="24"/>
        </w:rPr>
        <w:t xml:space="preserve">  </w:t>
      </w:r>
    </w:p>
    <w:p w:rsidR="00092BDD" w:rsidRDefault="00A20102" w:rsidP="00466523">
      <w:pPr>
        <w:autoSpaceDE w:val="0"/>
        <w:autoSpaceDN w:val="0"/>
        <w:adjustRightInd w:val="0"/>
        <w:spacing w:after="0"/>
        <w:ind w:firstLine="720"/>
        <w:rPr>
          <w:rFonts w:cs="Times New Roman"/>
          <w:szCs w:val="24"/>
        </w:rPr>
      </w:pPr>
      <w:r>
        <w:rPr>
          <w:rFonts w:cs="Times New Roman"/>
          <w:szCs w:val="24"/>
        </w:rPr>
        <w:t>If researchers would like to continue using LDA it is recommended that some form of missing value imputation is used.  FORDISC would benefit from including an imputation method rather than using case deletion.  Iterative regression worked well in this analysis and did not seem heavily affected by outliers</w:t>
      </w:r>
      <w:r w:rsidR="00C44CA8">
        <w:rPr>
          <w:rFonts w:cs="Times New Roman"/>
          <w:szCs w:val="24"/>
        </w:rPr>
        <w:t xml:space="preserve"> or violations of its assumptions.  However, if these issues are of concern robust regression may be used.  Further research could also be done to evaluate more complex methods, such as </w:t>
      </w:r>
      <w:r w:rsidR="00A633D4">
        <w:rPr>
          <w:rFonts w:cs="Times New Roman"/>
          <w:szCs w:val="24"/>
        </w:rPr>
        <w:t xml:space="preserve">multiple </w:t>
      </w:r>
      <w:proofErr w:type="gramStart"/>
      <w:r w:rsidR="00A633D4">
        <w:rPr>
          <w:rFonts w:cs="Times New Roman"/>
          <w:szCs w:val="24"/>
        </w:rPr>
        <w:t>imputation</w:t>
      </w:r>
      <w:proofErr w:type="gramEnd"/>
      <w:r w:rsidR="00C44CA8">
        <w:rPr>
          <w:rFonts w:cs="Times New Roman"/>
          <w:szCs w:val="24"/>
        </w:rPr>
        <w:t>, that may allow for imputation of values on some of the variables with very large degrees of missingness.</w:t>
      </w:r>
    </w:p>
    <w:p w:rsidR="00A82E22" w:rsidRDefault="00092BDD" w:rsidP="00466523">
      <w:pPr>
        <w:autoSpaceDE w:val="0"/>
        <w:autoSpaceDN w:val="0"/>
        <w:adjustRightInd w:val="0"/>
        <w:spacing w:after="0"/>
        <w:ind w:firstLine="720"/>
        <w:rPr>
          <w:rFonts w:cs="Times New Roman"/>
          <w:szCs w:val="24"/>
        </w:rPr>
      </w:pPr>
      <w:r>
        <w:rPr>
          <w:rFonts w:cs="Times New Roman"/>
          <w:szCs w:val="24"/>
        </w:rPr>
        <w:t xml:space="preserve">Lastly, forensic ancestry estimations may benefit from the availability of more variables.  </w:t>
      </w:r>
      <w:r w:rsidR="009842A9">
        <w:rPr>
          <w:rFonts w:cs="Times New Roman"/>
          <w:szCs w:val="24"/>
        </w:rPr>
        <w:t xml:space="preserve">FORDISC recently added three more variables to its original set of 24 (i.e., biasteronic breadth, mid-orbital width, and zygomaxillary breadth) </w:t>
      </w:r>
      <w:r w:rsidR="003731B6">
        <w:rPr>
          <w:rFonts w:cs="Times New Roman"/>
          <w:szCs w:val="24"/>
        </w:rPr>
        <w:fldChar w:fldCharType="begin"/>
      </w:r>
      <w:r w:rsidR="009842A9">
        <w:rPr>
          <w:rFonts w:cs="Times New Roman"/>
          <w:szCs w:val="24"/>
        </w:rPr>
        <w:instrText xml:space="preserve"> ADDIN EN.CITE &lt;EndNote&gt;&lt;Cite&gt;&lt;Author&gt;Ousley&lt;/Author&gt;&lt;Year&gt;2005&lt;/Year&gt;&lt;RecNum&gt;367&lt;/RecNum&gt;&lt;DisplayText&gt;(Ousley and Jantz, 2005)&lt;/DisplayText&gt;&lt;record&gt;&lt;rec-number&gt;367&lt;/rec-number&gt;&lt;foreign-keys&gt;&lt;key app="EN" db-id="20frpf5eyrpavaevz925sv9t29f5epa9pd2z"&gt;367&lt;/key&gt;&lt;/foreign-keys&gt;&lt;ref-type name="Computer Program"&gt;9&lt;/ref-type&gt;&lt;contributors&gt;&lt;authors&gt;&lt;author&gt;Ousley, Stephen D&lt;/author&gt;&lt;author&gt;Jantz, Richard L&lt;/author&gt;&lt;/authors&gt;&lt;/contributors&gt;&lt;titles&gt;&lt;title&gt;FORDISC 3.0: Personal Computer Forensic Discriminant Functions&lt;/title&gt;&lt;/titles&gt;&lt;dates&gt;&lt;year&gt;2005&lt;/year&gt;&lt;/dates&gt;&lt;pub-location&gt;Knoxville&lt;/pub-location&gt;&lt;publisher&gt;University of Tennessee, Knoxville&lt;/publisher&gt;&lt;urls&gt;&lt;/urls&gt;&lt;/record&gt;&lt;/Cite&gt;&lt;/EndNote&gt;</w:instrText>
      </w:r>
      <w:r w:rsidR="003731B6">
        <w:rPr>
          <w:rFonts w:cs="Times New Roman"/>
          <w:szCs w:val="24"/>
        </w:rPr>
        <w:fldChar w:fldCharType="separate"/>
      </w:r>
      <w:r w:rsidR="009842A9">
        <w:rPr>
          <w:rFonts w:cs="Times New Roman"/>
          <w:noProof/>
          <w:szCs w:val="24"/>
        </w:rPr>
        <w:t>(</w:t>
      </w:r>
      <w:hyperlink w:anchor="_ENREF_43" w:tooltip="Ousley, 2005 #367" w:history="1">
        <w:r w:rsidR="001633BC">
          <w:rPr>
            <w:rFonts w:cs="Times New Roman"/>
            <w:noProof/>
            <w:szCs w:val="24"/>
          </w:rPr>
          <w:t>Ousley and Jantz, 2005</w:t>
        </w:r>
      </w:hyperlink>
      <w:r w:rsidR="009842A9">
        <w:rPr>
          <w:rFonts w:cs="Times New Roman"/>
          <w:noProof/>
          <w:szCs w:val="24"/>
        </w:rPr>
        <w:t>)</w:t>
      </w:r>
      <w:r w:rsidR="003731B6">
        <w:rPr>
          <w:rFonts w:cs="Times New Roman"/>
          <w:szCs w:val="24"/>
        </w:rPr>
        <w:fldChar w:fldCharType="end"/>
      </w:r>
      <w:r w:rsidR="009842A9">
        <w:rPr>
          <w:rFonts w:cs="Times New Roman"/>
          <w:szCs w:val="24"/>
        </w:rPr>
        <w:t>.</w:t>
      </w:r>
      <w:r w:rsidR="00BA4108">
        <w:rPr>
          <w:rFonts w:cs="Times New Roman"/>
          <w:szCs w:val="24"/>
        </w:rPr>
        <w:t xml:space="preserve">  However, there are still more available that may be useful for estimating ancestry. </w:t>
      </w:r>
      <w:r w:rsidR="00381CD6">
        <w:rPr>
          <w:rFonts w:cs="Times New Roman"/>
          <w:szCs w:val="24"/>
        </w:rPr>
        <w:t xml:space="preserve"> In addition to </w:t>
      </w:r>
      <w:r w:rsidR="0036799B">
        <w:rPr>
          <w:rFonts w:cs="Times New Roman"/>
          <w:szCs w:val="24"/>
        </w:rPr>
        <w:t>FORDISC</w:t>
      </w:r>
      <w:r w:rsidR="00381CD6">
        <w:rPr>
          <w:rFonts w:cs="Times New Roman"/>
          <w:szCs w:val="24"/>
        </w:rPr>
        <w:t xml:space="preserve"> craniometric variables,</w:t>
      </w:r>
      <w:r w:rsidR="00BA4108">
        <w:rPr>
          <w:rFonts w:cs="Times New Roman"/>
          <w:szCs w:val="24"/>
        </w:rPr>
        <w:t xml:space="preserve"> </w:t>
      </w:r>
      <w:r w:rsidR="003731B6">
        <w:rPr>
          <w:rFonts w:cs="Times New Roman"/>
          <w:szCs w:val="24"/>
        </w:rPr>
        <w:fldChar w:fldCharType="begin"/>
      </w:r>
      <w:r w:rsidR="00EB0C79">
        <w:rPr>
          <w:rFonts w:cs="Times New Roman"/>
          <w:szCs w:val="24"/>
        </w:rPr>
        <w:instrText xml:space="preserve"> ADDIN EN.CITE &lt;EndNote&gt;&lt;Cite AuthorYear="1"&gt;&lt;Author&gt;Spradley&lt;/Author&gt;&lt;Year&gt;2008&lt;/Year&gt;&lt;RecNum&gt;242&lt;/RecNum&gt;&lt;DisplayText&gt;Spradley&lt;style face="italic"&gt; et al.&lt;/style&gt; (2008)&lt;/DisplayText&gt;&lt;record&gt;&lt;rec-number&gt;242&lt;/rec-number&gt;&lt;foreign-keys&gt;&lt;key app="EN" db-id="20frpf5eyrpavaevz925sv9t29f5epa9pd2z"&gt;242&lt;/key&gt;&lt;/foreign-keys&gt;&lt;ref-type name="Journal Article"&gt;17&lt;/ref-type&gt;&lt;contributors&gt;&lt;authors&gt;&lt;author&gt;Spradley, M Katherine&lt;/author&gt;&lt;author&gt;Jantz, Richard L&lt;/author&gt;&lt;author&gt;Robinson, Alan&lt;/author&gt;&lt;author&gt;Peccerelli, Fredy&lt;/author&gt;&lt;/authors&gt;&lt;/contributors&gt;&lt;titles&gt;&lt;title&gt;Demographic Change and Forensic Identification: Problems in Metric Identification of Hispanic Skeletons&lt;/title&gt;&lt;secondary-title&gt;Journal of Forensic Sciences&lt;/secondary-title&gt;&lt;/titles&gt;&lt;periodical&gt;&lt;full-title&gt;Journal of Forensic Sciences&lt;/full-title&gt;&lt;/periodical&gt;&lt;pages&gt;21-28&lt;/pages&gt;&lt;volume&gt;53&lt;/volume&gt;&lt;number&gt;1&lt;/number&gt;&lt;dates&gt;&lt;year&gt;2008&lt;/year&gt;&lt;pub-dates&gt;&lt;date&gt;Feb&lt;/date&gt;&lt;/pub-dates&gt;&lt;/dates&gt;&lt;label&gt;r00315&lt;/label&gt;&lt;urls&gt;&lt;related-urls&gt;&lt;url&gt;http://doi.wiley.com/10.1111/j.1556-4029.2007.00614.x&lt;/url&gt;&lt;/related-urls&gt;&lt;pdf-urls&gt;&lt;url&gt;file://localhost/Users/mercergm/Library/Application%20Support/Papers2/Articles/2008/Spradley/Journal%20of%20Forensic%20Sciences%202008%20Spradley.pdf&lt;/url&gt;&lt;/pdf-urls&gt;&lt;/urls&gt;&lt;custom3&gt;papers2://publication/uuid/4899EB4D-F35C-40E5-8C4D-010C3426A47F&lt;/custom3&gt;&lt;electronic-resource-num&gt;10.1111/j.1556-4029.2007.00614.x&lt;/electronic-resource-num&gt;&lt;language&gt;English&lt;/language&gt;&lt;/record&gt;&lt;/Cite&gt;&lt;/EndNote&gt;</w:instrText>
      </w:r>
      <w:r w:rsidR="003731B6">
        <w:rPr>
          <w:rFonts w:cs="Times New Roman"/>
          <w:szCs w:val="24"/>
        </w:rPr>
        <w:fldChar w:fldCharType="separate"/>
      </w:r>
      <w:hyperlink w:anchor="_ENREF_56" w:tooltip="Spradley, 2008 #242" w:history="1">
        <w:r w:rsidR="001633BC">
          <w:rPr>
            <w:rFonts w:cs="Times New Roman"/>
            <w:noProof/>
            <w:szCs w:val="24"/>
          </w:rPr>
          <w:t>Spradley</w:t>
        </w:r>
        <w:r w:rsidR="001633BC" w:rsidRPr="00EB0C79">
          <w:rPr>
            <w:rFonts w:cs="Times New Roman"/>
            <w:i/>
            <w:noProof/>
            <w:szCs w:val="24"/>
          </w:rPr>
          <w:t xml:space="preserve"> et al.</w:t>
        </w:r>
        <w:r w:rsidR="001633BC">
          <w:rPr>
            <w:rFonts w:cs="Times New Roman"/>
            <w:noProof/>
            <w:szCs w:val="24"/>
          </w:rPr>
          <w:t xml:space="preserve"> (2008</w:t>
        </w:r>
      </w:hyperlink>
      <w:r w:rsidR="00EB0C79">
        <w:rPr>
          <w:rFonts w:cs="Times New Roman"/>
          <w:noProof/>
          <w:szCs w:val="24"/>
        </w:rPr>
        <w:t>)</w:t>
      </w:r>
      <w:r w:rsidR="003731B6">
        <w:rPr>
          <w:rFonts w:cs="Times New Roman"/>
          <w:szCs w:val="24"/>
        </w:rPr>
        <w:fldChar w:fldCharType="end"/>
      </w:r>
      <w:r w:rsidR="00381CD6">
        <w:rPr>
          <w:rFonts w:cs="Times New Roman"/>
          <w:szCs w:val="24"/>
        </w:rPr>
        <w:t xml:space="preserve"> used variables other than those included in FORDISC and their stepwise selection found some of these to be significant. </w:t>
      </w:r>
      <w:r w:rsidR="0036799B">
        <w:rPr>
          <w:rFonts w:cs="Times New Roman"/>
          <w:szCs w:val="24"/>
        </w:rPr>
        <w:t xml:space="preserve"> Ancestry estimation may benefit from the evaluation and inclusion of additional variables.   If other craniometric variables do not provide improved performance, they </w:t>
      </w:r>
      <w:r w:rsidR="009E3466">
        <w:rPr>
          <w:rFonts w:cs="Times New Roman"/>
          <w:szCs w:val="24"/>
        </w:rPr>
        <w:t>would</w:t>
      </w:r>
      <w:r w:rsidR="0036799B">
        <w:rPr>
          <w:rFonts w:cs="Times New Roman"/>
          <w:szCs w:val="24"/>
        </w:rPr>
        <w:t xml:space="preserve"> at least provide more variables that could be useful for </w:t>
      </w:r>
      <w:r w:rsidR="00A50FE8">
        <w:rPr>
          <w:rFonts w:cs="Times New Roman"/>
          <w:szCs w:val="24"/>
        </w:rPr>
        <w:t>imputing</w:t>
      </w:r>
      <w:r w:rsidR="00D618BF">
        <w:rPr>
          <w:rFonts w:cs="Times New Roman"/>
          <w:szCs w:val="24"/>
        </w:rPr>
        <w:t xml:space="preserve"> missing values in those</w:t>
      </w:r>
      <w:r w:rsidR="00EC4CAD">
        <w:rPr>
          <w:rFonts w:cs="Times New Roman"/>
          <w:szCs w:val="24"/>
        </w:rPr>
        <w:t xml:space="preserve"> that are </w:t>
      </w:r>
      <w:r w:rsidR="0036799B">
        <w:rPr>
          <w:rFonts w:cs="Times New Roman"/>
          <w:szCs w:val="24"/>
        </w:rPr>
        <w:t xml:space="preserve">significant </w:t>
      </w:r>
      <w:r w:rsidR="00EC4CAD">
        <w:rPr>
          <w:rFonts w:cs="Times New Roman"/>
          <w:szCs w:val="24"/>
        </w:rPr>
        <w:t>for ancestry analyses</w:t>
      </w:r>
      <w:r w:rsidR="009E3466">
        <w:rPr>
          <w:rFonts w:cs="Times New Roman"/>
          <w:szCs w:val="24"/>
        </w:rPr>
        <w:t xml:space="preserve"> or for use in any </w:t>
      </w:r>
      <w:r w:rsidR="009D30D4">
        <w:rPr>
          <w:rFonts w:cs="Times New Roman"/>
          <w:szCs w:val="24"/>
        </w:rPr>
        <w:t>of the CT methods for</w:t>
      </w:r>
      <w:r w:rsidR="009E3466">
        <w:rPr>
          <w:rFonts w:cs="Times New Roman"/>
          <w:szCs w:val="24"/>
        </w:rPr>
        <w:t xml:space="preserve"> hand</w:t>
      </w:r>
      <w:r w:rsidR="009D30D4">
        <w:rPr>
          <w:rFonts w:cs="Times New Roman"/>
          <w:szCs w:val="24"/>
        </w:rPr>
        <w:t>l</w:t>
      </w:r>
      <w:r w:rsidR="009E3466">
        <w:rPr>
          <w:rFonts w:cs="Times New Roman"/>
          <w:szCs w:val="24"/>
        </w:rPr>
        <w:t>ing missi</w:t>
      </w:r>
      <w:r w:rsidR="00F73933">
        <w:rPr>
          <w:rFonts w:cs="Times New Roman"/>
          <w:szCs w:val="24"/>
        </w:rPr>
        <w:t>ngness</w:t>
      </w:r>
      <w:r w:rsidR="0036799B">
        <w:rPr>
          <w:rFonts w:cs="Times New Roman"/>
          <w:szCs w:val="24"/>
        </w:rPr>
        <w:t>.</w:t>
      </w:r>
    </w:p>
    <w:p w:rsidR="00907CEC" w:rsidRDefault="00DA6A1F" w:rsidP="00466523">
      <w:pPr>
        <w:autoSpaceDE w:val="0"/>
        <w:autoSpaceDN w:val="0"/>
        <w:adjustRightInd w:val="0"/>
        <w:spacing w:after="0"/>
        <w:ind w:firstLine="720"/>
        <w:rPr>
          <w:rFonts w:cs="Times New Roman"/>
          <w:szCs w:val="24"/>
        </w:rPr>
      </w:pPr>
      <w:r>
        <w:rPr>
          <w:rFonts w:cs="Times New Roman"/>
          <w:szCs w:val="24"/>
        </w:rPr>
        <w:t xml:space="preserve">Ultimately, LDA yielded the highest classification rates of all the tested methods.  </w:t>
      </w:r>
      <w:r w:rsidR="002F20BB">
        <w:rPr>
          <w:rFonts w:cs="Times New Roman"/>
          <w:szCs w:val="24"/>
        </w:rPr>
        <w:t>It does not seem to be greatly affected by the divergent group sample sizes and variable selection techniques may be used with it.  However, its drawbacks should be recognized.  The results of this analysis indicate that its assumptions are difficult to satisfy with craniometric data, especially homogeneity of variance.</w:t>
      </w:r>
      <w:r w:rsidR="00AE43C8">
        <w:rPr>
          <w:rFonts w:cs="Times New Roman"/>
          <w:szCs w:val="24"/>
        </w:rPr>
        <w:t xml:space="preserve">  If tests for equality of variance are significant and a nonparametric statistic is required, then CT is recommended.  Its performance was similar to that of QDA.  CTs however can be affected by greatly differing sample sizes, which can be present in ancestry estimation using </w:t>
      </w:r>
      <w:r w:rsidR="0031216B">
        <w:rPr>
          <w:rFonts w:cs="Times New Roman"/>
          <w:szCs w:val="24"/>
        </w:rPr>
        <w:t xml:space="preserve">the </w:t>
      </w:r>
      <w:r w:rsidR="00AE43C8">
        <w:rPr>
          <w:rFonts w:cs="Times New Roman"/>
          <w:szCs w:val="24"/>
        </w:rPr>
        <w:t>F</w:t>
      </w:r>
      <w:r w:rsidR="00F1218D">
        <w:rPr>
          <w:rFonts w:cs="Times New Roman"/>
          <w:szCs w:val="24"/>
        </w:rPr>
        <w:t xml:space="preserve">orensic </w:t>
      </w:r>
      <w:r w:rsidR="00AE43C8">
        <w:rPr>
          <w:rFonts w:cs="Times New Roman"/>
          <w:szCs w:val="24"/>
        </w:rPr>
        <w:t>D</w:t>
      </w:r>
      <w:r w:rsidR="00F1218D">
        <w:rPr>
          <w:rFonts w:cs="Times New Roman"/>
          <w:szCs w:val="24"/>
        </w:rPr>
        <w:t xml:space="preserve">ata </w:t>
      </w:r>
      <w:r w:rsidR="00AE43C8">
        <w:rPr>
          <w:rFonts w:cs="Times New Roman"/>
          <w:szCs w:val="24"/>
        </w:rPr>
        <w:t>B</w:t>
      </w:r>
      <w:r w:rsidR="00F1218D">
        <w:rPr>
          <w:rFonts w:cs="Times New Roman"/>
          <w:szCs w:val="24"/>
        </w:rPr>
        <w:t>ank</w:t>
      </w:r>
      <w:r w:rsidR="00AE43C8">
        <w:rPr>
          <w:rFonts w:cs="Times New Roman"/>
          <w:szCs w:val="24"/>
        </w:rPr>
        <w:t xml:space="preserve"> data.  On the other hand, CT comes with many benefits</w:t>
      </w:r>
      <w:r w:rsidR="001F4295">
        <w:rPr>
          <w:rFonts w:cs="Times New Roman"/>
          <w:szCs w:val="24"/>
        </w:rPr>
        <w:t>,</w:t>
      </w:r>
      <w:r w:rsidR="00AE43C8">
        <w:rPr>
          <w:rFonts w:cs="Times New Roman"/>
          <w:szCs w:val="24"/>
        </w:rPr>
        <w:t xml:space="preserve"> among which is the complete lack of distributional assumptions.</w:t>
      </w:r>
      <w:r w:rsidR="0086797D">
        <w:rPr>
          <w:rFonts w:cs="Times New Roman"/>
          <w:szCs w:val="24"/>
        </w:rPr>
        <w:t xml:space="preserve">  KNN is not recommended due to its erratic and greatly differing classification rates.  Furthermore, its assumptions are violated by these data and KNN models rapidly became </w:t>
      </w:r>
      <w:r w:rsidR="00FD4E26">
        <w:rPr>
          <w:rFonts w:cs="Times New Roman"/>
          <w:szCs w:val="24"/>
        </w:rPr>
        <w:t>over-fit</w:t>
      </w:r>
      <w:r w:rsidR="0086797D">
        <w:rPr>
          <w:rFonts w:cs="Times New Roman"/>
          <w:szCs w:val="24"/>
        </w:rPr>
        <w:t xml:space="preserve"> in this analysis.  While QDA’s assumptions were satisfied by the data </w:t>
      </w:r>
      <w:r w:rsidR="00FD51DA">
        <w:rPr>
          <w:rFonts w:cs="Times New Roman"/>
          <w:szCs w:val="24"/>
        </w:rPr>
        <w:t>and its</w:t>
      </w:r>
      <w:r w:rsidR="0086797D">
        <w:rPr>
          <w:rFonts w:cs="Times New Roman"/>
          <w:szCs w:val="24"/>
        </w:rPr>
        <w:t xml:space="preserve"> classification rates were stable </w:t>
      </w:r>
      <w:r w:rsidR="00FD51DA">
        <w:rPr>
          <w:rFonts w:cs="Times New Roman"/>
          <w:szCs w:val="24"/>
        </w:rPr>
        <w:t>it is also not recommended for use.  QDA has been noted for its sensitivity to errors as well as its tendency to create models that do not perform well on data not used in their estimation.</w:t>
      </w:r>
      <w:r w:rsidR="00907CEC">
        <w:rPr>
          <w:rFonts w:cs="Times New Roman"/>
          <w:szCs w:val="24"/>
        </w:rPr>
        <w:t xml:space="preserve">  </w:t>
      </w:r>
    </w:p>
    <w:p w:rsidR="00D9285C" w:rsidRPr="0048537F" w:rsidRDefault="00907CEC" w:rsidP="00907CEC">
      <w:pPr>
        <w:autoSpaceDE w:val="0"/>
        <w:autoSpaceDN w:val="0"/>
        <w:adjustRightInd w:val="0"/>
        <w:spacing w:after="0"/>
        <w:ind w:firstLine="720"/>
        <w:rPr>
          <w:rFonts w:cs="Times New Roman"/>
          <w:szCs w:val="24"/>
        </w:rPr>
      </w:pPr>
      <w:r>
        <w:rPr>
          <w:rFonts w:cs="Times New Roman"/>
          <w:szCs w:val="24"/>
        </w:rPr>
        <w:t xml:space="preserve">Therefore, due to its performance, LDA should continue to be used except when violations of its assumptions suggest otherwise.  In that case CT should be used.  Further work should be conducted to see if CT performance </w:t>
      </w:r>
      <w:r w:rsidR="00191F5F">
        <w:rPr>
          <w:rFonts w:cs="Times New Roman"/>
          <w:szCs w:val="24"/>
        </w:rPr>
        <w:t>could</w:t>
      </w:r>
      <w:r>
        <w:rPr>
          <w:rFonts w:cs="Times New Roman"/>
          <w:szCs w:val="24"/>
        </w:rPr>
        <w:t xml:space="preserve"> be improved.  If CT performance at least matches that of LDA, then it should certainly be used as the primary method for ancestry estimation due to its many significant advantages.</w:t>
      </w:r>
    </w:p>
    <w:p w:rsidR="00C84420" w:rsidRDefault="00C84420" w:rsidP="00466523">
      <w:pPr>
        <w:autoSpaceDE w:val="0"/>
        <w:autoSpaceDN w:val="0"/>
        <w:adjustRightInd w:val="0"/>
        <w:spacing w:after="0"/>
        <w:ind w:firstLine="720"/>
        <w:rPr>
          <w:rFonts w:cs="Times New Roman"/>
          <w:szCs w:val="24"/>
        </w:rPr>
      </w:pPr>
    </w:p>
    <w:p w:rsidR="000127AB" w:rsidRDefault="000127AB" w:rsidP="00466523">
      <w:pPr>
        <w:autoSpaceDE w:val="0"/>
        <w:autoSpaceDN w:val="0"/>
        <w:adjustRightInd w:val="0"/>
        <w:spacing w:after="0"/>
        <w:ind w:firstLine="720"/>
        <w:rPr>
          <w:rFonts w:cs="Times New Roman"/>
          <w:szCs w:val="24"/>
        </w:rPr>
      </w:pPr>
    </w:p>
    <w:p w:rsidR="009004FB" w:rsidRPr="00736AF2" w:rsidRDefault="009004FB" w:rsidP="00466523">
      <w:pPr>
        <w:autoSpaceDE w:val="0"/>
        <w:autoSpaceDN w:val="0"/>
        <w:adjustRightInd w:val="0"/>
        <w:spacing w:after="0"/>
        <w:ind w:firstLine="720"/>
        <w:rPr>
          <w:rFonts w:cs="Times New Roman"/>
          <w:szCs w:val="24"/>
        </w:rPr>
      </w:pPr>
    </w:p>
    <w:p w:rsidR="0056330C" w:rsidRPr="00F112E0" w:rsidRDefault="0056330C" w:rsidP="00C32092">
      <w:pPr>
        <w:autoSpaceDE w:val="0"/>
        <w:autoSpaceDN w:val="0"/>
        <w:adjustRightInd w:val="0"/>
        <w:spacing w:after="0"/>
        <w:ind w:firstLine="720"/>
        <w:rPr>
          <w:rFonts w:cs="Times New Roman"/>
          <w:szCs w:val="24"/>
        </w:rPr>
      </w:pPr>
    </w:p>
    <w:p w:rsidR="0056330C" w:rsidRDefault="0056330C" w:rsidP="001C6C19">
      <w:pPr>
        <w:autoSpaceDE w:val="0"/>
        <w:autoSpaceDN w:val="0"/>
        <w:adjustRightInd w:val="0"/>
        <w:spacing w:after="0"/>
        <w:rPr>
          <w:rFonts w:cs="Times New Roman"/>
          <w:szCs w:val="24"/>
        </w:rPr>
      </w:pPr>
    </w:p>
    <w:p w:rsidR="0056330C" w:rsidRDefault="0056330C" w:rsidP="001C6C19">
      <w:pPr>
        <w:autoSpaceDE w:val="0"/>
        <w:autoSpaceDN w:val="0"/>
        <w:adjustRightInd w:val="0"/>
        <w:spacing w:after="0"/>
        <w:rPr>
          <w:rFonts w:cs="Times New Roman"/>
          <w:szCs w:val="24"/>
        </w:rPr>
      </w:pPr>
    </w:p>
    <w:p w:rsidR="0056330C" w:rsidRDefault="0056330C" w:rsidP="001C6C19">
      <w:pPr>
        <w:autoSpaceDE w:val="0"/>
        <w:autoSpaceDN w:val="0"/>
        <w:adjustRightInd w:val="0"/>
        <w:spacing w:after="0"/>
        <w:rPr>
          <w:rFonts w:cs="Times New Roman"/>
          <w:szCs w:val="24"/>
        </w:rPr>
      </w:pPr>
    </w:p>
    <w:p w:rsidR="0056330C" w:rsidRDefault="005633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BB0E18" w:rsidRDefault="00BB0E18" w:rsidP="00450C08"/>
    <w:p w:rsidR="00450C08" w:rsidRDefault="00450C08" w:rsidP="00450C08"/>
    <w:p w:rsidR="006F1E7B" w:rsidRDefault="006F1E7B" w:rsidP="00450C08"/>
    <w:p w:rsidR="00D83E0C" w:rsidRDefault="00D83E0C" w:rsidP="00450C08"/>
    <w:p w:rsidR="00D83E0C" w:rsidRDefault="00553E26" w:rsidP="00553E26">
      <w:pPr>
        <w:pStyle w:val="Heading1"/>
      </w:pPr>
      <w:bookmarkStart w:id="95" w:name="_Toc222419135"/>
      <w:bookmarkStart w:id="96" w:name="_Toc227982506"/>
      <w:r>
        <w:t>LIST OF REFERENCES</w:t>
      </w:r>
      <w:bookmarkEnd w:id="95"/>
      <w:bookmarkEnd w:id="96"/>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D83E0C" w:rsidRDefault="00D83E0C" w:rsidP="001C6C19">
      <w:pPr>
        <w:autoSpaceDE w:val="0"/>
        <w:autoSpaceDN w:val="0"/>
        <w:adjustRightInd w:val="0"/>
        <w:spacing w:after="0"/>
        <w:rPr>
          <w:rFonts w:cs="Times New Roman"/>
          <w:szCs w:val="24"/>
        </w:rPr>
      </w:pPr>
    </w:p>
    <w:p w:rsidR="00553E26" w:rsidRDefault="00553E26" w:rsidP="001C6C19">
      <w:pPr>
        <w:autoSpaceDE w:val="0"/>
        <w:autoSpaceDN w:val="0"/>
        <w:adjustRightInd w:val="0"/>
        <w:spacing w:after="0"/>
        <w:rPr>
          <w:rFonts w:cs="Times New Roman"/>
          <w:szCs w:val="24"/>
        </w:rPr>
      </w:pPr>
    </w:p>
    <w:p w:rsidR="00553E26" w:rsidRDefault="00553E26" w:rsidP="001C6C19">
      <w:pPr>
        <w:autoSpaceDE w:val="0"/>
        <w:autoSpaceDN w:val="0"/>
        <w:adjustRightInd w:val="0"/>
        <w:spacing w:after="0"/>
        <w:rPr>
          <w:rFonts w:cs="Times New Roman"/>
          <w:szCs w:val="24"/>
        </w:rPr>
      </w:pPr>
    </w:p>
    <w:p w:rsidR="00553E26" w:rsidRDefault="00553E26" w:rsidP="001C6C19">
      <w:pPr>
        <w:autoSpaceDE w:val="0"/>
        <w:autoSpaceDN w:val="0"/>
        <w:adjustRightInd w:val="0"/>
        <w:spacing w:after="0"/>
        <w:rPr>
          <w:rFonts w:cs="Times New Roman"/>
          <w:szCs w:val="24"/>
        </w:rPr>
      </w:pPr>
    </w:p>
    <w:p w:rsidR="00553E26" w:rsidRDefault="00553E26" w:rsidP="001C6C19">
      <w:pPr>
        <w:autoSpaceDE w:val="0"/>
        <w:autoSpaceDN w:val="0"/>
        <w:adjustRightInd w:val="0"/>
        <w:spacing w:after="0"/>
        <w:rPr>
          <w:rFonts w:cs="Times New Roman"/>
          <w:szCs w:val="24"/>
        </w:rPr>
      </w:pPr>
    </w:p>
    <w:p w:rsidR="00553E26" w:rsidRDefault="00553E26" w:rsidP="001C6C19">
      <w:pPr>
        <w:autoSpaceDE w:val="0"/>
        <w:autoSpaceDN w:val="0"/>
        <w:adjustRightInd w:val="0"/>
        <w:spacing w:after="0"/>
        <w:rPr>
          <w:rFonts w:cs="Times New Roman"/>
          <w:szCs w:val="24"/>
        </w:rPr>
      </w:pPr>
    </w:p>
    <w:p w:rsidR="00553E26" w:rsidRDefault="00553E26" w:rsidP="001C6C19">
      <w:pPr>
        <w:autoSpaceDE w:val="0"/>
        <w:autoSpaceDN w:val="0"/>
        <w:adjustRightInd w:val="0"/>
        <w:spacing w:after="0"/>
        <w:rPr>
          <w:rFonts w:cs="Times New Roman"/>
          <w:szCs w:val="24"/>
        </w:rPr>
      </w:pPr>
    </w:p>
    <w:p w:rsidR="00E4372C" w:rsidRDefault="00E4372C" w:rsidP="001C6C19">
      <w:pPr>
        <w:autoSpaceDE w:val="0"/>
        <w:autoSpaceDN w:val="0"/>
        <w:adjustRightInd w:val="0"/>
        <w:spacing w:after="0"/>
        <w:rPr>
          <w:rFonts w:cs="Times New Roman"/>
          <w:szCs w:val="24"/>
        </w:rPr>
      </w:pPr>
    </w:p>
    <w:p w:rsidR="001633BC" w:rsidRPr="001633BC" w:rsidRDefault="003731B6" w:rsidP="001633BC">
      <w:pPr>
        <w:spacing w:after="0" w:line="240" w:lineRule="auto"/>
        <w:ind w:left="720" w:hanging="720"/>
        <w:rPr>
          <w:rFonts w:ascii="Times New Roman" w:hAnsi="Times New Roman" w:cs="Times New Roman"/>
          <w:noProof/>
          <w:szCs w:val="24"/>
        </w:rPr>
      </w:pPr>
      <w:r>
        <w:rPr>
          <w:rFonts w:cs="Times New Roman"/>
          <w:szCs w:val="24"/>
        </w:rPr>
        <w:fldChar w:fldCharType="begin"/>
      </w:r>
      <w:r w:rsidR="00FD6B3C">
        <w:rPr>
          <w:rFonts w:cs="Times New Roman"/>
          <w:szCs w:val="24"/>
        </w:rPr>
        <w:instrText xml:space="preserve"> ADDIN EN.REFLIST </w:instrText>
      </w:r>
      <w:r>
        <w:rPr>
          <w:rFonts w:cs="Times New Roman"/>
          <w:szCs w:val="24"/>
        </w:rPr>
        <w:fldChar w:fldCharType="separate"/>
      </w:r>
      <w:bookmarkStart w:id="97" w:name="_ENREF_1"/>
      <w:r w:rsidR="001633BC" w:rsidRPr="001633BC">
        <w:rPr>
          <w:rFonts w:ascii="Times New Roman" w:hAnsi="Times New Roman" w:cs="Times New Roman"/>
          <w:noProof/>
          <w:szCs w:val="24"/>
        </w:rPr>
        <w:t>Daubert v. Merrell dow pharmaceuticals, 509 U.S. 579 (1993).</w:t>
      </w:r>
      <w:bookmarkEnd w:id="97"/>
    </w:p>
    <w:p w:rsidR="001633BC" w:rsidRPr="001633BC" w:rsidRDefault="001633BC" w:rsidP="001633BC">
      <w:pPr>
        <w:spacing w:after="0" w:line="240" w:lineRule="auto"/>
        <w:ind w:left="720" w:hanging="720"/>
        <w:rPr>
          <w:rFonts w:ascii="Times New Roman" w:hAnsi="Times New Roman" w:cs="Times New Roman"/>
          <w:noProof/>
          <w:szCs w:val="24"/>
        </w:rPr>
      </w:pPr>
      <w:bookmarkStart w:id="98" w:name="_ENREF_2"/>
      <w:r w:rsidRPr="001633BC">
        <w:rPr>
          <w:rFonts w:ascii="Times New Roman" w:hAnsi="Times New Roman" w:cs="Times New Roman"/>
          <w:noProof/>
          <w:szCs w:val="24"/>
        </w:rPr>
        <w:t>Kumho tire company, ltd. V. Carmichael, 509 U.S. 137 (1999).</w:t>
      </w:r>
      <w:bookmarkEnd w:id="98"/>
    </w:p>
    <w:p w:rsidR="001633BC" w:rsidRPr="001633BC" w:rsidRDefault="001633BC" w:rsidP="001633BC">
      <w:pPr>
        <w:spacing w:after="0" w:line="240" w:lineRule="auto"/>
        <w:ind w:left="720" w:hanging="720"/>
        <w:rPr>
          <w:rFonts w:ascii="Times New Roman" w:hAnsi="Times New Roman" w:cs="Times New Roman"/>
          <w:noProof/>
          <w:szCs w:val="24"/>
        </w:rPr>
      </w:pPr>
      <w:bookmarkStart w:id="99" w:name="_ENREF_3"/>
      <w:r w:rsidRPr="001633BC">
        <w:rPr>
          <w:rFonts w:ascii="Times New Roman" w:hAnsi="Times New Roman" w:cs="Times New Roman"/>
          <w:noProof/>
          <w:szCs w:val="24"/>
        </w:rPr>
        <w:t>Acuña E, and Rodriguez C. 2004. The treatment of missing values and its effect on classifier accuracy. Classification, Clustering, and Data Mining Applications:639-647.</w:t>
      </w:r>
      <w:bookmarkEnd w:id="99"/>
    </w:p>
    <w:p w:rsidR="001633BC" w:rsidRPr="001633BC" w:rsidRDefault="001633BC" w:rsidP="001633BC">
      <w:pPr>
        <w:spacing w:after="0" w:line="240" w:lineRule="auto"/>
        <w:ind w:left="720" w:hanging="720"/>
        <w:rPr>
          <w:rFonts w:ascii="Times New Roman" w:hAnsi="Times New Roman" w:cs="Times New Roman"/>
          <w:noProof/>
          <w:szCs w:val="24"/>
        </w:rPr>
      </w:pPr>
      <w:bookmarkStart w:id="100" w:name="_ENREF_4"/>
      <w:r w:rsidRPr="001633BC">
        <w:rPr>
          <w:rFonts w:ascii="Times New Roman" w:hAnsi="Times New Roman" w:cs="Times New Roman"/>
          <w:noProof/>
          <w:szCs w:val="24"/>
        </w:rPr>
        <w:t>Algee-Hewitt BFB. 2011. If and how many 'races'? The application of mixture modeling to world-wide human craniometric variation. [dissertation]. Knoxville, TN: University of Tennesse. 814 p.</w:t>
      </w:r>
      <w:bookmarkEnd w:id="100"/>
    </w:p>
    <w:p w:rsidR="001633BC" w:rsidRPr="001633BC" w:rsidRDefault="001633BC" w:rsidP="001633BC">
      <w:pPr>
        <w:spacing w:after="0" w:line="240" w:lineRule="auto"/>
        <w:ind w:left="720" w:hanging="720"/>
        <w:rPr>
          <w:rFonts w:ascii="Times New Roman" w:hAnsi="Times New Roman" w:cs="Times New Roman"/>
          <w:noProof/>
          <w:szCs w:val="24"/>
        </w:rPr>
      </w:pPr>
      <w:bookmarkStart w:id="101" w:name="_ENREF_5"/>
      <w:r w:rsidRPr="001633BC">
        <w:rPr>
          <w:rFonts w:ascii="Times New Roman" w:hAnsi="Times New Roman" w:cs="Times New Roman"/>
          <w:noProof/>
          <w:szCs w:val="24"/>
        </w:rPr>
        <w:t>Ayers HG, Jantz RL, and Moore-Jansen PH. 1990. Giles and elliot race discriminant functions revistited: A test using recent forensic cases. In: Gill GW, and Rhine S, editors. Skeletal attribution of race. Albuquerque, NM: Maxwell Museum of Anthropology.</w:t>
      </w:r>
      <w:bookmarkEnd w:id="101"/>
    </w:p>
    <w:p w:rsidR="001633BC" w:rsidRPr="001633BC" w:rsidRDefault="001633BC" w:rsidP="001633BC">
      <w:pPr>
        <w:spacing w:after="0" w:line="240" w:lineRule="auto"/>
        <w:ind w:left="720" w:hanging="720"/>
        <w:rPr>
          <w:rFonts w:ascii="Times New Roman" w:hAnsi="Times New Roman" w:cs="Times New Roman"/>
          <w:noProof/>
          <w:szCs w:val="24"/>
        </w:rPr>
      </w:pPr>
      <w:bookmarkStart w:id="102" w:name="_ENREF_6"/>
      <w:r w:rsidRPr="001633BC">
        <w:rPr>
          <w:rFonts w:ascii="Times New Roman" w:hAnsi="Times New Roman" w:cs="Times New Roman"/>
          <w:noProof/>
          <w:szCs w:val="24"/>
        </w:rPr>
        <w:t>Beyer K, Goldstein J, Ramakrishnan R, and Shaft U. 1999. When is “nearest neighbor” meaningful?  1540:217-235.</w:t>
      </w:r>
      <w:bookmarkEnd w:id="102"/>
    </w:p>
    <w:p w:rsidR="001633BC" w:rsidRPr="001633BC" w:rsidRDefault="001633BC" w:rsidP="001633BC">
      <w:pPr>
        <w:spacing w:after="0" w:line="240" w:lineRule="auto"/>
        <w:ind w:left="720" w:hanging="720"/>
        <w:rPr>
          <w:rFonts w:ascii="Times New Roman" w:hAnsi="Times New Roman" w:cs="Times New Roman"/>
          <w:noProof/>
          <w:szCs w:val="24"/>
        </w:rPr>
      </w:pPr>
      <w:bookmarkStart w:id="103" w:name="_ENREF_7"/>
      <w:r w:rsidRPr="001633BC">
        <w:rPr>
          <w:rFonts w:ascii="Times New Roman" w:hAnsi="Times New Roman" w:cs="Times New Roman"/>
          <w:noProof/>
          <w:szCs w:val="24"/>
        </w:rPr>
        <w:t>Birkby WH. 1966. An evaluation of race and sex identification from cranial measurments. American Journal of Physical Anthropology 24(21-28):21-28.</w:t>
      </w:r>
      <w:bookmarkEnd w:id="103"/>
    </w:p>
    <w:p w:rsidR="001633BC" w:rsidRPr="001633BC" w:rsidRDefault="001633BC" w:rsidP="001633BC">
      <w:pPr>
        <w:spacing w:after="0" w:line="240" w:lineRule="auto"/>
        <w:ind w:left="720" w:hanging="720"/>
        <w:rPr>
          <w:rFonts w:ascii="Times New Roman" w:hAnsi="Times New Roman" w:cs="Times New Roman"/>
          <w:noProof/>
          <w:szCs w:val="24"/>
        </w:rPr>
      </w:pPr>
      <w:bookmarkStart w:id="104" w:name="_ENREF_8"/>
      <w:r w:rsidRPr="001633BC">
        <w:rPr>
          <w:rFonts w:ascii="Times New Roman" w:hAnsi="Times New Roman" w:cs="Times New Roman"/>
          <w:noProof/>
          <w:szCs w:val="24"/>
        </w:rPr>
        <w:t>Brace CL. 1995. Region does not mean "race"—reality versus convention in forensic anthropology. Journal of Forensic Sciences 40(2):171-175.</w:t>
      </w:r>
      <w:bookmarkEnd w:id="104"/>
    </w:p>
    <w:p w:rsidR="001633BC" w:rsidRPr="001633BC" w:rsidRDefault="001633BC" w:rsidP="001633BC">
      <w:pPr>
        <w:spacing w:after="0" w:line="240" w:lineRule="auto"/>
        <w:ind w:left="720" w:hanging="720"/>
        <w:rPr>
          <w:rFonts w:ascii="Times New Roman" w:hAnsi="Times New Roman" w:cs="Times New Roman"/>
          <w:noProof/>
          <w:szCs w:val="24"/>
        </w:rPr>
      </w:pPr>
      <w:bookmarkStart w:id="105" w:name="_ENREF_9"/>
      <w:r w:rsidRPr="001633BC">
        <w:rPr>
          <w:rFonts w:ascii="Times New Roman" w:hAnsi="Times New Roman" w:cs="Times New Roman"/>
          <w:noProof/>
          <w:szCs w:val="24"/>
        </w:rPr>
        <w:t>Breiman L, Friedman JH, Olshen RA, and Stone CL. 1984. Classification and regression trees. Belmont, CA: Wadsworth.</w:t>
      </w:r>
      <w:bookmarkEnd w:id="105"/>
    </w:p>
    <w:p w:rsidR="001633BC" w:rsidRPr="001633BC" w:rsidRDefault="001633BC" w:rsidP="001633BC">
      <w:pPr>
        <w:spacing w:after="0" w:line="240" w:lineRule="auto"/>
        <w:ind w:left="720" w:hanging="720"/>
        <w:rPr>
          <w:rFonts w:ascii="Times New Roman" w:hAnsi="Times New Roman" w:cs="Times New Roman"/>
          <w:noProof/>
          <w:szCs w:val="24"/>
        </w:rPr>
      </w:pPr>
      <w:bookmarkStart w:id="106" w:name="_ENREF_10"/>
      <w:r w:rsidRPr="001633BC">
        <w:rPr>
          <w:rFonts w:ascii="Times New Roman" w:hAnsi="Times New Roman" w:cs="Times New Roman"/>
          <w:noProof/>
          <w:szCs w:val="24"/>
        </w:rPr>
        <w:t>Christensen AM. 2004. The impact of daubert:  Implications for testimony and research in forensic anthropology (and the use of frontal sinuses in person identification). Journal of Forensic Sciences 49(3):1-4.</w:t>
      </w:r>
      <w:bookmarkEnd w:id="106"/>
    </w:p>
    <w:p w:rsidR="001633BC" w:rsidRPr="001633BC" w:rsidRDefault="001633BC" w:rsidP="001633BC">
      <w:pPr>
        <w:spacing w:after="0" w:line="240" w:lineRule="auto"/>
        <w:ind w:left="720" w:hanging="720"/>
        <w:rPr>
          <w:rFonts w:ascii="Times New Roman" w:hAnsi="Times New Roman" w:cs="Times New Roman"/>
          <w:noProof/>
          <w:szCs w:val="24"/>
        </w:rPr>
      </w:pPr>
      <w:bookmarkStart w:id="107" w:name="_ENREF_11"/>
      <w:r w:rsidRPr="001633BC">
        <w:rPr>
          <w:rFonts w:ascii="Times New Roman" w:hAnsi="Times New Roman" w:cs="Times New Roman"/>
          <w:noProof/>
          <w:szCs w:val="24"/>
        </w:rPr>
        <w:t>Connally M. 2004. Identifying covariance deifferences in comparisons of linear versus quadratic classification rule [dissertation]. Athens: University of Georgia.</w:t>
      </w:r>
      <w:bookmarkEnd w:id="107"/>
    </w:p>
    <w:p w:rsidR="001633BC" w:rsidRPr="001633BC" w:rsidRDefault="001633BC" w:rsidP="001633BC">
      <w:pPr>
        <w:spacing w:after="0" w:line="240" w:lineRule="auto"/>
        <w:ind w:left="720" w:hanging="720"/>
        <w:rPr>
          <w:rFonts w:ascii="Times New Roman" w:hAnsi="Times New Roman" w:cs="Times New Roman"/>
          <w:noProof/>
          <w:szCs w:val="24"/>
        </w:rPr>
      </w:pPr>
      <w:bookmarkStart w:id="108" w:name="_ENREF_12"/>
      <w:r w:rsidRPr="001633BC">
        <w:rPr>
          <w:rFonts w:ascii="Times New Roman" w:hAnsi="Times New Roman" w:cs="Times New Roman"/>
          <w:noProof/>
          <w:szCs w:val="24"/>
        </w:rPr>
        <w:t>Corp. I. 2011. Ibm spss statistics 20. 20.0.0.1 ed.</w:t>
      </w:r>
      <w:bookmarkEnd w:id="108"/>
    </w:p>
    <w:p w:rsidR="001633BC" w:rsidRPr="001633BC" w:rsidRDefault="001633BC" w:rsidP="001633BC">
      <w:pPr>
        <w:spacing w:after="0" w:line="240" w:lineRule="auto"/>
        <w:ind w:left="720" w:hanging="720"/>
        <w:rPr>
          <w:rFonts w:ascii="Times New Roman" w:hAnsi="Times New Roman" w:cs="Times New Roman"/>
          <w:noProof/>
          <w:szCs w:val="24"/>
        </w:rPr>
      </w:pPr>
      <w:bookmarkStart w:id="109" w:name="_ENREF_13"/>
      <w:r w:rsidRPr="001633BC">
        <w:rPr>
          <w:rFonts w:ascii="Times New Roman" w:hAnsi="Times New Roman" w:cs="Times New Roman"/>
          <w:noProof/>
          <w:szCs w:val="24"/>
        </w:rPr>
        <w:t>Ding Y, and Simonoff JS. 2010. An investigation of missing data methods for classification trees applied to binary response data.  11:131-170.</w:t>
      </w:r>
      <w:bookmarkEnd w:id="109"/>
    </w:p>
    <w:p w:rsidR="001633BC" w:rsidRPr="001633BC" w:rsidRDefault="001633BC" w:rsidP="001633BC">
      <w:pPr>
        <w:spacing w:after="0" w:line="240" w:lineRule="auto"/>
        <w:ind w:left="720" w:hanging="720"/>
        <w:rPr>
          <w:rFonts w:ascii="Times New Roman" w:hAnsi="Times New Roman" w:cs="Times New Roman"/>
          <w:noProof/>
          <w:szCs w:val="24"/>
        </w:rPr>
      </w:pPr>
      <w:bookmarkStart w:id="110" w:name="_ENREF_14"/>
      <w:r w:rsidRPr="001633BC">
        <w:rPr>
          <w:rFonts w:ascii="Times New Roman" w:hAnsi="Times New Roman" w:cs="Times New Roman"/>
          <w:noProof/>
          <w:szCs w:val="24"/>
        </w:rPr>
        <w:t>Elliott M, and Collard M. 2009. Fordisc and the determination of ancestry from cranial measurements.  5(6):849-852.</w:t>
      </w:r>
      <w:bookmarkEnd w:id="110"/>
    </w:p>
    <w:p w:rsidR="001633BC" w:rsidRPr="001633BC" w:rsidRDefault="001633BC" w:rsidP="001633BC">
      <w:pPr>
        <w:spacing w:after="0" w:line="240" w:lineRule="auto"/>
        <w:ind w:left="720" w:hanging="720"/>
        <w:rPr>
          <w:rFonts w:ascii="Times New Roman" w:hAnsi="Times New Roman" w:cs="Times New Roman"/>
          <w:noProof/>
          <w:szCs w:val="24"/>
        </w:rPr>
      </w:pPr>
      <w:bookmarkStart w:id="111" w:name="_ENREF_15"/>
      <w:r w:rsidRPr="001633BC">
        <w:rPr>
          <w:rFonts w:ascii="Times New Roman" w:hAnsi="Times New Roman" w:cs="Times New Roman"/>
          <w:noProof/>
          <w:szCs w:val="24"/>
        </w:rPr>
        <w:t>Feldesman M. 2002. Classification trees as an alternative to linear discriminant analysis. American Journal of Physical Anthropology 119:257-275.</w:t>
      </w:r>
      <w:bookmarkEnd w:id="111"/>
    </w:p>
    <w:p w:rsidR="001633BC" w:rsidRPr="001633BC" w:rsidRDefault="001633BC" w:rsidP="001633BC">
      <w:pPr>
        <w:spacing w:after="0" w:line="240" w:lineRule="auto"/>
        <w:ind w:left="720" w:hanging="720"/>
        <w:rPr>
          <w:rFonts w:ascii="Times New Roman" w:hAnsi="Times New Roman" w:cs="Times New Roman"/>
          <w:noProof/>
          <w:szCs w:val="24"/>
        </w:rPr>
      </w:pPr>
      <w:bookmarkStart w:id="112" w:name="_ENREF_16"/>
      <w:r w:rsidRPr="001633BC">
        <w:rPr>
          <w:rFonts w:ascii="Times New Roman" w:hAnsi="Times New Roman" w:cs="Times New Roman"/>
          <w:noProof/>
          <w:szCs w:val="24"/>
        </w:rPr>
        <w:t>Fielding AH. 2007. Cluster and classification techniques for the biosciences. New York: Cambridge University Press.</w:t>
      </w:r>
      <w:bookmarkEnd w:id="112"/>
    </w:p>
    <w:p w:rsidR="001633BC" w:rsidRPr="001633BC" w:rsidRDefault="001633BC" w:rsidP="001633BC">
      <w:pPr>
        <w:spacing w:after="0" w:line="240" w:lineRule="auto"/>
        <w:ind w:left="720" w:hanging="720"/>
        <w:rPr>
          <w:rFonts w:ascii="Times New Roman" w:hAnsi="Times New Roman" w:cs="Times New Roman"/>
          <w:noProof/>
          <w:szCs w:val="24"/>
        </w:rPr>
      </w:pPr>
      <w:bookmarkStart w:id="113" w:name="_ENREF_17"/>
      <w:r w:rsidRPr="001633BC">
        <w:rPr>
          <w:rFonts w:ascii="Times New Roman" w:hAnsi="Times New Roman" w:cs="Times New Roman"/>
          <w:noProof/>
          <w:szCs w:val="24"/>
        </w:rPr>
        <w:t>Fisher RA. 1936. The use of multiple measurements in taxonomic problems.  7(2):179-188.</w:t>
      </w:r>
      <w:bookmarkEnd w:id="113"/>
    </w:p>
    <w:p w:rsidR="001633BC" w:rsidRPr="001633BC" w:rsidRDefault="001633BC" w:rsidP="001633BC">
      <w:pPr>
        <w:spacing w:after="0" w:line="240" w:lineRule="auto"/>
        <w:ind w:left="720" w:hanging="720"/>
        <w:rPr>
          <w:rFonts w:ascii="Times New Roman" w:hAnsi="Times New Roman" w:cs="Times New Roman"/>
          <w:noProof/>
          <w:szCs w:val="24"/>
        </w:rPr>
      </w:pPr>
      <w:bookmarkStart w:id="114" w:name="_ENREF_18"/>
      <w:r w:rsidRPr="001633BC">
        <w:rPr>
          <w:rFonts w:ascii="Times New Roman" w:hAnsi="Times New Roman" w:cs="Times New Roman"/>
          <w:noProof/>
          <w:szCs w:val="24"/>
        </w:rPr>
        <w:t>Fisher TD, and Gill GW. 1990. Application of the giles-elliot discriminant function formulae to a cranial sample of northwestern plains indians. In: Gill GW, and Rhine S, editors. Skeletal attribution of race. Albuquerque, NM: Maxwell Museum of Anthropology.</w:t>
      </w:r>
      <w:bookmarkEnd w:id="114"/>
    </w:p>
    <w:p w:rsidR="001633BC" w:rsidRPr="001633BC" w:rsidRDefault="001633BC" w:rsidP="001633BC">
      <w:pPr>
        <w:spacing w:after="0" w:line="240" w:lineRule="auto"/>
        <w:ind w:left="720" w:hanging="720"/>
        <w:rPr>
          <w:rFonts w:ascii="Times New Roman" w:hAnsi="Times New Roman" w:cs="Times New Roman"/>
          <w:noProof/>
          <w:szCs w:val="24"/>
        </w:rPr>
      </w:pPr>
      <w:bookmarkStart w:id="115" w:name="_ENREF_19"/>
      <w:r w:rsidRPr="001633BC">
        <w:rPr>
          <w:rFonts w:ascii="Times New Roman" w:hAnsi="Times New Roman" w:cs="Times New Roman"/>
          <w:noProof/>
          <w:szCs w:val="24"/>
        </w:rPr>
        <w:t>Giles E, and Elliot O. 1962. Race identification from cranial measurements. Journal of Forensic Sciences 7(2):147-157.</w:t>
      </w:r>
      <w:bookmarkEnd w:id="115"/>
    </w:p>
    <w:p w:rsidR="001633BC" w:rsidRPr="001633BC" w:rsidRDefault="001633BC" w:rsidP="001633BC">
      <w:pPr>
        <w:spacing w:after="0" w:line="240" w:lineRule="auto"/>
        <w:ind w:left="720" w:hanging="720"/>
        <w:rPr>
          <w:rFonts w:ascii="Times New Roman" w:hAnsi="Times New Roman" w:cs="Times New Roman"/>
          <w:noProof/>
          <w:szCs w:val="24"/>
        </w:rPr>
      </w:pPr>
      <w:bookmarkStart w:id="116" w:name="_ENREF_20"/>
      <w:r w:rsidRPr="001633BC">
        <w:rPr>
          <w:rFonts w:ascii="Times New Roman" w:hAnsi="Times New Roman" w:cs="Times New Roman"/>
          <w:noProof/>
          <w:szCs w:val="24"/>
        </w:rPr>
        <w:t>Goodman AH. 1997. Bred in the bone? The Sciences 21:20-25.</w:t>
      </w:r>
      <w:bookmarkEnd w:id="116"/>
    </w:p>
    <w:p w:rsidR="001633BC" w:rsidRPr="001633BC" w:rsidRDefault="001633BC" w:rsidP="001633BC">
      <w:pPr>
        <w:spacing w:after="0" w:line="240" w:lineRule="auto"/>
        <w:ind w:left="720" w:hanging="720"/>
        <w:rPr>
          <w:rFonts w:ascii="Times New Roman" w:hAnsi="Times New Roman" w:cs="Times New Roman"/>
          <w:noProof/>
          <w:szCs w:val="24"/>
        </w:rPr>
      </w:pPr>
      <w:bookmarkStart w:id="117" w:name="_ENREF_21"/>
      <w:r w:rsidRPr="001633BC">
        <w:rPr>
          <w:rFonts w:ascii="Times New Roman" w:hAnsi="Times New Roman" w:cs="Times New Roman"/>
          <w:noProof/>
          <w:szCs w:val="24"/>
        </w:rPr>
        <w:t>Grivas CR, and Komar DA. 2008. Kumho, daubert, and the nature of scientific inquiry: Implications for forensic anthropology. Journal of Forensic Sciences 53(4):771-776.</w:t>
      </w:r>
      <w:bookmarkEnd w:id="117"/>
    </w:p>
    <w:p w:rsidR="001633BC" w:rsidRPr="001633BC" w:rsidRDefault="001633BC" w:rsidP="001633BC">
      <w:pPr>
        <w:spacing w:after="0" w:line="240" w:lineRule="auto"/>
        <w:ind w:left="720" w:hanging="720"/>
        <w:rPr>
          <w:rFonts w:ascii="Times New Roman" w:hAnsi="Times New Roman" w:cs="Times New Roman"/>
          <w:noProof/>
          <w:szCs w:val="24"/>
        </w:rPr>
      </w:pPr>
      <w:bookmarkStart w:id="118" w:name="_ENREF_22"/>
      <w:r w:rsidRPr="001633BC">
        <w:rPr>
          <w:rFonts w:ascii="Times New Roman" w:hAnsi="Times New Roman" w:cs="Times New Roman"/>
          <w:noProof/>
          <w:szCs w:val="24"/>
        </w:rPr>
        <w:t>Hintze J. 2007. Ncss. Kaysville, UT: NCSS, LLC.</w:t>
      </w:r>
      <w:bookmarkEnd w:id="118"/>
    </w:p>
    <w:p w:rsidR="001633BC" w:rsidRPr="001633BC" w:rsidRDefault="001633BC" w:rsidP="001633BC">
      <w:pPr>
        <w:spacing w:after="0" w:line="240" w:lineRule="auto"/>
        <w:ind w:left="720" w:hanging="720"/>
        <w:rPr>
          <w:rFonts w:ascii="Times New Roman" w:hAnsi="Times New Roman" w:cs="Times New Roman"/>
          <w:noProof/>
          <w:szCs w:val="24"/>
        </w:rPr>
      </w:pPr>
      <w:bookmarkStart w:id="119" w:name="_ENREF_23"/>
      <w:r w:rsidRPr="001633BC">
        <w:rPr>
          <w:rFonts w:ascii="Times New Roman" w:hAnsi="Times New Roman" w:cs="Times New Roman"/>
          <w:noProof/>
          <w:szCs w:val="24"/>
        </w:rPr>
        <w:t>Holden JE, and Kelley K. 2010. The effects of initially misclassified data on the effectiveness of discriminant function analysis and finite mixture modeling. Educational and Psychological Measurement 70(1):36-55.</w:t>
      </w:r>
      <w:bookmarkEnd w:id="119"/>
    </w:p>
    <w:p w:rsidR="001633BC" w:rsidRPr="001633BC" w:rsidRDefault="001633BC" w:rsidP="001633BC">
      <w:pPr>
        <w:spacing w:after="0" w:line="240" w:lineRule="auto"/>
        <w:ind w:left="720" w:hanging="720"/>
        <w:rPr>
          <w:rFonts w:ascii="Times New Roman" w:hAnsi="Times New Roman" w:cs="Times New Roman"/>
          <w:noProof/>
          <w:szCs w:val="24"/>
        </w:rPr>
      </w:pPr>
      <w:bookmarkStart w:id="120" w:name="_ENREF_24"/>
      <w:r w:rsidRPr="001633BC">
        <w:rPr>
          <w:rFonts w:ascii="Times New Roman" w:hAnsi="Times New Roman" w:cs="Times New Roman"/>
          <w:noProof/>
          <w:szCs w:val="24"/>
        </w:rPr>
        <w:t>Howells WW. 1973. Cranial variation in man. Papers of the Peabody Museum of Archaeology and Ethnology. Cambridge, MA. p 1-259.</w:t>
      </w:r>
      <w:bookmarkEnd w:id="120"/>
    </w:p>
    <w:p w:rsidR="001633BC" w:rsidRPr="001633BC" w:rsidRDefault="001633BC" w:rsidP="001633BC">
      <w:pPr>
        <w:spacing w:after="0" w:line="240" w:lineRule="auto"/>
        <w:ind w:left="720" w:hanging="720"/>
        <w:rPr>
          <w:rFonts w:ascii="Times New Roman" w:hAnsi="Times New Roman" w:cs="Times New Roman"/>
          <w:noProof/>
          <w:szCs w:val="24"/>
        </w:rPr>
      </w:pPr>
      <w:bookmarkStart w:id="121" w:name="_ENREF_25"/>
      <w:r w:rsidRPr="001633BC">
        <w:rPr>
          <w:rFonts w:ascii="Times New Roman" w:hAnsi="Times New Roman" w:cs="Times New Roman"/>
          <w:noProof/>
          <w:szCs w:val="24"/>
        </w:rPr>
        <w:t>Howells WW. 1989. Skull shpaes and the map. Papers of the Peabody Museum of Archaeology and Ethnology. Cambridge, MA. p 1-189.</w:t>
      </w:r>
      <w:bookmarkEnd w:id="121"/>
    </w:p>
    <w:p w:rsidR="001633BC" w:rsidRPr="001633BC" w:rsidRDefault="001633BC" w:rsidP="001633BC">
      <w:pPr>
        <w:spacing w:after="0" w:line="240" w:lineRule="auto"/>
        <w:ind w:left="720" w:hanging="720"/>
        <w:rPr>
          <w:rFonts w:ascii="Times New Roman" w:hAnsi="Times New Roman" w:cs="Times New Roman"/>
          <w:noProof/>
          <w:szCs w:val="24"/>
        </w:rPr>
      </w:pPr>
      <w:bookmarkStart w:id="122" w:name="_ENREF_26"/>
      <w:r w:rsidRPr="001633BC">
        <w:rPr>
          <w:rFonts w:ascii="Times New Roman" w:hAnsi="Times New Roman" w:cs="Times New Roman"/>
          <w:noProof/>
          <w:szCs w:val="24"/>
        </w:rPr>
        <w:t>Hron K, Templ M, and Filzmoser P. 2010. Imputation of missing values for compositional data using classical and robust methods. Computational Statistics &amp;amp; Data Analysis 54(12):3095-3107.</w:t>
      </w:r>
      <w:bookmarkEnd w:id="122"/>
    </w:p>
    <w:p w:rsidR="001633BC" w:rsidRPr="001633BC" w:rsidRDefault="001633BC" w:rsidP="001633BC">
      <w:pPr>
        <w:spacing w:after="0" w:line="240" w:lineRule="auto"/>
        <w:ind w:left="720" w:hanging="720"/>
        <w:rPr>
          <w:rFonts w:ascii="Times New Roman" w:hAnsi="Times New Roman" w:cs="Times New Roman"/>
          <w:noProof/>
          <w:szCs w:val="24"/>
        </w:rPr>
      </w:pPr>
      <w:bookmarkStart w:id="123" w:name="_ENREF_27"/>
      <w:r w:rsidRPr="001633BC">
        <w:rPr>
          <w:rFonts w:ascii="Times New Roman" w:hAnsi="Times New Roman" w:cs="Times New Roman"/>
          <w:noProof/>
          <w:szCs w:val="24"/>
        </w:rPr>
        <w:t>Huberty CL, and Olejnik S. 2006. Applied manova and discriminant analysis. Hoboken, NJ: John Wiley &amp; Sons.</w:t>
      </w:r>
      <w:bookmarkEnd w:id="123"/>
    </w:p>
    <w:p w:rsidR="001633BC" w:rsidRPr="001633BC" w:rsidRDefault="001633BC" w:rsidP="001633BC">
      <w:pPr>
        <w:spacing w:after="0" w:line="240" w:lineRule="auto"/>
        <w:ind w:left="720" w:hanging="720"/>
        <w:rPr>
          <w:rFonts w:ascii="Times New Roman" w:hAnsi="Times New Roman" w:cs="Times New Roman"/>
          <w:noProof/>
          <w:szCs w:val="24"/>
        </w:rPr>
      </w:pPr>
      <w:bookmarkStart w:id="124" w:name="_ENREF_28"/>
      <w:r w:rsidRPr="001633BC">
        <w:rPr>
          <w:rFonts w:ascii="Times New Roman" w:hAnsi="Times New Roman" w:cs="Times New Roman"/>
          <w:noProof/>
          <w:szCs w:val="24"/>
        </w:rPr>
        <w:t>Iscan MY. 1988. Rise of forensic anthropology. Yearbook of Physical Anthropology 31:203-230.</w:t>
      </w:r>
      <w:bookmarkEnd w:id="124"/>
    </w:p>
    <w:p w:rsidR="001633BC" w:rsidRPr="001633BC" w:rsidRDefault="001633BC" w:rsidP="001633BC">
      <w:pPr>
        <w:spacing w:after="0" w:line="240" w:lineRule="auto"/>
        <w:ind w:left="720" w:hanging="720"/>
        <w:rPr>
          <w:rFonts w:ascii="Times New Roman" w:hAnsi="Times New Roman" w:cs="Times New Roman"/>
          <w:noProof/>
          <w:szCs w:val="24"/>
        </w:rPr>
      </w:pPr>
      <w:bookmarkStart w:id="125" w:name="_ENREF_29"/>
      <w:r w:rsidRPr="001633BC">
        <w:rPr>
          <w:rFonts w:ascii="Times New Roman" w:hAnsi="Times New Roman" w:cs="Times New Roman"/>
          <w:noProof/>
          <w:szCs w:val="24"/>
        </w:rPr>
        <w:t>Jantz RL. 2001. Cranial change in americans: 1850-1975. Journal of Forensic Sciences 46(4):784-787.</w:t>
      </w:r>
      <w:bookmarkEnd w:id="125"/>
    </w:p>
    <w:p w:rsidR="001633BC" w:rsidRPr="001633BC" w:rsidRDefault="001633BC" w:rsidP="001633BC">
      <w:pPr>
        <w:spacing w:after="0" w:line="240" w:lineRule="auto"/>
        <w:ind w:left="720" w:hanging="720"/>
        <w:rPr>
          <w:rFonts w:ascii="Times New Roman" w:hAnsi="Times New Roman" w:cs="Times New Roman"/>
          <w:noProof/>
          <w:szCs w:val="24"/>
        </w:rPr>
      </w:pPr>
      <w:bookmarkStart w:id="126" w:name="_ENREF_30"/>
      <w:r w:rsidRPr="001633BC">
        <w:rPr>
          <w:rFonts w:ascii="Times New Roman" w:hAnsi="Times New Roman" w:cs="Times New Roman"/>
          <w:noProof/>
          <w:szCs w:val="24"/>
        </w:rPr>
        <w:t>Jantz RL, and Jantz LM. 2000. Secular change in craniofacial morphology. American Journal of Human Biology 12:327-338.</w:t>
      </w:r>
      <w:bookmarkEnd w:id="126"/>
    </w:p>
    <w:p w:rsidR="001633BC" w:rsidRPr="001633BC" w:rsidRDefault="001633BC" w:rsidP="001633BC">
      <w:pPr>
        <w:spacing w:after="0" w:line="240" w:lineRule="auto"/>
        <w:ind w:left="720" w:hanging="720"/>
        <w:rPr>
          <w:rFonts w:ascii="Times New Roman" w:hAnsi="Times New Roman" w:cs="Times New Roman"/>
          <w:noProof/>
          <w:szCs w:val="24"/>
        </w:rPr>
      </w:pPr>
      <w:bookmarkStart w:id="127" w:name="_ENREF_31"/>
      <w:r w:rsidRPr="001633BC">
        <w:rPr>
          <w:rFonts w:ascii="Times New Roman" w:hAnsi="Times New Roman" w:cs="Times New Roman"/>
          <w:noProof/>
          <w:szCs w:val="24"/>
        </w:rPr>
        <w:t>Jantz RL, and Moore-Jansen PH. 1987. A data base for forensic anthropology. Knoxville, TN: The University of Tennessee.</w:t>
      </w:r>
      <w:bookmarkEnd w:id="127"/>
    </w:p>
    <w:p w:rsidR="001633BC" w:rsidRPr="001633BC" w:rsidRDefault="001633BC" w:rsidP="001633BC">
      <w:pPr>
        <w:spacing w:after="0" w:line="240" w:lineRule="auto"/>
        <w:ind w:left="720" w:hanging="720"/>
        <w:rPr>
          <w:rFonts w:ascii="Times New Roman" w:hAnsi="Times New Roman" w:cs="Times New Roman"/>
          <w:noProof/>
          <w:szCs w:val="24"/>
        </w:rPr>
      </w:pPr>
      <w:bookmarkStart w:id="128" w:name="_ENREF_32"/>
      <w:r w:rsidRPr="001633BC">
        <w:rPr>
          <w:rFonts w:ascii="Times New Roman" w:hAnsi="Times New Roman" w:cs="Times New Roman"/>
          <w:noProof/>
          <w:szCs w:val="24"/>
        </w:rPr>
        <w:t>Jantz RL, and Ousley SD. 1993. Fordisc 1.0: Computerised forensic discriminant functions. Knoxville, TN: University of Tennessee.</w:t>
      </w:r>
      <w:bookmarkEnd w:id="128"/>
    </w:p>
    <w:p w:rsidR="001633BC" w:rsidRPr="001633BC" w:rsidRDefault="001633BC" w:rsidP="001633BC">
      <w:pPr>
        <w:spacing w:after="0" w:line="240" w:lineRule="auto"/>
        <w:ind w:left="720" w:hanging="720"/>
        <w:rPr>
          <w:rFonts w:ascii="Times New Roman" w:hAnsi="Times New Roman" w:cs="Times New Roman"/>
          <w:noProof/>
          <w:szCs w:val="24"/>
        </w:rPr>
      </w:pPr>
      <w:bookmarkStart w:id="129" w:name="_ENREF_33"/>
      <w:r w:rsidRPr="001633BC">
        <w:rPr>
          <w:rFonts w:ascii="Times New Roman" w:hAnsi="Times New Roman" w:cs="Times New Roman"/>
          <w:noProof/>
          <w:szCs w:val="24"/>
        </w:rPr>
        <w:t>Khattree R, and Naik DK. 2000. Multivariate data reduction and discrimination with sas software. Cary, NC: SAS Institute Inc.</w:t>
      </w:r>
      <w:bookmarkEnd w:id="129"/>
    </w:p>
    <w:p w:rsidR="001633BC" w:rsidRPr="001633BC" w:rsidRDefault="001633BC" w:rsidP="001633BC">
      <w:pPr>
        <w:spacing w:after="0" w:line="240" w:lineRule="auto"/>
        <w:ind w:left="720" w:hanging="720"/>
        <w:rPr>
          <w:rFonts w:ascii="Times New Roman" w:hAnsi="Times New Roman" w:cs="Times New Roman"/>
          <w:noProof/>
          <w:szCs w:val="24"/>
        </w:rPr>
      </w:pPr>
      <w:bookmarkStart w:id="130" w:name="_ENREF_34"/>
      <w:r w:rsidRPr="001633BC">
        <w:rPr>
          <w:rFonts w:ascii="Times New Roman" w:hAnsi="Times New Roman" w:cs="Times New Roman"/>
          <w:noProof/>
          <w:szCs w:val="24"/>
        </w:rPr>
        <w:t>Konigsberg LW, Algee-Hewitt BFB, and Steadman DW. 2009. Estimation and evidence in forensic anthropology: Sex and race. American Journal of Physical Anthropology 139(1):77-90.</w:t>
      </w:r>
      <w:bookmarkEnd w:id="130"/>
    </w:p>
    <w:p w:rsidR="001633BC" w:rsidRPr="001633BC" w:rsidRDefault="001633BC" w:rsidP="001633BC">
      <w:pPr>
        <w:spacing w:after="0" w:line="240" w:lineRule="auto"/>
        <w:ind w:left="720" w:hanging="720"/>
        <w:rPr>
          <w:rFonts w:ascii="Times New Roman" w:hAnsi="Times New Roman" w:cs="Times New Roman"/>
          <w:noProof/>
          <w:szCs w:val="24"/>
        </w:rPr>
      </w:pPr>
      <w:bookmarkStart w:id="131" w:name="_ENREF_35"/>
      <w:r w:rsidRPr="001633BC">
        <w:rPr>
          <w:rFonts w:ascii="Times New Roman" w:hAnsi="Times New Roman" w:cs="Times New Roman"/>
          <w:noProof/>
          <w:szCs w:val="24"/>
        </w:rPr>
        <w:t>Lieberman L, Kirk RC, and Littlefield A. 2003. Perishing paradigm: Race - 1931-99. American Anthropologist 105(1):110-113.</w:t>
      </w:r>
      <w:bookmarkEnd w:id="131"/>
    </w:p>
    <w:p w:rsidR="001633BC" w:rsidRPr="001633BC" w:rsidRDefault="001633BC" w:rsidP="001633BC">
      <w:pPr>
        <w:spacing w:after="0" w:line="240" w:lineRule="auto"/>
        <w:ind w:left="720" w:hanging="720"/>
        <w:rPr>
          <w:rFonts w:ascii="Times New Roman" w:hAnsi="Times New Roman" w:cs="Times New Roman"/>
          <w:noProof/>
          <w:szCs w:val="24"/>
        </w:rPr>
      </w:pPr>
      <w:bookmarkStart w:id="132" w:name="_ENREF_36"/>
      <w:r w:rsidRPr="001633BC">
        <w:rPr>
          <w:rFonts w:ascii="Times New Roman" w:hAnsi="Times New Roman" w:cs="Times New Roman"/>
          <w:noProof/>
          <w:szCs w:val="24"/>
        </w:rPr>
        <w:t>Little RJA, and Ruban DB. 2002. Statistical analysis with missing data. Hoboken, NJ: John Wiley &amp; Sons Inc.</w:t>
      </w:r>
      <w:bookmarkEnd w:id="132"/>
    </w:p>
    <w:p w:rsidR="001633BC" w:rsidRPr="001633BC" w:rsidRDefault="001633BC" w:rsidP="001633BC">
      <w:pPr>
        <w:spacing w:after="0" w:line="240" w:lineRule="auto"/>
        <w:ind w:left="720" w:hanging="720"/>
        <w:rPr>
          <w:rFonts w:ascii="Times New Roman" w:hAnsi="Times New Roman" w:cs="Times New Roman"/>
          <w:noProof/>
          <w:szCs w:val="24"/>
        </w:rPr>
      </w:pPr>
      <w:bookmarkStart w:id="133" w:name="_ENREF_37"/>
      <w:r w:rsidRPr="001633BC">
        <w:rPr>
          <w:rFonts w:ascii="Times New Roman" w:hAnsi="Times New Roman" w:cs="Times New Roman"/>
          <w:noProof/>
          <w:szCs w:val="24"/>
        </w:rPr>
        <w:t>Mahalanobis PC. 1936. On the generalized distance in statistics. Proceedings of the National Academy of Sciences of India 2(1):49-55.</w:t>
      </w:r>
      <w:bookmarkEnd w:id="133"/>
    </w:p>
    <w:p w:rsidR="001633BC" w:rsidRPr="001633BC" w:rsidRDefault="001633BC" w:rsidP="001633BC">
      <w:pPr>
        <w:spacing w:after="0" w:line="240" w:lineRule="auto"/>
        <w:ind w:left="720" w:hanging="720"/>
        <w:rPr>
          <w:rFonts w:ascii="Times New Roman" w:hAnsi="Times New Roman" w:cs="Times New Roman"/>
          <w:noProof/>
          <w:szCs w:val="24"/>
        </w:rPr>
      </w:pPr>
      <w:bookmarkStart w:id="134" w:name="_ENREF_38"/>
      <w:r w:rsidRPr="001633BC">
        <w:rPr>
          <w:rFonts w:ascii="Times New Roman" w:hAnsi="Times New Roman" w:cs="Times New Roman"/>
          <w:noProof/>
          <w:szCs w:val="24"/>
        </w:rPr>
        <w:t>Manly BFJ. 2005. Multivariate statistical methods: A primer. New York, NY: Chapman &amp; Hall/CRC.</w:t>
      </w:r>
      <w:bookmarkEnd w:id="134"/>
    </w:p>
    <w:p w:rsidR="001633BC" w:rsidRPr="001633BC" w:rsidRDefault="001633BC" w:rsidP="001633BC">
      <w:pPr>
        <w:spacing w:after="0" w:line="240" w:lineRule="auto"/>
        <w:ind w:left="720" w:hanging="720"/>
        <w:rPr>
          <w:rFonts w:ascii="Times New Roman" w:hAnsi="Times New Roman" w:cs="Times New Roman"/>
          <w:noProof/>
          <w:szCs w:val="24"/>
        </w:rPr>
      </w:pPr>
      <w:bookmarkStart w:id="135" w:name="_ENREF_39"/>
      <w:r w:rsidRPr="001633BC">
        <w:rPr>
          <w:rFonts w:ascii="Times New Roman" w:hAnsi="Times New Roman" w:cs="Times New Roman"/>
          <w:noProof/>
          <w:szCs w:val="24"/>
        </w:rPr>
        <w:t>McCarty TJ. 2005. Estimation of missing data. Knoxville: University of Tennessee.</w:t>
      </w:r>
      <w:bookmarkEnd w:id="135"/>
    </w:p>
    <w:p w:rsidR="001633BC" w:rsidRPr="001633BC" w:rsidRDefault="001633BC" w:rsidP="001633BC">
      <w:pPr>
        <w:spacing w:after="0" w:line="240" w:lineRule="auto"/>
        <w:ind w:left="720" w:hanging="720"/>
        <w:rPr>
          <w:rFonts w:ascii="Times New Roman" w:hAnsi="Times New Roman" w:cs="Times New Roman"/>
          <w:noProof/>
          <w:szCs w:val="24"/>
        </w:rPr>
      </w:pPr>
      <w:bookmarkStart w:id="136" w:name="_ENREF_40"/>
      <w:r w:rsidRPr="001633BC">
        <w:rPr>
          <w:rFonts w:ascii="Times New Roman" w:hAnsi="Times New Roman" w:cs="Times New Roman"/>
          <w:noProof/>
          <w:szCs w:val="24"/>
        </w:rPr>
        <w:t>Moore-Jansen PH, Ousley SD, and Jantz RL. 1994. Data collection procedures for forensic skeletal material. Knoxville, TN: The University of Tennessee Forensic Anthropology Series.</w:t>
      </w:r>
      <w:bookmarkEnd w:id="136"/>
    </w:p>
    <w:p w:rsidR="001633BC" w:rsidRPr="001633BC" w:rsidRDefault="001633BC" w:rsidP="001633BC">
      <w:pPr>
        <w:spacing w:after="0" w:line="240" w:lineRule="auto"/>
        <w:ind w:left="720" w:hanging="720"/>
        <w:rPr>
          <w:rFonts w:ascii="Times New Roman" w:hAnsi="Times New Roman" w:cs="Times New Roman"/>
          <w:noProof/>
          <w:szCs w:val="24"/>
        </w:rPr>
      </w:pPr>
      <w:bookmarkStart w:id="137" w:name="_ENREF_41"/>
      <w:r w:rsidRPr="001633BC">
        <w:rPr>
          <w:rFonts w:ascii="Times New Roman" w:hAnsi="Times New Roman" w:cs="Times New Roman"/>
          <w:noProof/>
          <w:szCs w:val="24"/>
        </w:rPr>
        <w:t>O'Brien PC. 1992. Robust procedures for testing equality of covariance matrices. Biometrics 48:819-827.</w:t>
      </w:r>
      <w:bookmarkEnd w:id="137"/>
    </w:p>
    <w:p w:rsidR="001633BC" w:rsidRPr="001633BC" w:rsidRDefault="001633BC" w:rsidP="001633BC">
      <w:pPr>
        <w:spacing w:after="0" w:line="240" w:lineRule="auto"/>
        <w:ind w:left="720" w:hanging="720"/>
        <w:rPr>
          <w:rFonts w:ascii="Times New Roman" w:hAnsi="Times New Roman" w:cs="Times New Roman"/>
          <w:noProof/>
          <w:szCs w:val="24"/>
        </w:rPr>
      </w:pPr>
      <w:bookmarkStart w:id="138" w:name="_ENREF_42"/>
      <w:r w:rsidRPr="001633BC">
        <w:rPr>
          <w:rFonts w:ascii="Times New Roman" w:hAnsi="Times New Roman" w:cs="Times New Roman"/>
          <w:noProof/>
          <w:szCs w:val="24"/>
        </w:rPr>
        <w:t>Ousley S, Jantz R, and Freid D. 2009. Understanding race and human variation: Why forensic anthropologists are good at identifying race. American Journal of Physical Anthropology 139:68-76.</w:t>
      </w:r>
      <w:bookmarkEnd w:id="138"/>
    </w:p>
    <w:p w:rsidR="001633BC" w:rsidRPr="001633BC" w:rsidRDefault="001633BC" w:rsidP="001633BC">
      <w:pPr>
        <w:spacing w:after="0" w:line="240" w:lineRule="auto"/>
        <w:ind w:left="720" w:hanging="720"/>
        <w:rPr>
          <w:rFonts w:ascii="Times New Roman" w:hAnsi="Times New Roman" w:cs="Times New Roman"/>
          <w:noProof/>
          <w:szCs w:val="24"/>
        </w:rPr>
      </w:pPr>
      <w:bookmarkStart w:id="139" w:name="_ENREF_43"/>
      <w:r w:rsidRPr="001633BC">
        <w:rPr>
          <w:rFonts w:ascii="Times New Roman" w:hAnsi="Times New Roman" w:cs="Times New Roman"/>
          <w:noProof/>
          <w:szCs w:val="24"/>
        </w:rPr>
        <w:t>Ousley SD, and Jantz RL. 2005. Fordisc 3.0: Personal computer forensic discriminant functions. Knoxville: University of Tennessee, Knoxville.</w:t>
      </w:r>
      <w:bookmarkEnd w:id="139"/>
    </w:p>
    <w:p w:rsidR="001633BC" w:rsidRPr="001633BC" w:rsidRDefault="001633BC" w:rsidP="001633BC">
      <w:pPr>
        <w:spacing w:after="0" w:line="240" w:lineRule="auto"/>
        <w:ind w:left="720" w:hanging="720"/>
        <w:rPr>
          <w:rFonts w:ascii="Times New Roman" w:hAnsi="Times New Roman" w:cs="Times New Roman"/>
          <w:noProof/>
          <w:szCs w:val="24"/>
        </w:rPr>
      </w:pPr>
      <w:bookmarkStart w:id="140" w:name="_ENREF_44"/>
      <w:r w:rsidRPr="001633BC">
        <w:rPr>
          <w:rFonts w:ascii="Times New Roman" w:hAnsi="Times New Roman" w:cs="Times New Roman"/>
          <w:noProof/>
          <w:szCs w:val="24"/>
        </w:rPr>
        <w:t>Ousley SD, and Jantz RL. 2012. Fordisc 3 and statistical methods for estimating sex and ancestry. In: Dirkmaat DC, editor. A companion to forensic anthropology. Malden, MA: Wiley-Blackwell. p 311-329.</w:t>
      </w:r>
      <w:bookmarkEnd w:id="140"/>
    </w:p>
    <w:p w:rsidR="001633BC" w:rsidRPr="001633BC" w:rsidRDefault="001633BC" w:rsidP="001633BC">
      <w:pPr>
        <w:spacing w:after="0" w:line="240" w:lineRule="auto"/>
        <w:ind w:left="720" w:hanging="720"/>
        <w:rPr>
          <w:rFonts w:ascii="Times New Roman" w:hAnsi="Times New Roman" w:cs="Times New Roman"/>
          <w:noProof/>
          <w:szCs w:val="24"/>
        </w:rPr>
      </w:pPr>
      <w:bookmarkStart w:id="141" w:name="_ENREF_45"/>
      <w:r w:rsidRPr="001633BC">
        <w:rPr>
          <w:rFonts w:ascii="Times New Roman" w:hAnsi="Times New Roman" w:cs="Times New Roman"/>
          <w:noProof/>
          <w:szCs w:val="24"/>
        </w:rPr>
        <w:t>Pearson K. 1926. On the coefficient of racial likeness.  18(1):105-117.</w:t>
      </w:r>
      <w:bookmarkEnd w:id="141"/>
    </w:p>
    <w:p w:rsidR="001633BC" w:rsidRPr="001633BC" w:rsidRDefault="001633BC" w:rsidP="001633BC">
      <w:pPr>
        <w:spacing w:after="0" w:line="240" w:lineRule="auto"/>
        <w:ind w:left="720" w:hanging="720"/>
        <w:rPr>
          <w:rFonts w:ascii="Times New Roman" w:hAnsi="Times New Roman" w:cs="Times New Roman"/>
          <w:noProof/>
          <w:szCs w:val="24"/>
        </w:rPr>
      </w:pPr>
      <w:bookmarkStart w:id="142" w:name="_ENREF_46"/>
      <w:r w:rsidRPr="001633BC">
        <w:rPr>
          <w:rFonts w:ascii="Times New Roman" w:hAnsi="Times New Roman" w:cs="Times New Roman"/>
          <w:noProof/>
          <w:szCs w:val="24"/>
        </w:rPr>
        <w:t>Relethford JH. 1994. Craniometric variation among modern human populations. American Journal of Physical Anthropology 95:53-62.</w:t>
      </w:r>
      <w:bookmarkEnd w:id="142"/>
    </w:p>
    <w:p w:rsidR="001633BC" w:rsidRPr="001633BC" w:rsidRDefault="001633BC" w:rsidP="001633BC">
      <w:pPr>
        <w:spacing w:after="0" w:line="240" w:lineRule="auto"/>
        <w:ind w:left="720" w:hanging="720"/>
        <w:rPr>
          <w:rFonts w:ascii="Times New Roman" w:hAnsi="Times New Roman" w:cs="Times New Roman"/>
          <w:noProof/>
          <w:szCs w:val="24"/>
        </w:rPr>
      </w:pPr>
      <w:bookmarkStart w:id="143" w:name="_ENREF_47"/>
      <w:r w:rsidRPr="001633BC">
        <w:rPr>
          <w:rFonts w:ascii="Times New Roman" w:hAnsi="Times New Roman" w:cs="Times New Roman"/>
          <w:noProof/>
          <w:szCs w:val="24"/>
        </w:rPr>
        <w:t>Relethford JH. 2002. Apportionment of global human genetic diversity based on craniometrics and skin color. American Journal of Physical Anthropology 118(4):393-398.</w:t>
      </w:r>
      <w:bookmarkEnd w:id="143"/>
    </w:p>
    <w:p w:rsidR="001633BC" w:rsidRPr="001633BC" w:rsidRDefault="001633BC" w:rsidP="001633BC">
      <w:pPr>
        <w:spacing w:after="0" w:line="240" w:lineRule="auto"/>
        <w:ind w:left="720" w:hanging="720"/>
        <w:rPr>
          <w:rFonts w:ascii="Times New Roman" w:hAnsi="Times New Roman" w:cs="Times New Roman"/>
          <w:noProof/>
          <w:szCs w:val="24"/>
        </w:rPr>
      </w:pPr>
      <w:bookmarkStart w:id="144" w:name="_ENREF_48"/>
      <w:r w:rsidRPr="001633BC">
        <w:rPr>
          <w:rFonts w:ascii="Times New Roman" w:hAnsi="Times New Roman" w:cs="Times New Roman"/>
          <w:noProof/>
          <w:szCs w:val="24"/>
        </w:rPr>
        <w:t>Rencher AC. 2002. Methods of multivariate analysis. Hoboken, NJ: John Wiley &amp; Sons.</w:t>
      </w:r>
      <w:bookmarkEnd w:id="144"/>
    </w:p>
    <w:p w:rsidR="001633BC" w:rsidRPr="001633BC" w:rsidRDefault="001633BC" w:rsidP="001633BC">
      <w:pPr>
        <w:spacing w:after="0" w:line="240" w:lineRule="auto"/>
        <w:ind w:left="720" w:hanging="720"/>
        <w:rPr>
          <w:rFonts w:ascii="Times New Roman" w:hAnsi="Times New Roman" w:cs="Times New Roman"/>
          <w:noProof/>
          <w:szCs w:val="24"/>
        </w:rPr>
      </w:pPr>
      <w:bookmarkStart w:id="145" w:name="_ENREF_49"/>
      <w:r w:rsidRPr="001633BC">
        <w:rPr>
          <w:rFonts w:ascii="Times New Roman" w:hAnsi="Times New Roman" w:cs="Times New Roman"/>
          <w:noProof/>
          <w:szCs w:val="24"/>
        </w:rPr>
        <w:t>Roseman CC, and Weaver TD. 2004. Multivariate apportionment of global human craniometric diversity. American Journal of Physical Anthropology 125:257-263.</w:t>
      </w:r>
      <w:bookmarkEnd w:id="145"/>
    </w:p>
    <w:p w:rsidR="001633BC" w:rsidRPr="001633BC" w:rsidRDefault="001633BC" w:rsidP="001633BC">
      <w:pPr>
        <w:spacing w:after="0" w:line="240" w:lineRule="auto"/>
        <w:ind w:left="720" w:hanging="720"/>
        <w:rPr>
          <w:rFonts w:ascii="Times New Roman" w:hAnsi="Times New Roman" w:cs="Times New Roman"/>
          <w:noProof/>
          <w:szCs w:val="24"/>
        </w:rPr>
      </w:pPr>
      <w:bookmarkStart w:id="146" w:name="_ENREF_50"/>
      <w:r w:rsidRPr="001633BC">
        <w:rPr>
          <w:rFonts w:ascii="Times New Roman" w:hAnsi="Times New Roman" w:cs="Times New Roman"/>
          <w:noProof/>
          <w:szCs w:val="24"/>
        </w:rPr>
        <w:t>Sauer NJ. 1992. Forensic anthropology and the concept of race: If races don't exist, why are forensic anthropologists so good at identifying them? Social Science and Medicine 34(2):107-111.</w:t>
      </w:r>
      <w:bookmarkEnd w:id="146"/>
    </w:p>
    <w:p w:rsidR="001633BC" w:rsidRPr="001633BC" w:rsidRDefault="001633BC" w:rsidP="001633BC">
      <w:pPr>
        <w:spacing w:after="0" w:line="240" w:lineRule="auto"/>
        <w:ind w:left="720" w:hanging="720"/>
        <w:rPr>
          <w:rFonts w:ascii="Times New Roman" w:hAnsi="Times New Roman" w:cs="Times New Roman"/>
          <w:noProof/>
          <w:szCs w:val="24"/>
        </w:rPr>
      </w:pPr>
      <w:bookmarkStart w:id="147" w:name="_ENREF_51"/>
      <w:r w:rsidRPr="001633BC">
        <w:rPr>
          <w:rFonts w:ascii="Times New Roman" w:hAnsi="Times New Roman" w:cs="Times New Roman"/>
          <w:noProof/>
          <w:szCs w:val="24"/>
        </w:rPr>
        <w:t>Sauer NJ, and Wankmiller JC. 2009. The assessment of ancestry and the concept of race. In: Blau S, and Ubelaker DH, editors. Handbook of forensic anthropology and archaeology. Walnut Creek, CA: Left Coast Press. p 187-200.</w:t>
      </w:r>
      <w:bookmarkEnd w:id="147"/>
    </w:p>
    <w:p w:rsidR="001633BC" w:rsidRPr="001633BC" w:rsidRDefault="001633BC" w:rsidP="001633BC">
      <w:pPr>
        <w:spacing w:after="0" w:line="240" w:lineRule="auto"/>
        <w:ind w:left="720" w:hanging="720"/>
        <w:rPr>
          <w:rFonts w:ascii="Times New Roman" w:hAnsi="Times New Roman" w:cs="Times New Roman"/>
          <w:noProof/>
          <w:szCs w:val="24"/>
        </w:rPr>
      </w:pPr>
      <w:bookmarkStart w:id="148" w:name="_ENREF_52"/>
      <w:r w:rsidRPr="001633BC">
        <w:rPr>
          <w:rFonts w:ascii="Times New Roman" w:hAnsi="Times New Roman" w:cs="Times New Roman"/>
          <w:noProof/>
          <w:szCs w:val="24"/>
        </w:rPr>
        <w:t>Smay D, and Armelagos G. 2000. Galileo wept: A critical assessment of the use of race in forensic anthropology. Transforming Anthropology 9(2):19-29.</w:t>
      </w:r>
      <w:bookmarkEnd w:id="148"/>
    </w:p>
    <w:p w:rsidR="001633BC" w:rsidRPr="001633BC" w:rsidRDefault="001633BC" w:rsidP="001633BC">
      <w:pPr>
        <w:spacing w:after="0" w:line="240" w:lineRule="auto"/>
        <w:ind w:left="720" w:hanging="720"/>
        <w:rPr>
          <w:rFonts w:ascii="Times New Roman" w:hAnsi="Times New Roman" w:cs="Times New Roman"/>
          <w:noProof/>
          <w:szCs w:val="24"/>
        </w:rPr>
      </w:pPr>
      <w:bookmarkStart w:id="149" w:name="_ENREF_53"/>
      <w:r w:rsidRPr="001633BC">
        <w:rPr>
          <w:rFonts w:ascii="Times New Roman" w:hAnsi="Times New Roman" w:cs="Times New Roman"/>
          <w:noProof/>
          <w:szCs w:val="24"/>
        </w:rPr>
        <w:t>Smith HF. 2009. Which cranial regions reflect molecular distances reliably in humans? Evidence from three</w:t>
      </w:r>
      <w:r w:rsidRPr="001633BC">
        <w:rPr>
          <w:rFonts w:ascii="Lucida Grande CY" w:hAnsi="Lucida Grande CY" w:cs="Times New Roman"/>
          <w:noProof/>
          <w:szCs w:val="24"/>
        </w:rPr>
        <w:t>‐</w:t>
      </w:r>
      <w:r w:rsidRPr="001633BC">
        <w:rPr>
          <w:rFonts w:ascii="Times New Roman" w:hAnsi="Times New Roman" w:cs="Times New Roman"/>
          <w:noProof/>
          <w:szCs w:val="24"/>
        </w:rPr>
        <w:t>dimensional morphology. American Journal of Human Biology 21(1):36-47.</w:t>
      </w:r>
      <w:bookmarkEnd w:id="149"/>
    </w:p>
    <w:p w:rsidR="001633BC" w:rsidRPr="001633BC" w:rsidRDefault="001633BC" w:rsidP="001633BC">
      <w:pPr>
        <w:spacing w:after="0" w:line="240" w:lineRule="auto"/>
        <w:ind w:left="720" w:hanging="720"/>
        <w:rPr>
          <w:rFonts w:ascii="Times New Roman" w:hAnsi="Times New Roman" w:cs="Times New Roman"/>
          <w:noProof/>
          <w:szCs w:val="24"/>
        </w:rPr>
      </w:pPr>
      <w:bookmarkStart w:id="150" w:name="_ENREF_54"/>
      <w:r w:rsidRPr="001633BC">
        <w:rPr>
          <w:rFonts w:ascii="Times New Roman" w:hAnsi="Times New Roman" w:cs="Times New Roman"/>
          <w:noProof/>
          <w:szCs w:val="24"/>
        </w:rPr>
        <w:t>Smith HF, Terhune CE, and Lockwood CA. 2007. Genetic, geographic, and environmental correlates of human temporal bone variation. American Journal of Physical Anthropology 134(3):312-322.</w:t>
      </w:r>
      <w:bookmarkEnd w:id="150"/>
    </w:p>
    <w:p w:rsidR="001633BC" w:rsidRPr="001633BC" w:rsidRDefault="001633BC" w:rsidP="001633BC">
      <w:pPr>
        <w:spacing w:after="0" w:line="240" w:lineRule="auto"/>
        <w:ind w:left="720" w:hanging="720"/>
        <w:rPr>
          <w:rFonts w:ascii="Times New Roman" w:hAnsi="Times New Roman" w:cs="Times New Roman"/>
          <w:noProof/>
          <w:szCs w:val="24"/>
        </w:rPr>
      </w:pPr>
      <w:bookmarkStart w:id="151" w:name="_ENREF_55"/>
      <w:r w:rsidRPr="001633BC">
        <w:rPr>
          <w:rFonts w:ascii="Times New Roman" w:hAnsi="Times New Roman" w:cs="Times New Roman"/>
          <w:noProof/>
          <w:szCs w:val="24"/>
        </w:rPr>
        <w:t>Snow CC, Hartman S, Giles E, and Young FA. 1979. Sex and race determination of crania by calipers and computer: A test of the giles and elliot discriminant functions in 52 forensic cases. Journal of Forensic Sciences 24(2):448-460.</w:t>
      </w:r>
      <w:bookmarkEnd w:id="151"/>
    </w:p>
    <w:p w:rsidR="001633BC" w:rsidRPr="001633BC" w:rsidRDefault="001633BC" w:rsidP="001633BC">
      <w:pPr>
        <w:spacing w:after="0" w:line="240" w:lineRule="auto"/>
        <w:ind w:left="720" w:hanging="720"/>
        <w:rPr>
          <w:rFonts w:ascii="Times New Roman" w:hAnsi="Times New Roman" w:cs="Times New Roman"/>
          <w:noProof/>
          <w:szCs w:val="24"/>
        </w:rPr>
      </w:pPr>
      <w:bookmarkStart w:id="152" w:name="_ENREF_56"/>
      <w:r w:rsidRPr="001633BC">
        <w:rPr>
          <w:rFonts w:ascii="Times New Roman" w:hAnsi="Times New Roman" w:cs="Times New Roman"/>
          <w:noProof/>
          <w:szCs w:val="24"/>
        </w:rPr>
        <w:t>Spradley MK, Jantz RL, Robinson A, and Peccerelli F. 2008. Demographic change and forensic identification: Problems in metric identification of hispanic skeletons. Journal of Forensic Sciences 53(1):21-28.</w:t>
      </w:r>
      <w:bookmarkEnd w:id="152"/>
    </w:p>
    <w:p w:rsidR="001633BC" w:rsidRPr="001633BC" w:rsidRDefault="001633BC" w:rsidP="001633BC">
      <w:pPr>
        <w:spacing w:after="0" w:line="240" w:lineRule="auto"/>
        <w:ind w:left="720" w:hanging="720"/>
        <w:rPr>
          <w:rFonts w:ascii="Times New Roman" w:hAnsi="Times New Roman" w:cs="Times New Roman"/>
          <w:noProof/>
          <w:szCs w:val="24"/>
        </w:rPr>
      </w:pPr>
      <w:bookmarkStart w:id="153" w:name="_ENREF_57"/>
      <w:r w:rsidRPr="001633BC">
        <w:rPr>
          <w:rFonts w:ascii="Times New Roman" w:hAnsi="Times New Roman" w:cs="Times New Roman"/>
          <w:noProof/>
          <w:szCs w:val="24"/>
        </w:rPr>
        <w:t>Steadman DW, Adams BJ, and Konigsberg LW. 2006. Statistical basis for positive identification in forensic anthropology. American Journal of Physical Anthropology 131(1):15-26.</w:t>
      </w:r>
      <w:bookmarkEnd w:id="153"/>
    </w:p>
    <w:p w:rsidR="001633BC" w:rsidRPr="001633BC" w:rsidRDefault="001633BC" w:rsidP="001633BC">
      <w:pPr>
        <w:spacing w:after="0" w:line="240" w:lineRule="auto"/>
        <w:ind w:left="720" w:hanging="720"/>
        <w:rPr>
          <w:rFonts w:ascii="Times New Roman" w:hAnsi="Times New Roman" w:cs="Times New Roman"/>
          <w:noProof/>
          <w:szCs w:val="24"/>
        </w:rPr>
      </w:pPr>
      <w:bookmarkStart w:id="154" w:name="_ENREF_58"/>
      <w:r w:rsidRPr="001633BC">
        <w:rPr>
          <w:rFonts w:ascii="Times New Roman" w:hAnsi="Times New Roman" w:cs="Times New Roman"/>
          <w:noProof/>
          <w:szCs w:val="24"/>
        </w:rPr>
        <w:t>Stewart TD. 1979. Essentials of forensic anthropology. Springfield, IL: Charles C. Thomas.</w:t>
      </w:r>
      <w:bookmarkEnd w:id="154"/>
    </w:p>
    <w:p w:rsidR="001633BC" w:rsidRPr="001633BC" w:rsidRDefault="001633BC" w:rsidP="001633BC">
      <w:pPr>
        <w:spacing w:after="0" w:line="240" w:lineRule="auto"/>
        <w:ind w:left="720" w:hanging="720"/>
        <w:rPr>
          <w:rFonts w:ascii="Times New Roman" w:hAnsi="Times New Roman" w:cs="Times New Roman"/>
          <w:noProof/>
          <w:szCs w:val="24"/>
        </w:rPr>
      </w:pPr>
      <w:bookmarkStart w:id="155" w:name="_ENREF_59"/>
      <w:r w:rsidRPr="001633BC">
        <w:rPr>
          <w:rFonts w:ascii="Times New Roman" w:hAnsi="Times New Roman" w:cs="Times New Roman"/>
          <w:noProof/>
          <w:szCs w:val="24"/>
        </w:rPr>
        <w:t xml:space="preserve">SWGANTH (last updated Feb. 1, 2012). </w:t>
      </w:r>
      <w:hyperlink r:id="rId13" w:history="1">
        <w:r w:rsidRPr="001633BC">
          <w:rPr>
            <w:rStyle w:val="Hyperlink"/>
            <w:rFonts w:ascii="Times New Roman" w:hAnsi="Times New Roman" w:cs="Times New Roman"/>
            <w:noProof/>
            <w:szCs w:val="24"/>
          </w:rPr>
          <w:t>http://www.swganth.org/</w:t>
        </w:r>
      </w:hyperlink>
      <w:r w:rsidRPr="001633BC">
        <w:rPr>
          <w:rFonts w:ascii="Times New Roman" w:hAnsi="Times New Roman" w:cs="Times New Roman"/>
          <w:noProof/>
          <w:szCs w:val="24"/>
        </w:rPr>
        <w:t xml:space="preserve"> (accessed Feb. 6, 2012).</w:t>
      </w:r>
      <w:bookmarkEnd w:id="155"/>
    </w:p>
    <w:p w:rsidR="001633BC" w:rsidRPr="001633BC" w:rsidRDefault="001633BC" w:rsidP="001633BC">
      <w:pPr>
        <w:spacing w:after="0" w:line="240" w:lineRule="auto"/>
        <w:ind w:left="720" w:hanging="720"/>
        <w:rPr>
          <w:rFonts w:ascii="Times New Roman" w:hAnsi="Times New Roman" w:cs="Times New Roman"/>
          <w:noProof/>
          <w:szCs w:val="24"/>
        </w:rPr>
      </w:pPr>
      <w:bookmarkStart w:id="156" w:name="_ENREF_60"/>
      <w:r w:rsidRPr="001633BC">
        <w:rPr>
          <w:rFonts w:ascii="Times New Roman" w:hAnsi="Times New Roman" w:cs="Times New Roman"/>
          <w:noProof/>
          <w:szCs w:val="24"/>
        </w:rPr>
        <w:t>Team RC. 2012. R:  A language and environment for statistical computing. Vienna, Austria: R Foundation for Statistical Computing.</w:t>
      </w:r>
      <w:bookmarkEnd w:id="156"/>
    </w:p>
    <w:p w:rsidR="001633BC" w:rsidRPr="001633BC" w:rsidRDefault="001633BC" w:rsidP="001633BC">
      <w:pPr>
        <w:spacing w:after="0" w:line="240" w:lineRule="auto"/>
        <w:ind w:left="720" w:hanging="720"/>
        <w:rPr>
          <w:rFonts w:ascii="Times New Roman" w:hAnsi="Times New Roman" w:cs="Times New Roman"/>
          <w:noProof/>
          <w:szCs w:val="24"/>
        </w:rPr>
      </w:pPr>
      <w:bookmarkStart w:id="157" w:name="_ENREF_61"/>
      <w:r w:rsidRPr="001633BC">
        <w:rPr>
          <w:rFonts w:ascii="Times New Roman" w:hAnsi="Times New Roman" w:cs="Times New Roman"/>
          <w:noProof/>
          <w:szCs w:val="24"/>
        </w:rPr>
        <w:t>Templ M, Alfons A, Kowarik A, and Prantner B. 2012. Vim:  Visualization and imputation of missing values. R package version 3.0.1 ed.</w:t>
      </w:r>
      <w:bookmarkEnd w:id="157"/>
    </w:p>
    <w:p w:rsidR="001633BC" w:rsidRPr="001633BC" w:rsidRDefault="001633BC" w:rsidP="001633BC">
      <w:pPr>
        <w:spacing w:after="0" w:line="240" w:lineRule="auto"/>
        <w:ind w:left="720" w:hanging="720"/>
        <w:rPr>
          <w:rFonts w:ascii="Times New Roman" w:hAnsi="Times New Roman" w:cs="Times New Roman"/>
          <w:noProof/>
          <w:szCs w:val="24"/>
        </w:rPr>
      </w:pPr>
      <w:bookmarkStart w:id="158" w:name="_ENREF_62"/>
      <w:r w:rsidRPr="001633BC">
        <w:rPr>
          <w:rFonts w:ascii="Times New Roman" w:hAnsi="Times New Roman" w:cs="Times New Roman"/>
          <w:noProof/>
          <w:szCs w:val="24"/>
        </w:rPr>
        <w:t>Templ M, Kowarik A, and Filzmoser P. 2011. Iterative stepwise regression imputation using standard and robust methods. Computational Statistics and Data Analysis 55(10):2793-2806.</w:t>
      </w:r>
      <w:bookmarkEnd w:id="158"/>
    </w:p>
    <w:p w:rsidR="001633BC" w:rsidRPr="001633BC" w:rsidRDefault="001633BC" w:rsidP="001633BC">
      <w:pPr>
        <w:spacing w:after="0" w:line="240" w:lineRule="auto"/>
        <w:ind w:left="720" w:hanging="720"/>
        <w:rPr>
          <w:rFonts w:ascii="Times New Roman" w:hAnsi="Times New Roman" w:cs="Times New Roman"/>
          <w:noProof/>
          <w:szCs w:val="24"/>
        </w:rPr>
      </w:pPr>
      <w:bookmarkStart w:id="159" w:name="_ENREF_63"/>
      <w:r w:rsidRPr="001633BC">
        <w:rPr>
          <w:rFonts w:ascii="Times New Roman" w:hAnsi="Times New Roman" w:cs="Times New Roman"/>
          <w:noProof/>
          <w:szCs w:val="24"/>
        </w:rPr>
        <w:t>Troyanskaya O, Cantor M, Sherlock G, Brown P, Hastie T, Tibshirani R, Botstein D, and Altman RB. 2001. Missing value estimation methods for DNA microarrays. Bioinformatics 17(6):520-525.</w:t>
      </w:r>
      <w:bookmarkEnd w:id="159"/>
    </w:p>
    <w:p w:rsidR="001633BC" w:rsidRPr="001633BC" w:rsidRDefault="001633BC" w:rsidP="001633BC">
      <w:pPr>
        <w:spacing w:after="0" w:line="240" w:lineRule="auto"/>
        <w:ind w:left="720" w:hanging="720"/>
        <w:rPr>
          <w:rFonts w:ascii="Times New Roman" w:hAnsi="Times New Roman" w:cs="Times New Roman"/>
          <w:noProof/>
          <w:szCs w:val="24"/>
        </w:rPr>
      </w:pPr>
      <w:bookmarkStart w:id="160" w:name="_ENREF_64"/>
      <w:r w:rsidRPr="001633BC">
        <w:rPr>
          <w:rFonts w:ascii="Times New Roman" w:hAnsi="Times New Roman" w:cs="Times New Roman"/>
          <w:noProof/>
          <w:szCs w:val="24"/>
        </w:rPr>
        <w:t>Twedt DJ, and Gill DS. 1992. Comparison of algorithms for replacing missing data in discriminant analysis. Communications in Statistics: Theory and Methods 21(6):1567-1578.</w:t>
      </w:r>
      <w:bookmarkEnd w:id="160"/>
    </w:p>
    <w:p w:rsidR="001633BC" w:rsidRPr="001633BC" w:rsidRDefault="001633BC" w:rsidP="001633BC">
      <w:pPr>
        <w:spacing w:after="0" w:line="240" w:lineRule="auto"/>
        <w:ind w:left="720" w:hanging="720"/>
        <w:rPr>
          <w:rFonts w:ascii="Times New Roman" w:hAnsi="Times New Roman" w:cs="Times New Roman"/>
          <w:noProof/>
          <w:szCs w:val="24"/>
        </w:rPr>
      </w:pPr>
      <w:bookmarkStart w:id="161" w:name="_ENREF_65"/>
      <w:r w:rsidRPr="001633BC">
        <w:rPr>
          <w:rFonts w:ascii="Times New Roman" w:hAnsi="Times New Roman" w:cs="Times New Roman"/>
          <w:noProof/>
          <w:szCs w:val="24"/>
        </w:rPr>
        <w:t>Williams FLE, Belcher RL, and Armelagos GJ. 2005. Forensic misclassification of ancient nubian crania: Implications for assumptions about human variation. Current Anthropology 46(2):340-346.</w:t>
      </w:r>
      <w:bookmarkEnd w:id="161"/>
    </w:p>
    <w:p w:rsidR="001633BC" w:rsidRPr="001633BC" w:rsidRDefault="001633BC" w:rsidP="001633BC">
      <w:pPr>
        <w:spacing w:after="0" w:line="240" w:lineRule="auto"/>
        <w:ind w:left="720" w:hanging="720"/>
        <w:rPr>
          <w:rFonts w:ascii="Times New Roman" w:hAnsi="Times New Roman" w:cs="Times New Roman"/>
          <w:noProof/>
          <w:szCs w:val="24"/>
        </w:rPr>
      </w:pPr>
      <w:bookmarkStart w:id="162" w:name="_ENREF_66"/>
      <w:r w:rsidRPr="001633BC">
        <w:rPr>
          <w:rFonts w:ascii="Times New Roman" w:hAnsi="Times New Roman" w:cs="Times New Roman"/>
          <w:noProof/>
          <w:szCs w:val="24"/>
        </w:rPr>
        <w:t>Wright R. 1992. Correlation between cranial form and geography in homo sapiens: Cranid-a computer program for forensic and other applications. Archaeology in Oceania:128-134.</w:t>
      </w:r>
      <w:bookmarkEnd w:id="162"/>
    </w:p>
    <w:p w:rsidR="001633BC" w:rsidRPr="001633BC" w:rsidRDefault="001633BC" w:rsidP="001633BC">
      <w:pPr>
        <w:spacing w:line="240" w:lineRule="auto"/>
        <w:ind w:left="720" w:hanging="720"/>
        <w:rPr>
          <w:rFonts w:ascii="Times New Roman" w:hAnsi="Times New Roman" w:cs="Times New Roman"/>
          <w:noProof/>
          <w:szCs w:val="24"/>
        </w:rPr>
      </w:pPr>
      <w:bookmarkStart w:id="163" w:name="_ENREF_67"/>
      <w:r w:rsidRPr="001633BC">
        <w:rPr>
          <w:rFonts w:ascii="Times New Roman" w:hAnsi="Times New Roman" w:cs="Times New Roman"/>
          <w:noProof/>
          <w:szCs w:val="24"/>
        </w:rPr>
        <w:t>Wright R. 2008. Detection of likely ancestry using cranid. In: Oxenham M, editor. Forensic approaches to death, disaster, and abuse. Bowden Hills, Australia: Australian Academic Press. p 111-122.</w:t>
      </w:r>
      <w:bookmarkEnd w:id="163"/>
    </w:p>
    <w:p w:rsidR="001633BC" w:rsidRDefault="001633BC" w:rsidP="001633BC">
      <w:pPr>
        <w:spacing w:line="240" w:lineRule="auto"/>
        <w:rPr>
          <w:rFonts w:ascii="Times New Roman" w:hAnsi="Times New Roman" w:cs="Times New Roman"/>
          <w:noProof/>
          <w:szCs w:val="24"/>
        </w:rPr>
      </w:pPr>
    </w:p>
    <w:p w:rsidR="00D27D19" w:rsidRDefault="003731B6" w:rsidP="001C6C19">
      <w:pPr>
        <w:autoSpaceDE w:val="0"/>
        <w:autoSpaceDN w:val="0"/>
        <w:adjustRightInd w:val="0"/>
        <w:spacing w:after="0"/>
        <w:rPr>
          <w:rFonts w:cs="Times New Roman"/>
          <w:szCs w:val="24"/>
        </w:rPr>
      </w:pPr>
      <w:r>
        <w:rPr>
          <w:rFonts w:cs="Times New Roman"/>
          <w:szCs w:val="24"/>
        </w:rPr>
        <w:fldChar w:fldCharType="end"/>
      </w:r>
    </w:p>
    <w:p w:rsidR="00D27D19" w:rsidRDefault="00D27D19" w:rsidP="001C6C19">
      <w:pPr>
        <w:autoSpaceDE w:val="0"/>
        <w:autoSpaceDN w:val="0"/>
        <w:adjustRightInd w:val="0"/>
        <w:spacing w:after="0"/>
        <w:rPr>
          <w:rFonts w:cs="Times New Roman"/>
          <w:szCs w:val="24"/>
        </w:rPr>
      </w:pPr>
    </w:p>
    <w:p w:rsidR="00D27D19" w:rsidRDefault="00D27D19" w:rsidP="001C6C19">
      <w:pPr>
        <w:autoSpaceDE w:val="0"/>
        <w:autoSpaceDN w:val="0"/>
        <w:adjustRightInd w:val="0"/>
        <w:spacing w:after="0"/>
        <w:rPr>
          <w:rFonts w:cs="Times New Roman"/>
          <w:szCs w:val="24"/>
        </w:rPr>
      </w:pPr>
    </w:p>
    <w:p w:rsidR="00D27D19" w:rsidRDefault="00D27D19" w:rsidP="001C6C19">
      <w:pPr>
        <w:autoSpaceDE w:val="0"/>
        <w:autoSpaceDN w:val="0"/>
        <w:adjustRightInd w:val="0"/>
        <w:spacing w:after="0"/>
        <w:rPr>
          <w:rFonts w:cs="Times New Roman"/>
          <w:szCs w:val="24"/>
        </w:rPr>
      </w:pPr>
    </w:p>
    <w:p w:rsidR="00D27D19" w:rsidRDefault="00D27D19" w:rsidP="001C6C19">
      <w:pPr>
        <w:autoSpaceDE w:val="0"/>
        <w:autoSpaceDN w:val="0"/>
        <w:adjustRightInd w:val="0"/>
        <w:spacing w:after="0"/>
        <w:rPr>
          <w:rFonts w:cs="Times New Roman"/>
          <w:szCs w:val="24"/>
        </w:rPr>
      </w:pPr>
    </w:p>
    <w:p w:rsidR="00D27D19" w:rsidRDefault="00D27D19" w:rsidP="001C6C19">
      <w:pPr>
        <w:autoSpaceDE w:val="0"/>
        <w:autoSpaceDN w:val="0"/>
        <w:adjustRightInd w:val="0"/>
        <w:spacing w:after="0"/>
        <w:rPr>
          <w:rFonts w:cs="Times New Roman"/>
          <w:szCs w:val="24"/>
        </w:rPr>
      </w:pPr>
    </w:p>
    <w:p w:rsidR="00D27D19" w:rsidRDefault="00D27D19" w:rsidP="001C6C19">
      <w:pPr>
        <w:autoSpaceDE w:val="0"/>
        <w:autoSpaceDN w:val="0"/>
        <w:adjustRightInd w:val="0"/>
        <w:spacing w:after="0"/>
        <w:rPr>
          <w:rFonts w:cs="Times New Roman"/>
          <w:szCs w:val="24"/>
        </w:rPr>
      </w:pPr>
    </w:p>
    <w:p w:rsidR="00D27D19" w:rsidRDefault="00D27D19" w:rsidP="001C6C19">
      <w:pPr>
        <w:autoSpaceDE w:val="0"/>
        <w:autoSpaceDN w:val="0"/>
        <w:adjustRightInd w:val="0"/>
        <w:spacing w:after="0"/>
        <w:rPr>
          <w:rFonts w:cs="Times New Roman"/>
          <w:szCs w:val="24"/>
        </w:rPr>
      </w:pPr>
    </w:p>
    <w:p w:rsidR="00D27D19" w:rsidRDefault="00D27D19" w:rsidP="001C6C19">
      <w:pPr>
        <w:autoSpaceDE w:val="0"/>
        <w:autoSpaceDN w:val="0"/>
        <w:adjustRightInd w:val="0"/>
        <w:spacing w:after="0"/>
        <w:rPr>
          <w:rFonts w:cs="Times New Roman"/>
          <w:szCs w:val="24"/>
        </w:rPr>
      </w:pPr>
    </w:p>
    <w:p w:rsidR="00D27D19" w:rsidRDefault="00D27D19" w:rsidP="001C6C19">
      <w:pPr>
        <w:autoSpaceDE w:val="0"/>
        <w:autoSpaceDN w:val="0"/>
        <w:adjustRightInd w:val="0"/>
        <w:spacing w:after="0"/>
        <w:rPr>
          <w:rFonts w:cs="Times New Roman"/>
          <w:szCs w:val="24"/>
        </w:rPr>
      </w:pPr>
    </w:p>
    <w:p w:rsidR="00D27D19" w:rsidRDefault="00D27D19" w:rsidP="001C6C19">
      <w:pPr>
        <w:autoSpaceDE w:val="0"/>
        <w:autoSpaceDN w:val="0"/>
        <w:adjustRightInd w:val="0"/>
        <w:spacing w:after="0"/>
        <w:rPr>
          <w:rFonts w:cs="Times New Roman"/>
          <w:szCs w:val="24"/>
        </w:rPr>
      </w:pPr>
    </w:p>
    <w:p w:rsidR="00827895" w:rsidRDefault="00827895" w:rsidP="00D27D19">
      <w:pPr>
        <w:pStyle w:val="Heading1"/>
      </w:pPr>
    </w:p>
    <w:p w:rsidR="00827895" w:rsidRDefault="00827895" w:rsidP="00D27D19">
      <w:pPr>
        <w:pStyle w:val="Heading1"/>
      </w:pPr>
    </w:p>
    <w:p w:rsidR="00827895" w:rsidRDefault="00827895" w:rsidP="00D27D19">
      <w:pPr>
        <w:pStyle w:val="Heading1"/>
      </w:pPr>
    </w:p>
    <w:p w:rsidR="00A249C3" w:rsidRDefault="00A249C3" w:rsidP="00827895">
      <w:pPr>
        <w:pStyle w:val="Heading1"/>
      </w:pPr>
    </w:p>
    <w:p w:rsidR="00A249C3" w:rsidRDefault="00A249C3" w:rsidP="00A249C3"/>
    <w:p w:rsidR="00A249C3" w:rsidRDefault="00A249C3" w:rsidP="00A249C3"/>
    <w:p w:rsidR="00827895" w:rsidRPr="00A249C3" w:rsidRDefault="00827895" w:rsidP="00A249C3"/>
    <w:p w:rsidR="00A249C3" w:rsidRDefault="00A249C3" w:rsidP="00827895">
      <w:pPr>
        <w:pStyle w:val="Heading1"/>
      </w:pPr>
      <w:bookmarkStart w:id="164" w:name="_Toc222419136"/>
    </w:p>
    <w:p w:rsidR="00A249C3" w:rsidRDefault="00A249C3" w:rsidP="00827895">
      <w:pPr>
        <w:pStyle w:val="Heading1"/>
      </w:pPr>
    </w:p>
    <w:p w:rsidR="00A249C3" w:rsidRDefault="00A249C3" w:rsidP="00827895">
      <w:pPr>
        <w:pStyle w:val="Heading1"/>
      </w:pPr>
    </w:p>
    <w:p w:rsidR="00A249C3" w:rsidRDefault="00A249C3" w:rsidP="00827895">
      <w:pPr>
        <w:pStyle w:val="Heading1"/>
      </w:pPr>
    </w:p>
    <w:p w:rsidR="00F91EF9" w:rsidRDefault="00D27D19" w:rsidP="00827895">
      <w:pPr>
        <w:pStyle w:val="Heading1"/>
      </w:pPr>
      <w:bookmarkStart w:id="165" w:name="_Toc227982507"/>
      <w:r>
        <w:t>APPENDIX</w:t>
      </w:r>
      <w:bookmarkEnd w:id="164"/>
      <w:bookmarkEnd w:id="165"/>
    </w:p>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91EF9" w:rsidRDefault="00F91EF9" w:rsidP="00F91EF9"/>
    <w:p w:rsidR="00F72277" w:rsidRDefault="00F72277" w:rsidP="00F91EF9"/>
    <w:p w:rsidR="00610DA1" w:rsidRPr="00F91EF9" w:rsidRDefault="00F72277" w:rsidP="00F91EF9">
      <w:r>
        <w:tab/>
        <w:t>The appendix contains tables and figures referenced in the text.  Figure 4 to Figure 29 are c-q plots.  These provide visual evalua</w:t>
      </w:r>
      <w:r w:rsidR="0076066E">
        <w:t>tions of multivariate normality</w:t>
      </w:r>
      <w:r>
        <w:t xml:space="preserve">.  </w:t>
      </w:r>
      <w:r w:rsidR="00683B2C">
        <w:t xml:space="preserve">C-q plots were only generated for the tests that assume multivariate normality.  </w:t>
      </w:r>
      <w:r>
        <w:t>Table 22 to Table 45 are re-substitution, cross-validation, and holdout classification estimates aggregated for ancestry and sex for each method.  These help elucidate which factor, ancestry or sex, was associated with the most classification error.</w:t>
      </w:r>
      <w:r w:rsidR="001A0379">
        <w:t xml:space="preserve">  Figures 30 to 37 show posterior probability descriptive statistics and histograms</w:t>
      </w:r>
      <w:r w:rsidR="007D12EC">
        <w:t xml:space="preserve"> for LDA and QDA</w:t>
      </w:r>
      <w:r w:rsidR="001A0379">
        <w:t xml:space="preserve">.  The histograms are shown for correctly classified and misclassified observations.  This provides an image of the strength of classification for each observation.  Lastly, Figure 38 to Figure 55 show descriptive statistics, quantiles, and histograms </w:t>
      </w:r>
      <w:r w:rsidR="007D12EC">
        <w:t>for the difference between the maximum posterior probability (associate</w:t>
      </w:r>
      <w:r w:rsidR="009E4B4F">
        <w:t>d</w:t>
      </w:r>
      <w:r w:rsidR="007D12EC">
        <w:t xml:space="preserve"> with the group to which an observation is classified) and the posterior probability associated with the group to which an observation belongs for LDA and QDA.  This is done only for misclassified observations to evaluate how great the misclassifications were.</w:t>
      </w:r>
      <w:r w:rsidR="001A0379">
        <w:t xml:space="preserve"> </w:t>
      </w:r>
    </w:p>
    <w:p w:rsidR="00F91EF9" w:rsidRDefault="00F91EF9" w:rsidP="00F91EF9">
      <w:pPr>
        <w:keepNext/>
      </w:pPr>
      <w:r>
        <w:rPr>
          <w:rFonts w:eastAsia="Times New Roman" w:cs="Arial"/>
          <w:noProof/>
          <w:color w:val="000000"/>
          <w:sz w:val="20"/>
          <w:szCs w:val="20"/>
        </w:rPr>
        <w:drawing>
          <wp:inline distT="0" distB="0" distL="0" distR="0">
            <wp:extent cx="5943600" cy="4455379"/>
            <wp:effectExtent l="2540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F91EF9" w:rsidRDefault="00F91EF9" w:rsidP="00F91EF9">
      <w:pPr>
        <w:pStyle w:val="Caption"/>
      </w:pPr>
      <w:bookmarkStart w:id="166" w:name="_Toc222377975"/>
      <w:bookmarkStart w:id="167" w:name="_Toc227139301"/>
      <w:proofErr w:type="gramStart"/>
      <w:r>
        <w:t xml:space="preserve">Figure </w:t>
      </w:r>
      <w:fldSimple w:instr=" SEQ Figure \* ARABIC ">
        <w:r w:rsidR="001633BC">
          <w:rPr>
            <w:noProof/>
          </w:rPr>
          <w:t>4</w:t>
        </w:r>
      </w:fldSimple>
      <w:r>
        <w:t>.</w:t>
      </w:r>
      <w:proofErr w:type="gramEnd"/>
      <w:r>
        <w:t xml:space="preserve"> All variables White male c-q plot</w:t>
      </w:r>
      <w:bookmarkEnd w:id="166"/>
      <w:bookmarkEnd w:id="167"/>
    </w:p>
    <w:p w:rsidR="00F91EF9" w:rsidRDefault="00F91EF9" w:rsidP="00F91EF9">
      <w:pPr>
        <w:keepNext/>
      </w:pPr>
      <w:r>
        <w:rPr>
          <w:rFonts w:eastAsia="Times New Roman" w:cs="Arial"/>
          <w:noProof/>
          <w:color w:val="000000"/>
          <w:sz w:val="20"/>
          <w:szCs w:val="20"/>
        </w:rPr>
        <w:drawing>
          <wp:inline distT="0" distB="0" distL="0" distR="0">
            <wp:extent cx="5943600" cy="4457700"/>
            <wp:effectExtent l="2540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F91EF9" w:rsidRDefault="00F91EF9" w:rsidP="00F91EF9">
      <w:pPr>
        <w:pStyle w:val="Caption"/>
      </w:pPr>
      <w:bookmarkStart w:id="168" w:name="_Toc222377976"/>
      <w:bookmarkStart w:id="169" w:name="_Toc227139302"/>
      <w:proofErr w:type="gramStart"/>
      <w:r>
        <w:t xml:space="preserve">Figure </w:t>
      </w:r>
      <w:fldSimple w:instr=" SEQ Figure \* ARABIC ">
        <w:r w:rsidR="001633BC">
          <w:rPr>
            <w:noProof/>
          </w:rPr>
          <w:t>5</w:t>
        </w:r>
      </w:fldSimple>
      <w:r>
        <w:t>.</w:t>
      </w:r>
      <w:proofErr w:type="gramEnd"/>
      <w:r>
        <w:t xml:space="preserve"> All variables White female c-q plot</w:t>
      </w:r>
      <w:bookmarkEnd w:id="168"/>
      <w:bookmarkEnd w:id="169"/>
    </w:p>
    <w:p w:rsidR="00F91EF9" w:rsidRDefault="00F91EF9" w:rsidP="00F91EF9">
      <w:pPr>
        <w:keepNext/>
      </w:pPr>
      <w:r>
        <w:rPr>
          <w:rFonts w:eastAsia="Times New Roman" w:cs="Arial"/>
          <w:noProof/>
          <w:color w:val="000000"/>
          <w:sz w:val="20"/>
          <w:szCs w:val="20"/>
        </w:rPr>
        <w:drawing>
          <wp:inline distT="0" distB="0" distL="0" distR="0">
            <wp:extent cx="5943600" cy="4457700"/>
            <wp:effectExtent l="2540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DE7809" w:rsidRDefault="00F91EF9" w:rsidP="00F91EF9">
      <w:pPr>
        <w:pStyle w:val="Caption"/>
      </w:pPr>
      <w:bookmarkStart w:id="170" w:name="_Toc222377977"/>
      <w:bookmarkStart w:id="171" w:name="_Toc227139303"/>
      <w:proofErr w:type="gramStart"/>
      <w:r>
        <w:t xml:space="preserve">Figure </w:t>
      </w:r>
      <w:fldSimple w:instr=" SEQ Figure \* ARABIC ">
        <w:r w:rsidR="001633BC">
          <w:rPr>
            <w:noProof/>
          </w:rPr>
          <w:t>6</w:t>
        </w:r>
      </w:fldSimple>
      <w:r>
        <w:t>.</w:t>
      </w:r>
      <w:proofErr w:type="gramEnd"/>
      <w:r>
        <w:t xml:space="preserve"> All variables Black male c-q plot</w:t>
      </w:r>
      <w:bookmarkEnd w:id="170"/>
      <w:bookmarkEnd w:id="171"/>
    </w:p>
    <w:p w:rsidR="00DE7809" w:rsidRDefault="00DE7809" w:rsidP="00DE7809">
      <w:pPr>
        <w:keepNext/>
      </w:pPr>
      <w:r>
        <w:rPr>
          <w:rFonts w:eastAsia="Times New Roman" w:cs="Arial"/>
          <w:noProof/>
          <w:color w:val="000000"/>
          <w:sz w:val="20"/>
          <w:szCs w:val="20"/>
        </w:rPr>
        <w:drawing>
          <wp:inline distT="0" distB="0" distL="0" distR="0">
            <wp:extent cx="5943600" cy="4455379"/>
            <wp:effectExtent l="2540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DE7809" w:rsidRDefault="00DE7809" w:rsidP="00DE7809">
      <w:pPr>
        <w:pStyle w:val="Caption"/>
      </w:pPr>
      <w:bookmarkStart w:id="172" w:name="_Toc222377978"/>
      <w:bookmarkStart w:id="173" w:name="_Toc227139304"/>
      <w:proofErr w:type="gramStart"/>
      <w:r>
        <w:t xml:space="preserve">Figure </w:t>
      </w:r>
      <w:fldSimple w:instr=" SEQ Figure \* ARABIC ">
        <w:r w:rsidR="001633BC">
          <w:rPr>
            <w:noProof/>
          </w:rPr>
          <w:t>7</w:t>
        </w:r>
      </w:fldSimple>
      <w:r>
        <w:t>.</w:t>
      </w:r>
      <w:proofErr w:type="gramEnd"/>
      <w:r>
        <w:t xml:space="preserve"> All variables Black female c-q plot</w:t>
      </w:r>
      <w:bookmarkEnd w:id="172"/>
      <w:bookmarkEnd w:id="173"/>
    </w:p>
    <w:p w:rsidR="00DE7809" w:rsidRDefault="00DE7809" w:rsidP="00DE7809">
      <w:pPr>
        <w:keepNext/>
      </w:pPr>
      <w:r>
        <w:rPr>
          <w:rFonts w:eastAsia="Times New Roman" w:cs="Arial"/>
          <w:noProof/>
          <w:color w:val="000000"/>
          <w:sz w:val="20"/>
          <w:szCs w:val="20"/>
        </w:rPr>
        <w:drawing>
          <wp:inline distT="0" distB="0" distL="0" distR="0">
            <wp:extent cx="5943600" cy="4457700"/>
            <wp:effectExtent l="254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DE7809" w:rsidRDefault="00DE7809" w:rsidP="00DE7809">
      <w:pPr>
        <w:pStyle w:val="Caption"/>
      </w:pPr>
      <w:bookmarkStart w:id="174" w:name="_Toc222377979"/>
      <w:bookmarkStart w:id="175" w:name="_Toc227139305"/>
      <w:proofErr w:type="gramStart"/>
      <w:r>
        <w:t xml:space="preserve">Figure </w:t>
      </w:r>
      <w:fldSimple w:instr=" SEQ Figure \* ARABIC ">
        <w:r w:rsidR="001633BC">
          <w:rPr>
            <w:noProof/>
          </w:rPr>
          <w:t>8</w:t>
        </w:r>
      </w:fldSimple>
      <w:r>
        <w:t>.</w:t>
      </w:r>
      <w:proofErr w:type="gramEnd"/>
      <w:r>
        <w:t xml:space="preserve"> All variables Hispanic male c-q plot</w:t>
      </w:r>
      <w:bookmarkEnd w:id="174"/>
      <w:bookmarkEnd w:id="175"/>
    </w:p>
    <w:p w:rsidR="00DE7809" w:rsidRDefault="00DE7809" w:rsidP="00DE7809">
      <w:pPr>
        <w:keepNext/>
      </w:pPr>
      <w:r>
        <w:rPr>
          <w:rFonts w:eastAsia="Times New Roman" w:cs="Arial"/>
          <w:noProof/>
          <w:color w:val="000000"/>
          <w:sz w:val="20"/>
          <w:szCs w:val="20"/>
        </w:rPr>
        <w:drawing>
          <wp:inline distT="0" distB="0" distL="0" distR="0">
            <wp:extent cx="5943600" cy="4455379"/>
            <wp:effectExtent l="2540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DE7809" w:rsidRDefault="00DE7809" w:rsidP="00DE7809">
      <w:pPr>
        <w:pStyle w:val="Caption"/>
      </w:pPr>
      <w:bookmarkStart w:id="176" w:name="_Toc222377980"/>
      <w:bookmarkStart w:id="177" w:name="_Toc227139306"/>
      <w:proofErr w:type="gramStart"/>
      <w:r>
        <w:t xml:space="preserve">Figure </w:t>
      </w:r>
      <w:fldSimple w:instr=" SEQ Figure \* ARABIC ">
        <w:r w:rsidR="001633BC">
          <w:rPr>
            <w:noProof/>
          </w:rPr>
          <w:t>9</w:t>
        </w:r>
      </w:fldSimple>
      <w:r>
        <w:t>.</w:t>
      </w:r>
      <w:proofErr w:type="gramEnd"/>
      <w:r>
        <w:t xml:space="preserve"> 13-variable LDA White male c-q plot</w:t>
      </w:r>
      <w:bookmarkEnd w:id="176"/>
      <w:bookmarkEnd w:id="177"/>
    </w:p>
    <w:p w:rsidR="00DE7809" w:rsidRDefault="00DE7809" w:rsidP="00DE7809">
      <w:pPr>
        <w:keepNext/>
      </w:pPr>
      <w:r>
        <w:rPr>
          <w:rFonts w:eastAsia="Times New Roman" w:cs="Arial"/>
          <w:noProof/>
          <w:color w:val="000000"/>
          <w:sz w:val="20"/>
          <w:szCs w:val="20"/>
        </w:rPr>
        <w:drawing>
          <wp:inline distT="0" distB="0" distL="0" distR="0">
            <wp:extent cx="5943600" cy="4455379"/>
            <wp:effectExtent l="2540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DE7809" w:rsidRDefault="00DE7809" w:rsidP="00DE7809">
      <w:pPr>
        <w:pStyle w:val="Caption"/>
      </w:pPr>
      <w:bookmarkStart w:id="178" w:name="_Toc222377981"/>
      <w:bookmarkStart w:id="179" w:name="_Toc227139307"/>
      <w:proofErr w:type="gramStart"/>
      <w:r>
        <w:t xml:space="preserve">Figure </w:t>
      </w:r>
      <w:fldSimple w:instr=" SEQ Figure \* ARABIC ">
        <w:r w:rsidR="001633BC">
          <w:rPr>
            <w:noProof/>
          </w:rPr>
          <w:t>10</w:t>
        </w:r>
      </w:fldSimple>
      <w:r>
        <w:t>.</w:t>
      </w:r>
      <w:proofErr w:type="gramEnd"/>
      <w:r>
        <w:t xml:space="preserve"> 13-variable LDA White female c-q plot</w:t>
      </w:r>
      <w:bookmarkEnd w:id="178"/>
      <w:bookmarkEnd w:id="179"/>
    </w:p>
    <w:p w:rsidR="00DE7809" w:rsidRDefault="00DE7809" w:rsidP="00DE7809">
      <w:pPr>
        <w:keepNext/>
      </w:pPr>
      <w:r>
        <w:rPr>
          <w:rFonts w:eastAsia="Times New Roman" w:cs="Arial"/>
          <w:noProof/>
          <w:color w:val="000000"/>
          <w:sz w:val="20"/>
          <w:szCs w:val="20"/>
        </w:rPr>
        <w:drawing>
          <wp:inline distT="0" distB="0" distL="0" distR="0">
            <wp:extent cx="5943600" cy="4448432"/>
            <wp:effectExtent l="2540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srcRect/>
                    <a:stretch>
                      <a:fillRect/>
                    </a:stretch>
                  </pic:blipFill>
                  <pic:spPr bwMode="auto">
                    <a:xfrm>
                      <a:off x="0" y="0"/>
                      <a:ext cx="5943600" cy="4448432"/>
                    </a:xfrm>
                    <a:prstGeom prst="rect">
                      <a:avLst/>
                    </a:prstGeom>
                    <a:noFill/>
                    <a:ln w="9525">
                      <a:noFill/>
                      <a:miter lim="800000"/>
                      <a:headEnd/>
                      <a:tailEnd/>
                    </a:ln>
                  </pic:spPr>
                </pic:pic>
              </a:graphicData>
            </a:graphic>
          </wp:inline>
        </w:drawing>
      </w:r>
    </w:p>
    <w:p w:rsidR="00DE7809" w:rsidRDefault="00DE7809" w:rsidP="00DE7809">
      <w:pPr>
        <w:pStyle w:val="Caption"/>
      </w:pPr>
      <w:bookmarkStart w:id="180" w:name="_Toc222377982"/>
      <w:bookmarkStart w:id="181" w:name="_Toc227139308"/>
      <w:proofErr w:type="gramStart"/>
      <w:r>
        <w:t xml:space="preserve">Figure </w:t>
      </w:r>
      <w:fldSimple w:instr=" SEQ Figure \* ARABIC ">
        <w:r w:rsidR="001633BC">
          <w:rPr>
            <w:noProof/>
          </w:rPr>
          <w:t>11</w:t>
        </w:r>
      </w:fldSimple>
      <w:r>
        <w:t>.</w:t>
      </w:r>
      <w:proofErr w:type="gramEnd"/>
      <w:r>
        <w:t xml:space="preserve"> 13-variable LDA Black male c-q plot</w:t>
      </w:r>
      <w:bookmarkEnd w:id="180"/>
      <w:bookmarkEnd w:id="181"/>
    </w:p>
    <w:p w:rsidR="00DE7809" w:rsidRDefault="00DE7809" w:rsidP="00DE7809">
      <w:pPr>
        <w:keepNext/>
      </w:pPr>
      <w:r>
        <w:rPr>
          <w:rFonts w:eastAsia="Times New Roman" w:cs="Arial"/>
          <w:noProof/>
          <w:color w:val="000000"/>
          <w:sz w:val="20"/>
          <w:szCs w:val="20"/>
        </w:rPr>
        <w:drawing>
          <wp:inline distT="0" distB="0" distL="0" distR="0">
            <wp:extent cx="5943600" cy="4455379"/>
            <wp:effectExtent l="2540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DE7809" w:rsidRDefault="00DE7809" w:rsidP="00DE7809">
      <w:pPr>
        <w:pStyle w:val="Caption"/>
      </w:pPr>
      <w:bookmarkStart w:id="182" w:name="_Toc222377983"/>
      <w:bookmarkStart w:id="183" w:name="_Toc227139309"/>
      <w:proofErr w:type="gramStart"/>
      <w:r>
        <w:t xml:space="preserve">Figure </w:t>
      </w:r>
      <w:fldSimple w:instr=" SEQ Figure \* ARABIC ">
        <w:r w:rsidR="001633BC">
          <w:rPr>
            <w:noProof/>
          </w:rPr>
          <w:t>12</w:t>
        </w:r>
      </w:fldSimple>
      <w:r>
        <w:t>.</w:t>
      </w:r>
      <w:proofErr w:type="gramEnd"/>
      <w:r>
        <w:t xml:space="preserve"> 13-variable LDA Black female c-q plot</w:t>
      </w:r>
      <w:bookmarkEnd w:id="182"/>
      <w:bookmarkEnd w:id="183"/>
    </w:p>
    <w:p w:rsidR="00CE68D7" w:rsidRDefault="00DE7809" w:rsidP="00CE68D7">
      <w:pPr>
        <w:keepNext/>
      </w:pPr>
      <w:r>
        <w:rPr>
          <w:rFonts w:eastAsia="Times New Roman" w:cs="Arial"/>
          <w:noProof/>
          <w:color w:val="000000"/>
          <w:sz w:val="20"/>
          <w:szCs w:val="20"/>
        </w:rPr>
        <w:drawing>
          <wp:inline distT="0" distB="0" distL="0" distR="0">
            <wp:extent cx="5943600" cy="4448432"/>
            <wp:effectExtent l="2540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srcRect/>
                    <a:stretch>
                      <a:fillRect/>
                    </a:stretch>
                  </pic:blipFill>
                  <pic:spPr bwMode="auto">
                    <a:xfrm>
                      <a:off x="0" y="0"/>
                      <a:ext cx="5943600" cy="4448432"/>
                    </a:xfrm>
                    <a:prstGeom prst="rect">
                      <a:avLst/>
                    </a:prstGeom>
                    <a:noFill/>
                    <a:ln w="9525">
                      <a:noFill/>
                      <a:miter lim="800000"/>
                      <a:headEnd/>
                      <a:tailEnd/>
                    </a:ln>
                  </pic:spPr>
                </pic:pic>
              </a:graphicData>
            </a:graphic>
          </wp:inline>
        </w:drawing>
      </w:r>
    </w:p>
    <w:p w:rsidR="0066399A" w:rsidRDefault="00CE68D7" w:rsidP="00CE68D7">
      <w:pPr>
        <w:pStyle w:val="Caption"/>
      </w:pPr>
      <w:bookmarkStart w:id="184" w:name="_Toc222377984"/>
      <w:bookmarkStart w:id="185" w:name="_Toc227139310"/>
      <w:proofErr w:type="gramStart"/>
      <w:r>
        <w:t xml:space="preserve">Figure </w:t>
      </w:r>
      <w:fldSimple w:instr=" SEQ Figure \* ARABIC ">
        <w:r w:rsidR="001633BC">
          <w:rPr>
            <w:noProof/>
          </w:rPr>
          <w:t>13</w:t>
        </w:r>
      </w:fldSimple>
      <w:r>
        <w:t>.</w:t>
      </w:r>
      <w:proofErr w:type="gramEnd"/>
      <w:r>
        <w:t xml:space="preserve"> 13-variable LDA Hispanic male c-q plot</w:t>
      </w:r>
      <w:bookmarkEnd w:id="184"/>
      <w:bookmarkEnd w:id="185"/>
    </w:p>
    <w:p w:rsidR="0066399A" w:rsidRDefault="0066399A" w:rsidP="0066399A">
      <w:pPr>
        <w:keepNext/>
      </w:pPr>
      <w:r>
        <w:rPr>
          <w:rFonts w:eastAsia="Times New Roman" w:cs="Arial"/>
          <w:noProof/>
          <w:color w:val="000000"/>
          <w:sz w:val="20"/>
          <w:szCs w:val="20"/>
        </w:rPr>
        <w:drawing>
          <wp:inline distT="0" distB="0" distL="0" distR="0">
            <wp:extent cx="5943600" cy="4455379"/>
            <wp:effectExtent l="2540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66399A" w:rsidRDefault="0066399A" w:rsidP="0066399A">
      <w:pPr>
        <w:pStyle w:val="Caption"/>
      </w:pPr>
      <w:bookmarkStart w:id="186" w:name="_Toc222377985"/>
      <w:bookmarkStart w:id="187" w:name="_Toc227139311"/>
      <w:proofErr w:type="gramStart"/>
      <w:r>
        <w:t xml:space="preserve">Figure </w:t>
      </w:r>
      <w:fldSimple w:instr=" SEQ Figure \* ARABIC ">
        <w:r w:rsidR="001633BC">
          <w:rPr>
            <w:noProof/>
          </w:rPr>
          <w:t>14</w:t>
        </w:r>
      </w:fldSimple>
      <w:r>
        <w:t>.</w:t>
      </w:r>
      <w:proofErr w:type="gramEnd"/>
      <w:r>
        <w:t xml:space="preserve"> 6-variable LDA White male c-q plot</w:t>
      </w:r>
      <w:bookmarkEnd w:id="186"/>
      <w:bookmarkEnd w:id="187"/>
    </w:p>
    <w:p w:rsidR="0066399A" w:rsidRDefault="0066399A" w:rsidP="0066399A">
      <w:pPr>
        <w:keepNext/>
      </w:pPr>
      <w:r>
        <w:rPr>
          <w:rFonts w:eastAsia="Times New Roman" w:cs="Arial"/>
          <w:noProof/>
          <w:color w:val="000000"/>
          <w:sz w:val="20"/>
          <w:szCs w:val="20"/>
        </w:rPr>
        <w:drawing>
          <wp:inline distT="0" distB="0" distL="0" distR="0">
            <wp:extent cx="5943600" cy="4455379"/>
            <wp:effectExtent l="2540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66399A" w:rsidRDefault="0066399A" w:rsidP="0066399A">
      <w:pPr>
        <w:pStyle w:val="Caption"/>
      </w:pPr>
      <w:bookmarkStart w:id="188" w:name="_Toc222377986"/>
      <w:bookmarkStart w:id="189" w:name="_Toc227139312"/>
      <w:proofErr w:type="gramStart"/>
      <w:r>
        <w:t xml:space="preserve">Figure </w:t>
      </w:r>
      <w:fldSimple w:instr=" SEQ Figure \* ARABIC ">
        <w:r w:rsidR="001633BC">
          <w:rPr>
            <w:noProof/>
          </w:rPr>
          <w:t>15</w:t>
        </w:r>
      </w:fldSimple>
      <w:r>
        <w:t>.</w:t>
      </w:r>
      <w:proofErr w:type="gramEnd"/>
      <w:r>
        <w:t xml:space="preserve"> 6-variable LDA White female c-q plot</w:t>
      </w:r>
      <w:bookmarkEnd w:id="188"/>
      <w:bookmarkEnd w:id="189"/>
    </w:p>
    <w:p w:rsidR="0066399A" w:rsidRDefault="0066399A" w:rsidP="0066399A">
      <w:pPr>
        <w:keepNext/>
      </w:pPr>
      <w:r>
        <w:rPr>
          <w:rFonts w:eastAsia="Times New Roman" w:cs="Arial"/>
          <w:noProof/>
          <w:color w:val="000000"/>
          <w:sz w:val="20"/>
          <w:szCs w:val="20"/>
        </w:rPr>
        <w:drawing>
          <wp:inline distT="0" distB="0" distL="0" distR="0">
            <wp:extent cx="5943600" cy="4455379"/>
            <wp:effectExtent l="2540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66399A" w:rsidRDefault="0066399A" w:rsidP="0066399A">
      <w:pPr>
        <w:pStyle w:val="Caption"/>
      </w:pPr>
      <w:bookmarkStart w:id="190" w:name="_Toc222377987"/>
      <w:bookmarkStart w:id="191" w:name="_Toc227139313"/>
      <w:proofErr w:type="gramStart"/>
      <w:r>
        <w:t xml:space="preserve">Figure </w:t>
      </w:r>
      <w:fldSimple w:instr=" SEQ Figure \* ARABIC ">
        <w:r w:rsidR="001633BC">
          <w:rPr>
            <w:noProof/>
          </w:rPr>
          <w:t>16</w:t>
        </w:r>
      </w:fldSimple>
      <w:r>
        <w:t>.</w:t>
      </w:r>
      <w:proofErr w:type="gramEnd"/>
      <w:r>
        <w:t xml:space="preserve"> 6-variable LDA Black male c-q plot</w:t>
      </w:r>
      <w:bookmarkEnd w:id="190"/>
      <w:bookmarkEnd w:id="191"/>
    </w:p>
    <w:p w:rsidR="0066399A" w:rsidRDefault="0066399A" w:rsidP="0066399A">
      <w:pPr>
        <w:keepNext/>
      </w:pPr>
      <w:r>
        <w:rPr>
          <w:rFonts w:eastAsia="Times New Roman" w:cs="Arial"/>
          <w:noProof/>
          <w:color w:val="000000"/>
          <w:sz w:val="20"/>
          <w:szCs w:val="20"/>
        </w:rPr>
        <w:drawing>
          <wp:inline distT="0" distB="0" distL="0" distR="0">
            <wp:extent cx="5943600" cy="4455379"/>
            <wp:effectExtent l="2540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66399A" w:rsidRDefault="0066399A" w:rsidP="0066399A">
      <w:pPr>
        <w:pStyle w:val="Caption"/>
      </w:pPr>
      <w:bookmarkStart w:id="192" w:name="_Toc222377988"/>
      <w:bookmarkStart w:id="193" w:name="_Toc227139314"/>
      <w:proofErr w:type="gramStart"/>
      <w:r>
        <w:t xml:space="preserve">Figure </w:t>
      </w:r>
      <w:fldSimple w:instr=" SEQ Figure \* ARABIC ">
        <w:r w:rsidR="001633BC">
          <w:rPr>
            <w:noProof/>
          </w:rPr>
          <w:t>17</w:t>
        </w:r>
      </w:fldSimple>
      <w:r>
        <w:t>.</w:t>
      </w:r>
      <w:proofErr w:type="gramEnd"/>
      <w:r>
        <w:t xml:space="preserve"> 6-variable LDA Black female c-q plot</w:t>
      </w:r>
      <w:bookmarkEnd w:id="192"/>
      <w:bookmarkEnd w:id="193"/>
    </w:p>
    <w:p w:rsidR="0066399A" w:rsidRDefault="0066399A" w:rsidP="0066399A">
      <w:pPr>
        <w:keepNext/>
      </w:pPr>
      <w:r>
        <w:rPr>
          <w:rFonts w:eastAsia="Times New Roman" w:cs="Arial"/>
          <w:noProof/>
          <w:color w:val="000000"/>
          <w:sz w:val="20"/>
          <w:szCs w:val="20"/>
        </w:rPr>
        <w:drawing>
          <wp:inline distT="0" distB="0" distL="0" distR="0">
            <wp:extent cx="5943600" cy="4448432"/>
            <wp:effectExtent l="2540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srcRect/>
                    <a:stretch>
                      <a:fillRect/>
                    </a:stretch>
                  </pic:blipFill>
                  <pic:spPr bwMode="auto">
                    <a:xfrm>
                      <a:off x="0" y="0"/>
                      <a:ext cx="5943600" cy="4448432"/>
                    </a:xfrm>
                    <a:prstGeom prst="rect">
                      <a:avLst/>
                    </a:prstGeom>
                    <a:noFill/>
                    <a:ln w="9525">
                      <a:noFill/>
                      <a:miter lim="800000"/>
                      <a:headEnd/>
                      <a:tailEnd/>
                    </a:ln>
                  </pic:spPr>
                </pic:pic>
              </a:graphicData>
            </a:graphic>
          </wp:inline>
        </w:drawing>
      </w:r>
    </w:p>
    <w:p w:rsidR="00240C24" w:rsidRDefault="0066399A" w:rsidP="0066399A">
      <w:pPr>
        <w:pStyle w:val="Caption"/>
      </w:pPr>
      <w:bookmarkStart w:id="194" w:name="_Toc222377989"/>
      <w:bookmarkStart w:id="195" w:name="_Toc227139315"/>
      <w:proofErr w:type="gramStart"/>
      <w:r>
        <w:t xml:space="preserve">Figure </w:t>
      </w:r>
      <w:fldSimple w:instr=" SEQ Figure \* ARABIC ">
        <w:r w:rsidR="001633BC">
          <w:rPr>
            <w:noProof/>
          </w:rPr>
          <w:t>18</w:t>
        </w:r>
      </w:fldSimple>
      <w:r>
        <w:t>.</w:t>
      </w:r>
      <w:proofErr w:type="gramEnd"/>
      <w:r>
        <w:t xml:space="preserve"> 6-variable LDA Hispanic male c-q plot</w:t>
      </w:r>
      <w:bookmarkEnd w:id="194"/>
      <w:bookmarkEnd w:id="195"/>
    </w:p>
    <w:p w:rsidR="00240C24" w:rsidRDefault="00240C24" w:rsidP="00240C24">
      <w:pPr>
        <w:keepNext/>
      </w:pPr>
      <w:r>
        <w:rPr>
          <w:rFonts w:eastAsia="Times New Roman" w:cs="Arial"/>
          <w:noProof/>
          <w:color w:val="000000"/>
          <w:sz w:val="20"/>
          <w:szCs w:val="20"/>
        </w:rPr>
        <w:drawing>
          <wp:inline distT="0" distB="0" distL="0" distR="0">
            <wp:extent cx="5943600" cy="4455379"/>
            <wp:effectExtent l="2540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240C24" w:rsidRDefault="00240C24" w:rsidP="00240C24">
      <w:pPr>
        <w:pStyle w:val="Caption"/>
      </w:pPr>
      <w:bookmarkStart w:id="196" w:name="_Toc222377990"/>
      <w:bookmarkStart w:id="197" w:name="_Toc227139316"/>
      <w:proofErr w:type="gramStart"/>
      <w:r>
        <w:t xml:space="preserve">Figure </w:t>
      </w:r>
      <w:fldSimple w:instr=" SEQ Figure \* ARABIC ">
        <w:r w:rsidR="001633BC">
          <w:rPr>
            <w:noProof/>
          </w:rPr>
          <w:t>19</w:t>
        </w:r>
      </w:fldSimple>
      <w:r>
        <w:t>.</w:t>
      </w:r>
      <w:proofErr w:type="gramEnd"/>
      <w:r>
        <w:t xml:space="preserve"> 3-variable QDA White male c-q plot</w:t>
      </w:r>
      <w:bookmarkEnd w:id="196"/>
      <w:bookmarkEnd w:id="197"/>
    </w:p>
    <w:p w:rsidR="00240C24" w:rsidRDefault="00240C24" w:rsidP="00240C24">
      <w:pPr>
        <w:keepNext/>
      </w:pPr>
      <w:r>
        <w:rPr>
          <w:rFonts w:eastAsia="Times New Roman" w:cs="Arial"/>
          <w:noProof/>
          <w:color w:val="000000"/>
          <w:sz w:val="20"/>
          <w:szCs w:val="20"/>
        </w:rPr>
        <w:drawing>
          <wp:inline distT="0" distB="0" distL="0" distR="0">
            <wp:extent cx="5943600" cy="4455379"/>
            <wp:effectExtent l="2540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240C24" w:rsidRDefault="00240C24" w:rsidP="00240C24">
      <w:pPr>
        <w:pStyle w:val="Caption"/>
      </w:pPr>
      <w:bookmarkStart w:id="198" w:name="_Toc222377991"/>
      <w:bookmarkStart w:id="199" w:name="_Toc227139317"/>
      <w:proofErr w:type="gramStart"/>
      <w:r>
        <w:t xml:space="preserve">Figure </w:t>
      </w:r>
      <w:fldSimple w:instr=" SEQ Figure \* ARABIC ">
        <w:r w:rsidR="001633BC">
          <w:rPr>
            <w:noProof/>
          </w:rPr>
          <w:t>20</w:t>
        </w:r>
      </w:fldSimple>
      <w:r>
        <w:t>.</w:t>
      </w:r>
      <w:proofErr w:type="gramEnd"/>
      <w:r>
        <w:t xml:space="preserve"> 3-variable QDA White female c-q plot</w:t>
      </w:r>
      <w:bookmarkEnd w:id="198"/>
      <w:bookmarkEnd w:id="199"/>
    </w:p>
    <w:p w:rsidR="00240C24" w:rsidRDefault="00240C24" w:rsidP="00240C24">
      <w:pPr>
        <w:keepNext/>
      </w:pPr>
      <w:r>
        <w:rPr>
          <w:rFonts w:eastAsia="Times New Roman" w:cs="Arial"/>
          <w:noProof/>
          <w:color w:val="000000"/>
          <w:sz w:val="20"/>
          <w:szCs w:val="20"/>
        </w:rPr>
        <w:drawing>
          <wp:inline distT="0" distB="0" distL="0" distR="0">
            <wp:extent cx="5943600" cy="4455379"/>
            <wp:effectExtent l="2540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240C24" w:rsidRDefault="00240C24" w:rsidP="00240C24">
      <w:pPr>
        <w:pStyle w:val="Caption"/>
      </w:pPr>
      <w:bookmarkStart w:id="200" w:name="_Toc222377992"/>
      <w:bookmarkStart w:id="201" w:name="_Toc227139318"/>
      <w:proofErr w:type="gramStart"/>
      <w:r>
        <w:t xml:space="preserve">Figure </w:t>
      </w:r>
      <w:fldSimple w:instr=" SEQ Figure \* ARABIC ">
        <w:r w:rsidR="001633BC">
          <w:rPr>
            <w:noProof/>
          </w:rPr>
          <w:t>21</w:t>
        </w:r>
      </w:fldSimple>
      <w:r>
        <w:t>.</w:t>
      </w:r>
      <w:proofErr w:type="gramEnd"/>
      <w:r>
        <w:t xml:space="preserve"> 3-variable QDA Black male c-q plot</w:t>
      </w:r>
      <w:bookmarkEnd w:id="200"/>
      <w:bookmarkEnd w:id="201"/>
    </w:p>
    <w:p w:rsidR="00240C24" w:rsidRDefault="00240C24" w:rsidP="00240C24">
      <w:pPr>
        <w:keepNext/>
      </w:pPr>
      <w:r>
        <w:rPr>
          <w:rFonts w:eastAsia="Times New Roman" w:cs="Arial"/>
          <w:noProof/>
          <w:color w:val="000000"/>
          <w:sz w:val="20"/>
          <w:szCs w:val="20"/>
        </w:rPr>
        <w:drawing>
          <wp:inline distT="0" distB="0" distL="0" distR="0">
            <wp:extent cx="5943600" cy="4455379"/>
            <wp:effectExtent l="2540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2"/>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240C24" w:rsidRDefault="00240C24" w:rsidP="00240C24">
      <w:pPr>
        <w:pStyle w:val="Caption"/>
      </w:pPr>
      <w:bookmarkStart w:id="202" w:name="_Toc222377993"/>
      <w:bookmarkStart w:id="203" w:name="_Toc227139319"/>
      <w:proofErr w:type="gramStart"/>
      <w:r>
        <w:t xml:space="preserve">Figure </w:t>
      </w:r>
      <w:fldSimple w:instr=" SEQ Figure \* ARABIC ">
        <w:r w:rsidR="001633BC">
          <w:rPr>
            <w:noProof/>
          </w:rPr>
          <w:t>22</w:t>
        </w:r>
      </w:fldSimple>
      <w:r>
        <w:t>.</w:t>
      </w:r>
      <w:proofErr w:type="gramEnd"/>
      <w:r>
        <w:t xml:space="preserve"> 3-variable QDA Black female c-q plot</w:t>
      </w:r>
      <w:bookmarkEnd w:id="202"/>
      <w:bookmarkEnd w:id="203"/>
    </w:p>
    <w:p w:rsidR="0067150E" w:rsidRDefault="00240C24" w:rsidP="0067150E">
      <w:pPr>
        <w:keepNext/>
      </w:pPr>
      <w:r>
        <w:rPr>
          <w:rFonts w:eastAsia="Times New Roman" w:cs="Arial"/>
          <w:noProof/>
          <w:color w:val="000000"/>
          <w:sz w:val="20"/>
          <w:szCs w:val="20"/>
        </w:rPr>
        <w:drawing>
          <wp:inline distT="0" distB="0" distL="0" distR="0">
            <wp:extent cx="5943600" cy="4457700"/>
            <wp:effectExtent l="2540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
                    <a:srcRect/>
                    <a:stretch>
                      <a:fillRect/>
                    </a:stretch>
                  </pic:blipFill>
                  <pic:spPr bwMode="auto">
                    <a:xfrm>
                      <a:off x="0" y="0"/>
                      <a:ext cx="5943600" cy="4457700"/>
                    </a:xfrm>
                    <a:prstGeom prst="rect">
                      <a:avLst/>
                    </a:prstGeom>
                    <a:noFill/>
                    <a:ln w="9525">
                      <a:noFill/>
                      <a:miter lim="800000"/>
                      <a:headEnd/>
                      <a:tailEnd/>
                    </a:ln>
                  </pic:spPr>
                </pic:pic>
              </a:graphicData>
            </a:graphic>
          </wp:inline>
        </w:drawing>
      </w:r>
      <w:bookmarkStart w:id="204" w:name="_Toc222377994"/>
    </w:p>
    <w:p w:rsidR="0067150E" w:rsidRDefault="0067150E" w:rsidP="0067150E">
      <w:pPr>
        <w:pStyle w:val="Caption"/>
      </w:pPr>
      <w:bookmarkStart w:id="205" w:name="_Toc227139320"/>
      <w:proofErr w:type="gramStart"/>
      <w:r>
        <w:t xml:space="preserve">Figure </w:t>
      </w:r>
      <w:fldSimple w:instr=" SEQ Figure \* ARABIC ">
        <w:r w:rsidR="001633BC">
          <w:rPr>
            <w:noProof/>
          </w:rPr>
          <w:t>23</w:t>
        </w:r>
      </w:fldSimple>
      <w:r>
        <w:t>.</w:t>
      </w:r>
      <w:proofErr w:type="gramEnd"/>
      <w:r>
        <w:t xml:space="preserve"> 3-variable QDA Hispanic male c-q plot</w:t>
      </w:r>
      <w:bookmarkEnd w:id="205"/>
    </w:p>
    <w:bookmarkEnd w:id="204"/>
    <w:p w:rsidR="000D5574" w:rsidRDefault="0067150E" w:rsidP="0067150E">
      <w:pPr>
        <w:keepNext/>
      </w:pPr>
      <w:r>
        <w:rPr>
          <w:rFonts w:eastAsia="Times New Roman" w:cs="Arial"/>
          <w:noProof/>
          <w:color w:val="000000"/>
          <w:sz w:val="20"/>
          <w:szCs w:val="20"/>
        </w:rPr>
        <w:drawing>
          <wp:inline distT="0" distB="0" distL="0" distR="0">
            <wp:extent cx="5943600" cy="4455379"/>
            <wp:effectExtent l="2540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0D5574" w:rsidRDefault="000D5574" w:rsidP="000D5574">
      <w:pPr>
        <w:pStyle w:val="Caption"/>
      </w:pPr>
      <w:bookmarkStart w:id="206" w:name="_Toc222377995"/>
      <w:bookmarkStart w:id="207" w:name="_Toc227139321"/>
      <w:proofErr w:type="gramStart"/>
      <w:r>
        <w:t xml:space="preserve">Figure </w:t>
      </w:r>
      <w:fldSimple w:instr=" SEQ Figure \* ARABIC ">
        <w:r w:rsidR="001633BC">
          <w:rPr>
            <w:noProof/>
          </w:rPr>
          <w:t>24</w:t>
        </w:r>
      </w:fldSimple>
      <w:r w:rsidR="0067150E">
        <w:t>.</w:t>
      </w:r>
      <w:proofErr w:type="gramEnd"/>
      <w:r w:rsidR="0067150E">
        <w:t xml:space="preserve"> 8</w:t>
      </w:r>
      <w:r>
        <w:t>-variable KNN White male c-q plot</w:t>
      </w:r>
      <w:bookmarkEnd w:id="206"/>
      <w:bookmarkEnd w:id="207"/>
    </w:p>
    <w:p w:rsidR="0067150E" w:rsidRDefault="0067150E" w:rsidP="0067150E">
      <w:pPr>
        <w:keepNext/>
      </w:pPr>
      <w:r>
        <w:rPr>
          <w:rFonts w:eastAsia="Times New Roman" w:cs="Arial"/>
          <w:noProof/>
          <w:color w:val="000000"/>
          <w:sz w:val="20"/>
          <w:szCs w:val="20"/>
        </w:rPr>
        <w:drawing>
          <wp:inline distT="0" distB="0" distL="0" distR="0">
            <wp:extent cx="5943600" cy="4455379"/>
            <wp:effectExtent l="2540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67150E" w:rsidRDefault="0067150E" w:rsidP="0067150E">
      <w:pPr>
        <w:pStyle w:val="Caption"/>
      </w:pPr>
      <w:bookmarkStart w:id="208" w:name="_Toc227139322"/>
      <w:proofErr w:type="gramStart"/>
      <w:r>
        <w:t xml:space="preserve">Figure </w:t>
      </w:r>
      <w:fldSimple w:instr=" SEQ Figure \* ARABIC ">
        <w:r w:rsidR="001633BC">
          <w:rPr>
            <w:noProof/>
          </w:rPr>
          <w:t>25</w:t>
        </w:r>
      </w:fldSimple>
      <w:r>
        <w:t>.</w:t>
      </w:r>
      <w:proofErr w:type="gramEnd"/>
      <w:r>
        <w:t xml:space="preserve"> 8-variable KNN White female c-q plot</w:t>
      </w:r>
      <w:bookmarkEnd w:id="208"/>
    </w:p>
    <w:p w:rsidR="0067150E" w:rsidRDefault="0067150E" w:rsidP="0067150E">
      <w:pPr>
        <w:keepNext/>
      </w:pPr>
      <w:r>
        <w:rPr>
          <w:rFonts w:eastAsia="Times New Roman" w:cs="Arial"/>
          <w:noProof/>
          <w:color w:val="000000"/>
          <w:sz w:val="20"/>
          <w:szCs w:val="20"/>
        </w:rPr>
        <w:drawing>
          <wp:inline distT="0" distB="0" distL="0" distR="0">
            <wp:extent cx="5943600" cy="4455379"/>
            <wp:effectExtent l="2540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67150E" w:rsidRDefault="0067150E" w:rsidP="0067150E">
      <w:pPr>
        <w:pStyle w:val="Caption"/>
      </w:pPr>
      <w:bookmarkStart w:id="209" w:name="_Toc227139323"/>
      <w:proofErr w:type="gramStart"/>
      <w:r>
        <w:t xml:space="preserve">Figure </w:t>
      </w:r>
      <w:fldSimple w:instr=" SEQ Figure \* ARABIC ">
        <w:r w:rsidR="001633BC">
          <w:rPr>
            <w:noProof/>
          </w:rPr>
          <w:t>26</w:t>
        </w:r>
      </w:fldSimple>
      <w:r>
        <w:t>.</w:t>
      </w:r>
      <w:proofErr w:type="gramEnd"/>
      <w:r>
        <w:t xml:space="preserve"> 8-variable KNN White female c-q plot</w:t>
      </w:r>
      <w:bookmarkEnd w:id="209"/>
    </w:p>
    <w:p w:rsidR="002F3CA3" w:rsidRDefault="002F3CA3" w:rsidP="002F3CA3">
      <w:pPr>
        <w:keepNext/>
      </w:pPr>
      <w:r>
        <w:rPr>
          <w:rFonts w:eastAsia="Times New Roman" w:cs="Arial"/>
          <w:noProof/>
          <w:color w:val="000000"/>
          <w:sz w:val="20"/>
          <w:szCs w:val="20"/>
        </w:rPr>
        <w:drawing>
          <wp:inline distT="0" distB="0" distL="0" distR="0">
            <wp:extent cx="5943600" cy="4455379"/>
            <wp:effectExtent l="25400" t="0" r="0" b="0"/>
            <wp:docPr id="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2F3CA3" w:rsidRDefault="002F3CA3" w:rsidP="002F3CA3">
      <w:pPr>
        <w:pStyle w:val="Caption"/>
      </w:pPr>
      <w:bookmarkStart w:id="210" w:name="_Toc227139324"/>
      <w:proofErr w:type="gramStart"/>
      <w:r>
        <w:t xml:space="preserve">Figure </w:t>
      </w:r>
      <w:fldSimple w:instr=" SEQ Figure \* ARABIC ">
        <w:r w:rsidR="001633BC">
          <w:rPr>
            <w:noProof/>
          </w:rPr>
          <w:t>27</w:t>
        </w:r>
      </w:fldSimple>
      <w:r>
        <w:t>.</w:t>
      </w:r>
      <w:proofErr w:type="gramEnd"/>
      <w:r>
        <w:t xml:space="preserve"> 8-variable KNN Black male c-q plot</w:t>
      </w:r>
      <w:bookmarkEnd w:id="210"/>
    </w:p>
    <w:p w:rsidR="002F3CA3" w:rsidRDefault="002F3CA3" w:rsidP="002F3CA3">
      <w:pPr>
        <w:keepNext/>
      </w:pPr>
      <w:r>
        <w:rPr>
          <w:rFonts w:eastAsia="Times New Roman" w:cs="Arial"/>
          <w:noProof/>
          <w:color w:val="000000"/>
          <w:sz w:val="20"/>
          <w:szCs w:val="20"/>
        </w:rPr>
        <w:drawing>
          <wp:inline distT="0" distB="0" distL="0" distR="0">
            <wp:extent cx="5943600" cy="4455379"/>
            <wp:effectExtent l="25400" t="0" r="0" b="0"/>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2F3CA3" w:rsidRDefault="002F3CA3" w:rsidP="002F3CA3">
      <w:pPr>
        <w:pStyle w:val="Caption"/>
      </w:pPr>
      <w:bookmarkStart w:id="211" w:name="_Toc227139325"/>
      <w:proofErr w:type="gramStart"/>
      <w:r>
        <w:t xml:space="preserve">Figure </w:t>
      </w:r>
      <w:fldSimple w:instr=" SEQ Figure \* ARABIC ">
        <w:r w:rsidR="001633BC">
          <w:rPr>
            <w:noProof/>
          </w:rPr>
          <w:t>28</w:t>
        </w:r>
      </w:fldSimple>
      <w:r>
        <w:t>.</w:t>
      </w:r>
      <w:proofErr w:type="gramEnd"/>
      <w:r>
        <w:t xml:space="preserve"> 8-variable KNN Black female c-q plot</w:t>
      </w:r>
      <w:bookmarkEnd w:id="211"/>
    </w:p>
    <w:p w:rsidR="002F3CA3" w:rsidRDefault="002F3CA3" w:rsidP="002F3CA3">
      <w:pPr>
        <w:keepNext/>
      </w:pPr>
      <w:r>
        <w:rPr>
          <w:rFonts w:eastAsia="Times New Roman" w:cs="Arial"/>
          <w:noProof/>
          <w:color w:val="000000"/>
          <w:sz w:val="20"/>
          <w:szCs w:val="20"/>
        </w:rPr>
        <w:drawing>
          <wp:inline distT="0" distB="0" distL="0" distR="0">
            <wp:extent cx="5943600" cy="4455379"/>
            <wp:effectExtent l="25400" t="0" r="0" b="0"/>
            <wp:docPr id="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srcRect/>
                    <a:stretch>
                      <a:fillRect/>
                    </a:stretch>
                  </pic:blipFill>
                  <pic:spPr bwMode="auto">
                    <a:xfrm>
                      <a:off x="0" y="0"/>
                      <a:ext cx="5943600" cy="4455379"/>
                    </a:xfrm>
                    <a:prstGeom prst="rect">
                      <a:avLst/>
                    </a:prstGeom>
                    <a:noFill/>
                    <a:ln w="9525">
                      <a:noFill/>
                      <a:miter lim="800000"/>
                      <a:headEnd/>
                      <a:tailEnd/>
                    </a:ln>
                  </pic:spPr>
                </pic:pic>
              </a:graphicData>
            </a:graphic>
          </wp:inline>
        </w:drawing>
      </w:r>
    </w:p>
    <w:p w:rsidR="00794381" w:rsidRDefault="002F3CA3" w:rsidP="002F3CA3">
      <w:pPr>
        <w:pStyle w:val="Caption"/>
      </w:pPr>
      <w:bookmarkStart w:id="212" w:name="_Toc227139326"/>
      <w:proofErr w:type="gramStart"/>
      <w:r>
        <w:t xml:space="preserve">Figure </w:t>
      </w:r>
      <w:fldSimple w:instr=" SEQ Figure \* ARABIC ">
        <w:r w:rsidR="001633BC">
          <w:rPr>
            <w:noProof/>
          </w:rPr>
          <w:t>29</w:t>
        </w:r>
      </w:fldSimple>
      <w:r>
        <w:t>.</w:t>
      </w:r>
      <w:proofErr w:type="gramEnd"/>
      <w:r>
        <w:t xml:space="preserve"> 8-variable KNN Hispanic male c-q plot</w:t>
      </w:r>
      <w:bookmarkEnd w:id="212"/>
    </w:p>
    <w:p w:rsidR="00794381" w:rsidRDefault="00794381" w:rsidP="00794381"/>
    <w:p w:rsidR="00794381" w:rsidRDefault="00794381" w:rsidP="00794381"/>
    <w:p w:rsidR="00794381" w:rsidRDefault="00794381" w:rsidP="00794381"/>
    <w:p w:rsidR="00794381" w:rsidRDefault="00794381" w:rsidP="00794381"/>
    <w:p w:rsidR="00794381" w:rsidRDefault="00794381" w:rsidP="00794381"/>
    <w:p w:rsidR="00794381" w:rsidRDefault="00794381" w:rsidP="00794381"/>
    <w:p w:rsidR="00794381" w:rsidRDefault="00794381" w:rsidP="00794381"/>
    <w:p w:rsidR="0024354B" w:rsidRDefault="0024354B" w:rsidP="00794381"/>
    <w:p w:rsidR="00794381" w:rsidRDefault="00794381" w:rsidP="00794381"/>
    <w:p w:rsidR="005861E6" w:rsidRPr="005861E6" w:rsidRDefault="005861E6" w:rsidP="0024354B">
      <w:pPr>
        <w:pStyle w:val="Caption"/>
      </w:pPr>
      <w:bookmarkStart w:id="213" w:name="_Toc227982530"/>
      <w:proofErr w:type="gramStart"/>
      <w:r w:rsidRPr="005861E6">
        <w:t xml:space="preserve">Table </w:t>
      </w:r>
      <w:r w:rsidR="003731B6" w:rsidRPr="005861E6">
        <w:fldChar w:fldCharType="begin"/>
      </w:r>
      <w:r w:rsidRPr="005861E6">
        <w:instrText xml:space="preserve"> SEQ Table \* ARABIC </w:instrText>
      </w:r>
      <w:r w:rsidR="003731B6" w:rsidRPr="005861E6">
        <w:fldChar w:fldCharType="separate"/>
      </w:r>
      <w:r w:rsidR="001633BC">
        <w:rPr>
          <w:noProof/>
        </w:rPr>
        <w:t>22</w:t>
      </w:r>
      <w:r w:rsidR="003731B6" w:rsidRPr="005861E6">
        <w:fldChar w:fldCharType="end"/>
      </w:r>
      <w:r w:rsidR="00585FEE">
        <w:t>.</w:t>
      </w:r>
      <w:proofErr w:type="gramEnd"/>
      <w:r w:rsidR="00585FEE">
        <w:t xml:space="preserve"> 13 variable LDA </w:t>
      </w:r>
      <w:proofErr w:type="gramStart"/>
      <w:r w:rsidRPr="005861E6">
        <w:t>ancestry</w:t>
      </w:r>
      <w:proofErr w:type="gramEnd"/>
      <w:r w:rsidRPr="005861E6">
        <w:t xml:space="preserve"> aggregated </w:t>
      </w:r>
      <w:r>
        <w:t xml:space="preserve">cross-validation </w:t>
      </w:r>
      <w:r w:rsidRPr="005861E6">
        <w:t>classification</w:t>
      </w:r>
      <w:r w:rsidR="00585FEE">
        <w:t xml:space="preserve"> rate</w:t>
      </w:r>
      <w:bookmarkEnd w:id="213"/>
    </w:p>
    <w:tbl>
      <w:tblPr>
        <w:tblStyle w:val="LightGrid-Accent11"/>
        <w:tblW w:w="0" w:type="auto"/>
        <w:tblLook w:val="04A0"/>
      </w:tblPr>
      <w:tblGrid>
        <w:gridCol w:w="1916"/>
        <w:gridCol w:w="1915"/>
        <w:gridCol w:w="1915"/>
        <w:gridCol w:w="1915"/>
        <w:gridCol w:w="1915"/>
      </w:tblGrid>
      <w:tr w:rsidR="005861E6">
        <w:trPr>
          <w:cnfStyle w:val="100000000000"/>
        </w:trPr>
        <w:tc>
          <w:tcPr>
            <w:cnfStyle w:val="001000000000"/>
            <w:tcW w:w="1916" w:type="dxa"/>
            <w:vAlign w:val="bottom"/>
          </w:tcPr>
          <w:p w:rsidR="005861E6" w:rsidRDefault="005861E6" w:rsidP="005861E6"/>
        </w:tc>
        <w:tc>
          <w:tcPr>
            <w:tcW w:w="7660" w:type="dxa"/>
            <w:gridSpan w:val="4"/>
            <w:vAlign w:val="bottom"/>
          </w:tcPr>
          <w:p w:rsidR="005861E6" w:rsidRDefault="005861E6" w:rsidP="005861E6">
            <w:pPr>
              <w:cnfStyle w:val="100000000000"/>
            </w:pPr>
            <w:r>
              <w:t>Predicted</w:t>
            </w:r>
          </w:p>
        </w:tc>
      </w:tr>
      <w:tr w:rsidR="005861E6">
        <w:trPr>
          <w:cnfStyle w:val="000000100000"/>
        </w:trPr>
        <w:tc>
          <w:tcPr>
            <w:cnfStyle w:val="001000000000"/>
            <w:tcW w:w="1916" w:type="dxa"/>
            <w:vAlign w:val="bottom"/>
          </w:tcPr>
          <w:p w:rsidR="005861E6" w:rsidRDefault="005861E6" w:rsidP="005861E6">
            <w:r>
              <w:t>Actual</w:t>
            </w:r>
          </w:p>
        </w:tc>
        <w:tc>
          <w:tcPr>
            <w:tcW w:w="1915" w:type="dxa"/>
            <w:vAlign w:val="bottom"/>
          </w:tcPr>
          <w:p w:rsidR="005861E6" w:rsidRPr="005861E6" w:rsidRDefault="005861E6" w:rsidP="005861E6">
            <w:pPr>
              <w:cnfStyle w:val="000000100000"/>
              <w:rPr>
                <w:b/>
              </w:rPr>
            </w:pPr>
            <w:r w:rsidRPr="005861E6">
              <w:rPr>
                <w:b/>
              </w:rPr>
              <w:t>W</w:t>
            </w:r>
          </w:p>
        </w:tc>
        <w:tc>
          <w:tcPr>
            <w:tcW w:w="1915" w:type="dxa"/>
            <w:vAlign w:val="bottom"/>
          </w:tcPr>
          <w:p w:rsidR="005861E6" w:rsidRPr="005861E6" w:rsidRDefault="005861E6" w:rsidP="005861E6">
            <w:pPr>
              <w:cnfStyle w:val="000000100000"/>
              <w:rPr>
                <w:b/>
              </w:rPr>
            </w:pPr>
            <w:r w:rsidRPr="005861E6">
              <w:rPr>
                <w:b/>
              </w:rPr>
              <w:t>B</w:t>
            </w:r>
          </w:p>
        </w:tc>
        <w:tc>
          <w:tcPr>
            <w:tcW w:w="1915" w:type="dxa"/>
            <w:vAlign w:val="bottom"/>
          </w:tcPr>
          <w:p w:rsidR="005861E6" w:rsidRPr="005861E6" w:rsidRDefault="005861E6" w:rsidP="005861E6">
            <w:pPr>
              <w:cnfStyle w:val="000000100000"/>
              <w:rPr>
                <w:b/>
              </w:rPr>
            </w:pPr>
            <w:r w:rsidRPr="005861E6">
              <w:rPr>
                <w:b/>
              </w:rPr>
              <w:t>H</w:t>
            </w:r>
          </w:p>
        </w:tc>
        <w:tc>
          <w:tcPr>
            <w:tcW w:w="1915" w:type="dxa"/>
            <w:vAlign w:val="bottom"/>
          </w:tcPr>
          <w:p w:rsidR="005861E6" w:rsidRPr="005861E6" w:rsidRDefault="005861E6" w:rsidP="005861E6">
            <w:pPr>
              <w:cnfStyle w:val="000000100000"/>
              <w:rPr>
                <w:b/>
              </w:rPr>
            </w:pPr>
            <w:r w:rsidRPr="005861E6">
              <w:rPr>
                <w:b/>
              </w:rPr>
              <w:t>Overall</w:t>
            </w:r>
          </w:p>
        </w:tc>
      </w:tr>
      <w:tr w:rsidR="005861E6">
        <w:trPr>
          <w:cnfStyle w:val="000000010000"/>
        </w:trPr>
        <w:tc>
          <w:tcPr>
            <w:cnfStyle w:val="001000000000"/>
            <w:tcW w:w="1916" w:type="dxa"/>
            <w:vAlign w:val="bottom"/>
          </w:tcPr>
          <w:p w:rsidR="005861E6" w:rsidRDefault="005861E6" w:rsidP="005861E6">
            <w:r>
              <w:t>W</w:t>
            </w:r>
          </w:p>
        </w:tc>
        <w:tc>
          <w:tcPr>
            <w:tcW w:w="1915" w:type="dxa"/>
            <w:vAlign w:val="bottom"/>
          </w:tcPr>
          <w:p w:rsidR="005861E6" w:rsidRDefault="005861E6" w:rsidP="005861E6">
            <w:pPr>
              <w:cnfStyle w:val="000000010000"/>
            </w:pPr>
            <w:r>
              <w:t>0.7111</w:t>
            </w:r>
          </w:p>
        </w:tc>
        <w:tc>
          <w:tcPr>
            <w:tcW w:w="1915" w:type="dxa"/>
            <w:vAlign w:val="bottom"/>
          </w:tcPr>
          <w:p w:rsidR="005861E6" w:rsidRDefault="005861E6" w:rsidP="005861E6">
            <w:pPr>
              <w:cnfStyle w:val="000000010000"/>
            </w:pPr>
            <w:r>
              <w:t>0.1781</w:t>
            </w:r>
          </w:p>
        </w:tc>
        <w:tc>
          <w:tcPr>
            <w:tcW w:w="1915" w:type="dxa"/>
            <w:vAlign w:val="bottom"/>
          </w:tcPr>
          <w:p w:rsidR="005861E6" w:rsidRDefault="005861E6" w:rsidP="005861E6">
            <w:pPr>
              <w:cnfStyle w:val="000000010000"/>
            </w:pPr>
            <w:r>
              <w:t>0.1108</w:t>
            </w:r>
          </w:p>
        </w:tc>
        <w:tc>
          <w:tcPr>
            <w:tcW w:w="1915" w:type="dxa"/>
            <w:vMerge w:val="restart"/>
            <w:vAlign w:val="bottom"/>
          </w:tcPr>
          <w:p w:rsidR="005861E6" w:rsidRDefault="005861E6" w:rsidP="005861E6">
            <w:pPr>
              <w:cnfStyle w:val="000000010000"/>
            </w:pPr>
          </w:p>
        </w:tc>
      </w:tr>
      <w:tr w:rsidR="005861E6">
        <w:trPr>
          <w:cnfStyle w:val="000000100000"/>
        </w:trPr>
        <w:tc>
          <w:tcPr>
            <w:cnfStyle w:val="001000000000"/>
            <w:tcW w:w="1916" w:type="dxa"/>
            <w:vAlign w:val="bottom"/>
          </w:tcPr>
          <w:p w:rsidR="005861E6" w:rsidRDefault="005861E6" w:rsidP="005861E6">
            <w:r>
              <w:t>B</w:t>
            </w:r>
          </w:p>
        </w:tc>
        <w:tc>
          <w:tcPr>
            <w:tcW w:w="1915" w:type="dxa"/>
            <w:vAlign w:val="bottom"/>
          </w:tcPr>
          <w:p w:rsidR="005861E6" w:rsidRDefault="005861E6" w:rsidP="005861E6">
            <w:pPr>
              <w:cnfStyle w:val="000000100000"/>
            </w:pPr>
            <w:r>
              <w:t>0.1985</w:t>
            </w:r>
          </w:p>
        </w:tc>
        <w:tc>
          <w:tcPr>
            <w:tcW w:w="1915" w:type="dxa"/>
            <w:vAlign w:val="bottom"/>
          </w:tcPr>
          <w:p w:rsidR="005861E6" w:rsidRDefault="005861E6" w:rsidP="005861E6">
            <w:pPr>
              <w:cnfStyle w:val="000000100000"/>
            </w:pPr>
            <w:r>
              <w:t>0.6641</w:t>
            </w:r>
          </w:p>
        </w:tc>
        <w:tc>
          <w:tcPr>
            <w:tcW w:w="1915" w:type="dxa"/>
            <w:vAlign w:val="bottom"/>
          </w:tcPr>
          <w:p w:rsidR="005861E6" w:rsidRDefault="005861E6" w:rsidP="005861E6">
            <w:pPr>
              <w:cnfStyle w:val="000000100000"/>
            </w:pPr>
            <w:r>
              <w:t>0.1374</w:t>
            </w:r>
          </w:p>
        </w:tc>
        <w:tc>
          <w:tcPr>
            <w:tcW w:w="1915" w:type="dxa"/>
            <w:vMerge/>
            <w:vAlign w:val="bottom"/>
          </w:tcPr>
          <w:p w:rsidR="005861E6" w:rsidRDefault="005861E6" w:rsidP="005861E6">
            <w:pPr>
              <w:cnfStyle w:val="000000100000"/>
            </w:pPr>
          </w:p>
        </w:tc>
      </w:tr>
      <w:tr w:rsidR="005861E6">
        <w:trPr>
          <w:cnfStyle w:val="000000010000"/>
        </w:trPr>
        <w:tc>
          <w:tcPr>
            <w:cnfStyle w:val="001000000000"/>
            <w:tcW w:w="1916" w:type="dxa"/>
            <w:vAlign w:val="bottom"/>
          </w:tcPr>
          <w:p w:rsidR="005861E6" w:rsidRDefault="005861E6" w:rsidP="005861E6">
            <w:r>
              <w:t>H</w:t>
            </w:r>
          </w:p>
        </w:tc>
        <w:tc>
          <w:tcPr>
            <w:tcW w:w="1915" w:type="dxa"/>
            <w:vAlign w:val="bottom"/>
          </w:tcPr>
          <w:p w:rsidR="005861E6" w:rsidRDefault="005861E6" w:rsidP="005861E6">
            <w:pPr>
              <w:cnfStyle w:val="000000010000"/>
            </w:pPr>
            <w:r>
              <w:t>0.1786</w:t>
            </w:r>
          </w:p>
        </w:tc>
        <w:tc>
          <w:tcPr>
            <w:tcW w:w="1915" w:type="dxa"/>
            <w:vAlign w:val="bottom"/>
          </w:tcPr>
          <w:p w:rsidR="005861E6" w:rsidRDefault="005861E6" w:rsidP="005861E6">
            <w:pPr>
              <w:cnfStyle w:val="000000010000"/>
            </w:pPr>
            <w:r>
              <w:t>0.1786</w:t>
            </w:r>
          </w:p>
        </w:tc>
        <w:tc>
          <w:tcPr>
            <w:tcW w:w="1915" w:type="dxa"/>
            <w:vAlign w:val="bottom"/>
          </w:tcPr>
          <w:p w:rsidR="005861E6" w:rsidRDefault="005861E6" w:rsidP="005861E6">
            <w:pPr>
              <w:cnfStyle w:val="000000010000"/>
            </w:pPr>
            <w:r>
              <w:t>0.6429</w:t>
            </w:r>
          </w:p>
        </w:tc>
        <w:tc>
          <w:tcPr>
            <w:tcW w:w="1915" w:type="dxa"/>
            <w:vMerge/>
            <w:vAlign w:val="bottom"/>
          </w:tcPr>
          <w:p w:rsidR="005861E6" w:rsidRDefault="005861E6" w:rsidP="005861E6">
            <w:pPr>
              <w:cnfStyle w:val="000000010000"/>
            </w:pPr>
          </w:p>
        </w:tc>
      </w:tr>
      <w:tr w:rsidR="005861E6">
        <w:trPr>
          <w:cnfStyle w:val="000000100000"/>
        </w:trPr>
        <w:tc>
          <w:tcPr>
            <w:cnfStyle w:val="001000000000"/>
            <w:tcW w:w="1916" w:type="dxa"/>
            <w:vAlign w:val="bottom"/>
          </w:tcPr>
          <w:p w:rsidR="005861E6" w:rsidRDefault="005861E6" w:rsidP="005861E6">
            <w:r>
              <w:t>Overall</w:t>
            </w:r>
          </w:p>
        </w:tc>
        <w:tc>
          <w:tcPr>
            <w:tcW w:w="5745" w:type="dxa"/>
            <w:gridSpan w:val="3"/>
            <w:vAlign w:val="bottom"/>
          </w:tcPr>
          <w:p w:rsidR="005861E6" w:rsidRDefault="005861E6" w:rsidP="005861E6">
            <w:pPr>
              <w:cnfStyle w:val="000000100000"/>
            </w:pPr>
          </w:p>
        </w:tc>
        <w:tc>
          <w:tcPr>
            <w:tcW w:w="1915" w:type="dxa"/>
            <w:vAlign w:val="bottom"/>
          </w:tcPr>
          <w:p w:rsidR="005861E6" w:rsidRDefault="005861E6" w:rsidP="005861E6">
            <w:pPr>
              <w:cnfStyle w:val="000000100000"/>
            </w:pPr>
            <w:r>
              <w:t>0.6884</w:t>
            </w:r>
          </w:p>
        </w:tc>
      </w:tr>
    </w:tbl>
    <w:p w:rsidR="005861E6" w:rsidRDefault="005861E6" w:rsidP="00794381"/>
    <w:p w:rsidR="00585FEE" w:rsidRPr="00585FEE" w:rsidRDefault="00585FEE" w:rsidP="0024354B">
      <w:pPr>
        <w:pStyle w:val="Caption"/>
      </w:pPr>
      <w:bookmarkStart w:id="214" w:name="_Toc227982531"/>
      <w:proofErr w:type="gramStart"/>
      <w:r w:rsidRPr="00585FEE">
        <w:t xml:space="preserve">Table </w:t>
      </w:r>
      <w:r w:rsidR="003731B6" w:rsidRPr="00585FEE">
        <w:fldChar w:fldCharType="begin"/>
      </w:r>
      <w:r w:rsidRPr="00585FEE">
        <w:instrText xml:space="preserve"> SEQ Table \* ARABIC </w:instrText>
      </w:r>
      <w:r w:rsidR="003731B6" w:rsidRPr="00585FEE">
        <w:fldChar w:fldCharType="separate"/>
      </w:r>
      <w:r w:rsidR="001633BC">
        <w:rPr>
          <w:noProof/>
        </w:rPr>
        <w:t>23</w:t>
      </w:r>
      <w:r w:rsidR="003731B6" w:rsidRPr="00585FEE">
        <w:fldChar w:fldCharType="end"/>
      </w:r>
      <w:r w:rsidRPr="00585FEE">
        <w:t>.</w:t>
      </w:r>
      <w:proofErr w:type="gramEnd"/>
      <w:r>
        <w:t xml:space="preserve"> 13 variable LDA</w:t>
      </w:r>
      <w:r w:rsidRPr="005861E6">
        <w:t xml:space="preserve"> ancestry aggregated </w:t>
      </w:r>
      <w:r>
        <w:t xml:space="preserve">holdout </w:t>
      </w:r>
      <w:r w:rsidRPr="005861E6">
        <w:t>classification</w:t>
      </w:r>
      <w:r>
        <w:t xml:space="preserve"> rate</w:t>
      </w:r>
      <w:bookmarkEnd w:id="214"/>
    </w:p>
    <w:tbl>
      <w:tblPr>
        <w:tblStyle w:val="LightGrid-Accent11"/>
        <w:tblW w:w="0" w:type="auto"/>
        <w:tblLook w:val="04A0"/>
      </w:tblPr>
      <w:tblGrid>
        <w:gridCol w:w="1916"/>
        <w:gridCol w:w="1915"/>
        <w:gridCol w:w="1915"/>
        <w:gridCol w:w="1915"/>
        <w:gridCol w:w="1915"/>
      </w:tblGrid>
      <w:tr w:rsidR="005861E6">
        <w:trPr>
          <w:cnfStyle w:val="100000000000"/>
        </w:trPr>
        <w:tc>
          <w:tcPr>
            <w:cnfStyle w:val="001000000000"/>
            <w:tcW w:w="1916" w:type="dxa"/>
            <w:vAlign w:val="bottom"/>
          </w:tcPr>
          <w:p w:rsidR="005861E6" w:rsidRDefault="005861E6" w:rsidP="00585FEE"/>
        </w:tc>
        <w:tc>
          <w:tcPr>
            <w:tcW w:w="7660" w:type="dxa"/>
            <w:gridSpan w:val="4"/>
            <w:vAlign w:val="bottom"/>
          </w:tcPr>
          <w:p w:rsidR="005861E6" w:rsidRDefault="005861E6" w:rsidP="00585FEE">
            <w:pPr>
              <w:cnfStyle w:val="100000000000"/>
            </w:pPr>
            <w:r>
              <w:t>Predicted</w:t>
            </w:r>
          </w:p>
        </w:tc>
      </w:tr>
      <w:tr w:rsidR="005861E6">
        <w:trPr>
          <w:cnfStyle w:val="000000100000"/>
        </w:trPr>
        <w:tc>
          <w:tcPr>
            <w:cnfStyle w:val="001000000000"/>
            <w:tcW w:w="1916" w:type="dxa"/>
            <w:vAlign w:val="bottom"/>
          </w:tcPr>
          <w:p w:rsidR="005861E6" w:rsidRDefault="005861E6" w:rsidP="00585FEE">
            <w:r>
              <w:t>Actual</w:t>
            </w:r>
          </w:p>
        </w:tc>
        <w:tc>
          <w:tcPr>
            <w:tcW w:w="1915" w:type="dxa"/>
            <w:vAlign w:val="bottom"/>
          </w:tcPr>
          <w:p w:rsidR="005861E6" w:rsidRPr="005861E6" w:rsidRDefault="005861E6" w:rsidP="00585FEE">
            <w:pPr>
              <w:cnfStyle w:val="000000100000"/>
              <w:rPr>
                <w:b/>
              </w:rPr>
            </w:pPr>
            <w:r w:rsidRPr="005861E6">
              <w:rPr>
                <w:b/>
              </w:rPr>
              <w:t>W</w:t>
            </w:r>
          </w:p>
        </w:tc>
        <w:tc>
          <w:tcPr>
            <w:tcW w:w="1915" w:type="dxa"/>
            <w:vAlign w:val="bottom"/>
          </w:tcPr>
          <w:p w:rsidR="005861E6" w:rsidRPr="005861E6" w:rsidRDefault="005861E6" w:rsidP="00585FEE">
            <w:pPr>
              <w:cnfStyle w:val="000000100000"/>
              <w:rPr>
                <w:b/>
              </w:rPr>
            </w:pPr>
            <w:r w:rsidRPr="005861E6">
              <w:rPr>
                <w:b/>
              </w:rPr>
              <w:t>B</w:t>
            </w:r>
          </w:p>
        </w:tc>
        <w:tc>
          <w:tcPr>
            <w:tcW w:w="1915" w:type="dxa"/>
            <w:vAlign w:val="bottom"/>
          </w:tcPr>
          <w:p w:rsidR="005861E6" w:rsidRPr="005861E6" w:rsidRDefault="005861E6" w:rsidP="00585FEE">
            <w:pPr>
              <w:cnfStyle w:val="000000100000"/>
              <w:rPr>
                <w:b/>
              </w:rPr>
            </w:pPr>
            <w:r w:rsidRPr="005861E6">
              <w:rPr>
                <w:b/>
              </w:rPr>
              <w:t>H</w:t>
            </w:r>
          </w:p>
        </w:tc>
        <w:tc>
          <w:tcPr>
            <w:tcW w:w="1915" w:type="dxa"/>
            <w:vAlign w:val="bottom"/>
          </w:tcPr>
          <w:p w:rsidR="005861E6" w:rsidRPr="005861E6" w:rsidRDefault="005861E6" w:rsidP="00585FEE">
            <w:pPr>
              <w:cnfStyle w:val="000000100000"/>
              <w:rPr>
                <w:b/>
              </w:rPr>
            </w:pPr>
            <w:r w:rsidRPr="005861E6">
              <w:rPr>
                <w:b/>
              </w:rPr>
              <w:t>Overall</w:t>
            </w:r>
          </w:p>
        </w:tc>
      </w:tr>
      <w:tr w:rsidR="005861E6">
        <w:trPr>
          <w:cnfStyle w:val="000000010000"/>
        </w:trPr>
        <w:tc>
          <w:tcPr>
            <w:cnfStyle w:val="001000000000"/>
            <w:tcW w:w="1916" w:type="dxa"/>
            <w:vAlign w:val="bottom"/>
          </w:tcPr>
          <w:p w:rsidR="005861E6" w:rsidRDefault="005861E6" w:rsidP="00585FEE">
            <w:r>
              <w:t>W</w:t>
            </w:r>
          </w:p>
        </w:tc>
        <w:tc>
          <w:tcPr>
            <w:tcW w:w="1915" w:type="dxa"/>
            <w:vAlign w:val="bottom"/>
          </w:tcPr>
          <w:p w:rsidR="005861E6" w:rsidRDefault="005861E6" w:rsidP="00585FEE">
            <w:pPr>
              <w:cnfStyle w:val="000000010000"/>
            </w:pPr>
            <w:r>
              <w:t>0.774</w:t>
            </w:r>
          </w:p>
        </w:tc>
        <w:tc>
          <w:tcPr>
            <w:tcW w:w="1915" w:type="dxa"/>
            <w:vAlign w:val="bottom"/>
          </w:tcPr>
          <w:p w:rsidR="005861E6" w:rsidRDefault="005861E6" w:rsidP="00585FEE">
            <w:pPr>
              <w:cnfStyle w:val="000000010000"/>
            </w:pPr>
            <w:r>
              <w:t>0.137</w:t>
            </w:r>
          </w:p>
        </w:tc>
        <w:tc>
          <w:tcPr>
            <w:tcW w:w="1915" w:type="dxa"/>
            <w:vAlign w:val="bottom"/>
          </w:tcPr>
          <w:p w:rsidR="005861E6" w:rsidRDefault="005861E6" w:rsidP="00585FEE">
            <w:pPr>
              <w:cnfStyle w:val="000000010000"/>
            </w:pPr>
            <w:r>
              <w:t>0.089</w:t>
            </w:r>
          </w:p>
        </w:tc>
        <w:tc>
          <w:tcPr>
            <w:tcW w:w="1915" w:type="dxa"/>
            <w:vMerge w:val="restart"/>
            <w:vAlign w:val="bottom"/>
          </w:tcPr>
          <w:p w:rsidR="005861E6" w:rsidRDefault="005861E6" w:rsidP="00585FEE">
            <w:pPr>
              <w:cnfStyle w:val="000000010000"/>
            </w:pPr>
          </w:p>
        </w:tc>
      </w:tr>
      <w:tr w:rsidR="005861E6">
        <w:trPr>
          <w:cnfStyle w:val="000000100000"/>
        </w:trPr>
        <w:tc>
          <w:tcPr>
            <w:cnfStyle w:val="001000000000"/>
            <w:tcW w:w="1916" w:type="dxa"/>
            <w:vAlign w:val="bottom"/>
          </w:tcPr>
          <w:p w:rsidR="005861E6" w:rsidRDefault="005861E6" w:rsidP="00585FEE">
            <w:r>
              <w:t>B</w:t>
            </w:r>
          </w:p>
        </w:tc>
        <w:tc>
          <w:tcPr>
            <w:tcW w:w="1915" w:type="dxa"/>
            <w:vAlign w:val="bottom"/>
          </w:tcPr>
          <w:p w:rsidR="005861E6" w:rsidRDefault="005861E6" w:rsidP="00585FEE">
            <w:pPr>
              <w:cnfStyle w:val="000000100000"/>
            </w:pPr>
            <w:r>
              <w:t>0.1803</w:t>
            </w:r>
          </w:p>
        </w:tc>
        <w:tc>
          <w:tcPr>
            <w:tcW w:w="1915" w:type="dxa"/>
            <w:vAlign w:val="bottom"/>
          </w:tcPr>
          <w:p w:rsidR="005861E6" w:rsidRDefault="005861E6" w:rsidP="00585FEE">
            <w:pPr>
              <w:cnfStyle w:val="000000100000"/>
            </w:pPr>
            <w:r>
              <w:t>0.6885</w:t>
            </w:r>
          </w:p>
        </w:tc>
        <w:tc>
          <w:tcPr>
            <w:tcW w:w="1915" w:type="dxa"/>
            <w:vAlign w:val="bottom"/>
          </w:tcPr>
          <w:p w:rsidR="005861E6" w:rsidRDefault="005861E6" w:rsidP="00585FEE">
            <w:pPr>
              <w:cnfStyle w:val="000000100000"/>
            </w:pPr>
            <w:r>
              <w:t>0.1311</w:t>
            </w:r>
          </w:p>
        </w:tc>
        <w:tc>
          <w:tcPr>
            <w:tcW w:w="1915" w:type="dxa"/>
            <w:vMerge/>
            <w:vAlign w:val="bottom"/>
          </w:tcPr>
          <w:p w:rsidR="005861E6" w:rsidRDefault="005861E6" w:rsidP="00585FEE">
            <w:pPr>
              <w:cnfStyle w:val="000000100000"/>
            </w:pPr>
          </w:p>
        </w:tc>
      </w:tr>
      <w:tr w:rsidR="005861E6">
        <w:trPr>
          <w:cnfStyle w:val="000000010000"/>
        </w:trPr>
        <w:tc>
          <w:tcPr>
            <w:cnfStyle w:val="001000000000"/>
            <w:tcW w:w="1916" w:type="dxa"/>
            <w:vAlign w:val="bottom"/>
          </w:tcPr>
          <w:p w:rsidR="005861E6" w:rsidRDefault="005861E6" w:rsidP="00585FEE">
            <w:r>
              <w:t>H</w:t>
            </w:r>
          </w:p>
        </w:tc>
        <w:tc>
          <w:tcPr>
            <w:tcW w:w="1915" w:type="dxa"/>
            <w:vAlign w:val="bottom"/>
          </w:tcPr>
          <w:p w:rsidR="005861E6" w:rsidRDefault="005861E6" w:rsidP="00585FEE">
            <w:pPr>
              <w:cnfStyle w:val="000000010000"/>
            </w:pPr>
            <w:r>
              <w:t>0.3182</w:t>
            </w:r>
          </w:p>
        </w:tc>
        <w:tc>
          <w:tcPr>
            <w:tcW w:w="1915" w:type="dxa"/>
            <w:vAlign w:val="bottom"/>
          </w:tcPr>
          <w:p w:rsidR="005861E6" w:rsidRDefault="005861E6" w:rsidP="00585FEE">
            <w:pPr>
              <w:cnfStyle w:val="000000010000"/>
            </w:pPr>
            <w:r>
              <w:t>0.1364</w:t>
            </w:r>
          </w:p>
        </w:tc>
        <w:tc>
          <w:tcPr>
            <w:tcW w:w="1915" w:type="dxa"/>
            <w:vAlign w:val="bottom"/>
          </w:tcPr>
          <w:p w:rsidR="005861E6" w:rsidRDefault="005861E6" w:rsidP="00585FEE">
            <w:pPr>
              <w:cnfStyle w:val="000000010000"/>
            </w:pPr>
            <w:r>
              <w:t>0.5455</w:t>
            </w:r>
          </w:p>
        </w:tc>
        <w:tc>
          <w:tcPr>
            <w:tcW w:w="1915" w:type="dxa"/>
            <w:vMerge/>
            <w:vAlign w:val="bottom"/>
          </w:tcPr>
          <w:p w:rsidR="005861E6" w:rsidRDefault="005861E6" w:rsidP="00585FEE">
            <w:pPr>
              <w:cnfStyle w:val="000000010000"/>
            </w:pPr>
          </w:p>
        </w:tc>
      </w:tr>
      <w:tr w:rsidR="005861E6">
        <w:trPr>
          <w:cnfStyle w:val="000000100000"/>
        </w:trPr>
        <w:tc>
          <w:tcPr>
            <w:cnfStyle w:val="001000000000"/>
            <w:tcW w:w="1916" w:type="dxa"/>
            <w:vAlign w:val="bottom"/>
          </w:tcPr>
          <w:p w:rsidR="005861E6" w:rsidRDefault="005861E6" w:rsidP="00585FEE">
            <w:r>
              <w:t>Overall</w:t>
            </w:r>
          </w:p>
        </w:tc>
        <w:tc>
          <w:tcPr>
            <w:tcW w:w="5745" w:type="dxa"/>
            <w:gridSpan w:val="3"/>
            <w:vAlign w:val="bottom"/>
          </w:tcPr>
          <w:p w:rsidR="005861E6" w:rsidRDefault="005861E6" w:rsidP="00585FEE">
            <w:pPr>
              <w:cnfStyle w:val="000000100000"/>
            </w:pPr>
          </w:p>
        </w:tc>
        <w:tc>
          <w:tcPr>
            <w:tcW w:w="1915" w:type="dxa"/>
            <w:vAlign w:val="bottom"/>
          </w:tcPr>
          <w:p w:rsidR="005861E6" w:rsidRDefault="005861E6" w:rsidP="00585FEE">
            <w:pPr>
              <w:cnfStyle w:val="000000100000"/>
            </w:pPr>
            <w:r>
              <w:t>0.7547</w:t>
            </w:r>
          </w:p>
        </w:tc>
      </w:tr>
    </w:tbl>
    <w:p w:rsidR="00B24CD2" w:rsidRDefault="00B24CD2" w:rsidP="00794381"/>
    <w:p w:rsidR="00EA4E67" w:rsidRPr="00EA4E67" w:rsidRDefault="00EA4E67" w:rsidP="0024354B">
      <w:pPr>
        <w:pStyle w:val="Caption"/>
      </w:pPr>
      <w:bookmarkStart w:id="215" w:name="_Toc227982532"/>
      <w:proofErr w:type="gramStart"/>
      <w:r w:rsidRPr="00EA4E67">
        <w:t xml:space="preserve">Table </w:t>
      </w:r>
      <w:r w:rsidR="003731B6" w:rsidRPr="00EA4E67">
        <w:fldChar w:fldCharType="begin"/>
      </w:r>
      <w:r w:rsidRPr="00EA4E67">
        <w:instrText xml:space="preserve"> SEQ Table \* ARABIC </w:instrText>
      </w:r>
      <w:r w:rsidR="003731B6" w:rsidRPr="00EA4E67">
        <w:fldChar w:fldCharType="separate"/>
      </w:r>
      <w:r w:rsidR="001633BC">
        <w:rPr>
          <w:noProof/>
        </w:rPr>
        <w:t>24</w:t>
      </w:r>
      <w:r w:rsidR="003731B6" w:rsidRPr="00EA4E67">
        <w:fldChar w:fldCharType="end"/>
      </w:r>
      <w:r w:rsidRPr="00EA4E67">
        <w:t>.</w:t>
      </w:r>
      <w:proofErr w:type="gramEnd"/>
      <w:r w:rsidRPr="00EA4E67">
        <w:t xml:space="preserve"> 6 variable LDA </w:t>
      </w:r>
      <w:proofErr w:type="gramStart"/>
      <w:r w:rsidRPr="00EA4E67">
        <w:t>ancestry</w:t>
      </w:r>
      <w:proofErr w:type="gramEnd"/>
      <w:r w:rsidRPr="00EA4E67">
        <w:t xml:space="preserve"> aggregated cross-validation classification rate</w:t>
      </w:r>
      <w:bookmarkEnd w:id="215"/>
    </w:p>
    <w:tbl>
      <w:tblPr>
        <w:tblStyle w:val="LightGrid-Accent11"/>
        <w:tblW w:w="0" w:type="auto"/>
        <w:tblLook w:val="04A0"/>
      </w:tblPr>
      <w:tblGrid>
        <w:gridCol w:w="1916"/>
        <w:gridCol w:w="1915"/>
        <w:gridCol w:w="1915"/>
        <w:gridCol w:w="1915"/>
        <w:gridCol w:w="1915"/>
      </w:tblGrid>
      <w:tr w:rsidR="00B24CD2">
        <w:trPr>
          <w:cnfStyle w:val="100000000000"/>
        </w:trPr>
        <w:tc>
          <w:tcPr>
            <w:cnfStyle w:val="001000000000"/>
            <w:tcW w:w="1916" w:type="dxa"/>
            <w:vAlign w:val="bottom"/>
          </w:tcPr>
          <w:p w:rsidR="00B24CD2" w:rsidRDefault="00B24CD2" w:rsidP="00B24CD2"/>
        </w:tc>
        <w:tc>
          <w:tcPr>
            <w:tcW w:w="7660" w:type="dxa"/>
            <w:gridSpan w:val="4"/>
            <w:vAlign w:val="bottom"/>
          </w:tcPr>
          <w:p w:rsidR="00B24CD2" w:rsidRDefault="00B24CD2" w:rsidP="00B24CD2">
            <w:pPr>
              <w:cnfStyle w:val="100000000000"/>
            </w:pPr>
            <w:r>
              <w:t>Predicted</w:t>
            </w:r>
          </w:p>
        </w:tc>
      </w:tr>
      <w:tr w:rsidR="00B24CD2">
        <w:trPr>
          <w:cnfStyle w:val="000000100000"/>
        </w:trPr>
        <w:tc>
          <w:tcPr>
            <w:cnfStyle w:val="001000000000"/>
            <w:tcW w:w="1916" w:type="dxa"/>
            <w:vAlign w:val="bottom"/>
          </w:tcPr>
          <w:p w:rsidR="00B24CD2" w:rsidRDefault="00B24CD2" w:rsidP="00B24CD2">
            <w:r>
              <w:t>Actual</w:t>
            </w:r>
          </w:p>
        </w:tc>
        <w:tc>
          <w:tcPr>
            <w:tcW w:w="1915" w:type="dxa"/>
            <w:vAlign w:val="bottom"/>
          </w:tcPr>
          <w:p w:rsidR="00B24CD2" w:rsidRPr="00B24CD2" w:rsidRDefault="00B24CD2" w:rsidP="00B24CD2">
            <w:pPr>
              <w:cnfStyle w:val="000000100000"/>
              <w:rPr>
                <w:b/>
              </w:rPr>
            </w:pPr>
            <w:r w:rsidRPr="00B24CD2">
              <w:rPr>
                <w:b/>
              </w:rPr>
              <w:t>W</w:t>
            </w:r>
          </w:p>
        </w:tc>
        <w:tc>
          <w:tcPr>
            <w:tcW w:w="1915" w:type="dxa"/>
            <w:vAlign w:val="bottom"/>
          </w:tcPr>
          <w:p w:rsidR="00B24CD2" w:rsidRPr="00B24CD2" w:rsidRDefault="00B24CD2" w:rsidP="00B24CD2">
            <w:pPr>
              <w:cnfStyle w:val="000000100000"/>
              <w:rPr>
                <w:b/>
              </w:rPr>
            </w:pPr>
            <w:r w:rsidRPr="00B24CD2">
              <w:rPr>
                <w:b/>
              </w:rPr>
              <w:t>B</w:t>
            </w:r>
          </w:p>
        </w:tc>
        <w:tc>
          <w:tcPr>
            <w:tcW w:w="1915" w:type="dxa"/>
            <w:vAlign w:val="bottom"/>
          </w:tcPr>
          <w:p w:rsidR="00B24CD2" w:rsidRPr="00B24CD2" w:rsidRDefault="00B24CD2" w:rsidP="00B24CD2">
            <w:pPr>
              <w:cnfStyle w:val="000000100000"/>
              <w:rPr>
                <w:b/>
              </w:rPr>
            </w:pPr>
            <w:r w:rsidRPr="00B24CD2">
              <w:rPr>
                <w:b/>
              </w:rPr>
              <w:t>H</w:t>
            </w:r>
          </w:p>
        </w:tc>
        <w:tc>
          <w:tcPr>
            <w:tcW w:w="1915" w:type="dxa"/>
            <w:vAlign w:val="bottom"/>
          </w:tcPr>
          <w:p w:rsidR="00B24CD2" w:rsidRPr="00B24CD2" w:rsidRDefault="00B24CD2" w:rsidP="00B24CD2">
            <w:pPr>
              <w:cnfStyle w:val="000000100000"/>
              <w:rPr>
                <w:b/>
              </w:rPr>
            </w:pPr>
            <w:r w:rsidRPr="00B24CD2">
              <w:rPr>
                <w:b/>
              </w:rPr>
              <w:t>Overall</w:t>
            </w:r>
          </w:p>
        </w:tc>
      </w:tr>
      <w:tr w:rsidR="00B24CD2">
        <w:trPr>
          <w:cnfStyle w:val="000000010000"/>
        </w:trPr>
        <w:tc>
          <w:tcPr>
            <w:cnfStyle w:val="001000000000"/>
            <w:tcW w:w="1916" w:type="dxa"/>
            <w:vAlign w:val="bottom"/>
          </w:tcPr>
          <w:p w:rsidR="00B24CD2" w:rsidRDefault="00B24CD2" w:rsidP="00B24CD2">
            <w:r>
              <w:t>W</w:t>
            </w:r>
          </w:p>
        </w:tc>
        <w:tc>
          <w:tcPr>
            <w:tcW w:w="1915" w:type="dxa"/>
            <w:vAlign w:val="bottom"/>
          </w:tcPr>
          <w:p w:rsidR="00B24CD2" w:rsidRDefault="00B24CD2" w:rsidP="00B24CD2">
            <w:pPr>
              <w:cnfStyle w:val="000000010000"/>
            </w:pPr>
            <w:r>
              <w:t>0.7111</w:t>
            </w:r>
          </w:p>
        </w:tc>
        <w:tc>
          <w:tcPr>
            <w:tcW w:w="1915" w:type="dxa"/>
            <w:vAlign w:val="bottom"/>
          </w:tcPr>
          <w:p w:rsidR="00B24CD2" w:rsidRDefault="00B24CD2" w:rsidP="00B24CD2">
            <w:pPr>
              <w:cnfStyle w:val="000000010000"/>
            </w:pPr>
            <w:r>
              <w:t>0.1781</w:t>
            </w:r>
          </w:p>
        </w:tc>
        <w:tc>
          <w:tcPr>
            <w:tcW w:w="1915" w:type="dxa"/>
            <w:vAlign w:val="bottom"/>
          </w:tcPr>
          <w:p w:rsidR="00B24CD2" w:rsidRDefault="00B24CD2" w:rsidP="00B24CD2">
            <w:pPr>
              <w:cnfStyle w:val="000000010000"/>
            </w:pPr>
            <w:r>
              <w:t>0.1108</w:t>
            </w:r>
          </w:p>
        </w:tc>
        <w:tc>
          <w:tcPr>
            <w:tcW w:w="1915" w:type="dxa"/>
            <w:vMerge w:val="restart"/>
            <w:vAlign w:val="bottom"/>
          </w:tcPr>
          <w:p w:rsidR="00B24CD2" w:rsidRDefault="00B24CD2" w:rsidP="00B24CD2">
            <w:pPr>
              <w:cnfStyle w:val="000000010000"/>
            </w:pPr>
          </w:p>
        </w:tc>
      </w:tr>
      <w:tr w:rsidR="00B24CD2">
        <w:trPr>
          <w:cnfStyle w:val="000000100000"/>
        </w:trPr>
        <w:tc>
          <w:tcPr>
            <w:cnfStyle w:val="001000000000"/>
            <w:tcW w:w="1916" w:type="dxa"/>
            <w:vAlign w:val="bottom"/>
          </w:tcPr>
          <w:p w:rsidR="00B24CD2" w:rsidRDefault="00B24CD2" w:rsidP="00B24CD2">
            <w:r>
              <w:t>B</w:t>
            </w:r>
          </w:p>
        </w:tc>
        <w:tc>
          <w:tcPr>
            <w:tcW w:w="1915" w:type="dxa"/>
            <w:vAlign w:val="bottom"/>
          </w:tcPr>
          <w:p w:rsidR="00B24CD2" w:rsidRDefault="00B24CD2" w:rsidP="00B24CD2">
            <w:pPr>
              <w:cnfStyle w:val="000000100000"/>
            </w:pPr>
            <w:r>
              <w:t>0.1985</w:t>
            </w:r>
          </w:p>
        </w:tc>
        <w:tc>
          <w:tcPr>
            <w:tcW w:w="1915" w:type="dxa"/>
            <w:vAlign w:val="bottom"/>
          </w:tcPr>
          <w:p w:rsidR="00B24CD2" w:rsidRDefault="00B24CD2" w:rsidP="00B24CD2">
            <w:pPr>
              <w:cnfStyle w:val="000000100000"/>
            </w:pPr>
            <w:r>
              <w:t>0.6641</w:t>
            </w:r>
          </w:p>
        </w:tc>
        <w:tc>
          <w:tcPr>
            <w:tcW w:w="1915" w:type="dxa"/>
            <w:vAlign w:val="bottom"/>
          </w:tcPr>
          <w:p w:rsidR="00B24CD2" w:rsidRDefault="00B24CD2" w:rsidP="00B24CD2">
            <w:pPr>
              <w:cnfStyle w:val="000000100000"/>
            </w:pPr>
            <w:r>
              <w:t>0.1374</w:t>
            </w:r>
          </w:p>
        </w:tc>
        <w:tc>
          <w:tcPr>
            <w:tcW w:w="1915" w:type="dxa"/>
            <w:vMerge/>
            <w:vAlign w:val="bottom"/>
          </w:tcPr>
          <w:p w:rsidR="00B24CD2" w:rsidRDefault="00B24CD2" w:rsidP="00B24CD2">
            <w:pPr>
              <w:cnfStyle w:val="000000100000"/>
            </w:pPr>
          </w:p>
        </w:tc>
      </w:tr>
      <w:tr w:rsidR="00B24CD2">
        <w:trPr>
          <w:cnfStyle w:val="000000010000"/>
        </w:trPr>
        <w:tc>
          <w:tcPr>
            <w:cnfStyle w:val="001000000000"/>
            <w:tcW w:w="1916" w:type="dxa"/>
            <w:vAlign w:val="bottom"/>
          </w:tcPr>
          <w:p w:rsidR="00B24CD2" w:rsidRDefault="00B24CD2" w:rsidP="00B24CD2">
            <w:r>
              <w:t>H</w:t>
            </w:r>
          </w:p>
        </w:tc>
        <w:tc>
          <w:tcPr>
            <w:tcW w:w="1915" w:type="dxa"/>
            <w:vAlign w:val="bottom"/>
          </w:tcPr>
          <w:p w:rsidR="00B24CD2" w:rsidRDefault="00B24CD2" w:rsidP="00B24CD2">
            <w:pPr>
              <w:cnfStyle w:val="000000010000"/>
            </w:pPr>
            <w:r>
              <w:t>0.1786</w:t>
            </w:r>
          </w:p>
        </w:tc>
        <w:tc>
          <w:tcPr>
            <w:tcW w:w="1915" w:type="dxa"/>
            <w:vAlign w:val="bottom"/>
          </w:tcPr>
          <w:p w:rsidR="00B24CD2" w:rsidRDefault="00B24CD2" w:rsidP="00B24CD2">
            <w:pPr>
              <w:cnfStyle w:val="000000010000"/>
            </w:pPr>
            <w:r>
              <w:t>0.1786</w:t>
            </w:r>
          </w:p>
        </w:tc>
        <w:tc>
          <w:tcPr>
            <w:tcW w:w="1915" w:type="dxa"/>
            <w:vAlign w:val="bottom"/>
          </w:tcPr>
          <w:p w:rsidR="00B24CD2" w:rsidRDefault="00B24CD2" w:rsidP="00B24CD2">
            <w:pPr>
              <w:cnfStyle w:val="000000010000"/>
            </w:pPr>
            <w:r>
              <w:t>0.6429</w:t>
            </w:r>
          </w:p>
        </w:tc>
        <w:tc>
          <w:tcPr>
            <w:tcW w:w="1915" w:type="dxa"/>
            <w:vMerge/>
            <w:vAlign w:val="bottom"/>
          </w:tcPr>
          <w:p w:rsidR="00B24CD2" w:rsidRDefault="00B24CD2" w:rsidP="00B24CD2">
            <w:pPr>
              <w:cnfStyle w:val="000000010000"/>
            </w:pPr>
          </w:p>
        </w:tc>
      </w:tr>
      <w:tr w:rsidR="00B24CD2">
        <w:trPr>
          <w:cnfStyle w:val="000000100000"/>
        </w:trPr>
        <w:tc>
          <w:tcPr>
            <w:cnfStyle w:val="001000000000"/>
            <w:tcW w:w="1916" w:type="dxa"/>
            <w:vAlign w:val="bottom"/>
          </w:tcPr>
          <w:p w:rsidR="00B24CD2" w:rsidRDefault="00B24CD2" w:rsidP="00B24CD2">
            <w:r>
              <w:t>Overall</w:t>
            </w:r>
          </w:p>
        </w:tc>
        <w:tc>
          <w:tcPr>
            <w:tcW w:w="5745" w:type="dxa"/>
            <w:gridSpan w:val="3"/>
            <w:vAlign w:val="bottom"/>
          </w:tcPr>
          <w:p w:rsidR="00B24CD2" w:rsidRDefault="00B24CD2" w:rsidP="00B24CD2">
            <w:pPr>
              <w:cnfStyle w:val="000000100000"/>
            </w:pPr>
          </w:p>
        </w:tc>
        <w:tc>
          <w:tcPr>
            <w:tcW w:w="1915" w:type="dxa"/>
            <w:vAlign w:val="bottom"/>
          </w:tcPr>
          <w:p w:rsidR="00B24CD2" w:rsidRDefault="00B24CD2" w:rsidP="00B24CD2">
            <w:pPr>
              <w:cnfStyle w:val="000000100000"/>
            </w:pPr>
            <w:r>
              <w:t>0.6994</w:t>
            </w:r>
          </w:p>
        </w:tc>
      </w:tr>
    </w:tbl>
    <w:p w:rsidR="00EA4E67" w:rsidRDefault="00EA4E67" w:rsidP="00794381"/>
    <w:p w:rsidR="00EA4E67" w:rsidRPr="00EA4E67" w:rsidRDefault="00EA4E67" w:rsidP="0024354B">
      <w:pPr>
        <w:pStyle w:val="Caption"/>
      </w:pPr>
      <w:bookmarkStart w:id="216" w:name="_Toc227982533"/>
      <w:proofErr w:type="gramStart"/>
      <w:r w:rsidRPr="00EA4E67">
        <w:t xml:space="preserve">Table </w:t>
      </w:r>
      <w:r w:rsidR="003731B6" w:rsidRPr="00EA4E67">
        <w:fldChar w:fldCharType="begin"/>
      </w:r>
      <w:r w:rsidRPr="00EA4E67">
        <w:instrText xml:space="preserve"> SEQ Table \* ARABIC </w:instrText>
      </w:r>
      <w:r w:rsidR="003731B6" w:rsidRPr="00EA4E67">
        <w:fldChar w:fldCharType="separate"/>
      </w:r>
      <w:r w:rsidR="001633BC">
        <w:rPr>
          <w:noProof/>
        </w:rPr>
        <w:t>25</w:t>
      </w:r>
      <w:r w:rsidR="003731B6" w:rsidRPr="00EA4E67">
        <w:fldChar w:fldCharType="end"/>
      </w:r>
      <w:r w:rsidRPr="00EA4E67">
        <w:t>.</w:t>
      </w:r>
      <w:proofErr w:type="gramEnd"/>
      <w:r>
        <w:t xml:space="preserve"> </w:t>
      </w:r>
      <w:r w:rsidRPr="00EA4E67">
        <w:t xml:space="preserve">6 variable LDA ancestry aggregated </w:t>
      </w:r>
      <w:r>
        <w:t>holdout</w:t>
      </w:r>
      <w:r w:rsidRPr="00EA4E67">
        <w:t xml:space="preserve"> classification rate</w:t>
      </w:r>
      <w:bookmarkEnd w:id="216"/>
    </w:p>
    <w:tbl>
      <w:tblPr>
        <w:tblStyle w:val="LightGrid-Accent11"/>
        <w:tblW w:w="0" w:type="auto"/>
        <w:tblLook w:val="04A0"/>
      </w:tblPr>
      <w:tblGrid>
        <w:gridCol w:w="1916"/>
        <w:gridCol w:w="1915"/>
        <w:gridCol w:w="1915"/>
        <w:gridCol w:w="1915"/>
        <w:gridCol w:w="1915"/>
      </w:tblGrid>
      <w:tr w:rsidR="00EA4E67">
        <w:trPr>
          <w:cnfStyle w:val="100000000000"/>
        </w:trPr>
        <w:tc>
          <w:tcPr>
            <w:cnfStyle w:val="001000000000"/>
            <w:tcW w:w="1916" w:type="dxa"/>
            <w:vAlign w:val="bottom"/>
          </w:tcPr>
          <w:p w:rsidR="00EA4E67" w:rsidRDefault="00EA4E67" w:rsidP="00EA4E67"/>
        </w:tc>
        <w:tc>
          <w:tcPr>
            <w:tcW w:w="7660" w:type="dxa"/>
            <w:gridSpan w:val="4"/>
            <w:vAlign w:val="bottom"/>
          </w:tcPr>
          <w:p w:rsidR="00EA4E67" w:rsidRDefault="00EA4E67" w:rsidP="00EA4E67">
            <w:pPr>
              <w:cnfStyle w:val="100000000000"/>
            </w:pPr>
            <w:r>
              <w:t>Predicted</w:t>
            </w:r>
          </w:p>
        </w:tc>
      </w:tr>
      <w:tr w:rsidR="00EA4E67">
        <w:trPr>
          <w:cnfStyle w:val="000000100000"/>
        </w:trPr>
        <w:tc>
          <w:tcPr>
            <w:cnfStyle w:val="001000000000"/>
            <w:tcW w:w="1916" w:type="dxa"/>
            <w:vAlign w:val="bottom"/>
          </w:tcPr>
          <w:p w:rsidR="00EA4E67" w:rsidRDefault="00EA4E67" w:rsidP="00EA4E67">
            <w:r>
              <w:t>Actual</w:t>
            </w:r>
          </w:p>
        </w:tc>
        <w:tc>
          <w:tcPr>
            <w:tcW w:w="1915" w:type="dxa"/>
            <w:vAlign w:val="bottom"/>
          </w:tcPr>
          <w:p w:rsidR="00EA4E67" w:rsidRPr="00EA4E67" w:rsidRDefault="00EA4E67" w:rsidP="00EA4E67">
            <w:pPr>
              <w:cnfStyle w:val="000000100000"/>
              <w:rPr>
                <w:b/>
              </w:rPr>
            </w:pPr>
            <w:r w:rsidRPr="00EA4E67">
              <w:rPr>
                <w:b/>
              </w:rPr>
              <w:t>W</w:t>
            </w:r>
          </w:p>
        </w:tc>
        <w:tc>
          <w:tcPr>
            <w:tcW w:w="1915" w:type="dxa"/>
            <w:vAlign w:val="bottom"/>
          </w:tcPr>
          <w:p w:rsidR="00EA4E67" w:rsidRPr="00EA4E67" w:rsidRDefault="00EA4E67" w:rsidP="00EA4E67">
            <w:pPr>
              <w:cnfStyle w:val="000000100000"/>
              <w:rPr>
                <w:b/>
              </w:rPr>
            </w:pPr>
            <w:r w:rsidRPr="00EA4E67">
              <w:rPr>
                <w:b/>
              </w:rPr>
              <w:t>B</w:t>
            </w:r>
          </w:p>
        </w:tc>
        <w:tc>
          <w:tcPr>
            <w:tcW w:w="1915" w:type="dxa"/>
            <w:vAlign w:val="bottom"/>
          </w:tcPr>
          <w:p w:rsidR="00EA4E67" w:rsidRPr="00EA4E67" w:rsidRDefault="00EA4E67" w:rsidP="00EA4E67">
            <w:pPr>
              <w:cnfStyle w:val="000000100000"/>
              <w:rPr>
                <w:b/>
              </w:rPr>
            </w:pPr>
            <w:r w:rsidRPr="00EA4E67">
              <w:rPr>
                <w:b/>
              </w:rPr>
              <w:t>H</w:t>
            </w:r>
          </w:p>
        </w:tc>
        <w:tc>
          <w:tcPr>
            <w:tcW w:w="1915" w:type="dxa"/>
            <w:vAlign w:val="bottom"/>
          </w:tcPr>
          <w:p w:rsidR="00EA4E67" w:rsidRPr="00EA4E67" w:rsidRDefault="00EA4E67" w:rsidP="00EA4E67">
            <w:pPr>
              <w:cnfStyle w:val="000000100000"/>
              <w:rPr>
                <w:b/>
              </w:rPr>
            </w:pPr>
            <w:r w:rsidRPr="00EA4E67">
              <w:rPr>
                <w:b/>
              </w:rPr>
              <w:t>Overall</w:t>
            </w:r>
          </w:p>
        </w:tc>
      </w:tr>
      <w:tr w:rsidR="00EA4E67">
        <w:trPr>
          <w:cnfStyle w:val="000000010000"/>
        </w:trPr>
        <w:tc>
          <w:tcPr>
            <w:cnfStyle w:val="001000000000"/>
            <w:tcW w:w="1916" w:type="dxa"/>
            <w:vAlign w:val="bottom"/>
          </w:tcPr>
          <w:p w:rsidR="00EA4E67" w:rsidRDefault="00EA4E67" w:rsidP="00EA4E67">
            <w:r>
              <w:t>W</w:t>
            </w:r>
          </w:p>
        </w:tc>
        <w:tc>
          <w:tcPr>
            <w:tcW w:w="1915" w:type="dxa"/>
            <w:vAlign w:val="bottom"/>
          </w:tcPr>
          <w:p w:rsidR="00EA4E67" w:rsidRDefault="00EA4E67" w:rsidP="00EA4E67">
            <w:pPr>
              <w:cnfStyle w:val="000000010000"/>
            </w:pPr>
            <w:r>
              <w:t>0.7397</w:t>
            </w:r>
          </w:p>
        </w:tc>
        <w:tc>
          <w:tcPr>
            <w:tcW w:w="1915" w:type="dxa"/>
            <w:vAlign w:val="bottom"/>
          </w:tcPr>
          <w:p w:rsidR="00EA4E67" w:rsidRDefault="00EA4E67" w:rsidP="00EA4E67">
            <w:pPr>
              <w:cnfStyle w:val="000000010000"/>
            </w:pPr>
            <w:r>
              <w:t>0.1712</w:t>
            </w:r>
          </w:p>
        </w:tc>
        <w:tc>
          <w:tcPr>
            <w:tcW w:w="1915" w:type="dxa"/>
            <w:vAlign w:val="bottom"/>
          </w:tcPr>
          <w:p w:rsidR="00EA4E67" w:rsidRDefault="00EA4E67" w:rsidP="00EA4E67">
            <w:pPr>
              <w:cnfStyle w:val="000000010000"/>
            </w:pPr>
            <w:r>
              <w:t>0.1473</w:t>
            </w:r>
          </w:p>
        </w:tc>
        <w:tc>
          <w:tcPr>
            <w:tcW w:w="1915" w:type="dxa"/>
            <w:vMerge w:val="restart"/>
            <w:vAlign w:val="bottom"/>
          </w:tcPr>
          <w:p w:rsidR="00EA4E67" w:rsidRDefault="00EA4E67" w:rsidP="00EA4E67">
            <w:pPr>
              <w:cnfStyle w:val="000000010000"/>
            </w:pPr>
          </w:p>
        </w:tc>
      </w:tr>
      <w:tr w:rsidR="00EA4E67">
        <w:trPr>
          <w:cnfStyle w:val="000000100000"/>
        </w:trPr>
        <w:tc>
          <w:tcPr>
            <w:cnfStyle w:val="001000000000"/>
            <w:tcW w:w="1916" w:type="dxa"/>
            <w:vAlign w:val="bottom"/>
          </w:tcPr>
          <w:p w:rsidR="00EA4E67" w:rsidRDefault="00EA4E67" w:rsidP="00EA4E67">
            <w:r>
              <w:t>B</w:t>
            </w:r>
          </w:p>
        </w:tc>
        <w:tc>
          <w:tcPr>
            <w:tcW w:w="1915" w:type="dxa"/>
            <w:vAlign w:val="bottom"/>
          </w:tcPr>
          <w:p w:rsidR="00EA4E67" w:rsidRDefault="00EA4E67" w:rsidP="00EA4E67">
            <w:pPr>
              <w:cnfStyle w:val="000000100000"/>
            </w:pPr>
            <w:r>
              <w:t>0.1475</w:t>
            </w:r>
          </w:p>
        </w:tc>
        <w:tc>
          <w:tcPr>
            <w:tcW w:w="1915" w:type="dxa"/>
            <w:vAlign w:val="bottom"/>
          </w:tcPr>
          <w:p w:rsidR="00EA4E67" w:rsidRDefault="00EA4E67" w:rsidP="00EA4E67">
            <w:pPr>
              <w:cnfStyle w:val="000000100000"/>
            </w:pPr>
            <w:r>
              <w:t>0.7049</w:t>
            </w:r>
          </w:p>
        </w:tc>
        <w:tc>
          <w:tcPr>
            <w:tcW w:w="1915" w:type="dxa"/>
            <w:vAlign w:val="bottom"/>
          </w:tcPr>
          <w:p w:rsidR="00EA4E67" w:rsidRDefault="00EA4E67" w:rsidP="00EA4E67">
            <w:pPr>
              <w:cnfStyle w:val="000000100000"/>
            </w:pPr>
            <w:r>
              <w:t>0.1475</w:t>
            </w:r>
          </w:p>
        </w:tc>
        <w:tc>
          <w:tcPr>
            <w:tcW w:w="1915" w:type="dxa"/>
            <w:vMerge/>
            <w:vAlign w:val="bottom"/>
          </w:tcPr>
          <w:p w:rsidR="00EA4E67" w:rsidRDefault="00EA4E67" w:rsidP="00EA4E67">
            <w:pPr>
              <w:cnfStyle w:val="000000100000"/>
            </w:pPr>
          </w:p>
        </w:tc>
      </w:tr>
      <w:tr w:rsidR="00EA4E67">
        <w:trPr>
          <w:cnfStyle w:val="000000010000"/>
        </w:trPr>
        <w:tc>
          <w:tcPr>
            <w:cnfStyle w:val="001000000000"/>
            <w:tcW w:w="1916" w:type="dxa"/>
            <w:vAlign w:val="bottom"/>
          </w:tcPr>
          <w:p w:rsidR="00EA4E67" w:rsidRDefault="00EA4E67" w:rsidP="00EA4E67">
            <w:r>
              <w:t>H</w:t>
            </w:r>
          </w:p>
        </w:tc>
        <w:tc>
          <w:tcPr>
            <w:tcW w:w="1915" w:type="dxa"/>
            <w:vAlign w:val="bottom"/>
          </w:tcPr>
          <w:p w:rsidR="00EA4E67" w:rsidRDefault="00EA4E67" w:rsidP="00EA4E67">
            <w:pPr>
              <w:cnfStyle w:val="000000010000"/>
            </w:pPr>
            <w:r>
              <w:t>0.2727</w:t>
            </w:r>
          </w:p>
        </w:tc>
        <w:tc>
          <w:tcPr>
            <w:tcW w:w="1915" w:type="dxa"/>
            <w:vAlign w:val="bottom"/>
          </w:tcPr>
          <w:p w:rsidR="00EA4E67" w:rsidRDefault="00EA4E67" w:rsidP="00EA4E67">
            <w:pPr>
              <w:cnfStyle w:val="000000010000"/>
            </w:pPr>
            <w:r>
              <w:t>0.1818</w:t>
            </w:r>
          </w:p>
        </w:tc>
        <w:tc>
          <w:tcPr>
            <w:tcW w:w="1915" w:type="dxa"/>
            <w:vAlign w:val="bottom"/>
          </w:tcPr>
          <w:p w:rsidR="00EA4E67" w:rsidRDefault="00EA4E67" w:rsidP="00EA4E67">
            <w:pPr>
              <w:cnfStyle w:val="000000010000"/>
            </w:pPr>
            <w:r>
              <w:t>0.5455</w:t>
            </w:r>
          </w:p>
        </w:tc>
        <w:tc>
          <w:tcPr>
            <w:tcW w:w="1915" w:type="dxa"/>
            <w:vMerge/>
            <w:vAlign w:val="bottom"/>
          </w:tcPr>
          <w:p w:rsidR="00EA4E67" w:rsidRDefault="00EA4E67" w:rsidP="00EA4E67">
            <w:pPr>
              <w:cnfStyle w:val="000000010000"/>
            </w:pPr>
          </w:p>
        </w:tc>
      </w:tr>
      <w:tr w:rsidR="00EA4E67">
        <w:trPr>
          <w:cnfStyle w:val="000000100000"/>
        </w:trPr>
        <w:tc>
          <w:tcPr>
            <w:cnfStyle w:val="001000000000"/>
            <w:tcW w:w="1916" w:type="dxa"/>
            <w:vAlign w:val="bottom"/>
          </w:tcPr>
          <w:p w:rsidR="00EA4E67" w:rsidRDefault="00EA4E67" w:rsidP="00EA4E67">
            <w:r>
              <w:t>Overall</w:t>
            </w:r>
          </w:p>
        </w:tc>
        <w:tc>
          <w:tcPr>
            <w:tcW w:w="5745" w:type="dxa"/>
            <w:gridSpan w:val="3"/>
            <w:vAlign w:val="bottom"/>
          </w:tcPr>
          <w:p w:rsidR="00EA4E67" w:rsidRDefault="00EA4E67" w:rsidP="00EA4E67">
            <w:pPr>
              <w:cnfStyle w:val="000000100000"/>
            </w:pPr>
          </w:p>
        </w:tc>
        <w:tc>
          <w:tcPr>
            <w:tcW w:w="1915" w:type="dxa"/>
            <w:vAlign w:val="bottom"/>
          </w:tcPr>
          <w:p w:rsidR="00EA4E67" w:rsidRDefault="00EA4E67" w:rsidP="00EA4E67">
            <w:pPr>
              <w:cnfStyle w:val="000000100000"/>
            </w:pPr>
            <w:r>
              <w:t>0.7227</w:t>
            </w:r>
          </w:p>
        </w:tc>
      </w:tr>
    </w:tbl>
    <w:p w:rsidR="006345DD" w:rsidRDefault="006345DD" w:rsidP="00794381"/>
    <w:p w:rsidR="004B45BB" w:rsidRPr="004B45BB" w:rsidRDefault="004B45BB" w:rsidP="0024354B">
      <w:pPr>
        <w:pStyle w:val="Caption"/>
      </w:pPr>
      <w:bookmarkStart w:id="217" w:name="_Toc227982534"/>
      <w:proofErr w:type="gramStart"/>
      <w:r w:rsidRPr="004B45BB">
        <w:t xml:space="preserve">Table </w:t>
      </w:r>
      <w:r w:rsidR="003731B6" w:rsidRPr="004B45BB">
        <w:fldChar w:fldCharType="begin"/>
      </w:r>
      <w:r w:rsidRPr="004B45BB">
        <w:instrText xml:space="preserve"> SEQ Table \* ARABIC </w:instrText>
      </w:r>
      <w:r w:rsidR="003731B6" w:rsidRPr="004B45BB">
        <w:fldChar w:fldCharType="separate"/>
      </w:r>
      <w:r w:rsidR="001633BC">
        <w:rPr>
          <w:noProof/>
        </w:rPr>
        <w:t>26</w:t>
      </w:r>
      <w:r w:rsidR="003731B6" w:rsidRPr="004B45BB">
        <w:fldChar w:fldCharType="end"/>
      </w:r>
      <w:r w:rsidRPr="004B45BB">
        <w:t>.</w:t>
      </w:r>
      <w:proofErr w:type="gramEnd"/>
      <w:r w:rsidRPr="004B45BB">
        <w:t xml:space="preserve"> 3 variable QDA </w:t>
      </w:r>
      <w:proofErr w:type="gramStart"/>
      <w:r w:rsidRPr="004B45BB">
        <w:t>ancestry</w:t>
      </w:r>
      <w:proofErr w:type="gramEnd"/>
      <w:r w:rsidRPr="004B45BB">
        <w:t xml:space="preserve"> aggregated cross-validation classification rate</w:t>
      </w:r>
      <w:bookmarkEnd w:id="217"/>
    </w:p>
    <w:tbl>
      <w:tblPr>
        <w:tblStyle w:val="LightGrid-Accent11"/>
        <w:tblW w:w="0" w:type="auto"/>
        <w:tblLook w:val="04A0"/>
      </w:tblPr>
      <w:tblGrid>
        <w:gridCol w:w="1916"/>
        <w:gridCol w:w="1915"/>
        <w:gridCol w:w="1915"/>
        <w:gridCol w:w="1915"/>
        <w:gridCol w:w="1915"/>
      </w:tblGrid>
      <w:tr w:rsidR="006345DD">
        <w:trPr>
          <w:cnfStyle w:val="100000000000"/>
        </w:trPr>
        <w:tc>
          <w:tcPr>
            <w:cnfStyle w:val="001000000000"/>
            <w:tcW w:w="1916" w:type="dxa"/>
            <w:vAlign w:val="bottom"/>
          </w:tcPr>
          <w:p w:rsidR="006345DD" w:rsidRDefault="006345DD" w:rsidP="006345DD"/>
        </w:tc>
        <w:tc>
          <w:tcPr>
            <w:tcW w:w="7660" w:type="dxa"/>
            <w:gridSpan w:val="4"/>
            <w:vAlign w:val="bottom"/>
          </w:tcPr>
          <w:p w:rsidR="006345DD" w:rsidRDefault="006345DD" w:rsidP="006345DD">
            <w:pPr>
              <w:cnfStyle w:val="100000000000"/>
            </w:pPr>
            <w:r>
              <w:t>Predicted</w:t>
            </w:r>
          </w:p>
        </w:tc>
      </w:tr>
      <w:tr w:rsidR="006345DD">
        <w:trPr>
          <w:cnfStyle w:val="000000100000"/>
        </w:trPr>
        <w:tc>
          <w:tcPr>
            <w:cnfStyle w:val="001000000000"/>
            <w:tcW w:w="1916" w:type="dxa"/>
            <w:vAlign w:val="bottom"/>
          </w:tcPr>
          <w:p w:rsidR="006345DD" w:rsidRDefault="006345DD" w:rsidP="006345DD">
            <w:r>
              <w:t>Actual</w:t>
            </w:r>
          </w:p>
        </w:tc>
        <w:tc>
          <w:tcPr>
            <w:tcW w:w="1915" w:type="dxa"/>
            <w:vAlign w:val="bottom"/>
          </w:tcPr>
          <w:p w:rsidR="006345DD" w:rsidRPr="006345DD" w:rsidRDefault="006345DD" w:rsidP="006345DD">
            <w:pPr>
              <w:cnfStyle w:val="000000100000"/>
              <w:rPr>
                <w:b/>
              </w:rPr>
            </w:pPr>
            <w:r w:rsidRPr="006345DD">
              <w:rPr>
                <w:b/>
              </w:rPr>
              <w:t>W</w:t>
            </w:r>
          </w:p>
        </w:tc>
        <w:tc>
          <w:tcPr>
            <w:tcW w:w="1915" w:type="dxa"/>
            <w:vAlign w:val="bottom"/>
          </w:tcPr>
          <w:p w:rsidR="006345DD" w:rsidRPr="006345DD" w:rsidRDefault="006345DD" w:rsidP="006345DD">
            <w:pPr>
              <w:cnfStyle w:val="000000100000"/>
              <w:rPr>
                <w:b/>
              </w:rPr>
            </w:pPr>
            <w:r w:rsidRPr="006345DD">
              <w:rPr>
                <w:b/>
              </w:rPr>
              <w:t>B</w:t>
            </w:r>
          </w:p>
        </w:tc>
        <w:tc>
          <w:tcPr>
            <w:tcW w:w="1915" w:type="dxa"/>
            <w:vAlign w:val="bottom"/>
          </w:tcPr>
          <w:p w:rsidR="006345DD" w:rsidRPr="006345DD" w:rsidRDefault="006345DD" w:rsidP="006345DD">
            <w:pPr>
              <w:cnfStyle w:val="000000100000"/>
              <w:rPr>
                <w:b/>
              </w:rPr>
            </w:pPr>
            <w:r w:rsidRPr="006345DD">
              <w:rPr>
                <w:b/>
              </w:rPr>
              <w:t>H</w:t>
            </w:r>
          </w:p>
        </w:tc>
        <w:tc>
          <w:tcPr>
            <w:tcW w:w="1915" w:type="dxa"/>
            <w:vAlign w:val="bottom"/>
          </w:tcPr>
          <w:p w:rsidR="006345DD" w:rsidRPr="006345DD" w:rsidRDefault="006345DD" w:rsidP="006345DD">
            <w:pPr>
              <w:cnfStyle w:val="000000100000"/>
              <w:rPr>
                <w:b/>
              </w:rPr>
            </w:pPr>
            <w:r w:rsidRPr="006345DD">
              <w:rPr>
                <w:b/>
              </w:rPr>
              <w:t>Overall</w:t>
            </w:r>
          </w:p>
        </w:tc>
      </w:tr>
      <w:tr w:rsidR="006345DD">
        <w:trPr>
          <w:cnfStyle w:val="000000010000"/>
        </w:trPr>
        <w:tc>
          <w:tcPr>
            <w:cnfStyle w:val="001000000000"/>
            <w:tcW w:w="1916" w:type="dxa"/>
            <w:vAlign w:val="bottom"/>
          </w:tcPr>
          <w:p w:rsidR="006345DD" w:rsidRDefault="006345DD" w:rsidP="006345DD">
            <w:r>
              <w:t>W</w:t>
            </w:r>
          </w:p>
        </w:tc>
        <w:tc>
          <w:tcPr>
            <w:tcW w:w="1915" w:type="dxa"/>
            <w:vAlign w:val="bottom"/>
          </w:tcPr>
          <w:p w:rsidR="006345DD" w:rsidRDefault="006345DD" w:rsidP="006345DD">
            <w:pPr>
              <w:cnfStyle w:val="000000010000"/>
            </w:pPr>
            <w:r>
              <w:t>0.6287</w:t>
            </w:r>
          </w:p>
        </w:tc>
        <w:tc>
          <w:tcPr>
            <w:tcW w:w="1915" w:type="dxa"/>
            <w:vAlign w:val="bottom"/>
          </w:tcPr>
          <w:p w:rsidR="006345DD" w:rsidRDefault="006345DD" w:rsidP="006345DD">
            <w:pPr>
              <w:cnfStyle w:val="000000010000"/>
            </w:pPr>
            <w:r>
              <w:t>0.2006</w:t>
            </w:r>
          </w:p>
        </w:tc>
        <w:tc>
          <w:tcPr>
            <w:tcW w:w="1915" w:type="dxa"/>
            <w:vAlign w:val="bottom"/>
          </w:tcPr>
          <w:p w:rsidR="006345DD" w:rsidRDefault="006345DD" w:rsidP="006345DD">
            <w:pPr>
              <w:cnfStyle w:val="000000010000"/>
            </w:pPr>
            <w:r>
              <w:t>0.1707</w:t>
            </w:r>
          </w:p>
        </w:tc>
        <w:tc>
          <w:tcPr>
            <w:tcW w:w="1915" w:type="dxa"/>
            <w:vMerge w:val="restart"/>
            <w:vAlign w:val="bottom"/>
          </w:tcPr>
          <w:p w:rsidR="006345DD" w:rsidRDefault="006345DD" w:rsidP="006345DD">
            <w:pPr>
              <w:cnfStyle w:val="000000010000"/>
            </w:pPr>
          </w:p>
        </w:tc>
      </w:tr>
      <w:tr w:rsidR="006345DD">
        <w:trPr>
          <w:cnfStyle w:val="000000100000"/>
        </w:trPr>
        <w:tc>
          <w:tcPr>
            <w:cnfStyle w:val="001000000000"/>
            <w:tcW w:w="1916" w:type="dxa"/>
            <w:vAlign w:val="bottom"/>
          </w:tcPr>
          <w:p w:rsidR="006345DD" w:rsidRDefault="006345DD" w:rsidP="006345DD">
            <w:r>
              <w:t>B</w:t>
            </w:r>
          </w:p>
        </w:tc>
        <w:tc>
          <w:tcPr>
            <w:tcW w:w="1915" w:type="dxa"/>
            <w:vAlign w:val="bottom"/>
          </w:tcPr>
          <w:p w:rsidR="006345DD" w:rsidRDefault="006345DD" w:rsidP="006345DD">
            <w:pPr>
              <w:cnfStyle w:val="000000100000"/>
            </w:pPr>
            <w:r>
              <w:t>0.2443</w:t>
            </w:r>
          </w:p>
        </w:tc>
        <w:tc>
          <w:tcPr>
            <w:tcW w:w="1915" w:type="dxa"/>
            <w:vAlign w:val="bottom"/>
          </w:tcPr>
          <w:p w:rsidR="006345DD" w:rsidRDefault="006345DD" w:rsidP="006345DD">
            <w:pPr>
              <w:cnfStyle w:val="000000100000"/>
            </w:pPr>
            <w:r>
              <w:t>0.6183</w:t>
            </w:r>
          </w:p>
        </w:tc>
        <w:tc>
          <w:tcPr>
            <w:tcW w:w="1915" w:type="dxa"/>
            <w:vAlign w:val="bottom"/>
          </w:tcPr>
          <w:p w:rsidR="006345DD" w:rsidRDefault="006345DD" w:rsidP="006345DD">
            <w:pPr>
              <w:cnfStyle w:val="000000100000"/>
            </w:pPr>
            <w:r>
              <w:t>0.1374</w:t>
            </w:r>
          </w:p>
        </w:tc>
        <w:tc>
          <w:tcPr>
            <w:tcW w:w="1915" w:type="dxa"/>
            <w:vMerge/>
            <w:vAlign w:val="bottom"/>
          </w:tcPr>
          <w:p w:rsidR="006345DD" w:rsidRDefault="006345DD" w:rsidP="006345DD">
            <w:pPr>
              <w:cnfStyle w:val="000000100000"/>
            </w:pPr>
          </w:p>
        </w:tc>
      </w:tr>
      <w:tr w:rsidR="006345DD">
        <w:trPr>
          <w:cnfStyle w:val="000000010000"/>
        </w:trPr>
        <w:tc>
          <w:tcPr>
            <w:cnfStyle w:val="001000000000"/>
            <w:tcW w:w="1916" w:type="dxa"/>
            <w:vAlign w:val="bottom"/>
          </w:tcPr>
          <w:p w:rsidR="006345DD" w:rsidRDefault="006345DD" w:rsidP="006345DD">
            <w:r>
              <w:t>H</w:t>
            </w:r>
          </w:p>
        </w:tc>
        <w:tc>
          <w:tcPr>
            <w:tcW w:w="1915" w:type="dxa"/>
            <w:vAlign w:val="bottom"/>
          </w:tcPr>
          <w:p w:rsidR="006345DD" w:rsidRDefault="006345DD" w:rsidP="006345DD">
            <w:pPr>
              <w:cnfStyle w:val="000000010000"/>
            </w:pPr>
            <w:r>
              <w:t>0.2857</w:t>
            </w:r>
          </w:p>
        </w:tc>
        <w:tc>
          <w:tcPr>
            <w:tcW w:w="1915" w:type="dxa"/>
            <w:vAlign w:val="bottom"/>
          </w:tcPr>
          <w:p w:rsidR="006345DD" w:rsidRDefault="006345DD" w:rsidP="006345DD">
            <w:pPr>
              <w:cnfStyle w:val="000000010000"/>
            </w:pPr>
            <w:r>
              <w:t>0.1964</w:t>
            </w:r>
          </w:p>
        </w:tc>
        <w:tc>
          <w:tcPr>
            <w:tcW w:w="1915" w:type="dxa"/>
            <w:vAlign w:val="bottom"/>
          </w:tcPr>
          <w:p w:rsidR="006345DD" w:rsidRDefault="006345DD" w:rsidP="006345DD">
            <w:pPr>
              <w:cnfStyle w:val="000000010000"/>
            </w:pPr>
            <w:r>
              <w:t>0.5179</w:t>
            </w:r>
          </w:p>
        </w:tc>
        <w:tc>
          <w:tcPr>
            <w:tcW w:w="1915" w:type="dxa"/>
            <w:vMerge/>
            <w:vAlign w:val="bottom"/>
          </w:tcPr>
          <w:p w:rsidR="006345DD" w:rsidRDefault="006345DD" w:rsidP="006345DD">
            <w:pPr>
              <w:cnfStyle w:val="000000010000"/>
            </w:pPr>
          </w:p>
        </w:tc>
      </w:tr>
      <w:tr w:rsidR="006345DD">
        <w:trPr>
          <w:cnfStyle w:val="000000100000"/>
        </w:trPr>
        <w:tc>
          <w:tcPr>
            <w:cnfStyle w:val="001000000000"/>
            <w:tcW w:w="1916" w:type="dxa"/>
            <w:vAlign w:val="bottom"/>
          </w:tcPr>
          <w:p w:rsidR="006345DD" w:rsidRDefault="006345DD" w:rsidP="006345DD">
            <w:r>
              <w:t>Overall</w:t>
            </w:r>
          </w:p>
        </w:tc>
        <w:tc>
          <w:tcPr>
            <w:tcW w:w="5745" w:type="dxa"/>
            <w:gridSpan w:val="3"/>
            <w:vAlign w:val="bottom"/>
          </w:tcPr>
          <w:p w:rsidR="006345DD" w:rsidRDefault="006345DD" w:rsidP="006345DD">
            <w:pPr>
              <w:cnfStyle w:val="000000100000"/>
            </w:pPr>
          </w:p>
        </w:tc>
        <w:tc>
          <w:tcPr>
            <w:tcW w:w="1915" w:type="dxa"/>
            <w:vAlign w:val="bottom"/>
          </w:tcPr>
          <w:p w:rsidR="006345DD" w:rsidRDefault="006345DD" w:rsidP="006345DD">
            <w:pPr>
              <w:cnfStyle w:val="000000100000"/>
            </w:pPr>
            <w:r>
              <w:t>0.6199</w:t>
            </w:r>
          </w:p>
        </w:tc>
      </w:tr>
    </w:tbl>
    <w:p w:rsidR="004B45BB" w:rsidRDefault="004B45BB" w:rsidP="00794381"/>
    <w:p w:rsidR="004B45BB" w:rsidRPr="004B45BB" w:rsidRDefault="004B45BB" w:rsidP="0024354B">
      <w:pPr>
        <w:pStyle w:val="Caption"/>
      </w:pPr>
      <w:bookmarkStart w:id="218" w:name="_Toc227982535"/>
      <w:proofErr w:type="gramStart"/>
      <w:r w:rsidRPr="004B45BB">
        <w:t xml:space="preserve">Table </w:t>
      </w:r>
      <w:r w:rsidR="003731B6" w:rsidRPr="004B45BB">
        <w:fldChar w:fldCharType="begin"/>
      </w:r>
      <w:r w:rsidRPr="004B45BB">
        <w:instrText xml:space="preserve"> SEQ Table \* ARABIC </w:instrText>
      </w:r>
      <w:r w:rsidR="003731B6" w:rsidRPr="004B45BB">
        <w:fldChar w:fldCharType="separate"/>
      </w:r>
      <w:r w:rsidR="001633BC">
        <w:rPr>
          <w:noProof/>
        </w:rPr>
        <w:t>27</w:t>
      </w:r>
      <w:r w:rsidR="003731B6" w:rsidRPr="004B45BB">
        <w:fldChar w:fldCharType="end"/>
      </w:r>
      <w:r w:rsidRPr="004B45BB">
        <w:t>.</w:t>
      </w:r>
      <w:proofErr w:type="gramEnd"/>
      <w:r>
        <w:t xml:space="preserve"> </w:t>
      </w:r>
      <w:r w:rsidRPr="004B45BB">
        <w:t xml:space="preserve">3 variable QDA ancestry aggregated </w:t>
      </w:r>
      <w:r>
        <w:t>holdout</w:t>
      </w:r>
      <w:r w:rsidRPr="004B45BB">
        <w:t xml:space="preserve"> classification rate</w:t>
      </w:r>
      <w:bookmarkEnd w:id="218"/>
    </w:p>
    <w:tbl>
      <w:tblPr>
        <w:tblStyle w:val="LightGrid-Accent11"/>
        <w:tblW w:w="0" w:type="auto"/>
        <w:tblLook w:val="04A0"/>
      </w:tblPr>
      <w:tblGrid>
        <w:gridCol w:w="1916"/>
        <w:gridCol w:w="1915"/>
        <w:gridCol w:w="1915"/>
        <w:gridCol w:w="1915"/>
        <w:gridCol w:w="1915"/>
      </w:tblGrid>
      <w:tr w:rsidR="004B45BB">
        <w:trPr>
          <w:cnfStyle w:val="100000000000"/>
        </w:trPr>
        <w:tc>
          <w:tcPr>
            <w:cnfStyle w:val="001000000000"/>
            <w:tcW w:w="1916" w:type="dxa"/>
            <w:vAlign w:val="bottom"/>
          </w:tcPr>
          <w:p w:rsidR="004B45BB" w:rsidRDefault="004B45BB" w:rsidP="004B45BB"/>
        </w:tc>
        <w:tc>
          <w:tcPr>
            <w:tcW w:w="7660" w:type="dxa"/>
            <w:gridSpan w:val="4"/>
            <w:vAlign w:val="bottom"/>
          </w:tcPr>
          <w:p w:rsidR="004B45BB" w:rsidRDefault="004B45BB" w:rsidP="004B45BB">
            <w:pPr>
              <w:cnfStyle w:val="100000000000"/>
            </w:pPr>
            <w:r>
              <w:t>Predicted</w:t>
            </w:r>
          </w:p>
        </w:tc>
      </w:tr>
      <w:tr w:rsidR="004B45BB">
        <w:trPr>
          <w:cnfStyle w:val="000000100000"/>
        </w:trPr>
        <w:tc>
          <w:tcPr>
            <w:cnfStyle w:val="001000000000"/>
            <w:tcW w:w="1916" w:type="dxa"/>
            <w:vAlign w:val="bottom"/>
          </w:tcPr>
          <w:p w:rsidR="004B45BB" w:rsidRDefault="004B45BB" w:rsidP="004B45BB">
            <w:r>
              <w:t>Actual</w:t>
            </w:r>
          </w:p>
        </w:tc>
        <w:tc>
          <w:tcPr>
            <w:tcW w:w="1915" w:type="dxa"/>
            <w:vAlign w:val="bottom"/>
          </w:tcPr>
          <w:p w:rsidR="004B45BB" w:rsidRPr="004B45BB" w:rsidRDefault="004B45BB" w:rsidP="004B45BB">
            <w:pPr>
              <w:cnfStyle w:val="000000100000"/>
              <w:rPr>
                <w:b/>
              </w:rPr>
            </w:pPr>
            <w:r w:rsidRPr="004B45BB">
              <w:rPr>
                <w:b/>
              </w:rPr>
              <w:t>W</w:t>
            </w:r>
          </w:p>
        </w:tc>
        <w:tc>
          <w:tcPr>
            <w:tcW w:w="1915" w:type="dxa"/>
            <w:vAlign w:val="bottom"/>
          </w:tcPr>
          <w:p w:rsidR="004B45BB" w:rsidRPr="004B45BB" w:rsidRDefault="004B45BB" w:rsidP="004B45BB">
            <w:pPr>
              <w:cnfStyle w:val="000000100000"/>
              <w:rPr>
                <w:b/>
              </w:rPr>
            </w:pPr>
            <w:r w:rsidRPr="004B45BB">
              <w:rPr>
                <w:b/>
              </w:rPr>
              <w:t>B</w:t>
            </w:r>
          </w:p>
        </w:tc>
        <w:tc>
          <w:tcPr>
            <w:tcW w:w="1915" w:type="dxa"/>
            <w:vAlign w:val="bottom"/>
          </w:tcPr>
          <w:p w:rsidR="004B45BB" w:rsidRPr="004B45BB" w:rsidRDefault="004B45BB" w:rsidP="004B45BB">
            <w:pPr>
              <w:cnfStyle w:val="000000100000"/>
              <w:rPr>
                <w:b/>
              </w:rPr>
            </w:pPr>
            <w:r w:rsidRPr="004B45BB">
              <w:rPr>
                <w:b/>
              </w:rPr>
              <w:t>H</w:t>
            </w:r>
          </w:p>
        </w:tc>
        <w:tc>
          <w:tcPr>
            <w:tcW w:w="1915" w:type="dxa"/>
            <w:vAlign w:val="bottom"/>
          </w:tcPr>
          <w:p w:rsidR="004B45BB" w:rsidRPr="004B45BB" w:rsidRDefault="004B45BB" w:rsidP="004B45BB">
            <w:pPr>
              <w:cnfStyle w:val="000000100000"/>
              <w:rPr>
                <w:b/>
              </w:rPr>
            </w:pPr>
            <w:r w:rsidRPr="004B45BB">
              <w:rPr>
                <w:b/>
              </w:rPr>
              <w:t>Overall</w:t>
            </w:r>
          </w:p>
        </w:tc>
      </w:tr>
      <w:tr w:rsidR="004B45BB">
        <w:trPr>
          <w:cnfStyle w:val="000000010000"/>
        </w:trPr>
        <w:tc>
          <w:tcPr>
            <w:cnfStyle w:val="001000000000"/>
            <w:tcW w:w="1916" w:type="dxa"/>
            <w:vAlign w:val="bottom"/>
          </w:tcPr>
          <w:p w:rsidR="004B45BB" w:rsidRDefault="004B45BB" w:rsidP="004B45BB">
            <w:r>
              <w:t>W</w:t>
            </w:r>
          </w:p>
        </w:tc>
        <w:tc>
          <w:tcPr>
            <w:tcW w:w="1915" w:type="dxa"/>
            <w:vAlign w:val="bottom"/>
          </w:tcPr>
          <w:p w:rsidR="004B45BB" w:rsidRDefault="004B45BB" w:rsidP="004B45BB">
            <w:pPr>
              <w:cnfStyle w:val="000000010000"/>
            </w:pPr>
            <w:r>
              <w:t>0.6644</w:t>
            </w:r>
          </w:p>
        </w:tc>
        <w:tc>
          <w:tcPr>
            <w:tcW w:w="1915" w:type="dxa"/>
            <w:vAlign w:val="bottom"/>
          </w:tcPr>
          <w:p w:rsidR="004B45BB" w:rsidRDefault="004B45BB" w:rsidP="004B45BB">
            <w:pPr>
              <w:cnfStyle w:val="000000010000"/>
            </w:pPr>
            <w:r>
              <w:t>0.1884</w:t>
            </w:r>
          </w:p>
        </w:tc>
        <w:tc>
          <w:tcPr>
            <w:tcW w:w="1915" w:type="dxa"/>
            <w:vAlign w:val="bottom"/>
          </w:tcPr>
          <w:p w:rsidR="004B45BB" w:rsidRDefault="004B45BB" w:rsidP="004B45BB">
            <w:pPr>
              <w:cnfStyle w:val="000000010000"/>
            </w:pPr>
            <w:r>
              <w:t>0.1473</w:t>
            </w:r>
          </w:p>
        </w:tc>
        <w:tc>
          <w:tcPr>
            <w:tcW w:w="1915" w:type="dxa"/>
            <w:vMerge w:val="restart"/>
            <w:vAlign w:val="bottom"/>
          </w:tcPr>
          <w:p w:rsidR="004B45BB" w:rsidRDefault="004B45BB" w:rsidP="004B45BB">
            <w:pPr>
              <w:cnfStyle w:val="000000010000"/>
            </w:pPr>
          </w:p>
        </w:tc>
      </w:tr>
      <w:tr w:rsidR="004B45BB">
        <w:trPr>
          <w:cnfStyle w:val="000000100000"/>
        </w:trPr>
        <w:tc>
          <w:tcPr>
            <w:cnfStyle w:val="001000000000"/>
            <w:tcW w:w="1916" w:type="dxa"/>
            <w:vAlign w:val="bottom"/>
          </w:tcPr>
          <w:p w:rsidR="004B45BB" w:rsidRDefault="004B45BB" w:rsidP="004B45BB">
            <w:r>
              <w:t>B</w:t>
            </w:r>
          </w:p>
        </w:tc>
        <w:tc>
          <w:tcPr>
            <w:tcW w:w="1915" w:type="dxa"/>
            <w:vAlign w:val="bottom"/>
          </w:tcPr>
          <w:p w:rsidR="004B45BB" w:rsidRDefault="004B45BB" w:rsidP="004B45BB">
            <w:pPr>
              <w:cnfStyle w:val="000000100000"/>
            </w:pPr>
            <w:r>
              <w:t>0.1967</w:t>
            </w:r>
          </w:p>
        </w:tc>
        <w:tc>
          <w:tcPr>
            <w:tcW w:w="1915" w:type="dxa"/>
            <w:vAlign w:val="bottom"/>
          </w:tcPr>
          <w:p w:rsidR="004B45BB" w:rsidRDefault="004B45BB" w:rsidP="004B45BB">
            <w:pPr>
              <w:cnfStyle w:val="000000100000"/>
            </w:pPr>
            <w:r>
              <w:t>0.623</w:t>
            </w:r>
          </w:p>
        </w:tc>
        <w:tc>
          <w:tcPr>
            <w:tcW w:w="1915" w:type="dxa"/>
            <w:vAlign w:val="bottom"/>
          </w:tcPr>
          <w:p w:rsidR="004B45BB" w:rsidRDefault="004B45BB" w:rsidP="004B45BB">
            <w:pPr>
              <w:cnfStyle w:val="000000100000"/>
            </w:pPr>
            <w:r>
              <w:t>0.1803</w:t>
            </w:r>
          </w:p>
        </w:tc>
        <w:tc>
          <w:tcPr>
            <w:tcW w:w="1915" w:type="dxa"/>
            <w:vMerge/>
            <w:vAlign w:val="bottom"/>
          </w:tcPr>
          <w:p w:rsidR="004B45BB" w:rsidRDefault="004B45BB" w:rsidP="004B45BB">
            <w:pPr>
              <w:cnfStyle w:val="000000100000"/>
            </w:pPr>
          </w:p>
        </w:tc>
      </w:tr>
      <w:tr w:rsidR="004B45BB">
        <w:trPr>
          <w:cnfStyle w:val="000000010000"/>
        </w:trPr>
        <w:tc>
          <w:tcPr>
            <w:cnfStyle w:val="001000000000"/>
            <w:tcW w:w="1916" w:type="dxa"/>
            <w:vAlign w:val="bottom"/>
          </w:tcPr>
          <w:p w:rsidR="004B45BB" w:rsidRDefault="004B45BB" w:rsidP="004B45BB">
            <w:r>
              <w:t>H</w:t>
            </w:r>
          </w:p>
        </w:tc>
        <w:tc>
          <w:tcPr>
            <w:tcW w:w="1915" w:type="dxa"/>
            <w:vAlign w:val="bottom"/>
          </w:tcPr>
          <w:p w:rsidR="004B45BB" w:rsidRDefault="004B45BB" w:rsidP="004B45BB">
            <w:pPr>
              <w:cnfStyle w:val="000000010000"/>
            </w:pPr>
            <w:r>
              <w:t>0.4091</w:t>
            </w:r>
          </w:p>
        </w:tc>
        <w:tc>
          <w:tcPr>
            <w:tcW w:w="1915" w:type="dxa"/>
            <w:vAlign w:val="bottom"/>
          </w:tcPr>
          <w:p w:rsidR="004B45BB" w:rsidRDefault="004B45BB" w:rsidP="004B45BB">
            <w:pPr>
              <w:cnfStyle w:val="000000010000"/>
            </w:pPr>
            <w:r>
              <w:t>0.0909</w:t>
            </w:r>
          </w:p>
        </w:tc>
        <w:tc>
          <w:tcPr>
            <w:tcW w:w="1915" w:type="dxa"/>
            <w:vAlign w:val="bottom"/>
          </w:tcPr>
          <w:p w:rsidR="004B45BB" w:rsidRDefault="004B45BB" w:rsidP="004B45BB">
            <w:pPr>
              <w:cnfStyle w:val="000000010000"/>
            </w:pPr>
            <w:r>
              <w:t>0.5</w:t>
            </w:r>
          </w:p>
        </w:tc>
        <w:tc>
          <w:tcPr>
            <w:tcW w:w="1915" w:type="dxa"/>
            <w:vMerge/>
            <w:vAlign w:val="bottom"/>
          </w:tcPr>
          <w:p w:rsidR="004B45BB" w:rsidRDefault="004B45BB" w:rsidP="004B45BB">
            <w:pPr>
              <w:cnfStyle w:val="000000010000"/>
            </w:pPr>
          </w:p>
        </w:tc>
      </w:tr>
      <w:tr w:rsidR="004B45BB">
        <w:trPr>
          <w:cnfStyle w:val="000000100000"/>
        </w:trPr>
        <w:tc>
          <w:tcPr>
            <w:cnfStyle w:val="001000000000"/>
            <w:tcW w:w="1916" w:type="dxa"/>
            <w:vAlign w:val="bottom"/>
          </w:tcPr>
          <w:p w:rsidR="004B45BB" w:rsidRDefault="004B45BB" w:rsidP="004B45BB">
            <w:r>
              <w:t>Overall</w:t>
            </w:r>
          </w:p>
        </w:tc>
        <w:tc>
          <w:tcPr>
            <w:tcW w:w="5745" w:type="dxa"/>
            <w:gridSpan w:val="3"/>
            <w:vAlign w:val="bottom"/>
          </w:tcPr>
          <w:p w:rsidR="004B45BB" w:rsidRDefault="004B45BB" w:rsidP="004B45BB">
            <w:pPr>
              <w:cnfStyle w:val="000000100000"/>
            </w:pPr>
          </w:p>
        </w:tc>
        <w:tc>
          <w:tcPr>
            <w:tcW w:w="1915" w:type="dxa"/>
            <w:vAlign w:val="bottom"/>
          </w:tcPr>
          <w:p w:rsidR="004B45BB" w:rsidRDefault="004B45BB" w:rsidP="004B45BB">
            <w:pPr>
              <w:cnfStyle w:val="000000100000"/>
            </w:pPr>
            <w:r>
              <w:t>0.648</w:t>
            </w:r>
          </w:p>
        </w:tc>
      </w:tr>
    </w:tbl>
    <w:p w:rsidR="000A4369" w:rsidRDefault="000A4369" w:rsidP="00794381"/>
    <w:p w:rsidR="00D91590" w:rsidRPr="00D91590" w:rsidRDefault="00D91590" w:rsidP="0024354B">
      <w:pPr>
        <w:pStyle w:val="Caption"/>
      </w:pPr>
      <w:bookmarkStart w:id="219" w:name="_Toc227982536"/>
      <w:proofErr w:type="gramStart"/>
      <w:r w:rsidRPr="00D91590">
        <w:t xml:space="preserve">Table </w:t>
      </w:r>
      <w:r w:rsidR="003731B6" w:rsidRPr="00D91590">
        <w:fldChar w:fldCharType="begin"/>
      </w:r>
      <w:r w:rsidRPr="00D91590">
        <w:instrText xml:space="preserve"> SEQ Table \* ARABIC </w:instrText>
      </w:r>
      <w:r w:rsidR="003731B6" w:rsidRPr="00D91590">
        <w:fldChar w:fldCharType="separate"/>
      </w:r>
      <w:r w:rsidR="001633BC">
        <w:rPr>
          <w:noProof/>
        </w:rPr>
        <w:t>28</w:t>
      </w:r>
      <w:r w:rsidR="003731B6" w:rsidRPr="00D91590">
        <w:fldChar w:fldCharType="end"/>
      </w:r>
      <w:r w:rsidRPr="00D91590">
        <w:t>.</w:t>
      </w:r>
      <w:proofErr w:type="gramEnd"/>
      <w:r w:rsidRPr="00D91590">
        <w:t xml:space="preserve"> 6 variable QDA </w:t>
      </w:r>
      <w:proofErr w:type="gramStart"/>
      <w:r w:rsidR="00F86E70">
        <w:t>ancestry</w:t>
      </w:r>
      <w:proofErr w:type="gramEnd"/>
      <w:r w:rsidR="00F86E70">
        <w:t xml:space="preserve"> aggregated </w:t>
      </w:r>
      <w:r w:rsidRPr="00D91590">
        <w:t>cross-validation classification rate</w:t>
      </w:r>
      <w:bookmarkEnd w:id="219"/>
    </w:p>
    <w:tbl>
      <w:tblPr>
        <w:tblStyle w:val="LightGrid-Accent11"/>
        <w:tblW w:w="0" w:type="auto"/>
        <w:tblLook w:val="04A0"/>
      </w:tblPr>
      <w:tblGrid>
        <w:gridCol w:w="1916"/>
        <w:gridCol w:w="1915"/>
        <w:gridCol w:w="1915"/>
        <w:gridCol w:w="1915"/>
        <w:gridCol w:w="1915"/>
      </w:tblGrid>
      <w:tr w:rsidR="00D91590">
        <w:trPr>
          <w:cnfStyle w:val="100000000000"/>
        </w:trPr>
        <w:tc>
          <w:tcPr>
            <w:cnfStyle w:val="001000000000"/>
            <w:tcW w:w="1916" w:type="dxa"/>
            <w:vAlign w:val="bottom"/>
          </w:tcPr>
          <w:p w:rsidR="00D91590" w:rsidRDefault="00D91590" w:rsidP="000A4369"/>
        </w:tc>
        <w:tc>
          <w:tcPr>
            <w:tcW w:w="7660" w:type="dxa"/>
            <w:gridSpan w:val="4"/>
            <w:vAlign w:val="bottom"/>
          </w:tcPr>
          <w:p w:rsidR="00D91590" w:rsidRDefault="00D91590" w:rsidP="000A4369">
            <w:pPr>
              <w:cnfStyle w:val="100000000000"/>
            </w:pPr>
            <w:r>
              <w:t>Predicted</w:t>
            </w:r>
          </w:p>
        </w:tc>
      </w:tr>
      <w:tr w:rsidR="000A4369">
        <w:trPr>
          <w:cnfStyle w:val="000000100000"/>
        </w:trPr>
        <w:tc>
          <w:tcPr>
            <w:cnfStyle w:val="001000000000"/>
            <w:tcW w:w="1916" w:type="dxa"/>
            <w:vAlign w:val="bottom"/>
          </w:tcPr>
          <w:p w:rsidR="000A4369" w:rsidRDefault="000A4369" w:rsidP="000A4369">
            <w:r>
              <w:t>Actual</w:t>
            </w:r>
          </w:p>
        </w:tc>
        <w:tc>
          <w:tcPr>
            <w:tcW w:w="1915" w:type="dxa"/>
            <w:vAlign w:val="bottom"/>
          </w:tcPr>
          <w:p w:rsidR="000A4369" w:rsidRPr="00D91590" w:rsidRDefault="000A4369" w:rsidP="000A4369">
            <w:pPr>
              <w:cnfStyle w:val="000000100000"/>
              <w:rPr>
                <w:b/>
              </w:rPr>
            </w:pPr>
            <w:r w:rsidRPr="00D91590">
              <w:rPr>
                <w:b/>
              </w:rPr>
              <w:t>W</w:t>
            </w:r>
          </w:p>
        </w:tc>
        <w:tc>
          <w:tcPr>
            <w:tcW w:w="1915" w:type="dxa"/>
            <w:vAlign w:val="bottom"/>
          </w:tcPr>
          <w:p w:rsidR="000A4369" w:rsidRPr="00D91590" w:rsidRDefault="000A4369" w:rsidP="000A4369">
            <w:pPr>
              <w:cnfStyle w:val="000000100000"/>
              <w:rPr>
                <w:b/>
              </w:rPr>
            </w:pPr>
            <w:r w:rsidRPr="00D91590">
              <w:rPr>
                <w:b/>
              </w:rPr>
              <w:t>B</w:t>
            </w:r>
          </w:p>
        </w:tc>
        <w:tc>
          <w:tcPr>
            <w:tcW w:w="1915" w:type="dxa"/>
            <w:vAlign w:val="bottom"/>
          </w:tcPr>
          <w:p w:rsidR="000A4369" w:rsidRPr="00D91590" w:rsidRDefault="000A4369" w:rsidP="000A4369">
            <w:pPr>
              <w:cnfStyle w:val="000000100000"/>
              <w:rPr>
                <w:b/>
              </w:rPr>
            </w:pPr>
            <w:r w:rsidRPr="00D91590">
              <w:rPr>
                <w:b/>
              </w:rPr>
              <w:t>H</w:t>
            </w:r>
          </w:p>
        </w:tc>
        <w:tc>
          <w:tcPr>
            <w:tcW w:w="1915" w:type="dxa"/>
            <w:vAlign w:val="bottom"/>
          </w:tcPr>
          <w:p w:rsidR="000A4369" w:rsidRPr="00D91590" w:rsidRDefault="000A4369" w:rsidP="000A4369">
            <w:pPr>
              <w:cnfStyle w:val="000000100000"/>
              <w:rPr>
                <w:b/>
              </w:rPr>
            </w:pPr>
            <w:r w:rsidRPr="00D91590">
              <w:rPr>
                <w:b/>
              </w:rPr>
              <w:t>Overall</w:t>
            </w:r>
          </w:p>
        </w:tc>
      </w:tr>
      <w:tr w:rsidR="000A4369">
        <w:trPr>
          <w:cnfStyle w:val="000000010000"/>
        </w:trPr>
        <w:tc>
          <w:tcPr>
            <w:cnfStyle w:val="001000000000"/>
            <w:tcW w:w="1916" w:type="dxa"/>
            <w:vAlign w:val="bottom"/>
          </w:tcPr>
          <w:p w:rsidR="000A4369" w:rsidRDefault="000A4369" w:rsidP="000A4369">
            <w:r>
              <w:t>W</w:t>
            </w:r>
          </w:p>
        </w:tc>
        <w:tc>
          <w:tcPr>
            <w:tcW w:w="1915" w:type="dxa"/>
            <w:vAlign w:val="bottom"/>
          </w:tcPr>
          <w:p w:rsidR="000A4369" w:rsidRDefault="000A4369" w:rsidP="000A4369">
            <w:pPr>
              <w:cnfStyle w:val="000000010000"/>
            </w:pPr>
            <w:r>
              <w:t>0.7066</w:t>
            </w:r>
          </w:p>
        </w:tc>
        <w:tc>
          <w:tcPr>
            <w:tcW w:w="1915" w:type="dxa"/>
            <w:vAlign w:val="bottom"/>
          </w:tcPr>
          <w:p w:rsidR="000A4369" w:rsidRDefault="000A4369" w:rsidP="000A4369">
            <w:pPr>
              <w:cnfStyle w:val="000000010000"/>
            </w:pPr>
            <w:r>
              <w:t>0.1722</w:t>
            </w:r>
          </w:p>
        </w:tc>
        <w:tc>
          <w:tcPr>
            <w:tcW w:w="1915" w:type="dxa"/>
            <w:vAlign w:val="bottom"/>
          </w:tcPr>
          <w:p w:rsidR="000A4369" w:rsidRDefault="000A4369" w:rsidP="000A4369">
            <w:pPr>
              <w:cnfStyle w:val="000000010000"/>
            </w:pPr>
            <w:r>
              <w:t>0.1213</w:t>
            </w:r>
          </w:p>
        </w:tc>
        <w:tc>
          <w:tcPr>
            <w:tcW w:w="1915" w:type="dxa"/>
            <w:vMerge w:val="restart"/>
            <w:vAlign w:val="bottom"/>
          </w:tcPr>
          <w:p w:rsidR="000A4369" w:rsidRDefault="000A4369" w:rsidP="000A4369">
            <w:pPr>
              <w:cnfStyle w:val="000000010000"/>
            </w:pPr>
          </w:p>
        </w:tc>
      </w:tr>
      <w:tr w:rsidR="000A4369">
        <w:trPr>
          <w:cnfStyle w:val="000000100000"/>
        </w:trPr>
        <w:tc>
          <w:tcPr>
            <w:cnfStyle w:val="001000000000"/>
            <w:tcW w:w="1916" w:type="dxa"/>
            <w:vAlign w:val="bottom"/>
          </w:tcPr>
          <w:p w:rsidR="000A4369" w:rsidRDefault="000A4369" w:rsidP="000A4369">
            <w:r>
              <w:t>B</w:t>
            </w:r>
          </w:p>
        </w:tc>
        <w:tc>
          <w:tcPr>
            <w:tcW w:w="1915" w:type="dxa"/>
            <w:vAlign w:val="bottom"/>
          </w:tcPr>
          <w:p w:rsidR="000A4369" w:rsidRDefault="000A4369" w:rsidP="000A4369">
            <w:pPr>
              <w:cnfStyle w:val="000000100000"/>
            </w:pPr>
            <w:r>
              <w:t>0.229</w:t>
            </w:r>
          </w:p>
        </w:tc>
        <w:tc>
          <w:tcPr>
            <w:tcW w:w="1915" w:type="dxa"/>
            <w:vAlign w:val="bottom"/>
          </w:tcPr>
          <w:p w:rsidR="000A4369" w:rsidRDefault="000A4369" w:rsidP="000A4369">
            <w:pPr>
              <w:cnfStyle w:val="000000100000"/>
            </w:pPr>
            <w:r>
              <w:t>0.687</w:t>
            </w:r>
          </w:p>
        </w:tc>
        <w:tc>
          <w:tcPr>
            <w:tcW w:w="1915" w:type="dxa"/>
            <w:vAlign w:val="bottom"/>
          </w:tcPr>
          <w:p w:rsidR="000A4369" w:rsidRDefault="000A4369" w:rsidP="000A4369">
            <w:pPr>
              <w:cnfStyle w:val="000000100000"/>
            </w:pPr>
            <w:r>
              <w:t>0.084</w:t>
            </w:r>
          </w:p>
        </w:tc>
        <w:tc>
          <w:tcPr>
            <w:tcW w:w="1915" w:type="dxa"/>
            <w:vMerge/>
            <w:vAlign w:val="bottom"/>
          </w:tcPr>
          <w:p w:rsidR="000A4369" w:rsidRDefault="000A4369" w:rsidP="000A4369">
            <w:pPr>
              <w:cnfStyle w:val="000000100000"/>
            </w:pPr>
          </w:p>
        </w:tc>
      </w:tr>
      <w:tr w:rsidR="000A4369">
        <w:trPr>
          <w:cnfStyle w:val="000000010000"/>
        </w:trPr>
        <w:tc>
          <w:tcPr>
            <w:cnfStyle w:val="001000000000"/>
            <w:tcW w:w="1916" w:type="dxa"/>
            <w:vAlign w:val="bottom"/>
          </w:tcPr>
          <w:p w:rsidR="000A4369" w:rsidRDefault="000A4369" w:rsidP="000A4369">
            <w:r>
              <w:t>H</w:t>
            </w:r>
          </w:p>
        </w:tc>
        <w:tc>
          <w:tcPr>
            <w:tcW w:w="1915" w:type="dxa"/>
            <w:vAlign w:val="bottom"/>
          </w:tcPr>
          <w:p w:rsidR="000A4369" w:rsidRDefault="000A4369" w:rsidP="000A4369">
            <w:pPr>
              <w:cnfStyle w:val="000000010000"/>
            </w:pPr>
            <w:r>
              <w:t>0.2679</w:t>
            </w:r>
          </w:p>
        </w:tc>
        <w:tc>
          <w:tcPr>
            <w:tcW w:w="1915" w:type="dxa"/>
            <w:vAlign w:val="bottom"/>
          </w:tcPr>
          <w:p w:rsidR="000A4369" w:rsidRDefault="000A4369" w:rsidP="000A4369">
            <w:pPr>
              <w:cnfStyle w:val="000000010000"/>
            </w:pPr>
            <w:r>
              <w:t>0.1607</w:t>
            </w:r>
          </w:p>
        </w:tc>
        <w:tc>
          <w:tcPr>
            <w:tcW w:w="1915" w:type="dxa"/>
            <w:vAlign w:val="bottom"/>
          </w:tcPr>
          <w:p w:rsidR="000A4369" w:rsidRDefault="000A4369" w:rsidP="000A4369">
            <w:pPr>
              <w:cnfStyle w:val="000000010000"/>
            </w:pPr>
            <w:r>
              <w:t>0.5926</w:t>
            </w:r>
          </w:p>
        </w:tc>
        <w:tc>
          <w:tcPr>
            <w:tcW w:w="1915" w:type="dxa"/>
            <w:vMerge/>
            <w:vAlign w:val="bottom"/>
          </w:tcPr>
          <w:p w:rsidR="000A4369" w:rsidRDefault="000A4369" w:rsidP="000A4369">
            <w:pPr>
              <w:cnfStyle w:val="000000010000"/>
            </w:pPr>
          </w:p>
        </w:tc>
      </w:tr>
      <w:tr w:rsidR="000A4369">
        <w:trPr>
          <w:cnfStyle w:val="000000100000"/>
        </w:trPr>
        <w:tc>
          <w:tcPr>
            <w:cnfStyle w:val="001000000000"/>
            <w:tcW w:w="1916" w:type="dxa"/>
            <w:vAlign w:val="bottom"/>
          </w:tcPr>
          <w:p w:rsidR="000A4369" w:rsidRDefault="000A4369" w:rsidP="000A4369">
            <w:r>
              <w:t>Overall</w:t>
            </w:r>
          </w:p>
        </w:tc>
        <w:tc>
          <w:tcPr>
            <w:tcW w:w="5745" w:type="dxa"/>
            <w:gridSpan w:val="3"/>
            <w:vAlign w:val="bottom"/>
          </w:tcPr>
          <w:p w:rsidR="000A4369" w:rsidRDefault="000A4369" w:rsidP="000A4369">
            <w:pPr>
              <w:cnfStyle w:val="000000100000"/>
            </w:pPr>
          </w:p>
        </w:tc>
        <w:tc>
          <w:tcPr>
            <w:tcW w:w="1915" w:type="dxa"/>
            <w:vAlign w:val="bottom"/>
          </w:tcPr>
          <w:p w:rsidR="000A4369" w:rsidRDefault="000A4369" w:rsidP="000A4369">
            <w:pPr>
              <w:cnfStyle w:val="000000100000"/>
            </w:pPr>
            <w:r>
              <w:t>0.6947</w:t>
            </w:r>
          </w:p>
        </w:tc>
      </w:tr>
    </w:tbl>
    <w:p w:rsidR="00F86E70" w:rsidRDefault="00F86E70" w:rsidP="00794381"/>
    <w:p w:rsidR="00F86E70" w:rsidRPr="00F86E70" w:rsidRDefault="00F86E70" w:rsidP="0024354B">
      <w:pPr>
        <w:pStyle w:val="Caption"/>
      </w:pPr>
      <w:bookmarkStart w:id="220" w:name="_Toc227982537"/>
      <w:proofErr w:type="gramStart"/>
      <w:r w:rsidRPr="00F86E70">
        <w:t xml:space="preserve">Table </w:t>
      </w:r>
      <w:r w:rsidR="003731B6" w:rsidRPr="00F86E70">
        <w:fldChar w:fldCharType="begin"/>
      </w:r>
      <w:r w:rsidRPr="00F86E70">
        <w:instrText xml:space="preserve"> SEQ Table \* ARABIC </w:instrText>
      </w:r>
      <w:r w:rsidR="003731B6" w:rsidRPr="00F86E70">
        <w:fldChar w:fldCharType="separate"/>
      </w:r>
      <w:r w:rsidR="001633BC">
        <w:rPr>
          <w:noProof/>
        </w:rPr>
        <w:t>29</w:t>
      </w:r>
      <w:r w:rsidR="003731B6" w:rsidRPr="00F86E70">
        <w:fldChar w:fldCharType="end"/>
      </w:r>
      <w:r w:rsidRPr="00F86E70">
        <w:t>.</w:t>
      </w:r>
      <w:proofErr w:type="gramEnd"/>
      <w:r w:rsidRPr="00F86E70">
        <w:t xml:space="preserve"> </w:t>
      </w:r>
      <w:r w:rsidRPr="00D91590">
        <w:t xml:space="preserve">6 variable QDA </w:t>
      </w:r>
      <w:r>
        <w:t>ancestry aggregated holdout</w:t>
      </w:r>
      <w:r w:rsidRPr="00D91590">
        <w:t xml:space="preserve"> classification rate</w:t>
      </w:r>
      <w:bookmarkEnd w:id="220"/>
    </w:p>
    <w:tbl>
      <w:tblPr>
        <w:tblStyle w:val="LightGrid-Accent11"/>
        <w:tblW w:w="0" w:type="auto"/>
        <w:tblLook w:val="04A0"/>
      </w:tblPr>
      <w:tblGrid>
        <w:gridCol w:w="1916"/>
        <w:gridCol w:w="1915"/>
        <w:gridCol w:w="1915"/>
        <w:gridCol w:w="1915"/>
        <w:gridCol w:w="1915"/>
      </w:tblGrid>
      <w:tr w:rsidR="00F86E70">
        <w:trPr>
          <w:cnfStyle w:val="100000000000"/>
        </w:trPr>
        <w:tc>
          <w:tcPr>
            <w:cnfStyle w:val="001000000000"/>
            <w:tcW w:w="1916" w:type="dxa"/>
            <w:vAlign w:val="bottom"/>
          </w:tcPr>
          <w:p w:rsidR="00F86E70" w:rsidRDefault="00F86E70" w:rsidP="00F86E70"/>
        </w:tc>
        <w:tc>
          <w:tcPr>
            <w:tcW w:w="7660" w:type="dxa"/>
            <w:gridSpan w:val="4"/>
            <w:vAlign w:val="bottom"/>
          </w:tcPr>
          <w:p w:rsidR="00F86E70" w:rsidRDefault="00F86E70" w:rsidP="00F86E70">
            <w:pPr>
              <w:cnfStyle w:val="100000000000"/>
            </w:pPr>
            <w:r>
              <w:t>Predicted</w:t>
            </w:r>
          </w:p>
        </w:tc>
      </w:tr>
      <w:tr w:rsidR="00F86E70">
        <w:trPr>
          <w:cnfStyle w:val="000000100000"/>
        </w:trPr>
        <w:tc>
          <w:tcPr>
            <w:cnfStyle w:val="001000000000"/>
            <w:tcW w:w="1916" w:type="dxa"/>
            <w:vAlign w:val="bottom"/>
          </w:tcPr>
          <w:p w:rsidR="00F86E70" w:rsidRDefault="00F86E70" w:rsidP="00F86E70">
            <w:r>
              <w:t>Actual</w:t>
            </w:r>
          </w:p>
        </w:tc>
        <w:tc>
          <w:tcPr>
            <w:tcW w:w="1915" w:type="dxa"/>
            <w:vAlign w:val="bottom"/>
          </w:tcPr>
          <w:p w:rsidR="00F86E70" w:rsidRPr="00F86E70" w:rsidRDefault="00F86E70" w:rsidP="00F86E70">
            <w:pPr>
              <w:cnfStyle w:val="000000100000"/>
              <w:rPr>
                <w:b/>
              </w:rPr>
            </w:pPr>
            <w:r w:rsidRPr="00F86E70">
              <w:rPr>
                <w:b/>
              </w:rPr>
              <w:t>W</w:t>
            </w:r>
          </w:p>
        </w:tc>
        <w:tc>
          <w:tcPr>
            <w:tcW w:w="1915" w:type="dxa"/>
            <w:vAlign w:val="bottom"/>
          </w:tcPr>
          <w:p w:rsidR="00F86E70" w:rsidRPr="00F86E70" w:rsidRDefault="00F86E70" w:rsidP="00F86E70">
            <w:pPr>
              <w:cnfStyle w:val="000000100000"/>
              <w:rPr>
                <w:b/>
              </w:rPr>
            </w:pPr>
            <w:r w:rsidRPr="00F86E70">
              <w:rPr>
                <w:b/>
              </w:rPr>
              <w:t>B</w:t>
            </w:r>
          </w:p>
        </w:tc>
        <w:tc>
          <w:tcPr>
            <w:tcW w:w="1915" w:type="dxa"/>
            <w:vAlign w:val="bottom"/>
          </w:tcPr>
          <w:p w:rsidR="00F86E70" w:rsidRPr="00F86E70" w:rsidRDefault="00F86E70" w:rsidP="00F86E70">
            <w:pPr>
              <w:cnfStyle w:val="000000100000"/>
              <w:rPr>
                <w:b/>
              </w:rPr>
            </w:pPr>
            <w:r w:rsidRPr="00F86E70">
              <w:rPr>
                <w:b/>
              </w:rPr>
              <w:t>H</w:t>
            </w:r>
          </w:p>
        </w:tc>
        <w:tc>
          <w:tcPr>
            <w:tcW w:w="1915" w:type="dxa"/>
            <w:vAlign w:val="bottom"/>
          </w:tcPr>
          <w:p w:rsidR="00F86E70" w:rsidRPr="00F86E70" w:rsidRDefault="00F86E70" w:rsidP="00F86E70">
            <w:pPr>
              <w:cnfStyle w:val="000000100000"/>
              <w:rPr>
                <w:b/>
              </w:rPr>
            </w:pPr>
            <w:r w:rsidRPr="00F86E70">
              <w:rPr>
                <w:b/>
              </w:rPr>
              <w:t>Overall</w:t>
            </w:r>
          </w:p>
        </w:tc>
      </w:tr>
      <w:tr w:rsidR="00F86E70">
        <w:trPr>
          <w:cnfStyle w:val="000000010000"/>
        </w:trPr>
        <w:tc>
          <w:tcPr>
            <w:cnfStyle w:val="001000000000"/>
            <w:tcW w:w="1916" w:type="dxa"/>
            <w:vAlign w:val="bottom"/>
          </w:tcPr>
          <w:p w:rsidR="00F86E70" w:rsidRDefault="00F86E70" w:rsidP="00F86E70">
            <w:r>
              <w:t>W</w:t>
            </w:r>
          </w:p>
        </w:tc>
        <w:tc>
          <w:tcPr>
            <w:tcW w:w="1915" w:type="dxa"/>
            <w:vAlign w:val="bottom"/>
          </w:tcPr>
          <w:p w:rsidR="00F86E70" w:rsidRDefault="00F86E70" w:rsidP="00F86E70">
            <w:pPr>
              <w:cnfStyle w:val="000000010000"/>
            </w:pPr>
            <w:r>
              <w:t>0.7123</w:t>
            </w:r>
          </w:p>
        </w:tc>
        <w:tc>
          <w:tcPr>
            <w:tcW w:w="1915" w:type="dxa"/>
            <w:vAlign w:val="bottom"/>
          </w:tcPr>
          <w:p w:rsidR="00F86E70" w:rsidRDefault="00F86E70" w:rsidP="00F86E70">
            <w:pPr>
              <w:cnfStyle w:val="000000010000"/>
            </w:pPr>
            <w:r>
              <w:t>0.1952</w:t>
            </w:r>
          </w:p>
        </w:tc>
        <w:tc>
          <w:tcPr>
            <w:tcW w:w="1915" w:type="dxa"/>
            <w:vAlign w:val="bottom"/>
          </w:tcPr>
          <w:p w:rsidR="00F86E70" w:rsidRDefault="00F86E70" w:rsidP="00F86E70">
            <w:pPr>
              <w:cnfStyle w:val="000000010000"/>
            </w:pPr>
            <w:r>
              <w:t>0.0925</w:t>
            </w:r>
          </w:p>
        </w:tc>
        <w:tc>
          <w:tcPr>
            <w:tcW w:w="1915" w:type="dxa"/>
            <w:vAlign w:val="bottom"/>
          </w:tcPr>
          <w:p w:rsidR="00F86E70" w:rsidRDefault="00F86E70" w:rsidP="00F86E70">
            <w:pPr>
              <w:cnfStyle w:val="000000010000"/>
            </w:pPr>
          </w:p>
        </w:tc>
      </w:tr>
      <w:tr w:rsidR="00F86E70">
        <w:trPr>
          <w:cnfStyle w:val="000000100000"/>
        </w:trPr>
        <w:tc>
          <w:tcPr>
            <w:cnfStyle w:val="001000000000"/>
            <w:tcW w:w="1916" w:type="dxa"/>
            <w:vAlign w:val="bottom"/>
          </w:tcPr>
          <w:p w:rsidR="00F86E70" w:rsidRDefault="00F86E70" w:rsidP="00F86E70">
            <w:r>
              <w:t>B</w:t>
            </w:r>
          </w:p>
        </w:tc>
        <w:tc>
          <w:tcPr>
            <w:tcW w:w="1915" w:type="dxa"/>
            <w:vAlign w:val="bottom"/>
          </w:tcPr>
          <w:p w:rsidR="00F86E70" w:rsidRDefault="00F86E70" w:rsidP="00F86E70">
            <w:pPr>
              <w:cnfStyle w:val="000000100000"/>
            </w:pPr>
            <w:r>
              <w:t>0.2131</w:t>
            </w:r>
          </w:p>
        </w:tc>
        <w:tc>
          <w:tcPr>
            <w:tcW w:w="1915" w:type="dxa"/>
            <w:vAlign w:val="bottom"/>
          </w:tcPr>
          <w:p w:rsidR="00F86E70" w:rsidRDefault="00F86E70" w:rsidP="00F86E70">
            <w:pPr>
              <w:cnfStyle w:val="000000100000"/>
            </w:pPr>
            <w:r>
              <w:t>0.6557</w:t>
            </w:r>
          </w:p>
        </w:tc>
        <w:tc>
          <w:tcPr>
            <w:tcW w:w="1915" w:type="dxa"/>
            <w:vAlign w:val="bottom"/>
          </w:tcPr>
          <w:p w:rsidR="00F86E70" w:rsidRDefault="00F86E70" w:rsidP="00F86E70">
            <w:pPr>
              <w:cnfStyle w:val="000000100000"/>
            </w:pPr>
            <w:r>
              <w:t>0.1311</w:t>
            </w:r>
          </w:p>
        </w:tc>
        <w:tc>
          <w:tcPr>
            <w:tcW w:w="1915" w:type="dxa"/>
            <w:vAlign w:val="bottom"/>
          </w:tcPr>
          <w:p w:rsidR="00F86E70" w:rsidRDefault="00F86E70" w:rsidP="00F86E70">
            <w:pPr>
              <w:cnfStyle w:val="000000100000"/>
            </w:pPr>
          </w:p>
        </w:tc>
      </w:tr>
      <w:tr w:rsidR="00F86E70">
        <w:trPr>
          <w:cnfStyle w:val="000000010000"/>
        </w:trPr>
        <w:tc>
          <w:tcPr>
            <w:cnfStyle w:val="001000000000"/>
            <w:tcW w:w="1916" w:type="dxa"/>
            <w:vAlign w:val="bottom"/>
          </w:tcPr>
          <w:p w:rsidR="00F86E70" w:rsidRDefault="00F86E70" w:rsidP="00F86E70">
            <w:r>
              <w:t>H</w:t>
            </w:r>
          </w:p>
        </w:tc>
        <w:tc>
          <w:tcPr>
            <w:tcW w:w="1915" w:type="dxa"/>
            <w:vAlign w:val="bottom"/>
          </w:tcPr>
          <w:p w:rsidR="00F86E70" w:rsidRDefault="00F86E70" w:rsidP="00F86E70">
            <w:pPr>
              <w:cnfStyle w:val="000000010000"/>
            </w:pPr>
            <w:r>
              <w:t>0.3182</w:t>
            </w:r>
          </w:p>
        </w:tc>
        <w:tc>
          <w:tcPr>
            <w:tcW w:w="1915" w:type="dxa"/>
            <w:vAlign w:val="bottom"/>
          </w:tcPr>
          <w:p w:rsidR="00F86E70" w:rsidRDefault="00F86E70" w:rsidP="00F86E70">
            <w:pPr>
              <w:cnfStyle w:val="000000010000"/>
            </w:pPr>
            <w:r>
              <w:t>0.1363</w:t>
            </w:r>
          </w:p>
        </w:tc>
        <w:tc>
          <w:tcPr>
            <w:tcW w:w="1915" w:type="dxa"/>
            <w:vAlign w:val="bottom"/>
          </w:tcPr>
          <w:p w:rsidR="00F86E70" w:rsidRDefault="00F86E70" w:rsidP="00F86E70">
            <w:pPr>
              <w:cnfStyle w:val="000000010000"/>
            </w:pPr>
            <w:r>
              <w:t>0.5455</w:t>
            </w:r>
          </w:p>
        </w:tc>
        <w:tc>
          <w:tcPr>
            <w:tcW w:w="1915" w:type="dxa"/>
            <w:vAlign w:val="bottom"/>
          </w:tcPr>
          <w:p w:rsidR="00F86E70" w:rsidRDefault="00F86E70" w:rsidP="00F86E70">
            <w:pPr>
              <w:cnfStyle w:val="000000010000"/>
            </w:pPr>
          </w:p>
        </w:tc>
      </w:tr>
      <w:tr w:rsidR="00F86E70">
        <w:trPr>
          <w:cnfStyle w:val="000000100000"/>
        </w:trPr>
        <w:tc>
          <w:tcPr>
            <w:cnfStyle w:val="001000000000"/>
            <w:tcW w:w="1916" w:type="dxa"/>
            <w:vAlign w:val="bottom"/>
          </w:tcPr>
          <w:p w:rsidR="00F86E70" w:rsidRDefault="00F86E70" w:rsidP="00F86E70">
            <w:r>
              <w:t>Overall</w:t>
            </w:r>
          </w:p>
        </w:tc>
        <w:tc>
          <w:tcPr>
            <w:tcW w:w="5745" w:type="dxa"/>
            <w:gridSpan w:val="3"/>
            <w:vAlign w:val="bottom"/>
          </w:tcPr>
          <w:p w:rsidR="00F86E70" w:rsidRDefault="00F86E70" w:rsidP="00F86E70">
            <w:pPr>
              <w:cnfStyle w:val="000000100000"/>
            </w:pPr>
          </w:p>
        </w:tc>
        <w:tc>
          <w:tcPr>
            <w:tcW w:w="1915" w:type="dxa"/>
            <w:vAlign w:val="bottom"/>
          </w:tcPr>
          <w:p w:rsidR="00F86E70" w:rsidRDefault="00F86E70" w:rsidP="00F86E70">
            <w:pPr>
              <w:cnfStyle w:val="000000100000"/>
            </w:pPr>
            <w:r>
              <w:t>0.6933</w:t>
            </w:r>
          </w:p>
        </w:tc>
      </w:tr>
    </w:tbl>
    <w:p w:rsidR="00827CD6" w:rsidRDefault="00827CD6" w:rsidP="00794381"/>
    <w:p w:rsidR="00827CD6" w:rsidRPr="00827CD6" w:rsidRDefault="00827CD6" w:rsidP="0024354B">
      <w:pPr>
        <w:pStyle w:val="Caption"/>
      </w:pPr>
      <w:bookmarkStart w:id="221" w:name="_Toc227982538"/>
      <w:proofErr w:type="gramStart"/>
      <w:r w:rsidRPr="00827CD6">
        <w:t xml:space="preserve">Table </w:t>
      </w:r>
      <w:r w:rsidR="003731B6" w:rsidRPr="00827CD6">
        <w:fldChar w:fldCharType="begin"/>
      </w:r>
      <w:r w:rsidRPr="00827CD6">
        <w:instrText xml:space="preserve"> SEQ Table \* ARABIC </w:instrText>
      </w:r>
      <w:r w:rsidR="003731B6" w:rsidRPr="00827CD6">
        <w:fldChar w:fldCharType="separate"/>
      </w:r>
      <w:r w:rsidR="001633BC">
        <w:rPr>
          <w:noProof/>
        </w:rPr>
        <w:t>30</w:t>
      </w:r>
      <w:r w:rsidR="003731B6" w:rsidRPr="00827CD6">
        <w:fldChar w:fldCharType="end"/>
      </w:r>
      <w:r w:rsidRPr="00827CD6">
        <w:t>.</w:t>
      </w:r>
      <w:proofErr w:type="gramEnd"/>
      <w:r w:rsidRPr="00827CD6">
        <w:t xml:space="preserve"> 5 variable KNN </w:t>
      </w:r>
      <w:proofErr w:type="gramStart"/>
      <w:r w:rsidRPr="00827CD6">
        <w:t>ancestry</w:t>
      </w:r>
      <w:proofErr w:type="gramEnd"/>
      <w:r w:rsidRPr="00827CD6">
        <w:t xml:space="preserve"> aggregated cross-validation </w:t>
      </w:r>
      <w:r>
        <w:t xml:space="preserve">classification </w:t>
      </w:r>
      <w:r w:rsidRPr="00827CD6">
        <w:t>rate</w:t>
      </w:r>
      <w:bookmarkEnd w:id="221"/>
    </w:p>
    <w:tbl>
      <w:tblPr>
        <w:tblStyle w:val="LightGrid-Accent11"/>
        <w:tblW w:w="0" w:type="auto"/>
        <w:tblLook w:val="04A0"/>
      </w:tblPr>
      <w:tblGrid>
        <w:gridCol w:w="1916"/>
        <w:gridCol w:w="1915"/>
        <w:gridCol w:w="1915"/>
        <w:gridCol w:w="1915"/>
        <w:gridCol w:w="1915"/>
      </w:tblGrid>
      <w:tr w:rsidR="00827CD6">
        <w:trPr>
          <w:cnfStyle w:val="100000000000"/>
        </w:trPr>
        <w:tc>
          <w:tcPr>
            <w:cnfStyle w:val="001000000000"/>
            <w:tcW w:w="1916" w:type="dxa"/>
            <w:vAlign w:val="bottom"/>
          </w:tcPr>
          <w:p w:rsidR="00827CD6" w:rsidRDefault="00827CD6" w:rsidP="00827CD6"/>
        </w:tc>
        <w:tc>
          <w:tcPr>
            <w:tcW w:w="7660" w:type="dxa"/>
            <w:gridSpan w:val="4"/>
            <w:vAlign w:val="bottom"/>
          </w:tcPr>
          <w:p w:rsidR="00827CD6" w:rsidRDefault="00827CD6" w:rsidP="00827CD6">
            <w:pPr>
              <w:cnfStyle w:val="100000000000"/>
            </w:pPr>
            <w:r>
              <w:t>Predicted</w:t>
            </w:r>
          </w:p>
        </w:tc>
      </w:tr>
      <w:tr w:rsidR="00827CD6">
        <w:trPr>
          <w:cnfStyle w:val="000000100000"/>
        </w:trPr>
        <w:tc>
          <w:tcPr>
            <w:cnfStyle w:val="001000000000"/>
            <w:tcW w:w="1916" w:type="dxa"/>
            <w:vAlign w:val="bottom"/>
          </w:tcPr>
          <w:p w:rsidR="00827CD6" w:rsidRDefault="00827CD6" w:rsidP="00827CD6">
            <w:r>
              <w:t>Actual</w:t>
            </w:r>
          </w:p>
        </w:tc>
        <w:tc>
          <w:tcPr>
            <w:tcW w:w="1915" w:type="dxa"/>
            <w:vAlign w:val="bottom"/>
          </w:tcPr>
          <w:p w:rsidR="00827CD6" w:rsidRPr="00827CD6" w:rsidRDefault="00827CD6" w:rsidP="00827CD6">
            <w:pPr>
              <w:cnfStyle w:val="000000100000"/>
              <w:rPr>
                <w:b/>
              </w:rPr>
            </w:pPr>
            <w:r w:rsidRPr="00827CD6">
              <w:rPr>
                <w:b/>
              </w:rPr>
              <w:t>W</w:t>
            </w:r>
          </w:p>
        </w:tc>
        <w:tc>
          <w:tcPr>
            <w:tcW w:w="1915" w:type="dxa"/>
            <w:vAlign w:val="bottom"/>
          </w:tcPr>
          <w:p w:rsidR="00827CD6" w:rsidRPr="00827CD6" w:rsidRDefault="00827CD6" w:rsidP="00827CD6">
            <w:pPr>
              <w:cnfStyle w:val="000000100000"/>
              <w:rPr>
                <w:b/>
              </w:rPr>
            </w:pPr>
            <w:r w:rsidRPr="00827CD6">
              <w:rPr>
                <w:b/>
              </w:rPr>
              <w:t>B</w:t>
            </w:r>
          </w:p>
        </w:tc>
        <w:tc>
          <w:tcPr>
            <w:tcW w:w="1915" w:type="dxa"/>
            <w:vAlign w:val="bottom"/>
          </w:tcPr>
          <w:p w:rsidR="00827CD6" w:rsidRPr="00827CD6" w:rsidRDefault="00827CD6" w:rsidP="00827CD6">
            <w:pPr>
              <w:cnfStyle w:val="000000100000"/>
              <w:rPr>
                <w:b/>
              </w:rPr>
            </w:pPr>
            <w:r w:rsidRPr="00827CD6">
              <w:rPr>
                <w:b/>
              </w:rPr>
              <w:t>H</w:t>
            </w:r>
          </w:p>
        </w:tc>
        <w:tc>
          <w:tcPr>
            <w:tcW w:w="1915" w:type="dxa"/>
            <w:vAlign w:val="bottom"/>
          </w:tcPr>
          <w:p w:rsidR="00827CD6" w:rsidRPr="00827CD6" w:rsidRDefault="00827CD6" w:rsidP="00827CD6">
            <w:pPr>
              <w:cnfStyle w:val="000000100000"/>
              <w:rPr>
                <w:b/>
              </w:rPr>
            </w:pPr>
            <w:r w:rsidRPr="00827CD6">
              <w:rPr>
                <w:b/>
              </w:rPr>
              <w:t>Overall</w:t>
            </w:r>
          </w:p>
        </w:tc>
      </w:tr>
      <w:tr w:rsidR="00827CD6">
        <w:trPr>
          <w:cnfStyle w:val="000000010000"/>
        </w:trPr>
        <w:tc>
          <w:tcPr>
            <w:cnfStyle w:val="001000000000"/>
            <w:tcW w:w="1916" w:type="dxa"/>
            <w:vAlign w:val="bottom"/>
          </w:tcPr>
          <w:p w:rsidR="00827CD6" w:rsidRDefault="00827CD6" w:rsidP="00827CD6">
            <w:r>
              <w:t>W</w:t>
            </w:r>
          </w:p>
        </w:tc>
        <w:tc>
          <w:tcPr>
            <w:tcW w:w="1915" w:type="dxa"/>
            <w:vAlign w:val="bottom"/>
          </w:tcPr>
          <w:p w:rsidR="00827CD6" w:rsidRDefault="00827CD6" w:rsidP="00827CD6">
            <w:pPr>
              <w:cnfStyle w:val="000000010000"/>
            </w:pPr>
            <w:r>
              <w:t>0.6048</w:t>
            </w:r>
          </w:p>
        </w:tc>
        <w:tc>
          <w:tcPr>
            <w:tcW w:w="1915" w:type="dxa"/>
            <w:vAlign w:val="bottom"/>
          </w:tcPr>
          <w:p w:rsidR="00827CD6" w:rsidRDefault="00827CD6" w:rsidP="00827CD6">
            <w:pPr>
              <w:cnfStyle w:val="000000010000"/>
            </w:pPr>
            <w:r>
              <w:t>0.274</w:t>
            </w:r>
          </w:p>
        </w:tc>
        <w:tc>
          <w:tcPr>
            <w:tcW w:w="1915" w:type="dxa"/>
            <w:vAlign w:val="bottom"/>
          </w:tcPr>
          <w:p w:rsidR="00827CD6" w:rsidRDefault="00827CD6" w:rsidP="00827CD6">
            <w:pPr>
              <w:cnfStyle w:val="000000010000"/>
            </w:pPr>
            <w:r>
              <w:t>0.1212</w:t>
            </w:r>
          </w:p>
        </w:tc>
        <w:tc>
          <w:tcPr>
            <w:tcW w:w="1915" w:type="dxa"/>
            <w:vMerge w:val="restart"/>
            <w:vAlign w:val="bottom"/>
          </w:tcPr>
          <w:p w:rsidR="00827CD6" w:rsidRDefault="00827CD6" w:rsidP="00827CD6">
            <w:pPr>
              <w:cnfStyle w:val="000000010000"/>
            </w:pPr>
          </w:p>
        </w:tc>
      </w:tr>
      <w:tr w:rsidR="00827CD6">
        <w:trPr>
          <w:cnfStyle w:val="000000100000"/>
        </w:trPr>
        <w:tc>
          <w:tcPr>
            <w:cnfStyle w:val="001000000000"/>
            <w:tcW w:w="1916" w:type="dxa"/>
            <w:vAlign w:val="bottom"/>
          </w:tcPr>
          <w:p w:rsidR="00827CD6" w:rsidRDefault="00827CD6" w:rsidP="00827CD6">
            <w:r>
              <w:t>B</w:t>
            </w:r>
          </w:p>
        </w:tc>
        <w:tc>
          <w:tcPr>
            <w:tcW w:w="1915" w:type="dxa"/>
            <w:vAlign w:val="bottom"/>
          </w:tcPr>
          <w:p w:rsidR="00827CD6" w:rsidRDefault="00827CD6" w:rsidP="00827CD6">
            <w:pPr>
              <w:cnfStyle w:val="000000100000"/>
            </w:pPr>
            <w:r>
              <w:t>0.3282</w:t>
            </w:r>
          </w:p>
        </w:tc>
        <w:tc>
          <w:tcPr>
            <w:tcW w:w="1915" w:type="dxa"/>
            <w:vAlign w:val="bottom"/>
          </w:tcPr>
          <w:p w:rsidR="00827CD6" w:rsidRDefault="00827CD6" w:rsidP="00827CD6">
            <w:pPr>
              <w:cnfStyle w:val="000000100000"/>
            </w:pPr>
            <w:r>
              <w:t>0.5802</w:t>
            </w:r>
          </w:p>
        </w:tc>
        <w:tc>
          <w:tcPr>
            <w:tcW w:w="1915" w:type="dxa"/>
            <w:vAlign w:val="bottom"/>
          </w:tcPr>
          <w:p w:rsidR="00827CD6" w:rsidRDefault="00827CD6" w:rsidP="00827CD6">
            <w:pPr>
              <w:cnfStyle w:val="000000100000"/>
            </w:pPr>
            <w:r>
              <w:t>0.0916</w:t>
            </w:r>
          </w:p>
        </w:tc>
        <w:tc>
          <w:tcPr>
            <w:tcW w:w="1915" w:type="dxa"/>
            <w:vMerge/>
            <w:vAlign w:val="bottom"/>
          </w:tcPr>
          <w:p w:rsidR="00827CD6" w:rsidRDefault="00827CD6" w:rsidP="00827CD6">
            <w:pPr>
              <w:cnfStyle w:val="000000100000"/>
            </w:pPr>
          </w:p>
        </w:tc>
      </w:tr>
      <w:tr w:rsidR="00827CD6">
        <w:trPr>
          <w:cnfStyle w:val="000000010000"/>
        </w:trPr>
        <w:tc>
          <w:tcPr>
            <w:cnfStyle w:val="001000000000"/>
            <w:tcW w:w="1916" w:type="dxa"/>
            <w:vAlign w:val="bottom"/>
          </w:tcPr>
          <w:p w:rsidR="00827CD6" w:rsidRDefault="00827CD6" w:rsidP="00827CD6">
            <w:r>
              <w:t>H</w:t>
            </w:r>
          </w:p>
        </w:tc>
        <w:tc>
          <w:tcPr>
            <w:tcW w:w="1915" w:type="dxa"/>
            <w:vAlign w:val="bottom"/>
          </w:tcPr>
          <w:p w:rsidR="00827CD6" w:rsidRDefault="00827CD6" w:rsidP="00827CD6">
            <w:pPr>
              <w:cnfStyle w:val="000000010000"/>
            </w:pPr>
            <w:r>
              <w:t>0.4107</w:t>
            </w:r>
          </w:p>
        </w:tc>
        <w:tc>
          <w:tcPr>
            <w:tcW w:w="1915" w:type="dxa"/>
            <w:vAlign w:val="bottom"/>
          </w:tcPr>
          <w:p w:rsidR="00827CD6" w:rsidRDefault="00827CD6" w:rsidP="00827CD6">
            <w:pPr>
              <w:cnfStyle w:val="000000010000"/>
            </w:pPr>
            <w:r>
              <w:t>0.375</w:t>
            </w:r>
          </w:p>
        </w:tc>
        <w:tc>
          <w:tcPr>
            <w:tcW w:w="1915" w:type="dxa"/>
            <w:vAlign w:val="bottom"/>
          </w:tcPr>
          <w:p w:rsidR="00827CD6" w:rsidRDefault="00827CD6" w:rsidP="00827CD6">
            <w:pPr>
              <w:cnfStyle w:val="000000010000"/>
            </w:pPr>
            <w:r>
              <w:t>0.2142</w:t>
            </w:r>
          </w:p>
        </w:tc>
        <w:tc>
          <w:tcPr>
            <w:tcW w:w="1915" w:type="dxa"/>
            <w:vMerge/>
            <w:vAlign w:val="bottom"/>
          </w:tcPr>
          <w:p w:rsidR="00827CD6" w:rsidRDefault="00827CD6" w:rsidP="00827CD6">
            <w:pPr>
              <w:cnfStyle w:val="000000010000"/>
            </w:pPr>
          </w:p>
        </w:tc>
      </w:tr>
      <w:tr w:rsidR="00827CD6">
        <w:trPr>
          <w:cnfStyle w:val="000000100000"/>
        </w:trPr>
        <w:tc>
          <w:tcPr>
            <w:cnfStyle w:val="001000000000"/>
            <w:tcW w:w="1916" w:type="dxa"/>
            <w:vAlign w:val="bottom"/>
          </w:tcPr>
          <w:p w:rsidR="00827CD6" w:rsidRDefault="00827CD6" w:rsidP="00827CD6">
            <w:r>
              <w:t>Overall</w:t>
            </w:r>
          </w:p>
        </w:tc>
        <w:tc>
          <w:tcPr>
            <w:tcW w:w="5745" w:type="dxa"/>
            <w:gridSpan w:val="3"/>
            <w:vAlign w:val="bottom"/>
          </w:tcPr>
          <w:p w:rsidR="00827CD6" w:rsidRDefault="00827CD6" w:rsidP="00827CD6">
            <w:pPr>
              <w:cnfStyle w:val="000000100000"/>
            </w:pPr>
          </w:p>
        </w:tc>
        <w:tc>
          <w:tcPr>
            <w:tcW w:w="1915" w:type="dxa"/>
            <w:vAlign w:val="bottom"/>
          </w:tcPr>
          <w:p w:rsidR="00827CD6" w:rsidRDefault="00827CD6" w:rsidP="00827CD6">
            <w:pPr>
              <w:cnfStyle w:val="000000100000"/>
            </w:pPr>
            <w:r>
              <w:t>0.5754</w:t>
            </w:r>
          </w:p>
        </w:tc>
      </w:tr>
    </w:tbl>
    <w:p w:rsidR="00827CD6" w:rsidRDefault="00827CD6" w:rsidP="00794381"/>
    <w:p w:rsidR="00827CD6" w:rsidRPr="00827CD6" w:rsidRDefault="00827CD6" w:rsidP="0024354B">
      <w:pPr>
        <w:pStyle w:val="Caption"/>
      </w:pPr>
      <w:bookmarkStart w:id="222" w:name="_Toc227982539"/>
      <w:proofErr w:type="gramStart"/>
      <w:r w:rsidRPr="00827CD6">
        <w:t xml:space="preserve">Table </w:t>
      </w:r>
      <w:r w:rsidR="003731B6" w:rsidRPr="00827CD6">
        <w:fldChar w:fldCharType="begin"/>
      </w:r>
      <w:r w:rsidRPr="00827CD6">
        <w:instrText xml:space="preserve"> SEQ Table \* ARABIC </w:instrText>
      </w:r>
      <w:r w:rsidR="003731B6" w:rsidRPr="00827CD6">
        <w:fldChar w:fldCharType="separate"/>
      </w:r>
      <w:r w:rsidR="001633BC">
        <w:rPr>
          <w:noProof/>
        </w:rPr>
        <w:t>31</w:t>
      </w:r>
      <w:r w:rsidR="003731B6" w:rsidRPr="00827CD6">
        <w:fldChar w:fldCharType="end"/>
      </w:r>
      <w:r w:rsidRPr="00827CD6">
        <w:t>.</w:t>
      </w:r>
      <w:proofErr w:type="gramEnd"/>
      <w:r>
        <w:t xml:space="preserve"> </w:t>
      </w:r>
      <w:r w:rsidRPr="00827CD6">
        <w:t xml:space="preserve">5 variable KNN ancestry aggregated </w:t>
      </w:r>
      <w:r>
        <w:t>holdout</w:t>
      </w:r>
      <w:r w:rsidRPr="00827CD6">
        <w:t xml:space="preserve"> </w:t>
      </w:r>
      <w:r>
        <w:t xml:space="preserve">classification </w:t>
      </w:r>
      <w:r w:rsidRPr="00827CD6">
        <w:t>rate</w:t>
      </w:r>
      <w:bookmarkEnd w:id="222"/>
    </w:p>
    <w:tbl>
      <w:tblPr>
        <w:tblStyle w:val="LightGrid-Accent11"/>
        <w:tblW w:w="0" w:type="auto"/>
        <w:tblLook w:val="04A0"/>
      </w:tblPr>
      <w:tblGrid>
        <w:gridCol w:w="1916"/>
        <w:gridCol w:w="1915"/>
        <w:gridCol w:w="1915"/>
        <w:gridCol w:w="1915"/>
        <w:gridCol w:w="1915"/>
      </w:tblGrid>
      <w:tr w:rsidR="00827CD6">
        <w:trPr>
          <w:cnfStyle w:val="100000000000"/>
        </w:trPr>
        <w:tc>
          <w:tcPr>
            <w:cnfStyle w:val="001000000000"/>
            <w:tcW w:w="1916" w:type="dxa"/>
            <w:vAlign w:val="bottom"/>
          </w:tcPr>
          <w:p w:rsidR="00827CD6" w:rsidRDefault="00827CD6" w:rsidP="00827CD6"/>
        </w:tc>
        <w:tc>
          <w:tcPr>
            <w:tcW w:w="7660" w:type="dxa"/>
            <w:gridSpan w:val="4"/>
            <w:vAlign w:val="bottom"/>
          </w:tcPr>
          <w:p w:rsidR="00827CD6" w:rsidRDefault="00827CD6" w:rsidP="00827CD6">
            <w:pPr>
              <w:cnfStyle w:val="100000000000"/>
            </w:pPr>
            <w:r>
              <w:t>Predicted</w:t>
            </w:r>
          </w:p>
        </w:tc>
      </w:tr>
      <w:tr w:rsidR="00827CD6">
        <w:trPr>
          <w:cnfStyle w:val="000000100000"/>
        </w:trPr>
        <w:tc>
          <w:tcPr>
            <w:cnfStyle w:val="001000000000"/>
            <w:tcW w:w="1916" w:type="dxa"/>
            <w:vAlign w:val="bottom"/>
          </w:tcPr>
          <w:p w:rsidR="00827CD6" w:rsidRDefault="00827CD6" w:rsidP="00827CD6">
            <w:r>
              <w:t>Actual</w:t>
            </w:r>
          </w:p>
        </w:tc>
        <w:tc>
          <w:tcPr>
            <w:tcW w:w="1915" w:type="dxa"/>
            <w:vAlign w:val="bottom"/>
          </w:tcPr>
          <w:p w:rsidR="00827CD6" w:rsidRPr="00827CD6" w:rsidRDefault="00827CD6" w:rsidP="00827CD6">
            <w:pPr>
              <w:cnfStyle w:val="000000100000"/>
              <w:rPr>
                <w:b/>
              </w:rPr>
            </w:pPr>
            <w:r w:rsidRPr="00827CD6">
              <w:rPr>
                <w:b/>
              </w:rPr>
              <w:t>W</w:t>
            </w:r>
          </w:p>
        </w:tc>
        <w:tc>
          <w:tcPr>
            <w:tcW w:w="1915" w:type="dxa"/>
            <w:vAlign w:val="bottom"/>
          </w:tcPr>
          <w:p w:rsidR="00827CD6" w:rsidRPr="00827CD6" w:rsidRDefault="00827CD6" w:rsidP="00827CD6">
            <w:pPr>
              <w:cnfStyle w:val="000000100000"/>
              <w:rPr>
                <w:b/>
              </w:rPr>
            </w:pPr>
            <w:r w:rsidRPr="00827CD6">
              <w:rPr>
                <w:b/>
              </w:rPr>
              <w:t>B</w:t>
            </w:r>
          </w:p>
        </w:tc>
        <w:tc>
          <w:tcPr>
            <w:tcW w:w="1915" w:type="dxa"/>
            <w:vAlign w:val="bottom"/>
          </w:tcPr>
          <w:p w:rsidR="00827CD6" w:rsidRPr="00827CD6" w:rsidRDefault="00827CD6" w:rsidP="00827CD6">
            <w:pPr>
              <w:cnfStyle w:val="000000100000"/>
              <w:rPr>
                <w:b/>
              </w:rPr>
            </w:pPr>
            <w:r w:rsidRPr="00827CD6">
              <w:rPr>
                <w:b/>
              </w:rPr>
              <w:t>H</w:t>
            </w:r>
          </w:p>
        </w:tc>
        <w:tc>
          <w:tcPr>
            <w:tcW w:w="1915" w:type="dxa"/>
            <w:vAlign w:val="bottom"/>
          </w:tcPr>
          <w:p w:rsidR="00827CD6" w:rsidRPr="00827CD6" w:rsidRDefault="00827CD6" w:rsidP="00827CD6">
            <w:pPr>
              <w:cnfStyle w:val="000000100000"/>
              <w:rPr>
                <w:b/>
              </w:rPr>
            </w:pPr>
            <w:r w:rsidRPr="00827CD6">
              <w:rPr>
                <w:b/>
              </w:rPr>
              <w:t>Overall</w:t>
            </w:r>
          </w:p>
        </w:tc>
      </w:tr>
      <w:tr w:rsidR="00827CD6">
        <w:trPr>
          <w:cnfStyle w:val="000000010000"/>
        </w:trPr>
        <w:tc>
          <w:tcPr>
            <w:cnfStyle w:val="001000000000"/>
            <w:tcW w:w="1916" w:type="dxa"/>
            <w:vAlign w:val="bottom"/>
          </w:tcPr>
          <w:p w:rsidR="00827CD6" w:rsidRDefault="00827CD6" w:rsidP="00827CD6">
            <w:r>
              <w:t>W</w:t>
            </w:r>
          </w:p>
        </w:tc>
        <w:tc>
          <w:tcPr>
            <w:tcW w:w="1915" w:type="dxa"/>
            <w:vAlign w:val="bottom"/>
          </w:tcPr>
          <w:p w:rsidR="00827CD6" w:rsidRDefault="00827CD6" w:rsidP="00827CD6">
            <w:pPr>
              <w:cnfStyle w:val="000000010000"/>
            </w:pPr>
            <w:r>
              <w:t>0.6336</w:t>
            </w:r>
          </w:p>
        </w:tc>
        <w:tc>
          <w:tcPr>
            <w:tcW w:w="1915" w:type="dxa"/>
            <w:vAlign w:val="bottom"/>
          </w:tcPr>
          <w:p w:rsidR="00827CD6" w:rsidRDefault="00827CD6" w:rsidP="00827CD6">
            <w:pPr>
              <w:cnfStyle w:val="000000010000"/>
            </w:pPr>
            <w:r>
              <w:t>0.2842</w:t>
            </w:r>
          </w:p>
        </w:tc>
        <w:tc>
          <w:tcPr>
            <w:tcW w:w="1915" w:type="dxa"/>
            <w:vAlign w:val="bottom"/>
          </w:tcPr>
          <w:p w:rsidR="00827CD6" w:rsidRDefault="00827CD6" w:rsidP="00827CD6">
            <w:pPr>
              <w:cnfStyle w:val="000000010000"/>
            </w:pPr>
            <w:r>
              <w:t>0.0822</w:t>
            </w:r>
          </w:p>
        </w:tc>
        <w:tc>
          <w:tcPr>
            <w:tcW w:w="1915" w:type="dxa"/>
            <w:vMerge w:val="restart"/>
            <w:vAlign w:val="bottom"/>
          </w:tcPr>
          <w:p w:rsidR="00827CD6" w:rsidRDefault="00827CD6" w:rsidP="00827CD6">
            <w:pPr>
              <w:cnfStyle w:val="000000010000"/>
            </w:pPr>
          </w:p>
        </w:tc>
      </w:tr>
      <w:tr w:rsidR="00827CD6">
        <w:trPr>
          <w:cnfStyle w:val="000000100000"/>
        </w:trPr>
        <w:tc>
          <w:tcPr>
            <w:cnfStyle w:val="001000000000"/>
            <w:tcW w:w="1916" w:type="dxa"/>
            <w:vAlign w:val="bottom"/>
          </w:tcPr>
          <w:p w:rsidR="00827CD6" w:rsidRDefault="00827CD6" w:rsidP="00827CD6">
            <w:r>
              <w:t>B</w:t>
            </w:r>
          </w:p>
        </w:tc>
        <w:tc>
          <w:tcPr>
            <w:tcW w:w="1915" w:type="dxa"/>
            <w:vAlign w:val="bottom"/>
          </w:tcPr>
          <w:p w:rsidR="00827CD6" w:rsidRDefault="00827CD6" w:rsidP="00827CD6">
            <w:pPr>
              <w:cnfStyle w:val="000000100000"/>
            </w:pPr>
            <w:r>
              <w:t>0.2459</w:t>
            </w:r>
          </w:p>
        </w:tc>
        <w:tc>
          <w:tcPr>
            <w:tcW w:w="1915" w:type="dxa"/>
            <w:vAlign w:val="bottom"/>
          </w:tcPr>
          <w:p w:rsidR="00827CD6" w:rsidRDefault="00827CD6" w:rsidP="00827CD6">
            <w:pPr>
              <w:cnfStyle w:val="000000100000"/>
            </w:pPr>
            <w:r>
              <w:t>0.5902</w:t>
            </w:r>
          </w:p>
        </w:tc>
        <w:tc>
          <w:tcPr>
            <w:tcW w:w="1915" w:type="dxa"/>
            <w:vAlign w:val="bottom"/>
          </w:tcPr>
          <w:p w:rsidR="00827CD6" w:rsidRDefault="00827CD6" w:rsidP="00827CD6">
            <w:pPr>
              <w:cnfStyle w:val="000000100000"/>
            </w:pPr>
            <w:r>
              <w:t>0.1639</w:t>
            </w:r>
          </w:p>
        </w:tc>
        <w:tc>
          <w:tcPr>
            <w:tcW w:w="1915" w:type="dxa"/>
            <w:vMerge/>
            <w:vAlign w:val="bottom"/>
          </w:tcPr>
          <w:p w:rsidR="00827CD6" w:rsidRDefault="00827CD6" w:rsidP="00827CD6">
            <w:pPr>
              <w:cnfStyle w:val="000000100000"/>
            </w:pPr>
          </w:p>
        </w:tc>
      </w:tr>
      <w:tr w:rsidR="00827CD6">
        <w:trPr>
          <w:cnfStyle w:val="000000010000"/>
        </w:trPr>
        <w:tc>
          <w:tcPr>
            <w:cnfStyle w:val="001000000000"/>
            <w:tcW w:w="1916" w:type="dxa"/>
            <w:vAlign w:val="bottom"/>
          </w:tcPr>
          <w:p w:rsidR="00827CD6" w:rsidRDefault="00827CD6" w:rsidP="00827CD6">
            <w:r>
              <w:t>H</w:t>
            </w:r>
          </w:p>
        </w:tc>
        <w:tc>
          <w:tcPr>
            <w:tcW w:w="1915" w:type="dxa"/>
            <w:vAlign w:val="bottom"/>
          </w:tcPr>
          <w:p w:rsidR="00827CD6" w:rsidRDefault="00827CD6" w:rsidP="00827CD6">
            <w:pPr>
              <w:cnfStyle w:val="000000010000"/>
            </w:pPr>
            <w:r>
              <w:t>0.45</w:t>
            </w:r>
          </w:p>
        </w:tc>
        <w:tc>
          <w:tcPr>
            <w:tcW w:w="1915" w:type="dxa"/>
            <w:vAlign w:val="bottom"/>
          </w:tcPr>
          <w:p w:rsidR="00827CD6" w:rsidRDefault="00827CD6" w:rsidP="00827CD6">
            <w:pPr>
              <w:cnfStyle w:val="000000010000"/>
            </w:pPr>
            <w:r>
              <w:t>0.05</w:t>
            </w:r>
          </w:p>
        </w:tc>
        <w:tc>
          <w:tcPr>
            <w:tcW w:w="1915" w:type="dxa"/>
            <w:vAlign w:val="bottom"/>
          </w:tcPr>
          <w:p w:rsidR="00827CD6" w:rsidRDefault="00827CD6" w:rsidP="00827CD6">
            <w:pPr>
              <w:cnfStyle w:val="000000010000"/>
            </w:pPr>
            <w:r>
              <w:t>0.5</w:t>
            </w:r>
          </w:p>
        </w:tc>
        <w:tc>
          <w:tcPr>
            <w:tcW w:w="1915" w:type="dxa"/>
            <w:vMerge/>
            <w:vAlign w:val="bottom"/>
          </w:tcPr>
          <w:p w:rsidR="00827CD6" w:rsidRDefault="00827CD6" w:rsidP="00827CD6">
            <w:pPr>
              <w:cnfStyle w:val="000000010000"/>
            </w:pPr>
          </w:p>
        </w:tc>
      </w:tr>
      <w:tr w:rsidR="00827CD6">
        <w:trPr>
          <w:cnfStyle w:val="000000100000"/>
        </w:trPr>
        <w:tc>
          <w:tcPr>
            <w:cnfStyle w:val="001000000000"/>
            <w:tcW w:w="1916" w:type="dxa"/>
            <w:vAlign w:val="bottom"/>
          </w:tcPr>
          <w:p w:rsidR="00827CD6" w:rsidRDefault="00827CD6" w:rsidP="00827CD6">
            <w:r>
              <w:t>Overall</w:t>
            </w:r>
          </w:p>
        </w:tc>
        <w:tc>
          <w:tcPr>
            <w:tcW w:w="5745" w:type="dxa"/>
            <w:gridSpan w:val="3"/>
            <w:vAlign w:val="bottom"/>
          </w:tcPr>
          <w:p w:rsidR="00827CD6" w:rsidRDefault="00827CD6" w:rsidP="00827CD6">
            <w:pPr>
              <w:cnfStyle w:val="000000100000"/>
            </w:pPr>
          </w:p>
        </w:tc>
        <w:tc>
          <w:tcPr>
            <w:tcW w:w="1915" w:type="dxa"/>
            <w:vAlign w:val="bottom"/>
          </w:tcPr>
          <w:p w:rsidR="00827CD6" w:rsidRDefault="00827CD6" w:rsidP="00827CD6">
            <w:pPr>
              <w:cnfStyle w:val="000000100000"/>
            </w:pPr>
            <w:r>
              <w:t>0.6187</w:t>
            </w:r>
          </w:p>
        </w:tc>
      </w:tr>
    </w:tbl>
    <w:p w:rsidR="0066062D" w:rsidRDefault="0066062D" w:rsidP="00794381"/>
    <w:p w:rsidR="0014436B" w:rsidRPr="0014436B" w:rsidRDefault="0014436B" w:rsidP="0024354B">
      <w:pPr>
        <w:pStyle w:val="Caption"/>
      </w:pPr>
      <w:bookmarkStart w:id="223" w:name="_Toc227982540"/>
      <w:proofErr w:type="gramStart"/>
      <w:r w:rsidRPr="0014436B">
        <w:t xml:space="preserve">Table </w:t>
      </w:r>
      <w:r w:rsidR="003731B6" w:rsidRPr="0014436B">
        <w:fldChar w:fldCharType="begin"/>
      </w:r>
      <w:r w:rsidRPr="0014436B">
        <w:instrText xml:space="preserve"> SEQ Table \* ARABIC </w:instrText>
      </w:r>
      <w:r w:rsidR="003731B6" w:rsidRPr="0014436B">
        <w:fldChar w:fldCharType="separate"/>
      </w:r>
      <w:r w:rsidR="001633BC">
        <w:rPr>
          <w:noProof/>
        </w:rPr>
        <w:t>32</w:t>
      </w:r>
      <w:r w:rsidR="003731B6" w:rsidRPr="0014436B">
        <w:fldChar w:fldCharType="end"/>
      </w:r>
      <w:r w:rsidRPr="0014436B">
        <w:t>.</w:t>
      </w:r>
      <w:proofErr w:type="gramEnd"/>
      <w:r w:rsidRPr="0014436B">
        <w:t xml:space="preserve"> 8 variable KNN </w:t>
      </w:r>
      <w:proofErr w:type="gramStart"/>
      <w:r w:rsidRPr="0014436B">
        <w:t>ancestry</w:t>
      </w:r>
      <w:proofErr w:type="gramEnd"/>
      <w:r w:rsidRPr="0014436B">
        <w:t xml:space="preserve"> aggregated cross-validation classification rate</w:t>
      </w:r>
      <w:bookmarkEnd w:id="223"/>
    </w:p>
    <w:tbl>
      <w:tblPr>
        <w:tblStyle w:val="LightGrid-Accent11"/>
        <w:tblW w:w="0" w:type="auto"/>
        <w:tblLook w:val="04A0"/>
      </w:tblPr>
      <w:tblGrid>
        <w:gridCol w:w="1916"/>
        <w:gridCol w:w="1915"/>
        <w:gridCol w:w="1915"/>
        <w:gridCol w:w="1915"/>
        <w:gridCol w:w="1915"/>
      </w:tblGrid>
      <w:tr w:rsidR="0014436B">
        <w:trPr>
          <w:cnfStyle w:val="100000000000"/>
        </w:trPr>
        <w:tc>
          <w:tcPr>
            <w:cnfStyle w:val="001000000000"/>
            <w:tcW w:w="1916" w:type="dxa"/>
            <w:vAlign w:val="bottom"/>
          </w:tcPr>
          <w:p w:rsidR="0014436B" w:rsidRDefault="0014436B" w:rsidP="0014436B"/>
        </w:tc>
        <w:tc>
          <w:tcPr>
            <w:tcW w:w="7660" w:type="dxa"/>
            <w:gridSpan w:val="4"/>
            <w:vAlign w:val="bottom"/>
          </w:tcPr>
          <w:p w:rsidR="0014436B" w:rsidRDefault="0014436B" w:rsidP="0014436B">
            <w:pPr>
              <w:cnfStyle w:val="100000000000"/>
            </w:pPr>
            <w:r>
              <w:t>Predicted</w:t>
            </w:r>
          </w:p>
        </w:tc>
      </w:tr>
      <w:tr w:rsidR="0014436B">
        <w:trPr>
          <w:cnfStyle w:val="000000100000"/>
        </w:trPr>
        <w:tc>
          <w:tcPr>
            <w:cnfStyle w:val="001000000000"/>
            <w:tcW w:w="1916" w:type="dxa"/>
            <w:vAlign w:val="bottom"/>
          </w:tcPr>
          <w:p w:rsidR="0014436B" w:rsidRDefault="0014436B" w:rsidP="0014436B">
            <w:r>
              <w:t>Actual</w:t>
            </w:r>
          </w:p>
        </w:tc>
        <w:tc>
          <w:tcPr>
            <w:tcW w:w="1915" w:type="dxa"/>
            <w:vAlign w:val="bottom"/>
          </w:tcPr>
          <w:p w:rsidR="0014436B" w:rsidRPr="0014436B" w:rsidRDefault="0014436B" w:rsidP="0014436B">
            <w:pPr>
              <w:cnfStyle w:val="000000100000"/>
              <w:rPr>
                <w:b/>
              </w:rPr>
            </w:pPr>
            <w:r w:rsidRPr="0014436B">
              <w:rPr>
                <w:b/>
              </w:rPr>
              <w:t>W</w:t>
            </w:r>
          </w:p>
        </w:tc>
        <w:tc>
          <w:tcPr>
            <w:tcW w:w="1915" w:type="dxa"/>
            <w:vAlign w:val="bottom"/>
          </w:tcPr>
          <w:p w:rsidR="0014436B" w:rsidRPr="0014436B" w:rsidRDefault="0014436B" w:rsidP="0014436B">
            <w:pPr>
              <w:cnfStyle w:val="000000100000"/>
              <w:rPr>
                <w:b/>
              </w:rPr>
            </w:pPr>
            <w:r w:rsidRPr="0014436B">
              <w:rPr>
                <w:b/>
              </w:rPr>
              <w:t>B</w:t>
            </w:r>
          </w:p>
        </w:tc>
        <w:tc>
          <w:tcPr>
            <w:tcW w:w="1915" w:type="dxa"/>
            <w:vAlign w:val="bottom"/>
          </w:tcPr>
          <w:p w:rsidR="0014436B" w:rsidRPr="0014436B" w:rsidRDefault="0014436B" w:rsidP="0014436B">
            <w:pPr>
              <w:cnfStyle w:val="000000100000"/>
              <w:rPr>
                <w:b/>
              </w:rPr>
            </w:pPr>
            <w:r w:rsidRPr="0014436B">
              <w:rPr>
                <w:b/>
              </w:rPr>
              <w:t>H</w:t>
            </w:r>
          </w:p>
        </w:tc>
        <w:tc>
          <w:tcPr>
            <w:tcW w:w="1915" w:type="dxa"/>
            <w:vAlign w:val="bottom"/>
          </w:tcPr>
          <w:p w:rsidR="0014436B" w:rsidRPr="0014436B" w:rsidRDefault="0014436B" w:rsidP="0014436B">
            <w:pPr>
              <w:cnfStyle w:val="000000100000"/>
              <w:rPr>
                <w:b/>
              </w:rPr>
            </w:pPr>
            <w:r w:rsidRPr="0014436B">
              <w:rPr>
                <w:b/>
              </w:rPr>
              <w:t>Overall</w:t>
            </w:r>
          </w:p>
        </w:tc>
      </w:tr>
      <w:tr w:rsidR="0014436B">
        <w:trPr>
          <w:cnfStyle w:val="000000010000"/>
        </w:trPr>
        <w:tc>
          <w:tcPr>
            <w:cnfStyle w:val="001000000000"/>
            <w:tcW w:w="1916" w:type="dxa"/>
            <w:vAlign w:val="bottom"/>
          </w:tcPr>
          <w:p w:rsidR="0014436B" w:rsidRDefault="0014436B" w:rsidP="0014436B">
            <w:r>
              <w:t>W</w:t>
            </w:r>
          </w:p>
        </w:tc>
        <w:tc>
          <w:tcPr>
            <w:tcW w:w="1915" w:type="dxa"/>
            <w:vAlign w:val="bottom"/>
          </w:tcPr>
          <w:p w:rsidR="0014436B" w:rsidRDefault="0014436B" w:rsidP="0014436B">
            <w:pPr>
              <w:cnfStyle w:val="000000010000"/>
            </w:pPr>
            <w:r>
              <w:t>0.6766</w:t>
            </w:r>
          </w:p>
        </w:tc>
        <w:tc>
          <w:tcPr>
            <w:tcW w:w="1915" w:type="dxa"/>
            <w:vAlign w:val="bottom"/>
          </w:tcPr>
          <w:p w:rsidR="0014436B" w:rsidRDefault="0014436B" w:rsidP="0014436B">
            <w:pPr>
              <w:cnfStyle w:val="000000010000"/>
            </w:pPr>
            <w:r>
              <w:t>0.2171</w:t>
            </w:r>
          </w:p>
        </w:tc>
        <w:tc>
          <w:tcPr>
            <w:tcW w:w="1915" w:type="dxa"/>
            <w:vAlign w:val="bottom"/>
          </w:tcPr>
          <w:p w:rsidR="0014436B" w:rsidRDefault="0014436B" w:rsidP="0014436B">
            <w:pPr>
              <w:cnfStyle w:val="000000010000"/>
            </w:pPr>
            <w:r>
              <w:t>0.1062</w:t>
            </w:r>
          </w:p>
        </w:tc>
        <w:tc>
          <w:tcPr>
            <w:tcW w:w="1915" w:type="dxa"/>
            <w:vMerge w:val="restart"/>
            <w:vAlign w:val="bottom"/>
          </w:tcPr>
          <w:p w:rsidR="0014436B" w:rsidRDefault="0014436B" w:rsidP="0014436B">
            <w:pPr>
              <w:cnfStyle w:val="000000010000"/>
            </w:pPr>
          </w:p>
        </w:tc>
      </w:tr>
      <w:tr w:rsidR="0014436B">
        <w:trPr>
          <w:cnfStyle w:val="000000100000"/>
        </w:trPr>
        <w:tc>
          <w:tcPr>
            <w:cnfStyle w:val="001000000000"/>
            <w:tcW w:w="1916" w:type="dxa"/>
            <w:vAlign w:val="bottom"/>
          </w:tcPr>
          <w:p w:rsidR="0014436B" w:rsidRDefault="0014436B" w:rsidP="0014436B">
            <w:r>
              <w:t>B</w:t>
            </w:r>
          </w:p>
        </w:tc>
        <w:tc>
          <w:tcPr>
            <w:tcW w:w="1915" w:type="dxa"/>
            <w:vAlign w:val="bottom"/>
          </w:tcPr>
          <w:p w:rsidR="0014436B" w:rsidRDefault="0014436B" w:rsidP="0014436B">
            <w:pPr>
              <w:cnfStyle w:val="000000100000"/>
            </w:pPr>
            <w:r>
              <w:t>0.2824</w:t>
            </w:r>
          </w:p>
        </w:tc>
        <w:tc>
          <w:tcPr>
            <w:tcW w:w="1915" w:type="dxa"/>
            <w:vAlign w:val="bottom"/>
          </w:tcPr>
          <w:p w:rsidR="0014436B" w:rsidRDefault="0014436B" w:rsidP="0014436B">
            <w:pPr>
              <w:cnfStyle w:val="000000100000"/>
            </w:pPr>
            <w:r>
              <w:t>0.5649</w:t>
            </w:r>
          </w:p>
        </w:tc>
        <w:tc>
          <w:tcPr>
            <w:tcW w:w="1915" w:type="dxa"/>
            <w:vAlign w:val="bottom"/>
          </w:tcPr>
          <w:p w:rsidR="0014436B" w:rsidRDefault="0014436B" w:rsidP="0014436B">
            <w:pPr>
              <w:cnfStyle w:val="000000100000"/>
            </w:pPr>
            <w:r>
              <w:t>0.1527</w:t>
            </w:r>
          </w:p>
        </w:tc>
        <w:tc>
          <w:tcPr>
            <w:tcW w:w="1915" w:type="dxa"/>
            <w:vMerge/>
            <w:vAlign w:val="bottom"/>
          </w:tcPr>
          <w:p w:rsidR="0014436B" w:rsidRDefault="0014436B" w:rsidP="0014436B">
            <w:pPr>
              <w:cnfStyle w:val="000000100000"/>
            </w:pPr>
          </w:p>
        </w:tc>
      </w:tr>
      <w:tr w:rsidR="0014436B">
        <w:trPr>
          <w:cnfStyle w:val="000000010000"/>
        </w:trPr>
        <w:tc>
          <w:tcPr>
            <w:cnfStyle w:val="001000000000"/>
            <w:tcW w:w="1916" w:type="dxa"/>
            <w:vAlign w:val="bottom"/>
          </w:tcPr>
          <w:p w:rsidR="0014436B" w:rsidRDefault="0014436B" w:rsidP="0014436B">
            <w:r>
              <w:t>H</w:t>
            </w:r>
          </w:p>
        </w:tc>
        <w:tc>
          <w:tcPr>
            <w:tcW w:w="1915" w:type="dxa"/>
            <w:vAlign w:val="bottom"/>
          </w:tcPr>
          <w:p w:rsidR="0014436B" w:rsidRDefault="0014436B" w:rsidP="0014436B">
            <w:pPr>
              <w:cnfStyle w:val="000000010000"/>
            </w:pPr>
            <w:r>
              <w:t>0.4464</w:t>
            </w:r>
          </w:p>
        </w:tc>
        <w:tc>
          <w:tcPr>
            <w:tcW w:w="1915" w:type="dxa"/>
            <w:vAlign w:val="bottom"/>
          </w:tcPr>
          <w:p w:rsidR="0014436B" w:rsidRDefault="0014436B" w:rsidP="0014436B">
            <w:pPr>
              <w:cnfStyle w:val="000000010000"/>
            </w:pPr>
            <w:r>
              <w:t>0.2857</w:t>
            </w:r>
          </w:p>
        </w:tc>
        <w:tc>
          <w:tcPr>
            <w:tcW w:w="1915" w:type="dxa"/>
            <w:vAlign w:val="bottom"/>
          </w:tcPr>
          <w:p w:rsidR="0014436B" w:rsidRDefault="0014436B" w:rsidP="0014436B">
            <w:pPr>
              <w:cnfStyle w:val="000000010000"/>
            </w:pPr>
            <w:r>
              <w:t>0.2679</w:t>
            </w:r>
          </w:p>
        </w:tc>
        <w:tc>
          <w:tcPr>
            <w:tcW w:w="1915" w:type="dxa"/>
            <w:vMerge/>
            <w:vAlign w:val="bottom"/>
          </w:tcPr>
          <w:p w:rsidR="0014436B" w:rsidRDefault="0014436B" w:rsidP="0014436B">
            <w:pPr>
              <w:cnfStyle w:val="000000010000"/>
            </w:pPr>
          </w:p>
        </w:tc>
      </w:tr>
      <w:tr w:rsidR="0014436B">
        <w:trPr>
          <w:cnfStyle w:val="000000100000"/>
        </w:trPr>
        <w:tc>
          <w:tcPr>
            <w:cnfStyle w:val="001000000000"/>
            <w:tcW w:w="1916" w:type="dxa"/>
            <w:vAlign w:val="bottom"/>
          </w:tcPr>
          <w:p w:rsidR="0014436B" w:rsidRDefault="0014436B" w:rsidP="0014436B">
            <w:r>
              <w:t>Overall</w:t>
            </w:r>
          </w:p>
        </w:tc>
        <w:tc>
          <w:tcPr>
            <w:tcW w:w="5745" w:type="dxa"/>
            <w:gridSpan w:val="3"/>
            <w:vAlign w:val="bottom"/>
          </w:tcPr>
          <w:p w:rsidR="0014436B" w:rsidRDefault="0014436B" w:rsidP="0014436B">
            <w:pPr>
              <w:cnfStyle w:val="000000100000"/>
            </w:pPr>
          </w:p>
        </w:tc>
        <w:tc>
          <w:tcPr>
            <w:tcW w:w="1915" w:type="dxa"/>
            <w:vAlign w:val="bottom"/>
          </w:tcPr>
          <w:p w:rsidR="0014436B" w:rsidRDefault="0014436B" w:rsidP="0014436B">
            <w:pPr>
              <w:cnfStyle w:val="000000100000"/>
            </w:pPr>
            <w:r>
              <w:t>0.5895</w:t>
            </w:r>
          </w:p>
        </w:tc>
      </w:tr>
    </w:tbl>
    <w:p w:rsidR="0014436B" w:rsidRDefault="0014436B" w:rsidP="00794381"/>
    <w:p w:rsidR="0014436B" w:rsidRPr="0014436B" w:rsidRDefault="0014436B" w:rsidP="0014436B">
      <w:pPr>
        <w:pStyle w:val="Caption"/>
        <w:keepNext/>
        <w:rPr>
          <w:b/>
        </w:rPr>
      </w:pPr>
      <w:bookmarkStart w:id="224" w:name="_Toc227982541"/>
      <w:proofErr w:type="gramStart"/>
      <w:r w:rsidRPr="0024354B">
        <w:t xml:space="preserve">Table </w:t>
      </w:r>
      <w:r w:rsidR="003731B6" w:rsidRPr="0024354B">
        <w:fldChar w:fldCharType="begin"/>
      </w:r>
      <w:r w:rsidRPr="0024354B">
        <w:instrText xml:space="preserve"> SEQ Table \* ARABIC </w:instrText>
      </w:r>
      <w:r w:rsidR="003731B6" w:rsidRPr="0024354B">
        <w:fldChar w:fldCharType="separate"/>
      </w:r>
      <w:r w:rsidR="001633BC" w:rsidRPr="0024354B">
        <w:t>33</w:t>
      </w:r>
      <w:r w:rsidR="003731B6" w:rsidRPr="0024354B">
        <w:fldChar w:fldCharType="end"/>
      </w:r>
      <w:r w:rsidRPr="0024354B">
        <w:t>.</w:t>
      </w:r>
      <w:proofErr w:type="gramEnd"/>
      <w:r w:rsidRPr="0024354B">
        <w:t xml:space="preserve"> 8 variable KNN ancestry aggregated holdout classification</w:t>
      </w:r>
      <w:r w:rsidRPr="0014436B">
        <w:rPr>
          <w:b/>
        </w:rPr>
        <w:t xml:space="preserve"> </w:t>
      </w:r>
      <w:r w:rsidRPr="0024354B">
        <w:t>rate</w:t>
      </w:r>
      <w:bookmarkEnd w:id="224"/>
    </w:p>
    <w:tbl>
      <w:tblPr>
        <w:tblStyle w:val="LightGrid-Accent11"/>
        <w:tblW w:w="0" w:type="auto"/>
        <w:tblLook w:val="04A0"/>
      </w:tblPr>
      <w:tblGrid>
        <w:gridCol w:w="1916"/>
        <w:gridCol w:w="1915"/>
        <w:gridCol w:w="1915"/>
        <w:gridCol w:w="1915"/>
        <w:gridCol w:w="1915"/>
      </w:tblGrid>
      <w:tr w:rsidR="0014436B">
        <w:trPr>
          <w:cnfStyle w:val="100000000000"/>
        </w:trPr>
        <w:tc>
          <w:tcPr>
            <w:cnfStyle w:val="001000000000"/>
            <w:tcW w:w="1916" w:type="dxa"/>
            <w:vAlign w:val="bottom"/>
          </w:tcPr>
          <w:p w:rsidR="0014436B" w:rsidRDefault="0014436B" w:rsidP="0014436B"/>
        </w:tc>
        <w:tc>
          <w:tcPr>
            <w:tcW w:w="7660" w:type="dxa"/>
            <w:gridSpan w:val="4"/>
            <w:vAlign w:val="bottom"/>
          </w:tcPr>
          <w:p w:rsidR="0014436B" w:rsidRDefault="0014436B" w:rsidP="0014436B">
            <w:pPr>
              <w:cnfStyle w:val="100000000000"/>
            </w:pPr>
            <w:r>
              <w:t>Predicted</w:t>
            </w:r>
          </w:p>
        </w:tc>
      </w:tr>
      <w:tr w:rsidR="0014436B">
        <w:trPr>
          <w:cnfStyle w:val="000000100000"/>
        </w:trPr>
        <w:tc>
          <w:tcPr>
            <w:cnfStyle w:val="001000000000"/>
            <w:tcW w:w="1916" w:type="dxa"/>
            <w:vAlign w:val="bottom"/>
          </w:tcPr>
          <w:p w:rsidR="0014436B" w:rsidRDefault="0014436B" w:rsidP="0014436B">
            <w:r>
              <w:t>Actual</w:t>
            </w:r>
          </w:p>
        </w:tc>
        <w:tc>
          <w:tcPr>
            <w:tcW w:w="1915" w:type="dxa"/>
            <w:vAlign w:val="bottom"/>
          </w:tcPr>
          <w:p w:rsidR="0014436B" w:rsidRPr="0014436B" w:rsidRDefault="0014436B" w:rsidP="0014436B">
            <w:pPr>
              <w:cnfStyle w:val="000000100000"/>
              <w:rPr>
                <w:b/>
              </w:rPr>
            </w:pPr>
            <w:r w:rsidRPr="0014436B">
              <w:rPr>
                <w:b/>
              </w:rPr>
              <w:t>W</w:t>
            </w:r>
          </w:p>
        </w:tc>
        <w:tc>
          <w:tcPr>
            <w:tcW w:w="1915" w:type="dxa"/>
            <w:vAlign w:val="bottom"/>
          </w:tcPr>
          <w:p w:rsidR="0014436B" w:rsidRPr="0014436B" w:rsidRDefault="0014436B" w:rsidP="0014436B">
            <w:pPr>
              <w:cnfStyle w:val="000000100000"/>
              <w:rPr>
                <w:b/>
              </w:rPr>
            </w:pPr>
            <w:r w:rsidRPr="0014436B">
              <w:rPr>
                <w:b/>
              </w:rPr>
              <w:t>B</w:t>
            </w:r>
          </w:p>
        </w:tc>
        <w:tc>
          <w:tcPr>
            <w:tcW w:w="1915" w:type="dxa"/>
            <w:vAlign w:val="bottom"/>
          </w:tcPr>
          <w:p w:rsidR="0014436B" w:rsidRPr="0014436B" w:rsidRDefault="0014436B" w:rsidP="0014436B">
            <w:pPr>
              <w:cnfStyle w:val="000000100000"/>
              <w:rPr>
                <w:b/>
              </w:rPr>
            </w:pPr>
            <w:r w:rsidRPr="0014436B">
              <w:rPr>
                <w:b/>
              </w:rPr>
              <w:t>H</w:t>
            </w:r>
          </w:p>
        </w:tc>
        <w:tc>
          <w:tcPr>
            <w:tcW w:w="1915" w:type="dxa"/>
            <w:vAlign w:val="bottom"/>
          </w:tcPr>
          <w:p w:rsidR="0014436B" w:rsidRPr="0014436B" w:rsidRDefault="0014436B" w:rsidP="0014436B">
            <w:pPr>
              <w:cnfStyle w:val="000000100000"/>
              <w:rPr>
                <w:b/>
              </w:rPr>
            </w:pPr>
            <w:r w:rsidRPr="0014436B">
              <w:rPr>
                <w:b/>
              </w:rPr>
              <w:t>Overall</w:t>
            </w:r>
          </w:p>
        </w:tc>
      </w:tr>
      <w:tr w:rsidR="0014436B">
        <w:trPr>
          <w:cnfStyle w:val="000000010000"/>
        </w:trPr>
        <w:tc>
          <w:tcPr>
            <w:cnfStyle w:val="001000000000"/>
            <w:tcW w:w="1916" w:type="dxa"/>
            <w:vAlign w:val="bottom"/>
          </w:tcPr>
          <w:p w:rsidR="0014436B" w:rsidRDefault="0014436B" w:rsidP="0014436B">
            <w:r>
              <w:t>W</w:t>
            </w:r>
          </w:p>
        </w:tc>
        <w:tc>
          <w:tcPr>
            <w:tcW w:w="1915" w:type="dxa"/>
            <w:vAlign w:val="bottom"/>
          </w:tcPr>
          <w:p w:rsidR="0014436B" w:rsidRDefault="0014436B" w:rsidP="0014436B">
            <w:pPr>
              <w:cnfStyle w:val="000000010000"/>
            </w:pPr>
            <w:r>
              <w:t>0.6815</w:t>
            </w:r>
          </w:p>
        </w:tc>
        <w:tc>
          <w:tcPr>
            <w:tcW w:w="1915" w:type="dxa"/>
            <w:vAlign w:val="bottom"/>
          </w:tcPr>
          <w:p w:rsidR="0014436B" w:rsidRDefault="0014436B" w:rsidP="0014436B">
            <w:pPr>
              <w:cnfStyle w:val="000000010000"/>
            </w:pPr>
            <w:r>
              <w:t>0.2021</w:t>
            </w:r>
          </w:p>
        </w:tc>
        <w:tc>
          <w:tcPr>
            <w:tcW w:w="1915" w:type="dxa"/>
            <w:vAlign w:val="bottom"/>
          </w:tcPr>
          <w:p w:rsidR="0014436B" w:rsidRDefault="0014436B" w:rsidP="0014436B">
            <w:pPr>
              <w:cnfStyle w:val="000000010000"/>
            </w:pPr>
            <w:r>
              <w:t>0.0822</w:t>
            </w:r>
          </w:p>
        </w:tc>
        <w:tc>
          <w:tcPr>
            <w:tcW w:w="1915" w:type="dxa"/>
            <w:vMerge w:val="restart"/>
            <w:vAlign w:val="bottom"/>
          </w:tcPr>
          <w:p w:rsidR="0014436B" w:rsidRDefault="0014436B" w:rsidP="0014436B">
            <w:pPr>
              <w:cnfStyle w:val="000000010000"/>
            </w:pPr>
          </w:p>
        </w:tc>
      </w:tr>
      <w:tr w:rsidR="0014436B">
        <w:trPr>
          <w:cnfStyle w:val="000000100000"/>
        </w:trPr>
        <w:tc>
          <w:tcPr>
            <w:cnfStyle w:val="001000000000"/>
            <w:tcW w:w="1916" w:type="dxa"/>
            <w:vAlign w:val="bottom"/>
          </w:tcPr>
          <w:p w:rsidR="0014436B" w:rsidRDefault="0014436B" w:rsidP="0014436B">
            <w:r>
              <w:t>B</w:t>
            </w:r>
          </w:p>
        </w:tc>
        <w:tc>
          <w:tcPr>
            <w:tcW w:w="1915" w:type="dxa"/>
            <w:vAlign w:val="bottom"/>
          </w:tcPr>
          <w:p w:rsidR="0014436B" w:rsidRDefault="0014436B" w:rsidP="0014436B">
            <w:pPr>
              <w:cnfStyle w:val="000000100000"/>
            </w:pPr>
            <w:r>
              <w:t>0.2951</w:t>
            </w:r>
          </w:p>
        </w:tc>
        <w:tc>
          <w:tcPr>
            <w:tcW w:w="1915" w:type="dxa"/>
            <w:vAlign w:val="bottom"/>
          </w:tcPr>
          <w:p w:rsidR="0014436B" w:rsidRDefault="0014436B" w:rsidP="0014436B">
            <w:pPr>
              <w:cnfStyle w:val="000000100000"/>
            </w:pPr>
            <w:r>
              <w:t>0.541</w:t>
            </w:r>
          </w:p>
        </w:tc>
        <w:tc>
          <w:tcPr>
            <w:tcW w:w="1915" w:type="dxa"/>
            <w:vAlign w:val="bottom"/>
          </w:tcPr>
          <w:p w:rsidR="0014436B" w:rsidRDefault="0014436B" w:rsidP="0014436B">
            <w:pPr>
              <w:cnfStyle w:val="000000100000"/>
            </w:pPr>
            <w:r>
              <w:t>0.1639</w:t>
            </w:r>
          </w:p>
        </w:tc>
        <w:tc>
          <w:tcPr>
            <w:tcW w:w="1915" w:type="dxa"/>
            <w:vMerge/>
            <w:vAlign w:val="bottom"/>
          </w:tcPr>
          <w:p w:rsidR="0014436B" w:rsidRDefault="0014436B" w:rsidP="0014436B">
            <w:pPr>
              <w:cnfStyle w:val="000000100000"/>
            </w:pPr>
          </w:p>
        </w:tc>
      </w:tr>
      <w:tr w:rsidR="0014436B">
        <w:trPr>
          <w:cnfStyle w:val="000000010000"/>
        </w:trPr>
        <w:tc>
          <w:tcPr>
            <w:cnfStyle w:val="001000000000"/>
            <w:tcW w:w="1916" w:type="dxa"/>
            <w:vAlign w:val="bottom"/>
          </w:tcPr>
          <w:p w:rsidR="0014436B" w:rsidRDefault="0014436B" w:rsidP="0014436B">
            <w:r>
              <w:t>H</w:t>
            </w:r>
          </w:p>
        </w:tc>
        <w:tc>
          <w:tcPr>
            <w:tcW w:w="1915" w:type="dxa"/>
            <w:vAlign w:val="bottom"/>
          </w:tcPr>
          <w:p w:rsidR="0014436B" w:rsidRDefault="0014436B" w:rsidP="0014436B">
            <w:pPr>
              <w:cnfStyle w:val="000000010000"/>
            </w:pPr>
            <w:r>
              <w:t>0.3636</w:t>
            </w:r>
          </w:p>
        </w:tc>
        <w:tc>
          <w:tcPr>
            <w:tcW w:w="1915" w:type="dxa"/>
            <w:vAlign w:val="bottom"/>
          </w:tcPr>
          <w:p w:rsidR="0014436B" w:rsidRDefault="0014436B" w:rsidP="0014436B">
            <w:pPr>
              <w:cnfStyle w:val="000000010000"/>
            </w:pPr>
            <w:r>
              <w:t>0.0909</w:t>
            </w:r>
          </w:p>
        </w:tc>
        <w:tc>
          <w:tcPr>
            <w:tcW w:w="1915" w:type="dxa"/>
            <w:vAlign w:val="bottom"/>
          </w:tcPr>
          <w:p w:rsidR="0014436B" w:rsidRDefault="0014436B" w:rsidP="0014436B">
            <w:pPr>
              <w:cnfStyle w:val="000000010000"/>
            </w:pPr>
            <w:r>
              <w:t>0.5455</w:t>
            </w:r>
          </w:p>
        </w:tc>
        <w:tc>
          <w:tcPr>
            <w:tcW w:w="1915" w:type="dxa"/>
            <w:vMerge/>
            <w:vAlign w:val="bottom"/>
          </w:tcPr>
          <w:p w:rsidR="0014436B" w:rsidRDefault="0014436B" w:rsidP="0014436B">
            <w:pPr>
              <w:cnfStyle w:val="000000010000"/>
            </w:pPr>
          </w:p>
        </w:tc>
      </w:tr>
      <w:tr w:rsidR="0014436B">
        <w:trPr>
          <w:cnfStyle w:val="000000100000"/>
        </w:trPr>
        <w:tc>
          <w:tcPr>
            <w:cnfStyle w:val="001000000000"/>
            <w:tcW w:w="1916" w:type="dxa"/>
            <w:vAlign w:val="bottom"/>
          </w:tcPr>
          <w:p w:rsidR="0014436B" w:rsidRDefault="0014436B" w:rsidP="0014436B">
            <w:r>
              <w:t>Overall</w:t>
            </w:r>
          </w:p>
        </w:tc>
        <w:tc>
          <w:tcPr>
            <w:tcW w:w="5745" w:type="dxa"/>
            <w:gridSpan w:val="3"/>
            <w:vAlign w:val="bottom"/>
          </w:tcPr>
          <w:p w:rsidR="0014436B" w:rsidRDefault="0014436B" w:rsidP="0014436B">
            <w:pPr>
              <w:cnfStyle w:val="000000100000"/>
            </w:pPr>
          </w:p>
        </w:tc>
        <w:tc>
          <w:tcPr>
            <w:tcW w:w="1915" w:type="dxa"/>
            <w:vAlign w:val="bottom"/>
          </w:tcPr>
          <w:p w:rsidR="0014436B" w:rsidRDefault="0014436B" w:rsidP="0014436B">
            <w:pPr>
              <w:cnfStyle w:val="000000100000"/>
            </w:pPr>
            <w:r>
              <w:t>0.6507</w:t>
            </w:r>
          </w:p>
        </w:tc>
      </w:tr>
    </w:tbl>
    <w:p w:rsidR="00FE58CD" w:rsidRDefault="00FE58CD" w:rsidP="00794381"/>
    <w:p w:rsidR="00FE58CD" w:rsidRPr="00FE58CD" w:rsidRDefault="00FE58CD" w:rsidP="00192B18">
      <w:pPr>
        <w:pStyle w:val="Caption"/>
      </w:pPr>
      <w:bookmarkStart w:id="225" w:name="_Toc227982542"/>
      <w:proofErr w:type="gramStart"/>
      <w:r w:rsidRPr="00FE58CD">
        <w:t xml:space="preserve">Table </w:t>
      </w:r>
      <w:r w:rsidR="003731B6" w:rsidRPr="00FE58CD">
        <w:fldChar w:fldCharType="begin"/>
      </w:r>
      <w:r w:rsidRPr="00FE58CD">
        <w:instrText xml:space="preserve"> SEQ Table \* ARABIC </w:instrText>
      </w:r>
      <w:r w:rsidR="003731B6" w:rsidRPr="00FE58CD">
        <w:fldChar w:fldCharType="separate"/>
      </w:r>
      <w:r w:rsidR="001633BC">
        <w:rPr>
          <w:noProof/>
        </w:rPr>
        <w:t>34</w:t>
      </w:r>
      <w:r w:rsidR="003731B6" w:rsidRPr="00FE58CD">
        <w:fldChar w:fldCharType="end"/>
      </w:r>
      <w:r w:rsidRPr="00FE58CD">
        <w:t>.</w:t>
      </w:r>
      <w:proofErr w:type="gramEnd"/>
      <w:r w:rsidRPr="00FE58CD">
        <w:t xml:space="preserve"> 13 variable LDA sex aggregated cross-validation classification rate</w:t>
      </w:r>
      <w:bookmarkEnd w:id="225"/>
    </w:p>
    <w:tbl>
      <w:tblPr>
        <w:tblStyle w:val="LightGrid-Accent11"/>
        <w:tblW w:w="0" w:type="auto"/>
        <w:tblLook w:val="04A0"/>
      </w:tblPr>
      <w:tblGrid>
        <w:gridCol w:w="1916"/>
        <w:gridCol w:w="1915"/>
        <w:gridCol w:w="1915"/>
        <w:gridCol w:w="1915"/>
      </w:tblGrid>
      <w:tr w:rsidR="00FE58CD">
        <w:trPr>
          <w:cnfStyle w:val="100000000000"/>
        </w:trPr>
        <w:tc>
          <w:tcPr>
            <w:cnfStyle w:val="001000000000"/>
            <w:tcW w:w="1916" w:type="dxa"/>
          </w:tcPr>
          <w:p w:rsidR="00FE58CD" w:rsidRDefault="00FE58CD" w:rsidP="00FE58CD"/>
        </w:tc>
        <w:tc>
          <w:tcPr>
            <w:tcW w:w="5745" w:type="dxa"/>
            <w:gridSpan w:val="3"/>
          </w:tcPr>
          <w:p w:rsidR="00FE58CD" w:rsidRDefault="00FE58CD" w:rsidP="00FE58CD">
            <w:pPr>
              <w:cnfStyle w:val="100000000000"/>
            </w:pPr>
            <w:r>
              <w:t>Predicted</w:t>
            </w:r>
          </w:p>
        </w:tc>
      </w:tr>
      <w:tr w:rsidR="00FE58CD">
        <w:trPr>
          <w:cnfStyle w:val="000000100000"/>
        </w:trPr>
        <w:tc>
          <w:tcPr>
            <w:cnfStyle w:val="001000000000"/>
            <w:tcW w:w="1916" w:type="dxa"/>
            <w:vAlign w:val="bottom"/>
          </w:tcPr>
          <w:p w:rsidR="00FE58CD" w:rsidRDefault="00FE58CD" w:rsidP="00FE58CD">
            <w:pPr>
              <w:rPr>
                <w:rFonts w:ascii="Calibri" w:hAnsi="Calibri"/>
                <w:color w:val="000000"/>
              </w:rPr>
            </w:pPr>
            <w:r>
              <w:rPr>
                <w:rFonts w:ascii="Calibri" w:hAnsi="Calibri"/>
                <w:color w:val="000000"/>
              </w:rPr>
              <w:t>Actual</w:t>
            </w:r>
          </w:p>
        </w:tc>
        <w:tc>
          <w:tcPr>
            <w:tcW w:w="1915" w:type="dxa"/>
            <w:vAlign w:val="bottom"/>
          </w:tcPr>
          <w:p w:rsidR="00FE58CD" w:rsidRPr="00FE58CD" w:rsidRDefault="00FE58CD" w:rsidP="00FE58CD">
            <w:pPr>
              <w:cnfStyle w:val="000000100000"/>
              <w:rPr>
                <w:rFonts w:ascii="Calibri" w:hAnsi="Calibri"/>
                <w:b/>
                <w:color w:val="000000"/>
              </w:rPr>
            </w:pPr>
            <w:r w:rsidRPr="00FE58CD">
              <w:rPr>
                <w:rFonts w:ascii="Calibri" w:hAnsi="Calibri"/>
                <w:b/>
                <w:color w:val="000000"/>
              </w:rPr>
              <w:t>M</w:t>
            </w:r>
          </w:p>
        </w:tc>
        <w:tc>
          <w:tcPr>
            <w:tcW w:w="1915" w:type="dxa"/>
            <w:vAlign w:val="bottom"/>
          </w:tcPr>
          <w:p w:rsidR="00FE58CD" w:rsidRPr="00FE58CD" w:rsidRDefault="00FE58CD" w:rsidP="00FE58CD">
            <w:pPr>
              <w:cnfStyle w:val="000000100000"/>
              <w:rPr>
                <w:rFonts w:ascii="Calibri" w:hAnsi="Calibri"/>
                <w:b/>
                <w:color w:val="000000"/>
              </w:rPr>
            </w:pPr>
            <w:r w:rsidRPr="00FE58CD">
              <w:rPr>
                <w:rFonts w:ascii="Calibri" w:hAnsi="Calibri"/>
                <w:b/>
                <w:color w:val="000000"/>
              </w:rPr>
              <w:t>F</w:t>
            </w:r>
          </w:p>
        </w:tc>
        <w:tc>
          <w:tcPr>
            <w:tcW w:w="1915" w:type="dxa"/>
            <w:vAlign w:val="bottom"/>
          </w:tcPr>
          <w:p w:rsidR="00FE58CD" w:rsidRPr="00FE58CD" w:rsidRDefault="00FE58CD" w:rsidP="00FE58CD">
            <w:pPr>
              <w:cnfStyle w:val="000000100000"/>
              <w:rPr>
                <w:rFonts w:ascii="Calibri" w:hAnsi="Calibri"/>
                <w:b/>
                <w:color w:val="000000"/>
              </w:rPr>
            </w:pPr>
            <w:r w:rsidRPr="00FE58CD">
              <w:rPr>
                <w:rFonts w:ascii="Calibri" w:hAnsi="Calibri"/>
                <w:b/>
                <w:color w:val="000000"/>
              </w:rPr>
              <w:t>Overall</w:t>
            </w:r>
          </w:p>
        </w:tc>
      </w:tr>
      <w:tr w:rsidR="00FE58CD">
        <w:trPr>
          <w:cnfStyle w:val="000000010000"/>
        </w:trPr>
        <w:tc>
          <w:tcPr>
            <w:cnfStyle w:val="001000000000"/>
            <w:tcW w:w="1916" w:type="dxa"/>
            <w:vAlign w:val="bottom"/>
          </w:tcPr>
          <w:p w:rsidR="00FE58CD" w:rsidRDefault="00FE58CD" w:rsidP="00FE58CD">
            <w:pPr>
              <w:rPr>
                <w:rFonts w:ascii="Calibri" w:hAnsi="Calibri"/>
                <w:color w:val="000000"/>
              </w:rPr>
            </w:pPr>
            <w:r>
              <w:rPr>
                <w:rFonts w:ascii="Calibri" w:hAnsi="Calibri"/>
                <w:color w:val="000000"/>
              </w:rPr>
              <w:t>M</w:t>
            </w:r>
          </w:p>
        </w:tc>
        <w:tc>
          <w:tcPr>
            <w:tcW w:w="1915" w:type="dxa"/>
            <w:vAlign w:val="bottom"/>
          </w:tcPr>
          <w:p w:rsidR="00FE58CD" w:rsidRDefault="00FE58CD" w:rsidP="00FE58CD">
            <w:pPr>
              <w:cnfStyle w:val="000000010000"/>
              <w:rPr>
                <w:rFonts w:ascii="Calibri" w:hAnsi="Calibri"/>
                <w:color w:val="000000"/>
              </w:rPr>
            </w:pPr>
            <w:r>
              <w:rPr>
                <w:rFonts w:ascii="Calibri" w:hAnsi="Calibri"/>
                <w:color w:val="000000"/>
              </w:rPr>
              <w:t>0.9255</w:t>
            </w:r>
          </w:p>
        </w:tc>
        <w:tc>
          <w:tcPr>
            <w:tcW w:w="1915" w:type="dxa"/>
            <w:vAlign w:val="bottom"/>
          </w:tcPr>
          <w:p w:rsidR="00FE58CD" w:rsidRDefault="00FE58CD" w:rsidP="00FE58CD">
            <w:pPr>
              <w:cnfStyle w:val="000000010000"/>
              <w:rPr>
                <w:rFonts w:ascii="Calibri" w:hAnsi="Calibri"/>
                <w:color w:val="000000"/>
              </w:rPr>
            </w:pPr>
            <w:r>
              <w:rPr>
                <w:rFonts w:ascii="Calibri" w:hAnsi="Calibri"/>
                <w:color w:val="000000"/>
              </w:rPr>
              <w:t>0.0745</w:t>
            </w:r>
          </w:p>
        </w:tc>
        <w:tc>
          <w:tcPr>
            <w:tcW w:w="1915" w:type="dxa"/>
            <w:vMerge w:val="restart"/>
            <w:vAlign w:val="bottom"/>
          </w:tcPr>
          <w:p w:rsidR="00FE58CD" w:rsidRDefault="00FE58CD" w:rsidP="00FE58CD">
            <w:pPr>
              <w:cnfStyle w:val="000000010000"/>
              <w:rPr>
                <w:rFonts w:ascii="Calibri" w:hAnsi="Calibri"/>
                <w:color w:val="000000"/>
              </w:rPr>
            </w:pPr>
          </w:p>
        </w:tc>
      </w:tr>
      <w:tr w:rsidR="00FE58CD">
        <w:trPr>
          <w:cnfStyle w:val="000000100000"/>
        </w:trPr>
        <w:tc>
          <w:tcPr>
            <w:cnfStyle w:val="001000000000"/>
            <w:tcW w:w="1916" w:type="dxa"/>
            <w:vAlign w:val="bottom"/>
          </w:tcPr>
          <w:p w:rsidR="00FE58CD" w:rsidRDefault="00FE58CD" w:rsidP="00FE58CD">
            <w:pPr>
              <w:rPr>
                <w:rFonts w:ascii="Calibri" w:hAnsi="Calibri"/>
                <w:color w:val="000000"/>
              </w:rPr>
            </w:pPr>
            <w:r>
              <w:rPr>
                <w:rFonts w:ascii="Calibri" w:hAnsi="Calibri"/>
                <w:color w:val="000000"/>
              </w:rPr>
              <w:t>F</w:t>
            </w:r>
          </w:p>
        </w:tc>
        <w:tc>
          <w:tcPr>
            <w:tcW w:w="1915" w:type="dxa"/>
            <w:vAlign w:val="bottom"/>
          </w:tcPr>
          <w:p w:rsidR="00FE58CD" w:rsidRDefault="00FE58CD" w:rsidP="00FE58CD">
            <w:pPr>
              <w:cnfStyle w:val="000000100000"/>
              <w:rPr>
                <w:rFonts w:ascii="Calibri" w:hAnsi="Calibri"/>
                <w:color w:val="000000"/>
              </w:rPr>
            </w:pPr>
            <w:r>
              <w:rPr>
                <w:rFonts w:ascii="Calibri" w:hAnsi="Calibri"/>
                <w:color w:val="000000"/>
              </w:rPr>
              <w:t>0.1906</w:t>
            </w:r>
          </w:p>
        </w:tc>
        <w:tc>
          <w:tcPr>
            <w:tcW w:w="1915" w:type="dxa"/>
            <w:vAlign w:val="bottom"/>
          </w:tcPr>
          <w:p w:rsidR="00FE58CD" w:rsidRDefault="00FE58CD" w:rsidP="00FE58CD">
            <w:pPr>
              <w:cnfStyle w:val="000000100000"/>
              <w:rPr>
                <w:rFonts w:ascii="Calibri" w:hAnsi="Calibri"/>
                <w:color w:val="000000"/>
              </w:rPr>
            </w:pPr>
            <w:r>
              <w:rPr>
                <w:rFonts w:ascii="Calibri" w:hAnsi="Calibri"/>
                <w:color w:val="000000"/>
              </w:rPr>
              <w:t>0.8094</w:t>
            </w:r>
          </w:p>
        </w:tc>
        <w:tc>
          <w:tcPr>
            <w:tcW w:w="1915" w:type="dxa"/>
            <w:vMerge/>
            <w:vAlign w:val="bottom"/>
          </w:tcPr>
          <w:p w:rsidR="00FE58CD" w:rsidRDefault="00FE58CD" w:rsidP="00FE58CD">
            <w:pPr>
              <w:cnfStyle w:val="000000100000"/>
              <w:rPr>
                <w:rFonts w:ascii="Calibri" w:hAnsi="Calibri"/>
                <w:color w:val="000000"/>
              </w:rPr>
            </w:pPr>
          </w:p>
        </w:tc>
      </w:tr>
      <w:tr w:rsidR="00FE58CD">
        <w:trPr>
          <w:cnfStyle w:val="000000010000"/>
        </w:trPr>
        <w:tc>
          <w:tcPr>
            <w:cnfStyle w:val="001000000000"/>
            <w:tcW w:w="1916" w:type="dxa"/>
            <w:vAlign w:val="bottom"/>
          </w:tcPr>
          <w:p w:rsidR="00FE58CD" w:rsidRDefault="00FE58CD" w:rsidP="00FE58CD">
            <w:pPr>
              <w:rPr>
                <w:rFonts w:ascii="Calibri" w:hAnsi="Calibri"/>
                <w:color w:val="000000"/>
              </w:rPr>
            </w:pPr>
            <w:r>
              <w:rPr>
                <w:rFonts w:ascii="Calibri" w:hAnsi="Calibri"/>
                <w:color w:val="000000"/>
              </w:rPr>
              <w:t>Overall</w:t>
            </w:r>
          </w:p>
        </w:tc>
        <w:tc>
          <w:tcPr>
            <w:tcW w:w="3830" w:type="dxa"/>
            <w:gridSpan w:val="2"/>
            <w:vAlign w:val="bottom"/>
          </w:tcPr>
          <w:p w:rsidR="00FE58CD" w:rsidRDefault="00FE58CD" w:rsidP="00FE58CD">
            <w:pPr>
              <w:cnfStyle w:val="000000010000"/>
              <w:rPr>
                <w:rFonts w:ascii="Calibri" w:hAnsi="Calibri"/>
                <w:color w:val="000000"/>
              </w:rPr>
            </w:pPr>
          </w:p>
        </w:tc>
        <w:tc>
          <w:tcPr>
            <w:tcW w:w="1915" w:type="dxa"/>
            <w:vAlign w:val="bottom"/>
          </w:tcPr>
          <w:p w:rsidR="00FE58CD" w:rsidRDefault="00FE58CD" w:rsidP="00FE58CD">
            <w:pPr>
              <w:cnfStyle w:val="000000010000"/>
              <w:rPr>
                <w:rFonts w:ascii="Calibri" w:hAnsi="Calibri"/>
                <w:color w:val="000000"/>
              </w:rPr>
            </w:pPr>
            <w:r>
              <w:rPr>
                <w:rFonts w:ascii="Calibri" w:hAnsi="Calibri"/>
                <w:color w:val="000000"/>
              </w:rPr>
              <w:t>0.8877</w:t>
            </w:r>
          </w:p>
        </w:tc>
      </w:tr>
    </w:tbl>
    <w:p w:rsidR="00FE58CD" w:rsidRDefault="00FE58CD" w:rsidP="00794381"/>
    <w:p w:rsidR="00FE58CD" w:rsidRPr="00FE58CD" w:rsidRDefault="00FE58CD" w:rsidP="00192B18">
      <w:pPr>
        <w:pStyle w:val="Caption"/>
      </w:pPr>
      <w:bookmarkStart w:id="226" w:name="_Toc227982543"/>
      <w:proofErr w:type="gramStart"/>
      <w:r w:rsidRPr="00FE58CD">
        <w:t xml:space="preserve">Table </w:t>
      </w:r>
      <w:r w:rsidR="003731B6" w:rsidRPr="00FE58CD">
        <w:fldChar w:fldCharType="begin"/>
      </w:r>
      <w:r w:rsidRPr="00FE58CD">
        <w:instrText xml:space="preserve"> SEQ Table \* ARABIC </w:instrText>
      </w:r>
      <w:r w:rsidR="003731B6" w:rsidRPr="00FE58CD">
        <w:fldChar w:fldCharType="separate"/>
      </w:r>
      <w:r w:rsidR="001633BC">
        <w:rPr>
          <w:noProof/>
        </w:rPr>
        <w:t>35</w:t>
      </w:r>
      <w:r w:rsidR="003731B6" w:rsidRPr="00FE58CD">
        <w:fldChar w:fldCharType="end"/>
      </w:r>
      <w:r w:rsidRPr="00FE58CD">
        <w:t>.</w:t>
      </w:r>
      <w:proofErr w:type="gramEnd"/>
      <w:r>
        <w:t xml:space="preserve"> </w:t>
      </w:r>
      <w:r w:rsidRPr="00FE58CD">
        <w:t xml:space="preserve">13 variable LDA sex aggregated </w:t>
      </w:r>
      <w:r w:rsidR="00F94969">
        <w:t>holdout</w:t>
      </w:r>
      <w:r w:rsidRPr="00FE58CD">
        <w:t xml:space="preserve"> </w:t>
      </w:r>
      <w:r w:rsidR="00F94969">
        <w:t xml:space="preserve">classification </w:t>
      </w:r>
      <w:r w:rsidRPr="00FE58CD">
        <w:t>rate</w:t>
      </w:r>
      <w:bookmarkEnd w:id="226"/>
    </w:p>
    <w:tbl>
      <w:tblPr>
        <w:tblStyle w:val="LightGrid-Accent11"/>
        <w:tblW w:w="0" w:type="auto"/>
        <w:tblLook w:val="04A0"/>
      </w:tblPr>
      <w:tblGrid>
        <w:gridCol w:w="2394"/>
        <w:gridCol w:w="2394"/>
        <w:gridCol w:w="2394"/>
        <w:gridCol w:w="2394"/>
      </w:tblGrid>
      <w:tr w:rsidR="00FE58CD">
        <w:trPr>
          <w:cnfStyle w:val="100000000000"/>
        </w:trPr>
        <w:tc>
          <w:tcPr>
            <w:cnfStyle w:val="001000000000"/>
            <w:tcW w:w="2394" w:type="dxa"/>
          </w:tcPr>
          <w:p w:rsidR="00FE58CD" w:rsidRDefault="00FE58CD" w:rsidP="00FE58CD"/>
        </w:tc>
        <w:tc>
          <w:tcPr>
            <w:tcW w:w="7182" w:type="dxa"/>
            <w:gridSpan w:val="3"/>
          </w:tcPr>
          <w:p w:rsidR="00FE58CD" w:rsidRDefault="00FE58CD" w:rsidP="00FE58CD">
            <w:pPr>
              <w:cnfStyle w:val="100000000000"/>
            </w:pPr>
            <w:r>
              <w:t>Predicted</w:t>
            </w:r>
          </w:p>
        </w:tc>
      </w:tr>
      <w:tr w:rsidR="00FE58CD">
        <w:trPr>
          <w:cnfStyle w:val="000000100000"/>
        </w:trPr>
        <w:tc>
          <w:tcPr>
            <w:cnfStyle w:val="001000000000"/>
            <w:tcW w:w="2394" w:type="dxa"/>
            <w:vAlign w:val="bottom"/>
          </w:tcPr>
          <w:p w:rsidR="00FE58CD" w:rsidRDefault="00FE58CD" w:rsidP="00FE58CD">
            <w:pPr>
              <w:rPr>
                <w:rFonts w:ascii="Calibri" w:hAnsi="Calibri"/>
                <w:color w:val="000000"/>
              </w:rPr>
            </w:pPr>
            <w:r>
              <w:rPr>
                <w:rFonts w:ascii="Calibri" w:hAnsi="Calibri"/>
                <w:color w:val="000000"/>
              </w:rPr>
              <w:t>Actual</w:t>
            </w:r>
          </w:p>
        </w:tc>
        <w:tc>
          <w:tcPr>
            <w:tcW w:w="2394" w:type="dxa"/>
            <w:vAlign w:val="bottom"/>
          </w:tcPr>
          <w:p w:rsidR="00FE58CD" w:rsidRPr="00FE58CD" w:rsidRDefault="00FE58CD" w:rsidP="00FE58CD">
            <w:pPr>
              <w:cnfStyle w:val="000000100000"/>
              <w:rPr>
                <w:rFonts w:ascii="Calibri" w:hAnsi="Calibri"/>
                <w:b/>
                <w:color w:val="000000"/>
              </w:rPr>
            </w:pPr>
            <w:r w:rsidRPr="00FE58CD">
              <w:rPr>
                <w:rFonts w:ascii="Calibri" w:hAnsi="Calibri"/>
                <w:b/>
                <w:color w:val="000000"/>
              </w:rPr>
              <w:t>M</w:t>
            </w:r>
          </w:p>
        </w:tc>
        <w:tc>
          <w:tcPr>
            <w:tcW w:w="2394" w:type="dxa"/>
            <w:vAlign w:val="bottom"/>
          </w:tcPr>
          <w:p w:rsidR="00FE58CD" w:rsidRPr="00FE58CD" w:rsidRDefault="00FE58CD" w:rsidP="00FE58CD">
            <w:pPr>
              <w:cnfStyle w:val="000000100000"/>
              <w:rPr>
                <w:rFonts w:ascii="Calibri" w:hAnsi="Calibri"/>
                <w:b/>
                <w:color w:val="000000"/>
              </w:rPr>
            </w:pPr>
            <w:r w:rsidRPr="00FE58CD">
              <w:rPr>
                <w:rFonts w:ascii="Calibri" w:hAnsi="Calibri"/>
                <w:b/>
                <w:color w:val="000000"/>
              </w:rPr>
              <w:t>F</w:t>
            </w:r>
          </w:p>
        </w:tc>
        <w:tc>
          <w:tcPr>
            <w:tcW w:w="2394" w:type="dxa"/>
            <w:vAlign w:val="bottom"/>
          </w:tcPr>
          <w:p w:rsidR="00FE58CD" w:rsidRPr="00FE58CD" w:rsidRDefault="00FE58CD" w:rsidP="00FE58CD">
            <w:pPr>
              <w:cnfStyle w:val="000000100000"/>
              <w:rPr>
                <w:rFonts w:ascii="Calibri" w:hAnsi="Calibri"/>
                <w:b/>
                <w:color w:val="000000"/>
              </w:rPr>
            </w:pPr>
            <w:r w:rsidRPr="00FE58CD">
              <w:rPr>
                <w:rFonts w:ascii="Calibri" w:hAnsi="Calibri"/>
                <w:b/>
                <w:color w:val="000000"/>
              </w:rPr>
              <w:t>Overall</w:t>
            </w:r>
          </w:p>
        </w:tc>
      </w:tr>
      <w:tr w:rsidR="00FE58CD">
        <w:trPr>
          <w:cnfStyle w:val="000000010000"/>
        </w:trPr>
        <w:tc>
          <w:tcPr>
            <w:cnfStyle w:val="001000000000"/>
            <w:tcW w:w="2394" w:type="dxa"/>
            <w:vAlign w:val="bottom"/>
          </w:tcPr>
          <w:p w:rsidR="00FE58CD" w:rsidRDefault="00FE58CD" w:rsidP="00FE58CD">
            <w:pPr>
              <w:rPr>
                <w:rFonts w:ascii="Calibri" w:hAnsi="Calibri"/>
                <w:color w:val="000000"/>
              </w:rPr>
            </w:pPr>
            <w:r>
              <w:rPr>
                <w:rFonts w:ascii="Calibri" w:hAnsi="Calibri"/>
                <w:color w:val="000000"/>
              </w:rPr>
              <w:t>M</w:t>
            </w:r>
          </w:p>
        </w:tc>
        <w:tc>
          <w:tcPr>
            <w:tcW w:w="2394" w:type="dxa"/>
            <w:vAlign w:val="bottom"/>
          </w:tcPr>
          <w:p w:rsidR="00FE58CD" w:rsidRDefault="00FE58CD" w:rsidP="00FE58CD">
            <w:pPr>
              <w:cnfStyle w:val="000000010000"/>
              <w:rPr>
                <w:rFonts w:ascii="Calibri" w:hAnsi="Calibri"/>
                <w:color w:val="000000"/>
              </w:rPr>
            </w:pPr>
            <w:r>
              <w:rPr>
                <w:rFonts w:ascii="Calibri" w:hAnsi="Calibri"/>
                <w:color w:val="000000"/>
              </w:rPr>
              <w:t>0.8988</w:t>
            </w:r>
          </w:p>
        </w:tc>
        <w:tc>
          <w:tcPr>
            <w:tcW w:w="2394" w:type="dxa"/>
            <w:vAlign w:val="bottom"/>
          </w:tcPr>
          <w:p w:rsidR="00FE58CD" w:rsidRDefault="00FE58CD" w:rsidP="00FE58CD">
            <w:pPr>
              <w:cnfStyle w:val="000000010000"/>
              <w:rPr>
                <w:rFonts w:ascii="Calibri" w:hAnsi="Calibri"/>
                <w:color w:val="000000"/>
              </w:rPr>
            </w:pPr>
            <w:r>
              <w:rPr>
                <w:rFonts w:ascii="Calibri" w:hAnsi="Calibri"/>
                <w:color w:val="000000"/>
              </w:rPr>
              <w:t>0.1012</w:t>
            </w:r>
          </w:p>
        </w:tc>
        <w:tc>
          <w:tcPr>
            <w:tcW w:w="2394" w:type="dxa"/>
            <w:vMerge w:val="restart"/>
            <w:vAlign w:val="bottom"/>
          </w:tcPr>
          <w:p w:rsidR="00FE58CD" w:rsidRDefault="00FE58CD" w:rsidP="00FE58CD">
            <w:pPr>
              <w:cnfStyle w:val="000000010000"/>
              <w:rPr>
                <w:rFonts w:ascii="Calibri" w:hAnsi="Calibri"/>
                <w:color w:val="000000"/>
              </w:rPr>
            </w:pPr>
          </w:p>
        </w:tc>
      </w:tr>
      <w:tr w:rsidR="00FE58CD">
        <w:trPr>
          <w:cnfStyle w:val="000000100000"/>
        </w:trPr>
        <w:tc>
          <w:tcPr>
            <w:cnfStyle w:val="001000000000"/>
            <w:tcW w:w="2394" w:type="dxa"/>
            <w:vAlign w:val="bottom"/>
          </w:tcPr>
          <w:p w:rsidR="00FE58CD" w:rsidRDefault="00FE58CD" w:rsidP="00FE58CD">
            <w:pPr>
              <w:rPr>
                <w:rFonts w:ascii="Calibri" w:hAnsi="Calibri"/>
                <w:color w:val="000000"/>
              </w:rPr>
            </w:pPr>
            <w:r>
              <w:rPr>
                <w:rFonts w:ascii="Calibri" w:hAnsi="Calibri"/>
                <w:color w:val="000000"/>
              </w:rPr>
              <w:t>F</w:t>
            </w:r>
          </w:p>
        </w:tc>
        <w:tc>
          <w:tcPr>
            <w:tcW w:w="2394" w:type="dxa"/>
            <w:vAlign w:val="bottom"/>
          </w:tcPr>
          <w:p w:rsidR="00FE58CD" w:rsidRDefault="00FE58CD" w:rsidP="00FE58CD">
            <w:pPr>
              <w:cnfStyle w:val="000000100000"/>
              <w:rPr>
                <w:rFonts w:ascii="Calibri" w:hAnsi="Calibri"/>
                <w:color w:val="000000"/>
              </w:rPr>
            </w:pPr>
            <w:r>
              <w:rPr>
                <w:rFonts w:ascii="Calibri" w:hAnsi="Calibri"/>
                <w:color w:val="000000"/>
              </w:rPr>
              <w:t>0.1172</w:t>
            </w:r>
          </w:p>
        </w:tc>
        <w:tc>
          <w:tcPr>
            <w:tcW w:w="2394" w:type="dxa"/>
            <w:vAlign w:val="bottom"/>
          </w:tcPr>
          <w:p w:rsidR="00FE58CD" w:rsidRDefault="00FE58CD" w:rsidP="00FE58CD">
            <w:pPr>
              <w:cnfStyle w:val="000000100000"/>
              <w:rPr>
                <w:rFonts w:ascii="Calibri" w:hAnsi="Calibri"/>
                <w:color w:val="000000"/>
              </w:rPr>
            </w:pPr>
            <w:r>
              <w:rPr>
                <w:rFonts w:ascii="Calibri" w:hAnsi="Calibri"/>
                <w:color w:val="000000"/>
              </w:rPr>
              <w:t>0.8828</w:t>
            </w:r>
          </w:p>
        </w:tc>
        <w:tc>
          <w:tcPr>
            <w:tcW w:w="2394" w:type="dxa"/>
            <w:vMerge/>
            <w:vAlign w:val="bottom"/>
          </w:tcPr>
          <w:p w:rsidR="00FE58CD" w:rsidRDefault="00FE58CD" w:rsidP="00FE58CD">
            <w:pPr>
              <w:cnfStyle w:val="000000100000"/>
              <w:rPr>
                <w:rFonts w:ascii="Calibri" w:hAnsi="Calibri"/>
                <w:color w:val="000000"/>
              </w:rPr>
            </w:pPr>
          </w:p>
        </w:tc>
      </w:tr>
      <w:tr w:rsidR="00FE58CD">
        <w:trPr>
          <w:cnfStyle w:val="000000010000"/>
        </w:trPr>
        <w:tc>
          <w:tcPr>
            <w:cnfStyle w:val="001000000000"/>
            <w:tcW w:w="2394" w:type="dxa"/>
            <w:vAlign w:val="bottom"/>
          </w:tcPr>
          <w:p w:rsidR="00FE58CD" w:rsidRDefault="00FE58CD" w:rsidP="00FE58CD">
            <w:pPr>
              <w:rPr>
                <w:rFonts w:ascii="Calibri" w:hAnsi="Calibri"/>
                <w:color w:val="000000"/>
              </w:rPr>
            </w:pPr>
            <w:r>
              <w:rPr>
                <w:rFonts w:ascii="Calibri" w:hAnsi="Calibri"/>
                <w:color w:val="000000"/>
              </w:rPr>
              <w:t>Overall</w:t>
            </w:r>
          </w:p>
        </w:tc>
        <w:tc>
          <w:tcPr>
            <w:tcW w:w="4788" w:type="dxa"/>
            <w:gridSpan w:val="2"/>
            <w:vAlign w:val="bottom"/>
          </w:tcPr>
          <w:p w:rsidR="00FE58CD" w:rsidRDefault="00FE58CD" w:rsidP="00FE58CD">
            <w:pPr>
              <w:cnfStyle w:val="000000010000"/>
              <w:rPr>
                <w:rFonts w:ascii="Calibri" w:hAnsi="Calibri"/>
                <w:color w:val="000000"/>
              </w:rPr>
            </w:pPr>
          </w:p>
        </w:tc>
        <w:tc>
          <w:tcPr>
            <w:tcW w:w="2394" w:type="dxa"/>
            <w:vAlign w:val="bottom"/>
          </w:tcPr>
          <w:p w:rsidR="00FE58CD" w:rsidRDefault="00FE58CD" w:rsidP="00FE58CD">
            <w:pPr>
              <w:cnfStyle w:val="000000010000"/>
              <w:rPr>
                <w:rFonts w:ascii="Calibri" w:hAnsi="Calibri"/>
                <w:color w:val="000000"/>
              </w:rPr>
            </w:pPr>
            <w:r>
              <w:rPr>
                <w:rFonts w:ascii="Calibri" w:hAnsi="Calibri"/>
                <w:color w:val="000000"/>
              </w:rPr>
              <w:t>0.8933</w:t>
            </w:r>
          </w:p>
        </w:tc>
      </w:tr>
    </w:tbl>
    <w:p w:rsidR="00F532F8" w:rsidRDefault="00F532F8" w:rsidP="00794381"/>
    <w:p w:rsidR="0012143F" w:rsidRPr="00F94969" w:rsidRDefault="0012143F" w:rsidP="00192B18">
      <w:pPr>
        <w:pStyle w:val="Caption"/>
      </w:pPr>
      <w:bookmarkStart w:id="227" w:name="_Toc227982544"/>
      <w:proofErr w:type="gramStart"/>
      <w:r w:rsidRPr="00F94969">
        <w:t xml:space="preserve">Table </w:t>
      </w:r>
      <w:r w:rsidR="003731B6" w:rsidRPr="00F94969">
        <w:fldChar w:fldCharType="begin"/>
      </w:r>
      <w:r w:rsidRPr="00F94969">
        <w:instrText xml:space="preserve"> SEQ Table \* ARABIC </w:instrText>
      </w:r>
      <w:r w:rsidR="003731B6" w:rsidRPr="00F94969">
        <w:fldChar w:fldCharType="separate"/>
      </w:r>
      <w:r w:rsidR="001633BC">
        <w:rPr>
          <w:noProof/>
        </w:rPr>
        <w:t>36</w:t>
      </w:r>
      <w:r w:rsidR="003731B6" w:rsidRPr="00F94969">
        <w:fldChar w:fldCharType="end"/>
      </w:r>
      <w:r w:rsidRPr="00F94969">
        <w:t>.</w:t>
      </w:r>
      <w:proofErr w:type="gramEnd"/>
      <w:r w:rsidRPr="00F94969">
        <w:t xml:space="preserve"> 6 variable LDA sex aggregated cross-validation classification rate</w:t>
      </w:r>
      <w:bookmarkEnd w:id="227"/>
    </w:p>
    <w:tbl>
      <w:tblPr>
        <w:tblStyle w:val="LightGrid-Accent11"/>
        <w:tblW w:w="0" w:type="auto"/>
        <w:tblLook w:val="04A0"/>
      </w:tblPr>
      <w:tblGrid>
        <w:gridCol w:w="2394"/>
        <w:gridCol w:w="2394"/>
        <w:gridCol w:w="2394"/>
        <w:gridCol w:w="2394"/>
      </w:tblGrid>
      <w:tr w:rsidR="00F532F8">
        <w:trPr>
          <w:cnfStyle w:val="100000000000"/>
        </w:trPr>
        <w:tc>
          <w:tcPr>
            <w:cnfStyle w:val="001000000000"/>
            <w:tcW w:w="2394" w:type="dxa"/>
          </w:tcPr>
          <w:p w:rsidR="00F532F8" w:rsidRDefault="00F532F8" w:rsidP="00F532F8"/>
        </w:tc>
        <w:tc>
          <w:tcPr>
            <w:tcW w:w="7182" w:type="dxa"/>
            <w:gridSpan w:val="3"/>
          </w:tcPr>
          <w:p w:rsidR="00F532F8" w:rsidRDefault="00F532F8" w:rsidP="00F532F8">
            <w:pPr>
              <w:cnfStyle w:val="100000000000"/>
            </w:pPr>
            <w:r>
              <w:t>Predicted</w:t>
            </w:r>
          </w:p>
        </w:tc>
      </w:tr>
      <w:tr w:rsidR="00F532F8" w:rsidRPr="0012143F">
        <w:trPr>
          <w:cnfStyle w:val="000000100000"/>
        </w:trPr>
        <w:tc>
          <w:tcPr>
            <w:cnfStyle w:val="001000000000"/>
            <w:tcW w:w="2394" w:type="dxa"/>
            <w:vAlign w:val="bottom"/>
          </w:tcPr>
          <w:p w:rsidR="00F532F8" w:rsidRDefault="00F532F8" w:rsidP="00F532F8">
            <w:pPr>
              <w:rPr>
                <w:rFonts w:ascii="Calibri" w:hAnsi="Calibri"/>
                <w:color w:val="000000"/>
              </w:rPr>
            </w:pPr>
            <w:r>
              <w:rPr>
                <w:rFonts w:ascii="Calibri" w:hAnsi="Calibri"/>
                <w:color w:val="000000"/>
              </w:rPr>
              <w:t>Actual</w:t>
            </w:r>
          </w:p>
        </w:tc>
        <w:tc>
          <w:tcPr>
            <w:tcW w:w="2394" w:type="dxa"/>
            <w:vAlign w:val="bottom"/>
          </w:tcPr>
          <w:p w:rsidR="00F532F8" w:rsidRPr="0012143F" w:rsidRDefault="00F532F8" w:rsidP="00F532F8">
            <w:pPr>
              <w:cnfStyle w:val="000000100000"/>
              <w:rPr>
                <w:rFonts w:ascii="Calibri" w:hAnsi="Calibri"/>
                <w:b/>
                <w:color w:val="000000"/>
              </w:rPr>
            </w:pPr>
            <w:r w:rsidRPr="0012143F">
              <w:rPr>
                <w:rFonts w:ascii="Calibri" w:hAnsi="Calibri"/>
                <w:b/>
                <w:color w:val="000000"/>
              </w:rPr>
              <w:t>M</w:t>
            </w:r>
          </w:p>
        </w:tc>
        <w:tc>
          <w:tcPr>
            <w:tcW w:w="2394" w:type="dxa"/>
            <w:vAlign w:val="bottom"/>
          </w:tcPr>
          <w:p w:rsidR="00F532F8" w:rsidRPr="0012143F" w:rsidRDefault="00F532F8" w:rsidP="00F532F8">
            <w:pPr>
              <w:cnfStyle w:val="000000100000"/>
              <w:rPr>
                <w:rFonts w:ascii="Calibri" w:hAnsi="Calibri"/>
                <w:b/>
                <w:color w:val="000000"/>
              </w:rPr>
            </w:pPr>
            <w:r w:rsidRPr="0012143F">
              <w:rPr>
                <w:rFonts w:ascii="Calibri" w:hAnsi="Calibri"/>
                <w:b/>
                <w:color w:val="000000"/>
              </w:rPr>
              <w:t>F</w:t>
            </w:r>
          </w:p>
        </w:tc>
        <w:tc>
          <w:tcPr>
            <w:tcW w:w="2394" w:type="dxa"/>
            <w:vAlign w:val="bottom"/>
          </w:tcPr>
          <w:p w:rsidR="00F532F8" w:rsidRPr="0012143F" w:rsidRDefault="00F532F8" w:rsidP="00F532F8">
            <w:pPr>
              <w:cnfStyle w:val="000000100000"/>
              <w:rPr>
                <w:rFonts w:ascii="Calibri" w:hAnsi="Calibri"/>
                <w:b/>
                <w:color w:val="000000"/>
              </w:rPr>
            </w:pPr>
            <w:r w:rsidRPr="0012143F">
              <w:rPr>
                <w:rFonts w:ascii="Calibri" w:hAnsi="Calibri"/>
                <w:b/>
                <w:color w:val="000000"/>
              </w:rPr>
              <w:t>Overall</w:t>
            </w:r>
          </w:p>
        </w:tc>
      </w:tr>
      <w:tr w:rsidR="00F532F8">
        <w:trPr>
          <w:cnfStyle w:val="000000010000"/>
        </w:trPr>
        <w:tc>
          <w:tcPr>
            <w:cnfStyle w:val="001000000000"/>
            <w:tcW w:w="2394" w:type="dxa"/>
            <w:vAlign w:val="bottom"/>
          </w:tcPr>
          <w:p w:rsidR="00F532F8" w:rsidRDefault="00F532F8" w:rsidP="00F532F8">
            <w:pPr>
              <w:rPr>
                <w:rFonts w:ascii="Calibri" w:hAnsi="Calibri"/>
                <w:color w:val="000000"/>
              </w:rPr>
            </w:pPr>
            <w:r>
              <w:rPr>
                <w:rFonts w:ascii="Calibri" w:hAnsi="Calibri"/>
                <w:color w:val="000000"/>
              </w:rPr>
              <w:t>M</w:t>
            </w:r>
          </w:p>
        </w:tc>
        <w:tc>
          <w:tcPr>
            <w:tcW w:w="2394" w:type="dxa"/>
            <w:vAlign w:val="bottom"/>
          </w:tcPr>
          <w:p w:rsidR="00F532F8" w:rsidRDefault="00F532F8" w:rsidP="00F532F8">
            <w:pPr>
              <w:cnfStyle w:val="000000010000"/>
              <w:rPr>
                <w:rFonts w:ascii="Calibri" w:hAnsi="Calibri"/>
                <w:color w:val="000000"/>
              </w:rPr>
            </w:pPr>
            <w:r>
              <w:rPr>
                <w:rFonts w:ascii="Calibri" w:hAnsi="Calibri"/>
                <w:color w:val="000000"/>
              </w:rPr>
              <w:t>0.9255</w:t>
            </w:r>
          </w:p>
        </w:tc>
        <w:tc>
          <w:tcPr>
            <w:tcW w:w="2394" w:type="dxa"/>
            <w:vAlign w:val="bottom"/>
          </w:tcPr>
          <w:p w:rsidR="00F532F8" w:rsidRDefault="00F532F8" w:rsidP="00F532F8">
            <w:pPr>
              <w:cnfStyle w:val="000000010000"/>
              <w:rPr>
                <w:rFonts w:ascii="Calibri" w:hAnsi="Calibri"/>
                <w:color w:val="000000"/>
              </w:rPr>
            </w:pPr>
            <w:r>
              <w:rPr>
                <w:rFonts w:ascii="Calibri" w:hAnsi="Calibri"/>
                <w:color w:val="000000"/>
              </w:rPr>
              <w:t>0.0745</w:t>
            </w:r>
          </w:p>
        </w:tc>
        <w:tc>
          <w:tcPr>
            <w:tcW w:w="2394" w:type="dxa"/>
            <w:vMerge w:val="restart"/>
            <w:vAlign w:val="bottom"/>
          </w:tcPr>
          <w:p w:rsidR="00F532F8" w:rsidRDefault="00F532F8" w:rsidP="00F532F8">
            <w:pPr>
              <w:cnfStyle w:val="000000010000"/>
              <w:rPr>
                <w:rFonts w:ascii="Calibri" w:hAnsi="Calibri"/>
                <w:color w:val="000000"/>
              </w:rPr>
            </w:pPr>
          </w:p>
        </w:tc>
      </w:tr>
      <w:tr w:rsidR="00F532F8">
        <w:trPr>
          <w:cnfStyle w:val="000000100000"/>
        </w:trPr>
        <w:tc>
          <w:tcPr>
            <w:cnfStyle w:val="001000000000"/>
            <w:tcW w:w="2394" w:type="dxa"/>
            <w:vAlign w:val="bottom"/>
          </w:tcPr>
          <w:p w:rsidR="00F532F8" w:rsidRDefault="00F532F8" w:rsidP="00F532F8">
            <w:pPr>
              <w:rPr>
                <w:rFonts w:ascii="Calibri" w:hAnsi="Calibri"/>
                <w:color w:val="000000"/>
              </w:rPr>
            </w:pPr>
            <w:r>
              <w:rPr>
                <w:rFonts w:ascii="Calibri" w:hAnsi="Calibri"/>
                <w:color w:val="000000"/>
              </w:rPr>
              <w:t>F</w:t>
            </w:r>
          </w:p>
        </w:tc>
        <w:tc>
          <w:tcPr>
            <w:tcW w:w="2394" w:type="dxa"/>
            <w:vAlign w:val="bottom"/>
          </w:tcPr>
          <w:p w:rsidR="00F532F8" w:rsidRDefault="00F532F8" w:rsidP="00F532F8">
            <w:pPr>
              <w:cnfStyle w:val="000000100000"/>
              <w:rPr>
                <w:rFonts w:ascii="Calibri" w:hAnsi="Calibri"/>
                <w:color w:val="000000"/>
              </w:rPr>
            </w:pPr>
            <w:r>
              <w:rPr>
                <w:rFonts w:ascii="Calibri" w:hAnsi="Calibri"/>
                <w:color w:val="000000"/>
              </w:rPr>
              <w:t>0.1906</w:t>
            </w:r>
          </w:p>
        </w:tc>
        <w:tc>
          <w:tcPr>
            <w:tcW w:w="2394" w:type="dxa"/>
            <w:vAlign w:val="bottom"/>
          </w:tcPr>
          <w:p w:rsidR="00F532F8" w:rsidRDefault="00F532F8" w:rsidP="00F532F8">
            <w:pPr>
              <w:cnfStyle w:val="000000100000"/>
              <w:rPr>
                <w:rFonts w:ascii="Calibri" w:hAnsi="Calibri"/>
                <w:color w:val="000000"/>
              </w:rPr>
            </w:pPr>
            <w:r>
              <w:rPr>
                <w:rFonts w:ascii="Calibri" w:hAnsi="Calibri"/>
                <w:color w:val="000000"/>
              </w:rPr>
              <w:t>0.8094</w:t>
            </w:r>
          </w:p>
        </w:tc>
        <w:tc>
          <w:tcPr>
            <w:tcW w:w="2394" w:type="dxa"/>
            <w:vMerge/>
            <w:vAlign w:val="bottom"/>
          </w:tcPr>
          <w:p w:rsidR="00F532F8" w:rsidRDefault="00F532F8" w:rsidP="00F532F8">
            <w:pPr>
              <w:cnfStyle w:val="000000100000"/>
              <w:rPr>
                <w:rFonts w:ascii="Calibri" w:hAnsi="Calibri"/>
                <w:color w:val="000000"/>
              </w:rPr>
            </w:pPr>
          </w:p>
        </w:tc>
      </w:tr>
      <w:tr w:rsidR="00F532F8">
        <w:trPr>
          <w:cnfStyle w:val="000000010000"/>
        </w:trPr>
        <w:tc>
          <w:tcPr>
            <w:cnfStyle w:val="001000000000"/>
            <w:tcW w:w="2394" w:type="dxa"/>
            <w:vAlign w:val="bottom"/>
          </w:tcPr>
          <w:p w:rsidR="00F532F8" w:rsidRDefault="00F532F8" w:rsidP="00F532F8">
            <w:pPr>
              <w:rPr>
                <w:rFonts w:ascii="Calibri" w:hAnsi="Calibri"/>
                <w:color w:val="000000"/>
              </w:rPr>
            </w:pPr>
            <w:r>
              <w:rPr>
                <w:rFonts w:ascii="Calibri" w:hAnsi="Calibri"/>
                <w:color w:val="000000"/>
              </w:rPr>
              <w:t>Overall</w:t>
            </w:r>
          </w:p>
        </w:tc>
        <w:tc>
          <w:tcPr>
            <w:tcW w:w="4788" w:type="dxa"/>
            <w:gridSpan w:val="2"/>
            <w:vAlign w:val="bottom"/>
          </w:tcPr>
          <w:p w:rsidR="00F532F8" w:rsidRDefault="00F532F8" w:rsidP="00F532F8">
            <w:pPr>
              <w:cnfStyle w:val="000000010000"/>
              <w:rPr>
                <w:rFonts w:ascii="Calibri" w:hAnsi="Calibri"/>
                <w:color w:val="000000"/>
              </w:rPr>
            </w:pPr>
          </w:p>
        </w:tc>
        <w:tc>
          <w:tcPr>
            <w:tcW w:w="2394" w:type="dxa"/>
            <w:vAlign w:val="bottom"/>
          </w:tcPr>
          <w:p w:rsidR="00F532F8" w:rsidRDefault="00F532F8" w:rsidP="00F532F8">
            <w:pPr>
              <w:cnfStyle w:val="000000010000"/>
              <w:rPr>
                <w:rFonts w:ascii="Calibri" w:hAnsi="Calibri"/>
                <w:color w:val="000000"/>
              </w:rPr>
            </w:pPr>
            <w:r>
              <w:rPr>
                <w:rFonts w:ascii="Calibri" w:hAnsi="Calibri"/>
                <w:color w:val="000000"/>
              </w:rPr>
              <w:t>0.8877</w:t>
            </w:r>
          </w:p>
        </w:tc>
      </w:tr>
    </w:tbl>
    <w:p w:rsidR="00070E2A" w:rsidRDefault="00070E2A" w:rsidP="00794381"/>
    <w:p w:rsidR="00192B18" w:rsidRDefault="00192B18" w:rsidP="00794381"/>
    <w:p w:rsidR="00B24CD2" w:rsidRDefault="00B24CD2" w:rsidP="00794381"/>
    <w:p w:rsidR="00B24CD2" w:rsidRPr="00B24CD2" w:rsidRDefault="00B24CD2" w:rsidP="00192B18">
      <w:pPr>
        <w:pStyle w:val="Caption"/>
      </w:pPr>
      <w:bookmarkStart w:id="228" w:name="_Toc227982545"/>
      <w:proofErr w:type="gramStart"/>
      <w:r w:rsidRPr="00B24CD2">
        <w:t xml:space="preserve">Table </w:t>
      </w:r>
      <w:r w:rsidR="003731B6" w:rsidRPr="00B24CD2">
        <w:fldChar w:fldCharType="begin"/>
      </w:r>
      <w:r w:rsidRPr="00B24CD2">
        <w:instrText xml:space="preserve"> SEQ Table \* ARABIC </w:instrText>
      </w:r>
      <w:r w:rsidR="003731B6" w:rsidRPr="00B24CD2">
        <w:fldChar w:fldCharType="separate"/>
      </w:r>
      <w:r w:rsidR="001633BC">
        <w:rPr>
          <w:noProof/>
        </w:rPr>
        <w:t>37</w:t>
      </w:r>
      <w:r w:rsidR="003731B6" w:rsidRPr="00B24CD2">
        <w:fldChar w:fldCharType="end"/>
      </w:r>
      <w:r w:rsidRPr="00B24CD2">
        <w:t>.</w:t>
      </w:r>
      <w:proofErr w:type="gramEnd"/>
      <w:r w:rsidRPr="00B24CD2">
        <w:t xml:space="preserve"> 6 variable LDA sex aggregated holdout classification rate</w:t>
      </w:r>
      <w:bookmarkEnd w:id="228"/>
    </w:p>
    <w:tbl>
      <w:tblPr>
        <w:tblStyle w:val="LightGrid-Accent11"/>
        <w:tblW w:w="0" w:type="auto"/>
        <w:tblLook w:val="04A0"/>
      </w:tblPr>
      <w:tblGrid>
        <w:gridCol w:w="2394"/>
        <w:gridCol w:w="2394"/>
        <w:gridCol w:w="2394"/>
        <w:gridCol w:w="2394"/>
      </w:tblGrid>
      <w:tr w:rsidR="00B24CD2">
        <w:trPr>
          <w:cnfStyle w:val="100000000000"/>
        </w:trPr>
        <w:tc>
          <w:tcPr>
            <w:cnfStyle w:val="001000000000"/>
            <w:tcW w:w="2394" w:type="dxa"/>
          </w:tcPr>
          <w:p w:rsidR="00B24CD2" w:rsidRDefault="00B24CD2" w:rsidP="00B24CD2"/>
        </w:tc>
        <w:tc>
          <w:tcPr>
            <w:tcW w:w="7182" w:type="dxa"/>
            <w:gridSpan w:val="3"/>
          </w:tcPr>
          <w:p w:rsidR="00B24CD2" w:rsidRDefault="00B24CD2" w:rsidP="00B24CD2">
            <w:pPr>
              <w:cnfStyle w:val="100000000000"/>
            </w:pPr>
            <w:r>
              <w:t>Predicted</w:t>
            </w:r>
          </w:p>
        </w:tc>
      </w:tr>
      <w:tr w:rsidR="00B24CD2">
        <w:trPr>
          <w:cnfStyle w:val="000000100000"/>
        </w:trPr>
        <w:tc>
          <w:tcPr>
            <w:cnfStyle w:val="001000000000"/>
            <w:tcW w:w="2394" w:type="dxa"/>
            <w:vAlign w:val="bottom"/>
          </w:tcPr>
          <w:p w:rsidR="00B24CD2" w:rsidRDefault="00B24CD2" w:rsidP="00B24CD2">
            <w:pPr>
              <w:rPr>
                <w:rFonts w:ascii="Calibri" w:hAnsi="Calibri"/>
                <w:color w:val="000000"/>
              </w:rPr>
            </w:pPr>
            <w:r>
              <w:rPr>
                <w:rFonts w:ascii="Calibri" w:hAnsi="Calibri"/>
                <w:color w:val="000000"/>
              </w:rPr>
              <w:t>Actual</w:t>
            </w:r>
          </w:p>
        </w:tc>
        <w:tc>
          <w:tcPr>
            <w:tcW w:w="2394" w:type="dxa"/>
            <w:vAlign w:val="bottom"/>
          </w:tcPr>
          <w:p w:rsidR="00B24CD2" w:rsidRPr="00B24CD2" w:rsidRDefault="00B24CD2" w:rsidP="00B24CD2">
            <w:pPr>
              <w:cnfStyle w:val="000000100000"/>
              <w:rPr>
                <w:rFonts w:ascii="Calibri" w:hAnsi="Calibri"/>
                <w:b/>
                <w:color w:val="000000"/>
              </w:rPr>
            </w:pPr>
            <w:r w:rsidRPr="00B24CD2">
              <w:rPr>
                <w:rFonts w:ascii="Calibri" w:hAnsi="Calibri"/>
                <w:b/>
                <w:color w:val="000000"/>
              </w:rPr>
              <w:t>M</w:t>
            </w:r>
          </w:p>
        </w:tc>
        <w:tc>
          <w:tcPr>
            <w:tcW w:w="2394" w:type="dxa"/>
            <w:vAlign w:val="bottom"/>
          </w:tcPr>
          <w:p w:rsidR="00B24CD2" w:rsidRPr="00B24CD2" w:rsidRDefault="00B24CD2" w:rsidP="00B24CD2">
            <w:pPr>
              <w:cnfStyle w:val="000000100000"/>
              <w:rPr>
                <w:rFonts w:ascii="Calibri" w:hAnsi="Calibri"/>
                <w:b/>
                <w:color w:val="000000"/>
              </w:rPr>
            </w:pPr>
            <w:r w:rsidRPr="00B24CD2">
              <w:rPr>
                <w:rFonts w:ascii="Calibri" w:hAnsi="Calibri"/>
                <w:b/>
                <w:color w:val="000000"/>
              </w:rPr>
              <w:t>F</w:t>
            </w:r>
          </w:p>
        </w:tc>
        <w:tc>
          <w:tcPr>
            <w:tcW w:w="2394" w:type="dxa"/>
            <w:vAlign w:val="bottom"/>
          </w:tcPr>
          <w:p w:rsidR="00B24CD2" w:rsidRPr="00B24CD2" w:rsidRDefault="00B24CD2" w:rsidP="00B24CD2">
            <w:pPr>
              <w:cnfStyle w:val="000000100000"/>
              <w:rPr>
                <w:rFonts w:ascii="Calibri" w:hAnsi="Calibri"/>
                <w:b/>
                <w:color w:val="000000"/>
              </w:rPr>
            </w:pPr>
            <w:r w:rsidRPr="00B24CD2">
              <w:rPr>
                <w:rFonts w:ascii="Calibri" w:hAnsi="Calibri"/>
                <w:b/>
                <w:color w:val="000000"/>
              </w:rPr>
              <w:t>Overall</w:t>
            </w:r>
          </w:p>
        </w:tc>
      </w:tr>
      <w:tr w:rsidR="00B24CD2">
        <w:trPr>
          <w:cnfStyle w:val="000000010000"/>
        </w:trPr>
        <w:tc>
          <w:tcPr>
            <w:cnfStyle w:val="001000000000"/>
            <w:tcW w:w="2394" w:type="dxa"/>
            <w:vAlign w:val="bottom"/>
          </w:tcPr>
          <w:p w:rsidR="00B24CD2" w:rsidRDefault="00B24CD2" w:rsidP="00B24CD2">
            <w:pPr>
              <w:rPr>
                <w:rFonts w:ascii="Calibri" w:hAnsi="Calibri"/>
                <w:color w:val="000000"/>
              </w:rPr>
            </w:pPr>
            <w:r>
              <w:rPr>
                <w:rFonts w:ascii="Calibri" w:hAnsi="Calibri"/>
                <w:color w:val="000000"/>
              </w:rPr>
              <w:t>M</w:t>
            </w:r>
          </w:p>
        </w:tc>
        <w:tc>
          <w:tcPr>
            <w:tcW w:w="2394" w:type="dxa"/>
            <w:vAlign w:val="bottom"/>
          </w:tcPr>
          <w:p w:rsidR="00B24CD2" w:rsidRDefault="00B24CD2" w:rsidP="00B24CD2">
            <w:pPr>
              <w:cnfStyle w:val="000000010000"/>
              <w:rPr>
                <w:rFonts w:ascii="Calibri" w:hAnsi="Calibri"/>
                <w:color w:val="000000"/>
              </w:rPr>
            </w:pPr>
            <w:r>
              <w:rPr>
                <w:rFonts w:ascii="Calibri" w:hAnsi="Calibri"/>
                <w:color w:val="000000"/>
              </w:rPr>
              <w:t>0.9028</w:t>
            </w:r>
          </w:p>
        </w:tc>
        <w:tc>
          <w:tcPr>
            <w:tcW w:w="2394" w:type="dxa"/>
            <w:vAlign w:val="bottom"/>
          </w:tcPr>
          <w:p w:rsidR="00B24CD2" w:rsidRDefault="00B24CD2" w:rsidP="00B24CD2">
            <w:pPr>
              <w:cnfStyle w:val="000000010000"/>
              <w:rPr>
                <w:rFonts w:ascii="Calibri" w:hAnsi="Calibri"/>
                <w:color w:val="000000"/>
              </w:rPr>
            </w:pPr>
            <w:r>
              <w:rPr>
                <w:rFonts w:ascii="Calibri" w:hAnsi="Calibri"/>
                <w:color w:val="000000"/>
              </w:rPr>
              <w:t>0.0972</w:t>
            </w:r>
          </w:p>
        </w:tc>
        <w:tc>
          <w:tcPr>
            <w:tcW w:w="2394" w:type="dxa"/>
            <w:vMerge w:val="restart"/>
            <w:vAlign w:val="bottom"/>
          </w:tcPr>
          <w:p w:rsidR="00B24CD2" w:rsidRDefault="00B24CD2" w:rsidP="00B24CD2">
            <w:pPr>
              <w:cnfStyle w:val="000000010000"/>
              <w:rPr>
                <w:rFonts w:ascii="Calibri" w:hAnsi="Calibri"/>
                <w:color w:val="000000"/>
              </w:rPr>
            </w:pPr>
          </w:p>
        </w:tc>
      </w:tr>
      <w:tr w:rsidR="00B24CD2">
        <w:trPr>
          <w:cnfStyle w:val="000000100000"/>
        </w:trPr>
        <w:tc>
          <w:tcPr>
            <w:cnfStyle w:val="001000000000"/>
            <w:tcW w:w="2394" w:type="dxa"/>
            <w:vAlign w:val="bottom"/>
          </w:tcPr>
          <w:p w:rsidR="00B24CD2" w:rsidRDefault="00B24CD2" w:rsidP="00B24CD2">
            <w:pPr>
              <w:rPr>
                <w:rFonts w:ascii="Calibri" w:hAnsi="Calibri"/>
                <w:color w:val="000000"/>
              </w:rPr>
            </w:pPr>
            <w:r>
              <w:rPr>
                <w:rFonts w:ascii="Calibri" w:hAnsi="Calibri"/>
                <w:color w:val="000000"/>
              </w:rPr>
              <w:t>F</w:t>
            </w:r>
          </w:p>
        </w:tc>
        <w:tc>
          <w:tcPr>
            <w:tcW w:w="2394" w:type="dxa"/>
            <w:vAlign w:val="bottom"/>
          </w:tcPr>
          <w:p w:rsidR="00B24CD2" w:rsidRDefault="00B24CD2" w:rsidP="00B24CD2">
            <w:pPr>
              <w:cnfStyle w:val="000000100000"/>
              <w:rPr>
                <w:rFonts w:ascii="Calibri" w:hAnsi="Calibri"/>
                <w:color w:val="000000"/>
              </w:rPr>
            </w:pPr>
            <w:r>
              <w:rPr>
                <w:rFonts w:ascii="Calibri" w:hAnsi="Calibri"/>
                <w:color w:val="000000"/>
              </w:rPr>
              <w:t>0.1562</w:t>
            </w:r>
          </w:p>
        </w:tc>
        <w:tc>
          <w:tcPr>
            <w:tcW w:w="2394" w:type="dxa"/>
            <w:vAlign w:val="bottom"/>
          </w:tcPr>
          <w:p w:rsidR="00B24CD2" w:rsidRDefault="00B24CD2" w:rsidP="00B24CD2">
            <w:pPr>
              <w:cnfStyle w:val="000000100000"/>
              <w:rPr>
                <w:rFonts w:ascii="Calibri" w:hAnsi="Calibri"/>
                <w:color w:val="000000"/>
              </w:rPr>
            </w:pPr>
            <w:r>
              <w:rPr>
                <w:rFonts w:ascii="Calibri" w:hAnsi="Calibri"/>
                <w:color w:val="000000"/>
              </w:rPr>
              <w:t>0.8438</w:t>
            </w:r>
          </w:p>
        </w:tc>
        <w:tc>
          <w:tcPr>
            <w:tcW w:w="2394" w:type="dxa"/>
            <w:vMerge/>
            <w:vAlign w:val="bottom"/>
          </w:tcPr>
          <w:p w:rsidR="00B24CD2" w:rsidRDefault="00B24CD2" w:rsidP="00B24CD2">
            <w:pPr>
              <w:cnfStyle w:val="000000100000"/>
              <w:rPr>
                <w:rFonts w:ascii="Calibri" w:hAnsi="Calibri"/>
                <w:color w:val="000000"/>
              </w:rPr>
            </w:pPr>
          </w:p>
        </w:tc>
      </w:tr>
      <w:tr w:rsidR="00B24CD2">
        <w:trPr>
          <w:cnfStyle w:val="000000010000"/>
        </w:trPr>
        <w:tc>
          <w:tcPr>
            <w:cnfStyle w:val="001000000000"/>
            <w:tcW w:w="2394" w:type="dxa"/>
            <w:vAlign w:val="bottom"/>
          </w:tcPr>
          <w:p w:rsidR="00B24CD2" w:rsidRDefault="00B24CD2" w:rsidP="00B24CD2">
            <w:pPr>
              <w:rPr>
                <w:rFonts w:ascii="Calibri" w:hAnsi="Calibri"/>
                <w:color w:val="000000"/>
              </w:rPr>
            </w:pPr>
            <w:r>
              <w:rPr>
                <w:rFonts w:ascii="Calibri" w:hAnsi="Calibri"/>
                <w:color w:val="000000"/>
              </w:rPr>
              <w:t>Overall</w:t>
            </w:r>
          </w:p>
        </w:tc>
        <w:tc>
          <w:tcPr>
            <w:tcW w:w="4788" w:type="dxa"/>
            <w:gridSpan w:val="2"/>
            <w:vAlign w:val="bottom"/>
          </w:tcPr>
          <w:p w:rsidR="00B24CD2" w:rsidRDefault="00B24CD2" w:rsidP="00B24CD2">
            <w:pPr>
              <w:cnfStyle w:val="000000010000"/>
              <w:rPr>
                <w:rFonts w:ascii="Calibri" w:hAnsi="Calibri"/>
                <w:color w:val="000000"/>
              </w:rPr>
            </w:pPr>
          </w:p>
        </w:tc>
        <w:tc>
          <w:tcPr>
            <w:tcW w:w="2394" w:type="dxa"/>
            <w:vAlign w:val="bottom"/>
          </w:tcPr>
          <w:p w:rsidR="00B24CD2" w:rsidRDefault="00B24CD2" w:rsidP="00B24CD2">
            <w:pPr>
              <w:cnfStyle w:val="000000010000"/>
              <w:rPr>
                <w:rFonts w:ascii="Calibri" w:hAnsi="Calibri"/>
                <w:color w:val="000000"/>
              </w:rPr>
            </w:pPr>
            <w:r>
              <w:rPr>
                <w:rFonts w:ascii="Calibri" w:hAnsi="Calibri"/>
                <w:color w:val="000000"/>
              </w:rPr>
              <w:t>0.8827</w:t>
            </w:r>
          </w:p>
        </w:tc>
      </w:tr>
    </w:tbl>
    <w:p w:rsidR="00052192" w:rsidRDefault="00052192" w:rsidP="00794381"/>
    <w:p w:rsidR="00152F1B" w:rsidRPr="00152F1B" w:rsidRDefault="00152F1B" w:rsidP="00192B18">
      <w:pPr>
        <w:pStyle w:val="Caption"/>
      </w:pPr>
      <w:bookmarkStart w:id="229" w:name="_Toc227982546"/>
      <w:proofErr w:type="gramStart"/>
      <w:r w:rsidRPr="00152F1B">
        <w:t xml:space="preserve">Table </w:t>
      </w:r>
      <w:r w:rsidR="003731B6" w:rsidRPr="00152F1B">
        <w:fldChar w:fldCharType="begin"/>
      </w:r>
      <w:r w:rsidRPr="00152F1B">
        <w:instrText xml:space="preserve"> SEQ Table \* ARABIC </w:instrText>
      </w:r>
      <w:r w:rsidR="003731B6" w:rsidRPr="00152F1B">
        <w:fldChar w:fldCharType="separate"/>
      </w:r>
      <w:r w:rsidR="001633BC">
        <w:rPr>
          <w:noProof/>
        </w:rPr>
        <w:t>38</w:t>
      </w:r>
      <w:r w:rsidR="003731B6" w:rsidRPr="00152F1B">
        <w:fldChar w:fldCharType="end"/>
      </w:r>
      <w:r w:rsidRPr="00152F1B">
        <w:t>.</w:t>
      </w:r>
      <w:proofErr w:type="gramEnd"/>
      <w:r w:rsidRPr="00152F1B">
        <w:t xml:space="preserve"> 3 variable QDA sex aggregated cross-validation classification rate</w:t>
      </w:r>
      <w:bookmarkEnd w:id="229"/>
    </w:p>
    <w:tbl>
      <w:tblPr>
        <w:tblStyle w:val="LightGrid-Accent11"/>
        <w:tblW w:w="0" w:type="auto"/>
        <w:tblLook w:val="04A0"/>
      </w:tblPr>
      <w:tblGrid>
        <w:gridCol w:w="2394"/>
        <w:gridCol w:w="2394"/>
        <w:gridCol w:w="2394"/>
        <w:gridCol w:w="2394"/>
      </w:tblGrid>
      <w:tr w:rsidR="00152F1B">
        <w:trPr>
          <w:cnfStyle w:val="100000000000"/>
        </w:trPr>
        <w:tc>
          <w:tcPr>
            <w:cnfStyle w:val="001000000000"/>
            <w:tcW w:w="2394" w:type="dxa"/>
          </w:tcPr>
          <w:p w:rsidR="00152F1B" w:rsidRDefault="00152F1B" w:rsidP="00152F1B"/>
        </w:tc>
        <w:tc>
          <w:tcPr>
            <w:tcW w:w="7182" w:type="dxa"/>
            <w:gridSpan w:val="3"/>
          </w:tcPr>
          <w:p w:rsidR="00152F1B" w:rsidRDefault="00152F1B" w:rsidP="00152F1B">
            <w:pPr>
              <w:cnfStyle w:val="100000000000"/>
            </w:pPr>
            <w:r>
              <w:t>Predicted</w:t>
            </w:r>
          </w:p>
        </w:tc>
      </w:tr>
      <w:tr w:rsidR="00152F1B">
        <w:trPr>
          <w:cnfStyle w:val="000000100000"/>
        </w:trPr>
        <w:tc>
          <w:tcPr>
            <w:cnfStyle w:val="001000000000"/>
            <w:tcW w:w="2394" w:type="dxa"/>
            <w:vAlign w:val="bottom"/>
          </w:tcPr>
          <w:p w:rsidR="00152F1B" w:rsidRDefault="00152F1B" w:rsidP="00152F1B">
            <w:pPr>
              <w:rPr>
                <w:rFonts w:ascii="Calibri" w:hAnsi="Calibri"/>
                <w:color w:val="000000"/>
              </w:rPr>
            </w:pPr>
            <w:r>
              <w:rPr>
                <w:rFonts w:ascii="Calibri" w:hAnsi="Calibri"/>
                <w:color w:val="000000"/>
              </w:rPr>
              <w:t>Actual</w:t>
            </w:r>
          </w:p>
        </w:tc>
        <w:tc>
          <w:tcPr>
            <w:tcW w:w="2394" w:type="dxa"/>
            <w:vAlign w:val="bottom"/>
          </w:tcPr>
          <w:p w:rsidR="00152F1B" w:rsidRPr="00152F1B" w:rsidRDefault="00152F1B" w:rsidP="00152F1B">
            <w:pPr>
              <w:cnfStyle w:val="000000100000"/>
              <w:rPr>
                <w:rFonts w:ascii="Calibri" w:hAnsi="Calibri"/>
                <w:b/>
                <w:color w:val="000000"/>
              </w:rPr>
            </w:pPr>
            <w:r w:rsidRPr="00152F1B">
              <w:rPr>
                <w:rFonts w:ascii="Calibri" w:hAnsi="Calibri"/>
                <w:b/>
                <w:color w:val="000000"/>
              </w:rPr>
              <w:t>M</w:t>
            </w:r>
          </w:p>
        </w:tc>
        <w:tc>
          <w:tcPr>
            <w:tcW w:w="2394" w:type="dxa"/>
            <w:vAlign w:val="bottom"/>
          </w:tcPr>
          <w:p w:rsidR="00152F1B" w:rsidRPr="00152F1B" w:rsidRDefault="00152F1B" w:rsidP="00152F1B">
            <w:pPr>
              <w:cnfStyle w:val="000000100000"/>
              <w:rPr>
                <w:rFonts w:ascii="Calibri" w:hAnsi="Calibri"/>
                <w:b/>
                <w:color w:val="000000"/>
              </w:rPr>
            </w:pPr>
            <w:r w:rsidRPr="00152F1B">
              <w:rPr>
                <w:rFonts w:ascii="Calibri" w:hAnsi="Calibri"/>
                <w:b/>
                <w:color w:val="000000"/>
              </w:rPr>
              <w:t>F</w:t>
            </w:r>
          </w:p>
        </w:tc>
        <w:tc>
          <w:tcPr>
            <w:tcW w:w="2394" w:type="dxa"/>
            <w:vAlign w:val="bottom"/>
          </w:tcPr>
          <w:p w:rsidR="00152F1B" w:rsidRPr="00152F1B" w:rsidRDefault="00152F1B" w:rsidP="00152F1B">
            <w:pPr>
              <w:cnfStyle w:val="000000100000"/>
              <w:rPr>
                <w:rFonts w:ascii="Calibri" w:hAnsi="Calibri"/>
                <w:b/>
                <w:color w:val="000000"/>
              </w:rPr>
            </w:pPr>
            <w:r w:rsidRPr="00152F1B">
              <w:rPr>
                <w:rFonts w:ascii="Calibri" w:hAnsi="Calibri"/>
                <w:b/>
                <w:color w:val="000000"/>
              </w:rPr>
              <w:t>Overall</w:t>
            </w:r>
          </w:p>
        </w:tc>
      </w:tr>
      <w:tr w:rsidR="00152F1B">
        <w:trPr>
          <w:cnfStyle w:val="000000010000"/>
        </w:trPr>
        <w:tc>
          <w:tcPr>
            <w:cnfStyle w:val="001000000000"/>
            <w:tcW w:w="2394" w:type="dxa"/>
            <w:vAlign w:val="bottom"/>
          </w:tcPr>
          <w:p w:rsidR="00152F1B" w:rsidRDefault="00152F1B" w:rsidP="00152F1B">
            <w:pPr>
              <w:rPr>
                <w:rFonts w:ascii="Calibri" w:hAnsi="Calibri"/>
                <w:color w:val="000000"/>
              </w:rPr>
            </w:pPr>
            <w:r>
              <w:rPr>
                <w:rFonts w:ascii="Calibri" w:hAnsi="Calibri"/>
                <w:color w:val="000000"/>
              </w:rPr>
              <w:t>M</w:t>
            </w:r>
          </w:p>
        </w:tc>
        <w:tc>
          <w:tcPr>
            <w:tcW w:w="2394" w:type="dxa"/>
            <w:vAlign w:val="bottom"/>
          </w:tcPr>
          <w:p w:rsidR="00152F1B" w:rsidRDefault="00152F1B" w:rsidP="00152F1B">
            <w:pPr>
              <w:cnfStyle w:val="000000010000"/>
              <w:rPr>
                <w:rFonts w:ascii="Calibri" w:hAnsi="Calibri"/>
                <w:color w:val="000000"/>
              </w:rPr>
            </w:pPr>
            <w:r>
              <w:rPr>
                <w:rFonts w:ascii="Calibri" w:hAnsi="Calibri"/>
                <w:color w:val="000000"/>
              </w:rPr>
              <w:t>0.825</w:t>
            </w:r>
          </w:p>
        </w:tc>
        <w:tc>
          <w:tcPr>
            <w:tcW w:w="2394" w:type="dxa"/>
            <w:vAlign w:val="bottom"/>
          </w:tcPr>
          <w:p w:rsidR="00152F1B" w:rsidRDefault="00152F1B" w:rsidP="00152F1B">
            <w:pPr>
              <w:cnfStyle w:val="000000010000"/>
              <w:rPr>
                <w:rFonts w:ascii="Calibri" w:hAnsi="Calibri"/>
                <w:color w:val="000000"/>
              </w:rPr>
            </w:pPr>
            <w:r>
              <w:rPr>
                <w:rFonts w:ascii="Calibri" w:hAnsi="Calibri"/>
                <w:color w:val="000000"/>
              </w:rPr>
              <w:t>0.175</w:t>
            </w:r>
          </w:p>
        </w:tc>
        <w:tc>
          <w:tcPr>
            <w:tcW w:w="2394" w:type="dxa"/>
            <w:vMerge w:val="restart"/>
            <w:vAlign w:val="bottom"/>
          </w:tcPr>
          <w:p w:rsidR="00152F1B" w:rsidRDefault="00152F1B" w:rsidP="00152F1B">
            <w:pPr>
              <w:cnfStyle w:val="000000010000"/>
              <w:rPr>
                <w:rFonts w:ascii="Calibri" w:hAnsi="Calibri"/>
                <w:color w:val="000000"/>
              </w:rPr>
            </w:pPr>
          </w:p>
        </w:tc>
      </w:tr>
      <w:tr w:rsidR="00152F1B">
        <w:trPr>
          <w:cnfStyle w:val="000000100000"/>
        </w:trPr>
        <w:tc>
          <w:tcPr>
            <w:cnfStyle w:val="001000000000"/>
            <w:tcW w:w="2394" w:type="dxa"/>
            <w:vAlign w:val="bottom"/>
          </w:tcPr>
          <w:p w:rsidR="00152F1B" w:rsidRDefault="00152F1B" w:rsidP="00152F1B">
            <w:pPr>
              <w:rPr>
                <w:rFonts w:ascii="Calibri" w:hAnsi="Calibri"/>
                <w:color w:val="000000"/>
              </w:rPr>
            </w:pPr>
            <w:r>
              <w:rPr>
                <w:rFonts w:ascii="Calibri" w:hAnsi="Calibri"/>
                <w:color w:val="000000"/>
              </w:rPr>
              <w:t>F</w:t>
            </w:r>
          </w:p>
        </w:tc>
        <w:tc>
          <w:tcPr>
            <w:tcW w:w="2394" w:type="dxa"/>
            <w:vAlign w:val="bottom"/>
          </w:tcPr>
          <w:p w:rsidR="00152F1B" w:rsidRDefault="00152F1B" w:rsidP="00152F1B">
            <w:pPr>
              <w:cnfStyle w:val="000000100000"/>
              <w:rPr>
                <w:rFonts w:ascii="Calibri" w:hAnsi="Calibri"/>
                <w:color w:val="000000"/>
              </w:rPr>
            </w:pPr>
            <w:r>
              <w:rPr>
                <w:rFonts w:ascii="Calibri" w:hAnsi="Calibri"/>
                <w:color w:val="000000"/>
              </w:rPr>
              <w:t>0.2842</w:t>
            </w:r>
          </w:p>
        </w:tc>
        <w:tc>
          <w:tcPr>
            <w:tcW w:w="2394" w:type="dxa"/>
            <w:vAlign w:val="bottom"/>
          </w:tcPr>
          <w:p w:rsidR="00152F1B" w:rsidRDefault="00152F1B" w:rsidP="00152F1B">
            <w:pPr>
              <w:cnfStyle w:val="000000100000"/>
              <w:rPr>
                <w:rFonts w:ascii="Calibri" w:hAnsi="Calibri"/>
                <w:color w:val="000000"/>
              </w:rPr>
            </w:pPr>
            <w:r>
              <w:rPr>
                <w:rFonts w:ascii="Calibri" w:hAnsi="Calibri"/>
                <w:color w:val="000000"/>
              </w:rPr>
              <w:t>0.7158</w:t>
            </w:r>
          </w:p>
        </w:tc>
        <w:tc>
          <w:tcPr>
            <w:tcW w:w="2394" w:type="dxa"/>
            <w:vMerge/>
            <w:vAlign w:val="bottom"/>
          </w:tcPr>
          <w:p w:rsidR="00152F1B" w:rsidRDefault="00152F1B" w:rsidP="00152F1B">
            <w:pPr>
              <w:cnfStyle w:val="000000100000"/>
              <w:rPr>
                <w:rFonts w:ascii="Calibri" w:hAnsi="Calibri"/>
                <w:color w:val="000000"/>
              </w:rPr>
            </w:pPr>
          </w:p>
        </w:tc>
      </w:tr>
      <w:tr w:rsidR="00152F1B">
        <w:trPr>
          <w:cnfStyle w:val="000000010000"/>
        </w:trPr>
        <w:tc>
          <w:tcPr>
            <w:cnfStyle w:val="001000000000"/>
            <w:tcW w:w="2394" w:type="dxa"/>
            <w:vAlign w:val="bottom"/>
          </w:tcPr>
          <w:p w:rsidR="00152F1B" w:rsidRDefault="00152F1B" w:rsidP="00152F1B">
            <w:pPr>
              <w:rPr>
                <w:rFonts w:ascii="Calibri" w:hAnsi="Calibri"/>
                <w:color w:val="000000"/>
              </w:rPr>
            </w:pPr>
            <w:r>
              <w:rPr>
                <w:rFonts w:ascii="Calibri" w:hAnsi="Calibri"/>
                <w:color w:val="000000"/>
              </w:rPr>
              <w:t>Overall</w:t>
            </w:r>
          </w:p>
        </w:tc>
        <w:tc>
          <w:tcPr>
            <w:tcW w:w="4788" w:type="dxa"/>
            <w:gridSpan w:val="2"/>
            <w:vAlign w:val="bottom"/>
          </w:tcPr>
          <w:p w:rsidR="00152F1B" w:rsidRDefault="00152F1B" w:rsidP="00152F1B">
            <w:pPr>
              <w:cnfStyle w:val="000000010000"/>
              <w:rPr>
                <w:rFonts w:ascii="Calibri" w:hAnsi="Calibri"/>
                <w:color w:val="000000"/>
              </w:rPr>
            </w:pPr>
          </w:p>
        </w:tc>
        <w:tc>
          <w:tcPr>
            <w:tcW w:w="2394" w:type="dxa"/>
            <w:vAlign w:val="bottom"/>
          </w:tcPr>
          <w:p w:rsidR="00152F1B" w:rsidRDefault="00152F1B" w:rsidP="00152F1B">
            <w:pPr>
              <w:cnfStyle w:val="000000010000"/>
              <w:rPr>
                <w:rFonts w:ascii="Calibri" w:hAnsi="Calibri"/>
                <w:color w:val="000000"/>
              </w:rPr>
            </w:pPr>
            <w:r>
              <w:rPr>
                <w:rFonts w:ascii="Calibri" w:hAnsi="Calibri"/>
                <w:color w:val="000000"/>
              </w:rPr>
              <w:t>0.7895</w:t>
            </w:r>
          </w:p>
        </w:tc>
      </w:tr>
    </w:tbl>
    <w:p w:rsidR="006345DD" w:rsidRDefault="006345DD" w:rsidP="00794381"/>
    <w:p w:rsidR="00152F1B" w:rsidRPr="00152F1B" w:rsidRDefault="00152F1B" w:rsidP="00192B18">
      <w:pPr>
        <w:pStyle w:val="Caption"/>
      </w:pPr>
      <w:bookmarkStart w:id="230" w:name="_Toc227982547"/>
      <w:proofErr w:type="gramStart"/>
      <w:r w:rsidRPr="00152F1B">
        <w:t xml:space="preserve">Table </w:t>
      </w:r>
      <w:r w:rsidR="003731B6" w:rsidRPr="00152F1B">
        <w:fldChar w:fldCharType="begin"/>
      </w:r>
      <w:r w:rsidRPr="00152F1B">
        <w:instrText xml:space="preserve"> SEQ Table \* ARABIC </w:instrText>
      </w:r>
      <w:r w:rsidR="003731B6" w:rsidRPr="00152F1B">
        <w:fldChar w:fldCharType="separate"/>
      </w:r>
      <w:r w:rsidR="001633BC">
        <w:rPr>
          <w:noProof/>
        </w:rPr>
        <w:t>39</w:t>
      </w:r>
      <w:r w:rsidR="003731B6" w:rsidRPr="00152F1B">
        <w:fldChar w:fldCharType="end"/>
      </w:r>
      <w:r w:rsidRPr="00152F1B">
        <w:t>.</w:t>
      </w:r>
      <w:proofErr w:type="gramEnd"/>
      <w:r>
        <w:t xml:space="preserve"> </w:t>
      </w:r>
      <w:r w:rsidRPr="00152F1B">
        <w:t xml:space="preserve">3 variable QDA sex aggregated </w:t>
      </w:r>
      <w:r>
        <w:t>holdout</w:t>
      </w:r>
      <w:r w:rsidRPr="00152F1B">
        <w:t xml:space="preserve"> classification rate</w:t>
      </w:r>
      <w:bookmarkEnd w:id="230"/>
    </w:p>
    <w:tbl>
      <w:tblPr>
        <w:tblStyle w:val="LightGrid-Accent11"/>
        <w:tblW w:w="0" w:type="auto"/>
        <w:tblLook w:val="04A0"/>
      </w:tblPr>
      <w:tblGrid>
        <w:gridCol w:w="2394"/>
        <w:gridCol w:w="2394"/>
        <w:gridCol w:w="2394"/>
        <w:gridCol w:w="2394"/>
      </w:tblGrid>
      <w:tr w:rsidR="00152F1B">
        <w:trPr>
          <w:cnfStyle w:val="100000000000"/>
        </w:trPr>
        <w:tc>
          <w:tcPr>
            <w:cnfStyle w:val="001000000000"/>
            <w:tcW w:w="2394" w:type="dxa"/>
          </w:tcPr>
          <w:p w:rsidR="00152F1B" w:rsidRDefault="00152F1B" w:rsidP="00152F1B"/>
        </w:tc>
        <w:tc>
          <w:tcPr>
            <w:tcW w:w="7182" w:type="dxa"/>
            <w:gridSpan w:val="3"/>
          </w:tcPr>
          <w:p w:rsidR="00152F1B" w:rsidRDefault="00152F1B" w:rsidP="00152F1B">
            <w:pPr>
              <w:cnfStyle w:val="100000000000"/>
            </w:pPr>
            <w:r>
              <w:t>Predicted</w:t>
            </w:r>
          </w:p>
        </w:tc>
      </w:tr>
      <w:tr w:rsidR="00152F1B">
        <w:trPr>
          <w:cnfStyle w:val="000000100000"/>
        </w:trPr>
        <w:tc>
          <w:tcPr>
            <w:cnfStyle w:val="001000000000"/>
            <w:tcW w:w="2394" w:type="dxa"/>
            <w:vAlign w:val="bottom"/>
          </w:tcPr>
          <w:p w:rsidR="00152F1B" w:rsidRDefault="00152F1B" w:rsidP="00152F1B">
            <w:pPr>
              <w:rPr>
                <w:rFonts w:ascii="Calibri" w:hAnsi="Calibri"/>
                <w:color w:val="000000"/>
              </w:rPr>
            </w:pPr>
            <w:r>
              <w:rPr>
                <w:rFonts w:ascii="Calibri" w:hAnsi="Calibri"/>
                <w:color w:val="000000"/>
              </w:rPr>
              <w:t>Actual</w:t>
            </w:r>
          </w:p>
        </w:tc>
        <w:tc>
          <w:tcPr>
            <w:tcW w:w="2394" w:type="dxa"/>
            <w:vAlign w:val="bottom"/>
          </w:tcPr>
          <w:p w:rsidR="00152F1B" w:rsidRPr="00152F1B" w:rsidRDefault="00152F1B" w:rsidP="00152F1B">
            <w:pPr>
              <w:cnfStyle w:val="000000100000"/>
              <w:rPr>
                <w:rFonts w:ascii="Calibri" w:hAnsi="Calibri"/>
                <w:b/>
                <w:color w:val="000000"/>
              </w:rPr>
            </w:pPr>
            <w:r w:rsidRPr="00152F1B">
              <w:rPr>
                <w:rFonts w:ascii="Calibri" w:hAnsi="Calibri"/>
                <w:b/>
                <w:color w:val="000000"/>
              </w:rPr>
              <w:t>M</w:t>
            </w:r>
          </w:p>
        </w:tc>
        <w:tc>
          <w:tcPr>
            <w:tcW w:w="2394" w:type="dxa"/>
            <w:vAlign w:val="bottom"/>
          </w:tcPr>
          <w:p w:rsidR="00152F1B" w:rsidRPr="00152F1B" w:rsidRDefault="00152F1B" w:rsidP="00152F1B">
            <w:pPr>
              <w:cnfStyle w:val="000000100000"/>
              <w:rPr>
                <w:rFonts w:ascii="Calibri" w:hAnsi="Calibri"/>
                <w:b/>
                <w:color w:val="000000"/>
              </w:rPr>
            </w:pPr>
            <w:r w:rsidRPr="00152F1B">
              <w:rPr>
                <w:rFonts w:ascii="Calibri" w:hAnsi="Calibri"/>
                <w:b/>
                <w:color w:val="000000"/>
              </w:rPr>
              <w:t>F</w:t>
            </w:r>
          </w:p>
        </w:tc>
        <w:tc>
          <w:tcPr>
            <w:tcW w:w="2394" w:type="dxa"/>
            <w:vAlign w:val="bottom"/>
          </w:tcPr>
          <w:p w:rsidR="00152F1B" w:rsidRPr="00152F1B" w:rsidRDefault="00152F1B" w:rsidP="00152F1B">
            <w:pPr>
              <w:cnfStyle w:val="000000100000"/>
              <w:rPr>
                <w:rFonts w:ascii="Calibri" w:hAnsi="Calibri"/>
                <w:b/>
                <w:color w:val="000000"/>
              </w:rPr>
            </w:pPr>
            <w:r w:rsidRPr="00152F1B">
              <w:rPr>
                <w:rFonts w:ascii="Calibri" w:hAnsi="Calibri"/>
                <w:b/>
                <w:color w:val="000000"/>
              </w:rPr>
              <w:t>Overall</w:t>
            </w:r>
          </w:p>
        </w:tc>
      </w:tr>
      <w:tr w:rsidR="00152F1B">
        <w:trPr>
          <w:cnfStyle w:val="000000010000"/>
        </w:trPr>
        <w:tc>
          <w:tcPr>
            <w:cnfStyle w:val="001000000000"/>
            <w:tcW w:w="2394" w:type="dxa"/>
            <w:vAlign w:val="bottom"/>
          </w:tcPr>
          <w:p w:rsidR="00152F1B" w:rsidRDefault="00152F1B" w:rsidP="00152F1B">
            <w:pPr>
              <w:rPr>
                <w:rFonts w:ascii="Calibri" w:hAnsi="Calibri"/>
                <w:color w:val="000000"/>
              </w:rPr>
            </w:pPr>
            <w:r>
              <w:rPr>
                <w:rFonts w:ascii="Calibri" w:hAnsi="Calibri"/>
                <w:color w:val="000000"/>
              </w:rPr>
              <w:t>M</w:t>
            </w:r>
          </w:p>
        </w:tc>
        <w:tc>
          <w:tcPr>
            <w:tcW w:w="2394" w:type="dxa"/>
            <w:vAlign w:val="bottom"/>
          </w:tcPr>
          <w:p w:rsidR="00152F1B" w:rsidRDefault="00152F1B" w:rsidP="00152F1B">
            <w:pPr>
              <w:cnfStyle w:val="000000010000"/>
              <w:rPr>
                <w:rFonts w:ascii="Calibri" w:hAnsi="Calibri"/>
                <w:color w:val="000000"/>
              </w:rPr>
            </w:pPr>
            <w:r>
              <w:rPr>
                <w:rFonts w:ascii="Calibri" w:hAnsi="Calibri"/>
                <w:color w:val="000000"/>
              </w:rPr>
              <w:t>0.8057</w:t>
            </w:r>
          </w:p>
        </w:tc>
        <w:tc>
          <w:tcPr>
            <w:tcW w:w="2394" w:type="dxa"/>
            <w:vAlign w:val="bottom"/>
          </w:tcPr>
          <w:p w:rsidR="00152F1B" w:rsidRDefault="00152F1B" w:rsidP="00152F1B">
            <w:pPr>
              <w:cnfStyle w:val="000000010000"/>
              <w:rPr>
                <w:rFonts w:ascii="Calibri" w:hAnsi="Calibri"/>
                <w:color w:val="000000"/>
              </w:rPr>
            </w:pPr>
            <w:r>
              <w:rPr>
                <w:rFonts w:ascii="Calibri" w:hAnsi="Calibri"/>
                <w:color w:val="000000"/>
              </w:rPr>
              <w:t>0.1943</w:t>
            </w:r>
          </w:p>
        </w:tc>
        <w:tc>
          <w:tcPr>
            <w:tcW w:w="2394" w:type="dxa"/>
            <w:vMerge w:val="restart"/>
            <w:vAlign w:val="bottom"/>
          </w:tcPr>
          <w:p w:rsidR="00152F1B" w:rsidRDefault="00152F1B" w:rsidP="00152F1B">
            <w:pPr>
              <w:cnfStyle w:val="000000010000"/>
              <w:rPr>
                <w:rFonts w:ascii="Calibri" w:hAnsi="Calibri"/>
                <w:color w:val="000000"/>
              </w:rPr>
            </w:pPr>
          </w:p>
        </w:tc>
      </w:tr>
      <w:tr w:rsidR="00152F1B">
        <w:trPr>
          <w:cnfStyle w:val="000000100000"/>
        </w:trPr>
        <w:tc>
          <w:tcPr>
            <w:cnfStyle w:val="001000000000"/>
            <w:tcW w:w="2394" w:type="dxa"/>
            <w:vAlign w:val="bottom"/>
          </w:tcPr>
          <w:p w:rsidR="00152F1B" w:rsidRDefault="00152F1B" w:rsidP="00152F1B">
            <w:pPr>
              <w:rPr>
                <w:rFonts w:ascii="Calibri" w:hAnsi="Calibri"/>
                <w:color w:val="000000"/>
              </w:rPr>
            </w:pPr>
            <w:r>
              <w:rPr>
                <w:rFonts w:ascii="Calibri" w:hAnsi="Calibri"/>
                <w:color w:val="000000"/>
              </w:rPr>
              <w:t>F</w:t>
            </w:r>
          </w:p>
        </w:tc>
        <w:tc>
          <w:tcPr>
            <w:tcW w:w="2394" w:type="dxa"/>
            <w:vAlign w:val="bottom"/>
          </w:tcPr>
          <w:p w:rsidR="00152F1B" w:rsidRDefault="00152F1B" w:rsidP="00152F1B">
            <w:pPr>
              <w:cnfStyle w:val="000000100000"/>
              <w:rPr>
                <w:rFonts w:ascii="Calibri" w:hAnsi="Calibri"/>
                <w:color w:val="000000"/>
              </w:rPr>
            </w:pPr>
            <w:r>
              <w:rPr>
                <w:rFonts w:ascii="Calibri" w:hAnsi="Calibri"/>
                <w:color w:val="000000"/>
              </w:rPr>
              <w:t>0.2578</w:t>
            </w:r>
          </w:p>
        </w:tc>
        <w:tc>
          <w:tcPr>
            <w:tcW w:w="2394" w:type="dxa"/>
            <w:vAlign w:val="bottom"/>
          </w:tcPr>
          <w:p w:rsidR="00152F1B" w:rsidRDefault="00152F1B" w:rsidP="00152F1B">
            <w:pPr>
              <w:cnfStyle w:val="000000100000"/>
              <w:rPr>
                <w:rFonts w:ascii="Calibri" w:hAnsi="Calibri"/>
                <w:color w:val="000000"/>
              </w:rPr>
            </w:pPr>
            <w:r>
              <w:rPr>
                <w:rFonts w:ascii="Calibri" w:hAnsi="Calibri"/>
                <w:color w:val="000000"/>
              </w:rPr>
              <w:t>0.7422</w:t>
            </w:r>
          </w:p>
        </w:tc>
        <w:tc>
          <w:tcPr>
            <w:tcW w:w="2394" w:type="dxa"/>
            <w:vMerge/>
            <w:vAlign w:val="bottom"/>
          </w:tcPr>
          <w:p w:rsidR="00152F1B" w:rsidRDefault="00152F1B" w:rsidP="00152F1B">
            <w:pPr>
              <w:cnfStyle w:val="000000100000"/>
              <w:rPr>
                <w:rFonts w:ascii="Calibri" w:hAnsi="Calibri"/>
                <w:color w:val="000000"/>
              </w:rPr>
            </w:pPr>
          </w:p>
        </w:tc>
      </w:tr>
      <w:tr w:rsidR="00152F1B">
        <w:trPr>
          <w:cnfStyle w:val="000000010000"/>
        </w:trPr>
        <w:tc>
          <w:tcPr>
            <w:cnfStyle w:val="001000000000"/>
            <w:tcW w:w="2394" w:type="dxa"/>
            <w:vAlign w:val="bottom"/>
          </w:tcPr>
          <w:p w:rsidR="00152F1B" w:rsidRDefault="00152F1B" w:rsidP="00152F1B">
            <w:pPr>
              <w:rPr>
                <w:rFonts w:ascii="Calibri" w:hAnsi="Calibri"/>
                <w:color w:val="000000"/>
              </w:rPr>
            </w:pPr>
            <w:r>
              <w:rPr>
                <w:rFonts w:ascii="Calibri" w:hAnsi="Calibri"/>
                <w:color w:val="000000"/>
              </w:rPr>
              <w:t>Overall</w:t>
            </w:r>
          </w:p>
        </w:tc>
        <w:tc>
          <w:tcPr>
            <w:tcW w:w="4788" w:type="dxa"/>
            <w:gridSpan w:val="2"/>
            <w:vAlign w:val="bottom"/>
          </w:tcPr>
          <w:p w:rsidR="00152F1B" w:rsidRDefault="00152F1B" w:rsidP="00152F1B">
            <w:pPr>
              <w:cnfStyle w:val="000000010000"/>
              <w:rPr>
                <w:rFonts w:ascii="Calibri" w:hAnsi="Calibri"/>
                <w:color w:val="000000"/>
              </w:rPr>
            </w:pPr>
          </w:p>
        </w:tc>
        <w:tc>
          <w:tcPr>
            <w:tcW w:w="2394" w:type="dxa"/>
            <w:vAlign w:val="bottom"/>
          </w:tcPr>
          <w:p w:rsidR="00152F1B" w:rsidRDefault="00152F1B" w:rsidP="00152F1B">
            <w:pPr>
              <w:cnfStyle w:val="000000010000"/>
              <w:rPr>
                <w:rFonts w:ascii="Calibri" w:hAnsi="Calibri"/>
                <w:color w:val="000000"/>
              </w:rPr>
            </w:pPr>
            <w:r>
              <w:rPr>
                <w:rFonts w:ascii="Calibri" w:hAnsi="Calibri"/>
                <w:color w:val="000000"/>
              </w:rPr>
              <w:t>0.784</w:t>
            </w:r>
          </w:p>
        </w:tc>
      </w:tr>
    </w:tbl>
    <w:p w:rsidR="00BA2B97" w:rsidRDefault="00BA2B97" w:rsidP="00794381"/>
    <w:p w:rsidR="00192B18" w:rsidRDefault="00192B18" w:rsidP="00794381"/>
    <w:p w:rsidR="00D251E6" w:rsidRDefault="00D251E6" w:rsidP="00794381"/>
    <w:p w:rsidR="002B5147" w:rsidRPr="002B5147" w:rsidRDefault="002B5147" w:rsidP="00192B18">
      <w:pPr>
        <w:pStyle w:val="Caption"/>
      </w:pPr>
      <w:bookmarkStart w:id="231" w:name="_Toc227982548"/>
      <w:proofErr w:type="gramStart"/>
      <w:r w:rsidRPr="002B5147">
        <w:t xml:space="preserve">Table </w:t>
      </w:r>
      <w:r w:rsidR="003731B6" w:rsidRPr="002B5147">
        <w:fldChar w:fldCharType="begin"/>
      </w:r>
      <w:r w:rsidRPr="002B5147">
        <w:instrText xml:space="preserve"> SEQ Table \* ARABIC </w:instrText>
      </w:r>
      <w:r w:rsidR="003731B6" w:rsidRPr="002B5147">
        <w:fldChar w:fldCharType="separate"/>
      </w:r>
      <w:r w:rsidR="001633BC">
        <w:rPr>
          <w:noProof/>
        </w:rPr>
        <w:t>40</w:t>
      </w:r>
      <w:r w:rsidR="003731B6" w:rsidRPr="002B5147">
        <w:fldChar w:fldCharType="end"/>
      </w:r>
      <w:r w:rsidRPr="002B5147">
        <w:t>.</w:t>
      </w:r>
      <w:proofErr w:type="gramEnd"/>
      <w:r w:rsidRPr="002B5147">
        <w:t xml:space="preserve"> 6 variable QDA sex aggregated cross-validation classification rate</w:t>
      </w:r>
      <w:bookmarkEnd w:id="231"/>
    </w:p>
    <w:tbl>
      <w:tblPr>
        <w:tblStyle w:val="LightGrid-Accent11"/>
        <w:tblW w:w="0" w:type="auto"/>
        <w:tblLook w:val="04A0"/>
      </w:tblPr>
      <w:tblGrid>
        <w:gridCol w:w="2394"/>
        <w:gridCol w:w="2394"/>
        <w:gridCol w:w="2394"/>
        <w:gridCol w:w="2394"/>
      </w:tblGrid>
      <w:tr w:rsidR="00D251E6">
        <w:trPr>
          <w:cnfStyle w:val="100000000000"/>
        </w:trPr>
        <w:tc>
          <w:tcPr>
            <w:cnfStyle w:val="001000000000"/>
            <w:tcW w:w="2394" w:type="dxa"/>
          </w:tcPr>
          <w:p w:rsidR="00D251E6" w:rsidRDefault="00D251E6"/>
        </w:tc>
        <w:tc>
          <w:tcPr>
            <w:tcW w:w="7182" w:type="dxa"/>
            <w:gridSpan w:val="3"/>
          </w:tcPr>
          <w:p w:rsidR="00D251E6" w:rsidRDefault="00D251E6">
            <w:pPr>
              <w:cnfStyle w:val="100000000000"/>
            </w:pPr>
            <w:r>
              <w:t>Predicted</w:t>
            </w:r>
          </w:p>
        </w:tc>
      </w:tr>
      <w:tr w:rsidR="00D251E6">
        <w:trPr>
          <w:cnfStyle w:val="000000100000"/>
        </w:trPr>
        <w:tc>
          <w:tcPr>
            <w:cnfStyle w:val="001000000000"/>
            <w:tcW w:w="2394" w:type="dxa"/>
            <w:vAlign w:val="bottom"/>
          </w:tcPr>
          <w:p w:rsidR="00D251E6" w:rsidRDefault="00D251E6" w:rsidP="00D251E6">
            <w:r>
              <w:t>Actual</w:t>
            </w:r>
          </w:p>
        </w:tc>
        <w:tc>
          <w:tcPr>
            <w:tcW w:w="2394" w:type="dxa"/>
            <w:vAlign w:val="bottom"/>
          </w:tcPr>
          <w:p w:rsidR="00D251E6" w:rsidRDefault="00D251E6" w:rsidP="00D251E6">
            <w:pPr>
              <w:cnfStyle w:val="000000100000"/>
            </w:pPr>
            <w:r>
              <w:t>M</w:t>
            </w:r>
          </w:p>
        </w:tc>
        <w:tc>
          <w:tcPr>
            <w:tcW w:w="2394" w:type="dxa"/>
            <w:vAlign w:val="bottom"/>
          </w:tcPr>
          <w:p w:rsidR="00D251E6" w:rsidRDefault="00D251E6" w:rsidP="00D251E6">
            <w:pPr>
              <w:cnfStyle w:val="000000100000"/>
            </w:pPr>
            <w:r>
              <w:t>F</w:t>
            </w:r>
          </w:p>
        </w:tc>
        <w:tc>
          <w:tcPr>
            <w:tcW w:w="2394" w:type="dxa"/>
            <w:vAlign w:val="bottom"/>
          </w:tcPr>
          <w:p w:rsidR="00D251E6" w:rsidRDefault="00D251E6" w:rsidP="00D251E6">
            <w:pPr>
              <w:cnfStyle w:val="000000100000"/>
            </w:pPr>
            <w:r>
              <w:t>Overall</w:t>
            </w:r>
          </w:p>
        </w:tc>
      </w:tr>
      <w:tr w:rsidR="00D251E6">
        <w:trPr>
          <w:cnfStyle w:val="000000010000"/>
        </w:trPr>
        <w:tc>
          <w:tcPr>
            <w:cnfStyle w:val="001000000000"/>
            <w:tcW w:w="2394" w:type="dxa"/>
            <w:vAlign w:val="bottom"/>
          </w:tcPr>
          <w:p w:rsidR="00D251E6" w:rsidRDefault="00D251E6" w:rsidP="00D251E6">
            <w:r>
              <w:t>M</w:t>
            </w:r>
          </w:p>
        </w:tc>
        <w:tc>
          <w:tcPr>
            <w:tcW w:w="2394" w:type="dxa"/>
            <w:vAlign w:val="bottom"/>
          </w:tcPr>
          <w:p w:rsidR="00D251E6" w:rsidRDefault="00B91C0C" w:rsidP="00D251E6">
            <w:pPr>
              <w:cnfStyle w:val="000000010000"/>
            </w:pPr>
            <w:r>
              <w:t>0.8925</w:t>
            </w:r>
          </w:p>
        </w:tc>
        <w:tc>
          <w:tcPr>
            <w:tcW w:w="2394" w:type="dxa"/>
            <w:vAlign w:val="bottom"/>
          </w:tcPr>
          <w:p w:rsidR="00D251E6" w:rsidRDefault="00B91C0C" w:rsidP="00D251E6">
            <w:pPr>
              <w:cnfStyle w:val="000000010000"/>
            </w:pPr>
            <w:r>
              <w:t>0.1075</w:t>
            </w:r>
          </w:p>
        </w:tc>
        <w:tc>
          <w:tcPr>
            <w:tcW w:w="2394" w:type="dxa"/>
            <w:vMerge w:val="restart"/>
            <w:vAlign w:val="bottom"/>
          </w:tcPr>
          <w:p w:rsidR="00D251E6" w:rsidRDefault="00D251E6" w:rsidP="00D251E6">
            <w:pPr>
              <w:cnfStyle w:val="000000010000"/>
            </w:pPr>
          </w:p>
        </w:tc>
      </w:tr>
      <w:tr w:rsidR="00D251E6">
        <w:trPr>
          <w:cnfStyle w:val="000000100000"/>
        </w:trPr>
        <w:tc>
          <w:tcPr>
            <w:cnfStyle w:val="001000000000"/>
            <w:tcW w:w="2394" w:type="dxa"/>
            <w:vAlign w:val="bottom"/>
          </w:tcPr>
          <w:p w:rsidR="00D251E6" w:rsidRDefault="00D251E6" w:rsidP="00D251E6">
            <w:r>
              <w:t>F</w:t>
            </w:r>
          </w:p>
        </w:tc>
        <w:tc>
          <w:tcPr>
            <w:tcW w:w="2394" w:type="dxa"/>
            <w:vAlign w:val="bottom"/>
          </w:tcPr>
          <w:p w:rsidR="00D251E6" w:rsidRDefault="00B91C0C" w:rsidP="00D251E6">
            <w:pPr>
              <w:cnfStyle w:val="000000100000"/>
            </w:pPr>
            <w:r>
              <w:t>0.2662</w:t>
            </w:r>
          </w:p>
        </w:tc>
        <w:tc>
          <w:tcPr>
            <w:tcW w:w="2394" w:type="dxa"/>
            <w:vAlign w:val="bottom"/>
          </w:tcPr>
          <w:p w:rsidR="00D251E6" w:rsidRDefault="00B91C0C" w:rsidP="00D251E6">
            <w:pPr>
              <w:cnfStyle w:val="000000100000"/>
            </w:pPr>
            <w:r>
              <w:t>0.7338</w:t>
            </w:r>
          </w:p>
        </w:tc>
        <w:tc>
          <w:tcPr>
            <w:tcW w:w="2394" w:type="dxa"/>
            <w:vMerge/>
            <w:vAlign w:val="bottom"/>
          </w:tcPr>
          <w:p w:rsidR="00D251E6" w:rsidRDefault="00D251E6" w:rsidP="00D251E6">
            <w:pPr>
              <w:cnfStyle w:val="000000100000"/>
            </w:pPr>
          </w:p>
        </w:tc>
      </w:tr>
      <w:tr w:rsidR="00D251E6">
        <w:trPr>
          <w:cnfStyle w:val="000000010000"/>
        </w:trPr>
        <w:tc>
          <w:tcPr>
            <w:cnfStyle w:val="001000000000"/>
            <w:tcW w:w="2394" w:type="dxa"/>
            <w:vAlign w:val="bottom"/>
          </w:tcPr>
          <w:p w:rsidR="00D251E6" w:rsidRDefault="00D251E6" w:rsidP="00D251E6">
            <w:r>
              <w:t>Overall</w:t>
            </w:r>
          </w:p>
        </w:tc>
        <w:tc>
          <w:tcPr>
            <w:tcW w:w="4788" w:type="dxa"/>
            <w:gridSpan w:val="2"/>
            <w:vAlign w:val="bottom"/>
          </w:tcPr>
          <w:p w:rsidR="00D251E6" w:rsidRDefault="00D251E6" w:rsidP="00D251E6">
            <w:pPr>
              <w:cnfStyle w:val="000000010000"/>
            </w:pPr>
          </w:p>
        </w:tc>
        <w:tc>
          <w:tcPr>
            <w:tcW w:w="2394" w:type="dxa"/>
            <w:vAlign w:val="bottom"/>
          </w:tcPr>
          <w:p w:rsidR="00D251E6" w:rsidRDefault="00D251E6" w:rsidP="00D251E6">
            <w:pPr>
              <w:cnfStyle w:val="000000010000"/>
            </w:pPr>
            <w:r>
              <w:t>0.8409</w:t>
            </w:r>
          </w:p>
        </w:tc>
      </w:tr>
    </w:tbl>
    <w:p w:rsidR="002B5147" w:rsidRDefault="002B5147" w:rsidP="00794381"/>
    <w:p w:rsidR="00CB0EBC" w:rsidRPr="00CB0EBC" w:rsidRDefault="00CB0EBC" w:rsidP="00192B18">
      <w:pPr>
        <w:pStyle w:val="Caption"/>
      </w:pPr>
      <w:bookmarkStart w:id="232" w:name="_Toc227982549"/>
      <w:proofErr w:type="gramStart"/>
      <w:r w:rsidRPr="00CB0EBC">
        <w:t xml:space="preserve">Table </w:t>
      </w:r>
      <w:r w:rsidR="003731B6" w:rsidRPr="00CB0EBC">
        <w:fldChar w:fldCharType="begin"/>
      </w:r>
      <w:r w:rsidRPr="00CB0EBC">
        <w:instrText xml:space="preserve"> SEQ Table \* ARABIC </w:instrText>
      </w:r>
      <w:r w:rsidR="003731B6" w:rsidRPr="00CB0EBC">
        <w:fldChar w:fldCharType="separate"/>
      </w:r>
      <w:r w:rsidR="001633BC">
        <w:rPr>
          <w:noProof/>
        </w:rPr>
        <w:t>41</w:t>
      </w:r>
      <w:r w:rsidR="003731B6" w:rsidRPr="00CB0EBC">
        <w:fldChar w:fldCharType="end"/>
      </w:r>
      <w:r w:rsidRPr="00CB0EBC">
        <w:t>.</w:t>
      </w:r>
      <w:proofErr w:type="gramEnd"/>
      <w:r>
        <w:t xml:space="preserve"> </w:t>
      </w:r>
      <w:r w:rsidRPr="002B5147">
        <w:t xml:space="preserve">6 variable QDA sex aggregated </w:t>
      </w:r>
      <w:r>
        <w:t>holdout</w:t>
      </w:r>
      <w:r w:rsidRPr="002B5147">
        <w:t xml:space="preserve"> classification rate</w:t>
      </w:r>
      <w:bookmarkEnd w:id="232"/>
    </w:p>
    <w:tbl>
      <w:tblPr>
        <w:tblStyle w:val="LightGrid-Accent11"/>
        <w:tblW w:w="0" w:type="auto"/>
        <w:tblLook w:val="04A0"/>
      </w:tblPr>
      <w:tblGrid>
        <w:gridCol w:w="2394"/>
        <w:gridCol w:w="2394"/>
        <w:gridCol w:w="2394"/>
        <w:gridCol w:w="2394"/>
      </w:tblGrid>
      <w:tr w:rsidR="00CB0EBC">
        <w:trPr>
          <w:cnfStyle w:val="100000000000"/>
        </w:trPr>
        <w:tc>
          <w:tcPr>
            <w:cnfStyle w:val="001000000000"/>
            <w:tcW w:w="2394" w:type="dxa"/>
          </w:tcPr>
          <w:p w:rsidR="00CB0EBC" w:rsidRDefault="00CB0EBC"/>
        </w:tc>
        <w:tc>
          <w:tcPr>
            <w:tcW w:w="7182" w:type="dxa"/>
            <w:gridSpan w:val="3"/>
          </w:tcPr>
          <w:p w:rsidR="00CB0EBC" w:rsidRDefault="00CB0EBC">
            <w:pPr>
              <w:cnfStyle w:val="100000000000"/>
            </w:pPr>
            <w:r>
              <w:t>Predicted</w:t>
            </w:r>
          </w:p>
        </w:tc>
      </w:tr>
      <w:tr w:rsidR="00CB0EBC">
        <w:trPr>
          <w:cnfStyle w:val="000000100000"/>
        </w:trPr>
        <w:tc>
          <w:tcPr>
            <w:cnfStyle w:val="001000000000"/>
            <w:tcW w:w="2394" w:type="dxa"/>
            <w:vAlign w:val="bottom"/>
          </w:tcPr>
          <w:p w:rsidR="00CB0EBC" w:rsidRDefault="00CB0EBC" w:rsidP="00CB0EBC">
            <w:r>
              <w:t>Actual</w:t>
            </w:r>
          </w:p>
        </w:tc>
        <w:tc>
          <w:tcPr>
            <w:tcW w:w="2394" w:type="dxa"/>
            <w:vAlign w:val="bottom"/>
          </w:tcPr>
          <w:p w:rsidR="00CB0EBC" w:rsidRPr="00CB0EBC" w:rsidRDefault="00CB0EBC" w:rsidP="00CB0EBC">
            <w:pPr>
              <w:cnfStyle w:val="000000100000"/>
              <w:rPr>
                <w:b/>
              </w:rPr>
            </w:pPr>
            <w:r w:rsidRPr="00CB0EBC">
              <w:rPr>
                <w:b/>
              </w:rPr>
              <w:t>M</w:t>
            </w:r>
          </w:p>
        </w:tc>
        <w:tc>
          <w:tcPr>
            <w:tcW w:w="2394" w:type="dxa"/>
            <w:vAlign w:val="bottom"/>
          </w:tcPr>
          <w:p w:rsidR="00CB0EBC" w:rsidRPr="00CB0EBC" w:rsidRDefault="00CB0EBC" w:rsidP="00CB0EBC">
            <w:pPr>
              <w:cnfStyle w:val="000000100000"/>
              <w:rPr>
                <w:b/>
              </w:rPr>
            </w:pPr>
            <w:r w:rsidRPr="00CB0EBC">
              <w:rPr>
                <w:b/>
              </w:rPr>
              <w:t>F</w:t>
            </w:r>
          </w:p>
        </w:tc>
        <w:tc>
          <w:tcPr>
            <w:tcW w:w="2394" w:type="dxa"/>
            <w:vAlign w:val="bottom"/>
          </w:tcPr>
          <w:p w:rsidR="00CB0EBC" w:rsidRPr="00CB0EBC" w:rsidRDefault="00CB0EBC" w:rsidP="00CB0EBC">
            <w:pPr>
              <w:cnfStyle w:val="000000100000"/>
              <w:rPr>
                <w:b/>
              </w:rPr>
            </w:pPr>
            <w:r>
              <w:rPr>
                <w:b/>
              </w:rPr>
              <w:t>Overall</w:t>
            </w:r>
          </w:p>
        </w:tc>
      </w:tr>
      <w:tr w:rsidR="00CB0EBC">
        <w:trPr>
          <w:cnfStyle w:val="000000010000"/>
        </w:trPr>
        <w:tc>
          <w:tcPr>
            <w:cnfStyle w:val="001000000000"/>
            <w:tcW w:w="2394" w:type="dxa"/>
            <w:vAlign w:val="bottom"/>
          </w:tcPr>
          <w:p w:rsidR="00CB0EBC" w:rsidRDefault="00CB0EBC" w:rsidP="00CB0EBC">
            <w:r>
              <w:t>M</w:t>
            </w:r>
          </w:p>
        </w:tc>
        <w:tc>
          <w:tcPr>
            <w:tcW w:w="2394" w:type="dxa"/>
            <w:vAlign w:val="bottom"/>
          </w:tcPr>
          <w:p w:rsidR="00CB0EBC" w:rsidRDefault="00CB0EBC" w:rsidP="00CB0EBC">
            <w:pPr>
              <w:cnfStyle w:val="000000010000"/>
            </w:pPr>
            <w:r>
              <w:t>0.8745</w:t>
            </w:r>
          </w:p>
        </w:tc>
        <w:tc>
          <w:tcPr>
            <w:tcW w:w="2394" w:type="dxa"/>
            <w:vAlign w:val="bottom"/>
          </w:tcPr>
          <w:p w:rsidR="00CB0EBC" w:rsidRDefault="00CB0EBC" w:rsidP="00CB0EBC">
            <w:pPr>
              <w:cnfStyle w:val="000000010000"/>
            </w:pPr>
            <w:r>
              <w:t>0.1255</w:t>
            </w:r>
          </w:p>
        </w:tc>
        <w:tc>
          <w:tcPr>
            <w:tcW w:w="2394" w:type="dxa"/>
            <w:vMerge w:val="restart"/>
            <w:vAlign w:val="bottom"/>
          </w:tcPr>
          <w:p w:rsidR="00CB0EBC" w:rsidRDefault="00CB0EBC" w:rsidP="00CB0EBC">
            <w:pPr>
              <w:cnfStyle w:val="000000010000"/>
            </w:pPr>
          </w:p>
        </w:tc>
      </w:tr>
      <w:tr w:rsidR="00CB0EBC">
        <w:trPr>
          <w:cnfStyle w:val="000000100000"/>
        </w:trPr>
        <w:tc>
          <w:tcPr>
            <w:cnfStyle w:val="001000000000"/>
            <w:tcW w:w="2394" w:type="dxa"/>
            <w:vAlign w:val="bottom"/>
          </w:tcPr>
          <w:p w:rsidR="00CB0EBC" w:rsidRDefault="00CB0EBC" w:rsidP="00CB0EBC">
            <w:r>
              <w:t>F</w:t>
            </w:r>
          </w:p>
        </w:tc>
        <w:tc>
          <w:tcPr>
            <w:tcW w:w="2394" w:type="dxa"/>
            <w:vAlign w:val="bottom"/>
          </w:tcPr>
          <w:p w:rsidR="00CB0EBC" w:rsidRDefault="00CB0EBC" w:rsidP="00CB0EBC">
            <w:pPr>
              <w:cnfStyle w:val="000000100000"/>
            </w:pPr>
            <w:r>
              <w:t>0.2891</w:t>
            </w:r>
          </w:p>
        </w:tc>
        <w:tc>
          <w:tcPr>
            <w:tcW w:w="2394" w:type="dxa"/>
            <w:vAlign w:val="bottom"/>
          </w:tcPr>
          <w:p w:rsidR="00CB0EBC" w:rsidRDefault="00CB0EBC" w:rsidP="00CB0EBC">
            <w:pPr>
              <w:cnfStyle w:val="000000100000"/>
            </w:pPr>
            <w:r>
              <w:t>0.7109</w:t>
            </w:r>
          </w:p>
        </w:tc>
        <w:tc>
          <w:tcPr>
            <w:tcW w:w="2394" w:type="dxa"/>
            <w:vMerge/>
            <w:vAlign w:val="bottom"/>
          </w:tcPr>
          <w:p w:rsidR="00CB0EBC" w:rsidRDefault="00CB0EBC" w:rsidP="00CB0EBC">
            <w:pPr>
              <w:cnfStyle w:val="000000100000"/>
            </w:pPr>
          </w:p>
        </w:tc>
      </w:tr>
      <w:tr w:rsidR="00CB0EBC">
        <w:trPr>
          <w:cnfStyle w:val="000000010000"/>
        </w:trPr>
        <w:tc>
          <w:tcPr>
            <w:cnfStyle w:val="001000000000"/>
            <w:tcW w:w="2394" w:type="dxa"/>
            <w:vAlign w:val="bottom"/>
          </w:tcPr>
          <w:p w:rsidR="00CB0EBC" w:rsidRDefault="00CB0EBC" w:rsidP="00CB0EBC">
            <w:r>
              <w:t>Overall</w:t>
            </w:r>
          </w:p>
        </w:tc>
        <w:tc>
          <w:tcPr>
            <w:tcW w:w="4788" w:type="dxa"/>
            <w:gridSpan w:val="2"/>
            <w:vAlign w:val="bottom"/>
          </w:tcPr>
          <w:p w:rsidR="00CB0EBC" w:rsidRDefault="00CB0EBC" w:rsidP="00CB0EBC">
            <w:pPr>
              <w:cnfStyle w:val="000000010000"/>
            </w:pPr>
          </w:p>
        </w:tc>
        <w:tc>
          <w:tcPr>
            <w:tcW w:w="2394" w:type="dxa"/>
            <w:vAlign w:val="bottom"/>
          </w:tcPr>
          <w:p w:rsidR="00CB0EBC" w:rsidRDefault="00CB0EBC" w:rsidP="00CB0EBC">
            <w:pPr>
              <w:cnfStyle w:val="000000010000"/>
            </w:pPr>
            <w:r>
              <w:t>0.8187</w:t>
            </w:r>
          </w:p>
        </w:tc>
      </w:tr>
    </w:tbl>
    <w:p w:rsidR="00354826" w:rsidRDefault="00354826" w:rsidP="00794381"/>
    <w:p w:rsidR="00354826" w:rsidRPr="00354826" w:rsidRDefault="00354826" w:rsidP="00192B18">
      <w:pPr>
        <w:pStyle w:val="Caption"/>
      </w:pPr>
      <w:bookmarkStart w:id="233" w:name="_Toc227982550"/>
      <w:proofErr w:type="gramStart"/>
      <w:r w:rsidRPr="00354826">
        <w:t xml:space="preserve">Table </w:t>
      </w:r>
      <w:r w:rsidR="003731B6" w:rsidRPr="00354826">
        <w:fldChar w:fldCharType="begin"/>
      </w:r>
      <w:r w:rsidRPr="00354826">
        <w:instrText xml:space="preserve"> SEQ Table \* ARABIC </w:instrText>
      </w:r>
      <w:r w:rsidR="003731B6" w:rsidRPr="00354826">
        <w:fldChar w:fldCharType="separate"/>
      </w:r>
      <w:r w:rsidR="001633BC">
        <w:rPr>
          <w:noProof/>
        </w:rPr>
        <w:t>42</w:t>
      </w:r>
      <w:r w:rsidR="003731B6" w:rsidRPr="00354826">
        <w:fldChar w:fldCharType="end"/>
      </w:r>
      <w:r w:rsidRPr="00354826">
        <w:t>.</w:t>
      </w:r>
      <w:proofErr w:type="gramEnd"/>
      <w:r w:rsidRPr="00354826">
        <w:t xml:space="preserve"> 5 variable KNN sex aggregated cross-validation classification rate</w:t>
      </w:r>
      <w:bookmarkEnd w:id="233"/>
    </w:p>
    <w:tbl>
      <w:tblPr>
        <w:tblStyle w:val="LightGrid-Accent11"/>
        <w:tblW w:w="0" w:type="auto"/>
        <w:tblLook w:val="04A0"/>
      </w:tblPr>
      <w:tblGrid>
        <w:gridCol w:w="2394"/>
        <w:gridCol w:w="2394"/>
        <w:gridCol w:w="2394"/>
        <w:gridCol w:w="2394"/>
      </w:tblGrid>
      <w:tr w:rsidR="00354826">
        <w:trPr>
          <w:cnfStyle w:val="100000000000"/>
        </w:trPr>
        <w:tc>
          <w:tcPr>
            <w:cnfStyle w:val="001000000000"/>
            <w:tcW w:w="2394" w:type="dxa"/>
          </w:tcPr>
          <w:p w:rsidR="00354826" w:rsidRDefault="00354826"/>
        </w:tc>
        <w:tc>
          <w:tcPr>
            <w:tcW w:w="7182" w:type="dxa"/>
            <w:gridSpan w:val="3"/>
          </w:tcPr>
          <w:p w:rsidR="00354826" w:rsidRDefault="00354826">
            <w:pPr>
              <w:cnfStyle w:val="100000000000"/>
            </w:pPr>
            <w:r>
              <w:t>Predicted</w:t>
            </w:r>
          </w:p>
        </w:tc>
      </w:tr>
      <w:tr w:rsidR="00354826">
        <w:trPr>
          <w:cnfStyle w:val="000000100000"/>
        </w:trPr>
        <w:tc>
          <w:tcPr>
            <w:cnfStyle w:val="001000000000"/>
            <w:tcW w:w="2394" w:type="dxa"/>
            <w:vAlign w:val="bottom"/>
          </w:tcPr>
          <w:p w:rsidR="00354826" w:rsidRDefault="00354826" w:rsidP="00354826">
            <w:r>
              <w:t>Actual</w:t>
            </w:r>
          </w:p>
        </w:tc>
        <w:tc>
          <w:tcPr>
            <w:tcW w:w="2394" w:type="dxa"/>
            <w:vAlign w:val="bottom"/>
          </w:tcPr>
          <w:p w:rsidR="00354826" w:rsidRPr="00354826" w:rsidRDefault="00354826" w:rsidP="00354826">
            <w:pPr>
              <w:cnfStyle w:val="000000100000"/>
              <w:rPr>
                <w:b/>
              </w:rPr>
            </w:pPr>
            <w:r w:rsidRPr="00354826">
              <w:rPr>
                <w:b/>
              </w:rPr>
              <w:t>M</w:t>
            </w:r>
          </w:p>
        </w:tc>
        <w:tc>
          <w:tcPr>
            <w:tcW w:w="2394" w:type="dxa"/>
            <w:vAlign w:val="bottom"/>
          </w:tcPr>
          <w:p w:rsidR="00354826" w:rsidRPr="00354826" w:rsidRDefault="00354826" w:rsidP="00354826">
            <w:pPr>
              <w:cnfStyle w:val="000000100000"/>
              <w:rPr>
                <w:b/>
              </w:rPr>
            </w:pPr>
            <w:r w:rsidRPr="00354826">
              <w:rPr>
                <w:b/>
              </w:rPr>
              <w:t>F</w:t>
            </w:r>
          </w:p>
        </w:tc>
        <w:tc>
          <w:tcPr>
            <w:tcW w:w="2394" w:type="dxa"/>
            <w:vAlign w:val="bottom"/>
          </w:tcPr>
          <w:p w:rsidR="00354826" w:rsidRPr="00354826" w:rsidRDefault="00354826" w:rsidP="00354826">
            <w:pPr>
              <w:cnfStyle w:val="000000100000"/>
              <w:rPr>
                <w:b/>
              </w:rPr>
            </w:pPr>
            <w:r w:rsidRPr="00354826">
              <w:rPr>
                <w:b/>
              </w:rPr>
              <w:t>Overall</w:t>
            </w:r>
          </w:p>
        </w:tc>
      </w:tr>
      <w:tr w:rsidR="00354826">
        <w:trPr>
          <w:cnfStyle w:val="000000010000"/>
        </w:trPr>
        <w:tc>
          <w:tcPr>
            <w:cnfStyle w:val="001000000000"/>
            <w:tcW w:w="2394" w:type="dxa"/>
            <w:vAlign w:val="bottom"/>
          </w:tcPr>
          <w:p w:rsidR="00354826" w:rsidRDefault="00354826" w:rsidP="00354826">
            <w:r>
              <w:t>M</w:t>
            </w:r>
          </w:p>
        </w:tc>
        <w:tc>
          <w:tcPr>
            <w:tcW w:w="2394" w:type="dxa"/>
            <w:vAlign w:val="bottom"/>
          </w:tcPr>
          <w:p w:rsidR="00354826" w:rsidRDefault="00354826" w:rsidP="00354826">
            <w:pPr>
              <w:cnfStyle w:val="000000010000"/>
            </w:pPr>
            <w:r>
              <w:t>0.8683</w:t>
            </w:r>
          </w:p>
        </w:tc>
        <w:tc>
          <w:tcPr>
            <w:tcW w:w="2394" w:type="dxa"/>
            <w:vAlign w:val="bottom"/>
          </w:tcPr>
          <w:p w:rsidR="00354826" w:rsidRDefault="00354826" w:rsidP="00354826">
            <w:pPr>
              <w:cnfStyle w:val="000000010000"/>
            </w:pPr>
            <w:r>
              <w:t>0.1317</w:t>
            </w:r>
          </w:p>
        </w:tc>
        <w:tc>
          <w:tcPr>
            <w:tcW w:w="2394" w:type="dxa"/>
            <w:vMerge w:val="restart"/>
            <w:vAlign w:val="bottom"/>
          </w:tcPr>
          <w:p w:rsidR="00354826" w:rsidRDefault="00354826" w:rsidP="00354826">
            <w:pPr>
              <w:cnfStyle w:val="000000010000"/>
            </w:pPr>
          </w:p>
        </w:tc>
      </w:tr>
      <w:tr w:rsidR="00354826">
        <w:trPr>
          <w:cnfStyle w:val="000000100000"/>
        </w:trPr>
        <w:tc>
          <w:tcPr>
            <w:cnfStyle w:val="001000000000"/>
            <w:tcW w:w="2394" w:type="dxa"/>
            <w:vAlign w:val="bottom"/>
          </w:tcPr>
          <w:p w:rsidR="00354826" w:rsidRDefault="00354826" w:rsidP="00354826">
            <w:r>
              <w:t>F</w:t>
            </w:r>
          </w:p>
        </w:tc>
        <w:tc>
          <w:tcPr>
            <w:tcW w:w="2394" w:type="dxa"/>
            <w:vAlign w:val="bottom"/>
          </w:tcPr>
          <w:p w:rsidR="00354826" w:rsidRDefault="00354826" w:rsidP="00354826">
            <w:pPr>
              <w:cnfStyle w:val="000000100000"/>
            </w:pPr>
            <w:r>
              <w:t>0.2698</w:t>
            </w:r>
          </w:p>
        </w:tc>
        <w:tc>
          <w:tcPr>
            <w:tcW w:w="2394" w:type="dxa"/>
            <w:vAlign w:val="bottom"/>
          </w:tcPr>
          <w:p w:rsidR="00354826" w:rsidRDefault="00354826" w:rsidP="00354826">
            <w:pPr>
              <w:cnfStyle w:val="000000100000"/>
            </w:pPr>
            <w:r>
              <w:t>0.7302</w:t>
            </w:r>
          </w:p>
        </w:tc>
        <w:tc>
          <w:tcPr>
            <w:tcW w:w="2394" w:type="dxa"/>
            <w:vMerge/>
            <w:vAlign w:val="bottom"/>
          </w:tcPr>
          <w:p w:rsidR="00354826" w:rsidRDefault="00354826" w:rsidP="00354826">
            <w:pPr>
              <w:cnfStyle w:val="000000100000"/>
            </w:pPr>
          </w:p>
        </w:tc>
      </w:tr>
      <w:tr w:rsidR="00354826">
        <w:trPr>
          <w:cnfStyle w:val="000000010000"/>
        </w:trPr>
        <w:tc>
          <w:tcPr>
            <w:cnfStyle w:val="001000000000"/>
            <w:tcW w:w="2394" w:type="dxa"/>
            <w:vAlign w:val="bottom"/>
          </w:tcPr>
          <w:p w:rsidR="00354826" w:rsidRDefault="00354826" w:rsidP="00354826">
            <w:r>
              <w:t>Overall</w:t>
            </w:r>
          </w:p>
        </w:tc>
        <w:tc>
          <w:tcPr>
            <w:tcW w:w="4788" w:type="dxa"/>
            <w:gridSpan w:val="2"/>
            <w:vAlign w:val="bottom"/>
          </w:tcPr>
          <w:p w:rsidR="00354826" w:rsidRDefault="00354826" w:rsidP="00354826">
            <w:pPr>
              <w:cnfStyle w:val="000000010000"/>
            </w:pPr>
          </w:p>
        </w:tc>
        <w:tc>
          <w:tcPr>
            <w:tcW w:w="2394" w:type="dxa"/>
            <w:vAlign w:val="bottom"/>
          </w:tcPr>
          <w:p w:rsidR="00354826" w:rsidRDefault="00354826" w:rsidP="00354826">
            <w:pPr>
              <w:cnfStyle w:val="000000010000"/>
            </w:pPr>
            <w:r>
              <w:t>0.8234</w:t>
            </w:r>
          </w:p>
        </w:tc>
      </w:tr>
    </w:tbl>
    <w:p w:rsidR="00BA2B97" w:rsidRDefault="00BA2B97" w:rsidP="00794381"/>
    <w:p w:rsidR="00192B18" w:rsidRDefault="00192B18" w:rsidP="00794381"/>
    <w:p w:rsidR="00192B18" w:rsidRDefault="00192B18" w:rsidP="00794381"/>
    <w:p w:rsidR="00354826" w:rsidRDefault="00354826" w:rsidP="00794381"/>
    <w:p w:rsidR="00354826" w:rsidRPr="00354826" w:rsidRDefault="00354826" w:rsidP="00192B18">
      <w:pPr>
        <w:pStyle w:val="Caption"/>
      </w:pPr>
      <w:bookmarkStart w:id="234" w:name="_Toc227982551"/>
      <w:proofErr w:type="gramStart"/>
      <w:r w:rsidRPr="00354826">
        <w:t xml:space="preserve">Table </w:t>
      </w:r>
      <w:r w:rsidR="003731B6" w:rsidRPr="00354826">
        <w:fldChar w:fldCharType="begin"/>
      </w:r>
      <w:r w:rsidRPr="00354826">
        <w:instrText xml:space="preserve"> SEQ Table \* ARABIC </w:instrText>
      </w:r>
      <w:r w:rsidR="003731B6" w:rsidRPr="00354826">
        <w:fldChar w:fldCharType="separate"/>
      </w:r>
      <w:r w:rsidR="001633BC">
        <w:rPr>
          <w:noProof/>
        </w:rPr>
        <w:t>43</w:t>
      </w:r>
      <w:r w:rsidR="003731B6" w:rsidRPr="00354826">
        <w:fldChar w:fldCharType="end"/>
      </w:r>
      <w:r w:rsidRPr="00354826">
        <w:t>.</w:t>
      </w:r>
      <w:proofErr w:type="gramEnd"/>
      <w:r>
        <w:t xml:space="preserve"> </w:t>
      </w:r>
      <w:r w:rsidRPr="00354826">
        <w:t xml:space="preserve">5 variable KNN sex aggregated </w:t>
      </w:r>
      <w:r w:rsidR="00284490">
        <w:t>holdout</w:t>
      </w:r>
      <w:r w:rsidRPr="00354826">
        <w:t xml:space="preserve"> classification rate</w:t>
      </w:r>
      <w:bookmarkEnd w:id="234"/>
    </w:p>
    <w:tbl>
      <w:tblPr>
        <w:tblStyle w:val="LightGrid-Accent11"/>
        <w:tblW w:w="0" w:type="auto"/>
        <w:tblLook w:val="04A0"/>
      </w:tblPr>
      <w:tblGrid>
        <w:gridCol w:w="2394"/>
        <w:gridCol w:w="2394"/>
        <w:gridCol w:w="2394"/>
        <w:gridCol w:w="2394"/>
      </w:tblGrid>
      <w:tr w:rsidR="00354826">
        <w:trPr>
          <w:cnfStyle w:val="100000000000"/>
        </w:trPr>
        <w:tc>
          <w:tcPr>
            <w:cnfStyle w:val="001000000000"/>
            <w:tcW w:w="2394" w:type="dxa"/>
          </w:tcPr>
          <w:p w:rsidR="00354826" w:rsidRDefault="00354826"/>
        </w:tc>
        <w:tc>
          <w:tcPr>
            <w:tcW w:w="7182" w:type="dxa"/>
            <w:gridSpan w:val="3"/>
          </w:tcPr>
          <w:p w:rsidR="00354826" w:rsidRDefault="00354826">
            <w:pPr>
              <w:cnfStyle w:val="100000000000"/>
            </w:pPr>
            <w:r>
              <w:t>Predicted</w:t>
            </w:r>
          </w:p>
        </w:tc>
      </w:tr>
      <w:tr w:rsidR="00354826">
        <w:trPr>
          <w:cnfStyle w:val="000000100000"/>
        </w:trPr>
        <w:tc>
          <w:tcPr>
            <w:cnfStyle w:val="001000000000"/>
            <w:tcW w:w="2394" w:type="dxa"/>
            <w:vAlign w:val="bottom"/>
          </w:tcPr>
          <w:p w:rsidR="00354826" w:rsidRDefault="00354826" w:rsidP="00354826">
            <w:r>
              <w:t>Actual</w:t>
            </w:r>
          </w:p>
        </w:tc>
        <w:tc>
          <w:tcPr>
            <w:tcW w:w="2394" w:type="dxa"/>
            <w:vAlign w:val="bottom"/>
          </w:tcPr>
          <w:p w:rsidR="00354826" w:rsidRPr="00354826" w:rsidRDefault="00354826" w:rsidP="00354826">
            <w:pPr>
              <w:cnfStyle w:val="000000100000"/>
              <w:rPr>
                <w:b/>
              </w:rPr>
            </w:pPr>
            <w:r w:rsidRPr="00354826">
              <w:rPr>
                <w:b/>
              </w:rPr>
              <w:t>M</w:t>
            </w:r>
          </w:p>
        </w:tc>
        <w:tc>
          <w:tcPr>
            <w:tcW w:w="2394" w:type="dxa"/>
            <w:vAlign w:val="bottom"/>
          </w:tcPr>
          <w:p w:rsidR="00354826" w:rsidRPr="00354826" w:rsidRDefault="00354826" w:rsidP="00354826">
            <w:pPr>
              <w:cnfStyle w:val="000000100000"/>
              <w:rPr>
                <w:b/>
              </w:rPr>
            </w:pPr>
            <w:r w:rsidRPr="00354826">
              <w:rPr>
                <w:b/>
              </w:rPr>
              <w:t>F</w:t>
            </w:r>
          </w:p>
        </w:tc>
        <w:tc>
          <w:tcPr>
            <w:tcW w:w="2394" w:type="dxa"/>
            <w:vAlign w:val="bottom"/>
          </w:tcPr>
          <w:p w:rsidR="00354826" w:rsidRPr="00354826" w:rsidRDefault="00354826" w:rsidP="00354826">
            <w:pPr>
              <w:cnfStyle w:val="000000100000"/>
              <w:rPr>
                <w:b/>
              </w:rPr>
            </w:pPr>
            <w:r w:rsidRPr="00354826">
              <w:rPr>
                <w:b/>
              </w:rPr>
              <w:t>Overall</w:t>
            </w:r>
          </w:p>
        </w:tc>
      </w:tr>
      <w:tr w:rsidR="00354826">
        <w:trPr>
          <w:cnfStyle w:val="000000010000"/>
        </w:trPr>
        <w:tc>
          <w:tcPr>
            <w:cnfStyle w:val="001000000000"/>
            <w:tcW w:w="2394" w:type="dxa"/>
            <w:vAlign w:val="bottom"/>
          </w:tcPr>
          <w:p w:rsidR="00354826" w:rsidRDefault="00354826" w:rsidP="00354826">
            <w:r>
              <w:t>M</w:t>
            </w:r>
          </w:p>
        </w:tc>
        <w:tc>
          <w:tcPr>
            <w:tcW w:w="2394" w:type="dxa"/>
            <w:vAlign w:val="bottom"/>
          </w:tcPr>
          <w:p w:rsidR="00354826" w:rsidRDefault="00354826" w:rsidP="00354826">
            <w:pPr>
              <w:cnfStyle w:val="000000010000"/>
            </w:pPr>
            <w:r>
              <w:t>0.8704</w:t>
            </w:r>
          </w:p>
        </w:tc>
        <w:tc>
          <w:tcPr>
            <w:tcW w:w="2394" w:type="dxa"/>
            <w:vAlign w:val="bottom"/>
          </w:tcPr>
          <w:p w:rsidR="00354826" w:rsidRDefault="00354826" w:rsidP="00354826">
            <w:pPr>
              <w:cnfStyle w:val="000000010000"/>
            </w:pPr>
            <w:r>
              <w:t>0.1296</w:t>
            </w:r>
          </w:p>
        </w:tc>
        <w:tc>
          <w:tcPr>
            <w:tcW w:w="2394" w:type="dxa"/>
            <w:vMerge w:val="restart"/>
            <w:vAlign w:val="bottom"/>
          </w:tcPr>
          <w:p w:rsidR="00354826" w:rsidRDefault="00354826" w:rsidP="00354826">
            <w:pPr>
              <w:cnfStyle w:val="000000010000"/>
            </w:pPr>
          </w:p>
        </w:tc>
      </w:tr>
      <w:tr w:rsidR="00354826">
        <w:trPr>
          <w:cnfStyle w:val="000000100000"/>
        </w:trPr>
        <w:tc>
          <w:tcPr>
            <w:cnfStyle w:val="001000000000"/>
            <w:tcW w:w="2394" w:type="dxa"/>
            <w:vAlign w:val="bottom"/>
          </w:tcPr>
          <w:p w:rsidR="00354826" w:rsidRDefault="00354826" w:rsidP="00354826">
            <w:r>
              <w:t>F</w:t>
            </w:r>
          </w:p>
        </w:tc>
        <w:tc>
          <w:tcPr>
            <w:tcW w:w="2394" w:type="dxa"/>
            <w:vAlign w:val="bottom"/>
          </w:tcPr>
          <w:p w:rsidR="00354826" w:rsidRDefault="00354826" w:rsidP="00354826">
            <w:pPr>
              <w:cnfStyle w:val="000000100000"/>
            </w:pPr>
            <w:r>
              <w:t>0.2031</w:t>
            </w:r>
          </w:p>
        </w:tc>
        <w:tc>
          <w:tcPr>
            <w:tcW w:w="2394" w:type="dxa"/>
            <w:vAlign w:val="bottom"/>
          </w:tcPr>
          <w:p w:rsidR="00354826" w:rsidRDefault="00354826" w:rsidP="00354826">
            <w:pPr>
              <w:cnfStyle w:val="000000100000"/>
            </w:pPr>
            <w:r>
              <w:t>0.7969</w:t>
            </w:r>
          </w:p>
        </w:tc>
        <w:tc>
          <w:tcPr>
            <w:tcW w:w="2394" w:type="dxa"/>
            <w:vMerge/>
            <w:vAlign w:val="bottom"/>
          </w:tcPr>
          <w:p w:rsidR="00354826" w:rsidRDefault="00354826" w:rsidP="00354826">
            <w:pPr>
              <w:cnfStyle w:val="000000100000"/>
            </w:pPr>
          </w:p>
        </w:tc>
      </w:tr>
      <w:tr w:rsidR="00354826">
        <w:trPr>
          <w:cnfStyle w:val="000000010000"/>
        </w:trPr>
        <w:tc>
          <w:tcPr>
            <w:cnfStyle w:val="001000000000"/>
            <w:tcW w:w="2394" w:type="dxa"/>
            <w:vAlign w:val="bottom"/>
          </w:tcPr>
          <w:p w:rsidR="00354826" w:rsidRDefault="00354826" w:rsidP="00354826">
            <w:r>
              <w:t>Overall</w:t>
            </w:r>
          </w:p>
        </w:tc>
        <w:tc>
          <w:tcPr>
            <w:tcW w:w="4788" w:type="dxa"/>
            <w:gridSpan w:val="2"/>
            <w:vAlign w:val="bottom"/>
          </w:tcPr>
          <w:p w:rsidR="00354826" w:rsidRDefault="00354826" w:rsidP="00354826">
            <w:pPr>
              <w:cnfStyle w:val="000000010000"/>
            </w:pPr>
          </w:p>
        </w:tc>
        <w:tc>
          <w:tcPr>
            <w:tcW w:w="2394" w:type="dxa"/>
            <w:vAlign w:val="bottom"/>
          </w:tcPr>
          <w:p w:rsidR="00354826" w:rsidRDefault="00354826" w:rsidP="00354826">
            <w:pPr>
              <w:cnfStyle w:val="000000010000"/>
            </w:pPr>
            <w:r>
              <w:t>0.8453</w:t>
            </w:r>
          </w:p>
        </w:tc>
      </w:tr>
    </w:tbl>
    <w:p w:rsidR="00E077E0" w:rsidRDefault="00E077E0" w:rsidP="00794381"/>
    <w:p w:rsidR="00E077E0" w:rsidRPr="00E077E0" w:rsidRDefault="00E077E0" w:rsidP="00192B18">
      <w:pPr>
        <w:pStyle w:val="Caption"/>
      </w:pPr>
      <w:bookmarkStart w:id="235" w:name="_Toc227982552"/>
      <w:proofErr w:type="gramStart"/>
      <w:r w:rsidRPr="00E077E0">
        <w:t xml:space="preserve">Table </w:t>
      </w:r>
      <w:r w:rsidR="003731B6" w:rsidRPr="00E077E0">
        <w:fldChar w:fldCharType="begin"/>
      </w:r>
      <w:r w:rsidRPr="00E077E0">
        <w:instrText xml:space="preserve"> SEQ Table \* ARABIC </w:instrText>
      </w:r>
      <w:r w:rsidR="003731B6" w:rsidRPr="00E077E0">
        <w:fldChar w:fldCharType="separate"/>
      </w:r>
      <w:r w:rsidR="001633BC">
        <w:rPr>
          <w:noProof/>
        </w:rPr>
        <w:t>44</w:t>
      </w:r>
      <w:r w:rsidR="003731B6" w:rsidRPr="00E077E0">
        <w:fldChar w:fldCharType="end"/>
      </w:r>
      <w:r w:rsidRPr="00E077E0">
        <w:t>.</w:t>
      </w:r>
      <w:proofErr w:type="gramEnd"/>
      <w:r w:rsidRPr="00E077E0">
        <w:t xml:space="preserve"> 8 variable KNN sex aggregated cross-validation classification rate</w:t>
      </w:r>
      <w:bookmarkEnd w:id="235"/>
    </w:p>
    <w:tbl>
      <w:tblPr>
        <w:tblStyle w:val="LightGrid-Accent11"/>
        <w:tblW w:w="0" w:type="auto"/>
        <w:tblLook w:val="04A0"/>
      </w:tblPr>
      <w:tblGrid>
        <w:gridCol w:w="2394"/>
        <w:gridCol w:w="2394"/>
        <w:gridCol w:w="2394"/>
        <w:gridCol w:w="2394"/>
      </w:tblGrid>
      <w:tr w:rsidR="00E077E0">
        <w:trPr>
          <w:cnfStyle w:val="100000000000"/>
        </w:trPr>
        <w:tc>
          <w:tcPr>
            <w:cnfStyle w:val="001000000000"/>
            <w:tcW w:w="2394" w:type="dxa"/>
          </w:tcPr>
          <w:p w:rsidR="00E077E0" w:rsidRDefault="00E077E0" w:rsidP="00E077E0"/>
        </w:tc>
        <w:tc>
          <w:tcPr>
            <w:tcW w:w="7182" w:type="dxa"/>
            <w:gridSpan w:val="3"/>
          </w:tcPr>
          <w:p w:rsidR="00E077E0" w:rsidRDefault="00E077E0" w:rsidP="00E077E0">
            <w:pPr>
              <w:cnfStyle w:val="100000000000"/>
            </w:pPr>
            <w:r>
              <w:t>Predicted</w:t>
            </w:r>
          </w:p>
        </w:tc>
      </w:tr>
      <w:tr w:rsidR="00E077E0">
        <w:trPr>
          <w:cnfStyle w:val="000000100000"/>
        </w:trPr>
        <w:tc>
          <w:tcPr>
            <w:cnfStyle w:val="001000000000"/>
            <w:tcW w:w="2394" w:type="dxa"/>
            <w:vAlign w:val="bottom"/>
          </w:tcPr>
          <w:p w:rsidR="00E077E0" w:rsidRDefault="00E077E0" w:rsidP="00E077E0">
            <w:pPr>
              <w:rPr>
                <w:rFonts w:ascii="Calibri" w:hAnsi="Calibri"/>
                <w:color w:val="000000"/>
              </w:rPr>
            </w:pPr>
            <w:r>
              <w:rPr>
                <w:rFonts w:ascii="Calibri" w:hAnsi="Calibri"/>
                <w:color w:val="000000"/>
              </w:rPr>
              <w:t>Actual</w:t>
            </w:r>
          </w:p>
        </w:tc>
        <w:tc>
          <w:tcPr>
            <w:tcW w:w="2394" w:type="dxa"/>
            <w:vAlign w:val="bottom"/>
          </w:tcPr>
          <w:p w:rsidR="00E077E0" w:rsidRPr="00E077E0" w:rsidRDefault="00E077E0" w:rsidP="00E077E0">
            <w:pPr>
              <w:cnfStyle w:val="000000100000"/>
              <w:rPr>
                <w:rFonts w:ascii="Calibri" w:hAnsi="Calibri"/>
                <w:b/>
                <w:color w:val="000000"/>
              </w:rPr>
            </w:pPr>
            <w:r w:rsidRPr="00E077E0">
              <w:rPr>
                <w:rFonts w:ascii="Calibri" w:hAnsi="Calibri"/>
                <w:b/>
                <w:color w:val="000000"/>
              </w:rPr>
              <w:t>M</w:t>
            </w:r>
          </w:p>
        </w:tc>
        <w:tc>
          <w:tcPr>
            <w:tcW w:w="2394" w:type="dxa"/>
            <w:vAlign w:val="bottom"/>
          </w:tcPr>
          <w:p w:rsidR="00E077E0" w:rsidRPr="00E077E0" w:rsidRDefault="00E077E0" w:rsidP="00E077E0">
            <w:pPr>
              <w:cnfStyle w:val="000000100000"/>
              <w:rPr>
                <w:rFonts w:ascii="Calibri" w:hAnsi="Calibri"/>
                <w:b/>
                <w:color w:val="000000"/>
              </w:rPr>
            </w:pPr>
            <w:r w:rsidRPr="00E077E0">
              <w:rPr>
                <w:rFonts w:ascii="Calibri" w:hAnsi="Calibri"/>
                <w:b/>
                <w:color w:val="000000"/>
              </w:rPr>
              <w:t>F</w:t>
            </w:r>
          </w:p>
        </w:tc>
        <w:tc>
          <w:tcPr>
            <w:tcW w:w="2394" w:type="dxa"/>
            <w:vAlign w:val="bottom"/>
          </w:tcPr>
          <w:p w:rsidR="00E077E0" w:rsidRPr="00E077E0" w:rsidRDefault="00E077E0" w:rsidP="00E077E0">
            <w:pPr>
              <w:cnfStyle w:val="000000100000"/>
              <w:rPr>
                <w:rFonts w:ascii="Calibri" w:hAnsi="Calibri"/>
                <w:b/>
                <w:color w:val="000000"/>
              </w:rPr>
            </w:pPr>
            <w:r w:rsidRPr="00E077E0">
              <w:rPr>
                <w:rFonts w:ascii="Calibri" w:hAnsi="Calibri"/>
                <w:b/>
                <w:color w:val="000000"/>
              </w:rPr>
              <w:t>Overall</w:t>
            </w:r>
          </w:p>
        </w:tc>
      </w:tr>
      <w:tr w:rsidR="00E077E0">
        <w:trPr>
          <w:cnfStyle w:val="000000010000"/>
        </w:trPr>
        <w:tc>
          <w:tcPr>
            <w:cnfStyle w:val="001000000000"/>
            <w:tcW w:w="2394" w:type="dxa"/>
            <w:vAlign w:val="bottom"/>
          </w:tcPr>
          <w:p w:rsidR="00E077E0" w:rsidRDefault="00E077E0" w:rsidP="00E077E0">
            <w:pPr>
              <w:rPr>
                <w:rFonts w:ascii="Calibri" w:hAnsi="Calibri"/>
                <w:color w:val="000000"/>
              </w:rPr>
            </w:pPr>
            <w:r>
              <w:rPr>
                <w:rFonts w:ascii="Calibri" w:hAnsi="Calibri"/>
                <w:color w:val="000000"/>
              </w:rPr>
              <w:t>M</w:t>
            </w:r>
          </w:p>
        </w:tc>
        <w:tc>
          <w:tcPr>
            <w:tcW w:w="2394" w:type="dxa"/>
            <w:vAlign w:val="bottom"/>
          </w:tcPr>
          <w:p w:rsidR="00E077E0" w:rsidRDefault="00E077E0" w:rsidP="00E077E0">
            <w:pPr>
              <w:cnfStyle w:val="000000010000"/>
              <w:rPr>
                <w:rFonts w:ascii="Calibri" w:hAnsi="Calibri"/>
                <w:color w:val="000000"/>
              </w:rPr>
            </w:pPr>
            <w:r>
              <w:rPr>
                <w:rFonts w:ascii="Calibri" w:hAnsi="Calibri"/>
                <w:color w:val="000000"/>
              </w:rPr>
              <w:t>0.8719</w:t>
            </w:r>
          </w:p>
        </w:tc>
        <w:tc>
          <w:tcPr>
            <w:tcW w:w="2394" w:type="dxa"/>
            <w:vAlign w:val="bottom"/>
          </w:tcPr>
          <w:p w:rsidR="00E077E0" w:rsidRDefault="00E077E0" w:rsidP="00E077E0">
            <w:pPr>
              <w:cnfStyle w:val="000000010000"/>
              <w:rPr>
                <w:rFonts w:ascii="Calibri" w:hAnsi="Calibri"/>
                <w:color w:val="000000"/>
              </w:rPr>
            </w:pPr>
            <w:r>
              <w:rPr>
                <w:rFonts w:ascii="Calibri" w:hAnsi="Calibri"/>
                <w:color w:val="000000"/>
              </w:rPr>
              <w:t>0.1281</w:t>
            </w:r>
          </w:p>
        </w:tc>
        <w:tc>
          <w:tcPr>
            <w:tcW w:w="2394" w:type="dxa"/>
            <w:vMerge w:val="restart"/>
            <w:vAlign w:val="bottom"/>
          </w:tcPr>
          <w:p w:rsidR="00E077E0" w:rsidRDefault="00E077E0" w:rsidP="00E077E0">
            <w:pPr>
              <w:cnfStyle w:val="000000010000"/>
              <w:rPr>
                <w:rFonts w:ascii="Calibri" w:hAnsi="Calibri"/>
                <w:color w:val="000000"/>
              </w:rPr>
            </w:pPr>
          </w:p>
        </w:tc>
      </w:tr>
      <w:tr w:rsidR="00E077E0">
        <w:trPr>
          <w:cnfStyle w:val="000000100000"/>
        </w:trPr>
        <w:tc>
          <w:tcPr>
            <w:cnfStyle w:val="001000000000"/>
            <w:tcW w:w="2394" w:type="dxa"/>
            <w:vAlign w:val="bottom"/>
          </w:tcPr>
          <w:p w:rsidR="00E077E0" w:rsidRDefault="00E077E0" w:rsidP="00E077E0">
            <w:pPr>
              <w:rPr>
                <w:rFonts w:ascii="Calibri" w:hAnsi="Calibri"/>
                <w:color w:val="000000"/>
              </w:rPr>
            </w:pPr>
            <w:r>
              <w:rPr>
                <w:rFonts w:ascii="Calibri" w:hAnsi="Calibri"/>
                <w:color w:val="000000"/>
              </w:rPr>
              <w:t>F</w:t>
            </w:r>
          </w:p>
        </w:tc>
        <w:tc>
          <w:tcPr>
            <w:tcW w:w="2394" w:type="dxa"/>
            <w:vAlign w:val="bottom"/>
          </w:tcPr>
          <w:p w:rsidR="00E077E0" w:rsidRDefault="00E077E0" w:rsidP="00E077E0">
            <w:pPr>
              <w:cnfStyle w:val="000000100000"/>
              <w:rPr>
                <w:rFonts w:ascii="Calibri" w:hAnsi="Calibri"/>
                <w:color w:val="000000"/>
              </w:rPr>
            </w:pPr>
            <w:r>
              <w:rPr>
                <w:rFonts w:ascii="Calibri" w:hAnsi="Calibri"/>
                <w:color w:val="000000"/>
              </w:rPr>
              <w:t>0.2986</w:t>
            </w:r>
          </w:p>
        </w:tc>
        <w:tc>
          <w:tcPr>
            <w:tcW w:w="2394" w:type="dxa"/>
            <w:vAlign w:val="bottom"/>
          </w:tcPr>
          <w:p w:rsidR="00E077E0" w:rsidRDefault="00E077E0" w:rsidP="00E077E0">
            <w:pPr>
              <w:cnfStyle w:val="000000100000"/>
              <w:rPr>
                <w:rFonts w:ascii="Calibri" w:hAnsi="Calibri"/>
                <w:color w:val="000000"/>
              </w:rPr>
            </w:pPr>
            <w:r>
              <w:rPr>
                <w:rFonts w:ascii="Calibri" w:hAnsi="Calibri"/>
                <w:color w:val="000000"/>
              </w:rPr>
              <w:t>0.7014</w:t>
            </w:r>
          </w:p>
        </w:tc>
        <w:tc>
          <w:tcPr>
            <w:tcW w:w="2394" w:type="dxa"/>
            <w:vMerge/>
            <w:vAlign w:val="bottom"/>
          </w:tcPr>
          <w:p w:rsidR="00E077E0" w:rsidRDefault="00E077E0" w:rsidP="00E077E0">
            <w:pPr>
              <w:cnfStyle w:val="000000100000"/>
              <w:rPr>
                <w:rFonts w:ascii="Calibri" w:hAnsi="Calibri"/>
                <w:color w:val="000000"/>
              </w:rPr>
            </w:pPr>
          </w:p>
        </w:tc>
      </w:tr>
      <w:tr w:rsidR="00E077E0">
        <w:trPr>
          <w:cnfStyle w:val="000000010000"/>
        </w:trPr>
        <w:tc>
          <w:tcPr>
            <w:cnfStyle w:val="001000000000"/>
            <w:tcW w:w="2394" w:type="dxa"/>
            <w:vAlign w:val="bottom"/>
          </w:tcPr>
          <w:p w:rsidR="00E077E0" w:rsidRDefault="00E077E0" w:rsidP="00E077E0">
            <w:pPr>
              <w:rPr>
                <w:rFonts w:ascii="Calibri" w:hAnsi="Calibri"/>
                <w:color w:val="000000"/>
              </w:rPr>
            </w:pPr>
            <w:r>
              <w:rPr>
                <w:rFonts w:ascii="Calibri" w:hAnsi="Calibri"/>
                <w:color w:val="000000"/>
              </w:rPr>
              <w:t>Overall</w:t>
            </w:r>
          </w:p>
        </w:tc>
        <w:tc>
          <w:tcPr>
            <w:tcW w:w="4788" w:type="dxa"/>
            <w:gridSpan w:val="2"/>
            <w:vAlign w:val="bottom"/>
          </w:tcPr>
          <w:p w:rsidR="00E077E0" w:rsidRDefault="00E077E0" w:rsidP="00E077E0">
            <w:pPr>
              <w:cnfStyle w:val="000000010000"/>
              <w:rPr>
                <w:rFonts w:ascii="Calibri" w:hAnsi="Calibri"/>
                <w:color w:val="000000"/>
              </w:rPr>
            </w:pPr>
          </w:p>
        </w:tc>
        <w:tc>
          <w:tcPr>
            <w:tcW w:w="2394" w:type="dxa"/>
            <w:vAlign w:val="bottom"/>
          </w:tcPr>
          <w:p w:rsidR="00E077E0" w:rsidRDefault="00E077E0" w:rsidP="00E077E0">
            <w:pPr>
              <w:cnfStyle w:val="000000010000"/>
              <w:rPr>
                <w:rFonts w:ascii="Calibri" w:hAnsi="Calibri"/>
                <w:color w:val="000000"/>
              </w:rPr>
            </w:pPr>
            <w:r>
              <w:rPr>
                <w:rFonts w:ascii="Calibri" w:hAnsi="Calibri"/>
                <w:color w:val="000000"/>
              </w:rPr>
              <w:t>0.8164</w:t>
            </w:r>
          </w:p>
        </w:tc>
      </w:tr>
    </w:tbl>
    <w:p w:rsidR="00354826" w:rsidRDefault="00354826" w:rsidP="00794381"/>
    <w:p w:rsidR="00E077E0" w:rsidRPr="00E077E0" w:rsidRDefault="00E077E0" w:rsidP="00192B18">
      <w:pPr>
        <w:pStyle w:val="Caption"/>
      </w:pPr>
      <w:bookmarkStart w:id="236" w:name="_Toc227982553"/>
      <w:proofErr w:type="gramStart"/>
      <w:r w:rsidRPr="00E077E0">
        <w:t xml:space="preserve">Table </w:t>
      </w:r>
      <w:r w:rsidR="003731B6" w:rsidRPr="00E077E0">
        <w:fldChar w:fldCharType="begin"/>
      </w:r>
      <w:r w:rsidRPr="00E077E0">
        <w:instrText xml:space="preserve"> SEQ Table \* ARABIC </w:instrText>
      </w:r>
      <w:r w:rsidR="003731B6" w:rsidRPr="00E077E0">
        <w:fldChar w:fldCharType="separate"/>
      </w:r>
      <w:r w:rsidR="001633BC">
        <w:rPr>
          <w:noProof/>
        </w:rPr>
        <w:t>45</w:t>
      </w:r>
      <w:r w:rsidR="003731B6" w:rsidRPr="00E077E0">
        <w:fldChar w:fldCharType="end"/>
      </w:r>
      <w:r w:rsidRPr="00E077E0">
        <w:t>.</w:t>
      </w:r>
      <w:proofErr w:type="gramEnd"/>
      <w:r>
        <w:t xml:space="preserve"> </w:t>
      </w:r>
      <w:r w:rsidRPr="00E077E0">
        <w:t xml:space="preserve">8 variable KNN sex aggregated </w:t>
      </w:r>
      <w:r>
        <w:t>holdout</w:t>
      </w:r>
      <w:r w:rsidRPr="00E077E0">
        <w:t xml:space="preserve"> classification rate</w:t>
      </w:r>
      <w:bookmarkEnd w:id="236"/>
    </w:p>
    <w:tbl>
      <w:tblPr>
        <w:tblStyle w:val="LightGrid-Accent11"/>
        <w:tblW w:w="0" w:type="auto"/>
        <w:tblLook w:val="04A0"/>
      </w:tblPr>
      <w:tblGrid>
        <w:gridCol w:w="2394"/>
        <w:gridCol w:w="2394"/>
        <w:gridCol w:w="2394"/>
        <w:gridCol w:w="2394"/>
      </w:tblGrid>
      <w:tr w:rsidR="00E077E0">
        <w:trPr>
          <w:cnfStyle w:val="100000000000"/>
        </w:trPr>
        <w:tc>
          <w:tcPr>
            <w:cnfStyle w:val="001000000000"/>
            <w:tcW w:w="2394" w:type="dxa"/>
          </w:tcPr>
          <w:p w:rsidR="00E077E0" w:rsidRDefault="00E077E0"/>
        </w:tc>
        <w:tc>
          <w:tcPr>
            <w:tcW w:w="7182" w:type="dxa"/>
            <w:gridSpan w:val="3"/>
          </w:tcPr>
          <w:p w:rsidR="00E077E0" w:rsidRDefault="00E077E0">
            <w:pPr>
              <w:cnfStyle w:val="100000000000"/>
            </w:pPr>
            <w:r>
              <w:t>Predicted</w:t>
            </w:r>
          </w:p>
        </w:tc>
      </w:tr>
      <w:tr w:rsidR="00E077E0">
        <w:trPr>
          <w:cnfStyle w:val="000000100000"/>
        </w:trPr>
        <w:tc>
          <w:tcPr>
            <w:cnfStyle w:val="001000000000"/>
            <w:tcW w:w="2394" w:type="dxa"/>
            <w:vAlign w:val="bottom"/>
          </w:tcPr>
          <w:p w:rsidR="00E077E0" w:rsidRDefault="00E077E0" w:rsidP="00E077E0">
            <w:r>
              <w:t>Actual</w:t>
            </w:r>
          </w:p>
        </w:tc>
        <w:tc>
          <w:tcPr>
            <w:tcW w:w="2394" w:type="dxa"/>
            <w:vAlign w:val="bottom"/>
          </w:tcPr>
          <w:p w:rsidR="00E077E0" w:rsidRDefault="00E077E0" w:rsidP="00E077E0">
            <w:pPr>
              <w:cnfStyle w:val="000000100000"/>
            </w:pPr>
            <w:r>
              <w:t>M</w:t>
            </w:r>
          </w:p>
        </w:tc>
        <w:tc>
          <w:tcPr>
            <w:tcW w:w="2394" w:type="dxa"/>
            <w:vAlign w:val="bottom"/>
          </w:tcPr>
          <w:p w:rsidR="00E077E0" w:rsidRDefault="00E077E0" w:rsidP="00E077E0">
            <w:pPr>
              <w:cnfStyle w:val="000000100000"/>
            </w:pPr>
            <w:r>
              <w:t>F</w:t>
            </w:r>
          </w:p>
        </w:tc>
        <w:tc>
          <w:tcPr>
            <w:tcW w:w="2394" w:type="dxa"/>
            <w:vAlign w:val="bottom"/>
          </w:tcPr>
          <w:p w:rsidR="00E077E0" w:rsidRDefault="00E077E0" w:rsidP="00E077E0">
            <w:pPr>
              <w:cnfStyle w:val="000000100000"/>
            </w:pPr>
            <w:r>
              <w:t>Overall</w:t>
            </w:r>
          </w:p>
        </w:tc>
      </w:tr>
      <w:tr w:rsidR="00E077E0">
        <w:trPr>
          <w:cnfStyle w:val="000000010000"/>
        </w:trPr>
        <w:tc>
          <w:tcPr>
            <w:cnfStyle w:val="001000000000"/>
            <w:tcW w:w="2394" w:type="dxa"/>
            <w:vAlign w:val="bottom"/>
          </w:tcPr>
          <w:p w:rsidR="00E077E0" w:rsidRDefault="00E077E0" w:rsidP="00E077E0">
            <w:r>
              <w:t>M</w:t>
            </w:r>
          </w:p>
        </w:tc>
        <w:tc>
          <w:tcPr>
            <w:tcW w:w="2394" w:type="dxa"/>
            <w:vAlign w:val="bottom"/>
          </w:tcPr>
          <w:p w:rsidR="00E077E0" w:rsidRDefault="00E077E0" w:rsidP="00E077E0">
            <w:pPr>
              <w:cnfStyle w:val="000000010000"/>
            </w:pPr>
            <w:r>
              <w:t>0.8623</w:t>
            </w:r>
          </w:p>
        </w:tc>
        <w:tc>
          <w:tcPr>
            <w:tcW w:w="2394" w:type="dxa"/>
            <w:vAlign w:val="bottom"/>
          </w:tcPr>
          <w:p w:rsidR="00E077E0" w:rsidRDefault="00E077E0" w:rsidP="00E077E0">
            <w:pPr>
              <w:cnfStyle w:val="000000010000"/>
            </w:pPr>
            <w:r>
              <w:t>0.1377</w:t>
            </w:r>
          </w:p>
        </w:tc>
        <w:tc>
          <w:tcPr>
            <w:tcW w:w="2394" w:type="dxa"/>
            <w:vMerge w:val="restart"/>
            <w:vAlign w:val="bottom"/>
          </w:tcPr>
          <w:p w:rsidR="00E077E0" w:rsidRDefault="00E077E0" w:rsidP="00E077E0">
            <w:pPr>
              <w:cnfStyle w:val="000000010000"/>
            </w:pPr>
          </w:p>
        </w:tc>
      </w:tr>
      <w:tr w:rsidR="00E077E0">
        <w:trPr>
          <w:cnfStyle w:val="000000100000"/>
        </w:trPr>
        <w:tc>
          <w:tcPr>
            <w:cnfStyle w:val="001000000000"/>
            <w:tcW w:w="2394" w:type="dxa"/>
            <w:vAlign w:val="bottom"/>
          </w:tcPr>
          <w:p w:rsidR="00E077E0" w:rsidRDefault="00E077E0" w:rsidP="00E077E0">
            <w:r>
              <w:t>F</w:t>
            </w:r>
          </w:p>
        </w:tc>
        <w:tc>
          <w:tcPr>
            <w:tcW w:w="2394" w:type="dxa"/>
            <w:vAlign w:val="bottom"/>
          </w:tcPr>
          <w:p w:rsidR="00E077E0" w:rsidRDefault="00E077E0" w:rsidP="00E077E0">
            <w:pPr>
              <w:cnfStyle w:val="000000100000"/>
            </w:pPr>
            <w:r>
              <w:t>0.2891</w:t>
            </w:r>
          </w:p>
        </w:tc>
        <w:tc>
          <w:tcPr>
            <w:tcW w:w="2394" w:type="dxa"/>
            <w:vAlign w:val="bottom"/>
          </w:tcPr>
          <w:p w:rsidR="00E077E0" w:rsidRDefault="00E077E0" w:rsidP="00E077E0">
            <w:pPr>
              <w:cnfStyle w:val="000000100000"/>
            </w:pPr>
            <w:r>
              <w:t>0.7109</w:t>
            </w:r>
          </w:p>
        </w:tc>
        <w:tc>
          <w:tcPr>
            <w:tcW w:w="2394" w:type="dxa"/>
            <w:vMerge/>
            <w:vAlign w:val="bottom"/>
          </w:tcPr>
          <w:p w:rsidR="00E077E0" w:rsidRDefault="00E077E0" w:rsidP="00E077E0">
            <w:pPr>
              <w:cnfStyle w:val="000000100000"/>
            </w:pPr>
          </w:p>
        </w:tc>
      </w:tr>
      <w:tr w:rsidR="00E077E0">
        <w:trPr>
          <w:cnfStyle w:val="000000010000"/>
        </w:trPr>
        <w:tc>
          <w:tcPr>
            <w:cnfStyle w:val="001000000000"/>
            <w:tcW w:w="2394" w:type="dxa"/>
            <w:vAlign w:val="bottom"/>
          </w:tcPr>
          <w:p w:rsidR="00E077E0" w:rsidRDefault="00E077E0" w:rsidP="00E077E0">
            <w:r>
              <w:t>Overall</w:t>
            </w:r>
          </w:p>
        </w:tc>
        <w:tc>
          <w:tcPr>
            <w:tcW w:w="4788" w:type="dxa"/>
            <w:gridSpan w:val="2"/>
            <w:vAlign w:val="bottom"/>
          </w:tcPr>
          <w:p w:rsidR="00E077E0" w:rsidRDefault="00E077E0" w:rsidP="00E077E0">
            <w:pPr>
              <w:cnfStyle w:val="000000010000"/>
            </w:pPr>
          </w:p>
        </w:tc>
        <w:tc>
          <w:tcPr>
            <w:tcW w:w="2394" w:type="dxa"/>
            <w:vAlign w:val="bottom"/>
          </w:tcPr>
          <w:p w:rsidR="00E077E0" w:rsidRDefault="00E077E0" w:rsidP="00E077E0">
            <w:pPr>
              <w:cnfStyle w:val="000000010000"/>
            </w:pPr>
            <w:r>
              <w:t>0.8107</w:t>
            </w:r>
          </w:p>
        </w:tc>
      </w:tr>
    </w:tbl>
    <w:p w:rsidR="00A047E0" w:rsidRDefault="00A047E0" w:rsidP="00794381"/>
    <w:p w:rsidR="00A047E0" w:rsidRDefault="00A047E0" w:rsidP="00794381"/>
    <w:p w:rsidR="00A047E0" w:rsidRDefault="00A047E0" w:rsidP="00794381"/>
    <w:p w:rsidR="00A047E0" w:rsidRDefault="00A047E0" w:rsidP="00794381"/>
    <w:p w:rsidR="002D29FB" w:rsidRDefault="00A047E0" w:rsidP="002D29FB">
      <w:pPr>
        <w:keepNext/>
      </w:pPr>
      <w:r w:rsidRPr="00A047E0">
        <w:rPr>
          <w:noProof/>
        </w:rPr>
        <w:drawing>
          <wp:inline distT="0" distB="0" distL="0" distR="0">
            <wp:extent cx="5943600" cy="4457700"/>
            <wp:effectExtent l="25400" t="0" r="0" b="0"/>
            <wp:docPr id="6" name="Picture 2" descr="Histogram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stogram for Post"/>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5943600" cy="4457700"/>
                    </a:xfrm>
                    <a:prstGeom prst="rect">
                      <a:avLst/>
                    </a:prstGeom>
                    <a:noFill/>
                    <a:ln>
                      <a:noFill/>
                    </a:ln>
                  </pic:spPr>
                </pic:pic>
              </a:graphicData>
            </a:graphic>
          </wp:inline>
        </w:drawing>
      </w:r>
    </w:p>
    <w:p w:rsidR="00082E62" w:rsidRDefault="002D29FB" w:rsidP="002D29FB">
      <w:pPr>
        <w:pStyle w:val="Caption"/>
      </w:pPr>
      <w:bookmarkStart w:id="237" w:name="_Toc227139327"/>
      <w:proofErr w:type="gramStart"/>
      <w:r>
        <w:t xml:space="preserve">Figure </w:t>
      </w:r>
      <w:fldSimple w:instr=" SEQ Figure \* ARABIC ">
        <w:r w:rsidR="001633BC">
          <w:rPr>
            <w:noProof/>
          </w:rPr>
          <w:t>30</w:t>
        </w:r>
      </w:fldSimple>
      <w:r>
        <w:t>.</w:t>
      </w:r>
      <w:proofErr w:type="gramEnd"/>
      <w:r>
        <w:t xml:space="preserve"> 13-variable LDA cross-validation posterior probabilities histogram</w:t>
      </w:r>
      <w:bookmarkEnd w:id="237"/>
    </w:p>
    <w:p w:rsidR="00082E62" w:rsidRDefault="00082E62" w:rsidP="00082E62"/>
    <w:p w:rsidR="00082E62" w:rsidRDefault="00082E62" w:rsidP="00082E62">
      <w:pPr>
        <w:keepNext/>
      </w:pPr>
      <w:r w:rsidRPr="00082E62">
        <w:rPr>
          <w:noProof/>
        </w:rPr>
        <w:drawing>
          <wp:inline distT="0" distB="0" distL="0" distR="0">
            <wp:extent cx="3067050" cy="1628775"/>
            <wp:effectExtent l="0" t="0" r="0" b="952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067050" cy="1628775"/>
                    </a:xfrm>
                    <a:prstGeom prst="rect">
                      <a:avLst/>
                    </a:prstGeom>
                  </pic:spPr>
                </pic:pic>
              </a:graphicData>
            </a:graphic>
          </wp:inline>
        </w:drawing>
      </w:r>
    </w:p>
    <w:p w:rsidR="00A047E0" w:rsidRPr="00082E62" w:rsidRDefault="00082E62" w:rsidP="00082E62">
      <w:pPr>
        <w:pStyle w:val="Caption"/>
      </w:pPr>
      <w:bookmarkStart w:id="238" w:name="_Toc227139328"/>
      <w:proofErr w:type="gramStart"/>
      <w:r>
        <w:t xml:space="preserve">Figure </w:t>
      </w:r>
      <w:fldSimple w:instr=" SEQ Figure \* ARABIC ">
        <w:r w:rsidR="001633BC">
          <w:rPr>
            <w:noProof/>
          </w:rPr>
          <w:t>31</w:t>
        </w:r>
      </w:fldSimple>
      <w:r>
        <w:t>.</w:t>
      </w:r>
      <w:proofErr w:type="gramEnd"/>
      <w:r>
        <w:t xml:space="preserve"> Descriptive statistics - LDA cross-validation misclassification posterior probabilities</w:t>
      </w:r>
      <w:bookmarkEnd w:id="238"/>
    </w:p>
    <w:p w:rsidR="00A047E0" w:rsidRDefault="00A047E0" w:rsidP="00A047E0">
      <w:pPr>
        <w:keepNext/>
      </w:pPr>
      <w:r w:rsidRPr="00A047E0">
        <w:rPr>
          <w:noProof/>
        </w:rPr>
        <w:drawing>
          <wp:inline distT="0" distB="0" distL="0" distR="0">
            <wp:extent cx="5943600" cy="4457700"/>
            <wp:effectExtent l="25400" t="0" r="0" b="0"/>
            <wp:docPr id="8" name="Picture 1" descr="Histogram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gram for Post"/>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5943600" cy="4457700"/>
                    </a:xfrm>
                    <a:prstGeom prst="rect">
                      <a:avLst/>
                    </a:prstGeom>
                    <a:noFill/>
                    <a:ln>
                      <a:noFill/>
                    </a:ln>
                  </pic:spPr>
                </pic:pic>
              </a:graphicData>
            </a:graphic>
          </wp:inline>
        </w:drawing>
      </w:r>
    </w:p>
    <w:p w:rsidR="00082E62" w:rsidRDefault="00A047E0" w:rsidP="00A047E0">
      <w:pPr>
        <w:pStyle w:val="Caption"/>
      </w:pPr>
      <w:bookmarkStart w:id="239" w:name="_Toc227139329"/>
      <w:proofErr w:type="gramStart"/>
      <w:r>
        <w:t xml:space="preserve">Figure </w:t>
      </w:r>
      <w:fldSimple w:instr=" SEQ Figure \* ARABIC ">
        <w:r w:rsidR="001633BC">
          <w:rPr>
            <w:noProof/>
          </w:rPr>
          <w:t>32</w:t>
        </w:r>
      </w:fldSimple>
      <w:r>
        <w:t>.</w:t>
      </w:r>
      <w:proofErr w:type="gramEnd"/>
      <w:r>
        <w:t xml:space="preserve"> 13-variable LDA holdout posterior probabilities</w:t>
      </w:r>
      <w:r w:rsidR="002D29FB">
        <w:t xml:space="preserve"> histogram</w:t>
      </w:r>
      <w:bookmarkEnd w:id="239"/>
    </w:p>
    <w:p w:rsidR="00082E62" w:rsidRDefault="00082E62" w:rsidP="00082E62"/>
    <w:p w:rsidR="00082E62" w:rsidRDefault="00082E62" w:rsidP="00082E62">
      <w:pPr>
        <w:keepNext/>
      </w:pPr>
      <w:r w:rsidRPr="00082E62">
        <w:rPr>
          <w:noProof/>
        </w:rPr>
        <w:drawing>
          <wp:inline distT="0" distB="0" distL="0" distR="0">
            <wp:extent cx="3028950" cy="1609725"/>
            <wp:effectExtent l="0" t="0" r="0" b="9525"/>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028950" cy="1609725"/>
                    </a:xfrm>
                    <a:prstGeom prst="rect">
                      <a:avLst/>
                    </a:prstGeom>
                  </pic:spPr>
                </pic:pic>
              </a:graphicData>
            </a:graphic>
          </wp:inline>
        </w:drawing>
      </w:r>
    </w:p>
    <w:p w:rsidR="002D29FB" w:rsidRPr="00082E62" w:rsidRDefault="00082E62" w:rsidP="00082E62">
      <w:pPr>
        <w:pStyle w:val="Caption"/>
      </w:pPr>
      <w:bookmarkStart w:id="240" w:name="_Toc227139330"/>
      <w:proofErr w:type="gramStart"/>
      <w:r>
        <w:t xml:space="preserve">Figure </w:t>
      </w:r>
      <w:fldSimple w:instr=" SEQ Figure \* ARABIC ">
        <w:r w:rsidR="001633BC">
          <w:rPr>
            <w:noProof/>
          </w:rPr>
          <w:t>33</w:t>
        </w:r>
      </w:fldSimple>
      <w:r>
        <w:t>.</w:t>
      </w:r>
      <w:proofErr w:type="gramEnd"/>
      <w:r>
        <w:t xml:space="preserve"> Descriptive statistics- LDA holdout misclassification posterior probabilities</w:t>
      </w:r>
      <w:bookmarkEnd w:id="240"/>
    </w:p>
    <w:p w:rsidR="002D29FB" w:rsidRDefault="002D29FB" w:rsidP="002D29FB">
      <w:pPr>
        <w:keepNext/>
      </w:pPr>
      <w:r w:rsidRPr="002D29FB">
        <w:rPr>
          <w:noProof/>
        </w:rPr>
        <w:drawing>
          <wp:inline distT="0" distB="0" distL="0" distR="0">
            <wp:extent cx="5943600" cy="4457700"/>
            <wp:effectExtent l="25400" t="0" r="0" b="0"/>
            <wp:docPr id="21" name="Picture 7" descr="Histogram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gram for Post"/>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5943600" cy="4457700"/>
                    </a:xfrm>
                    <a:prstGeom prst="rect">
                      <a:avLst/>
                    </a:prstGeom>
                    <a:noFill/>
                    <a:ln>
                      <a:noFill/>
                    </a:ln>
                  </pic:spPr>
                </pic:pic>
              </a:graphicData>
            </a:graphic>
          </wp:inline>
        </w:drawing>
      </w:r>
    </w:p>
    <w:p w:rsidR="00082E62" w:rsidRDefault="002D29FB" w:rsidP="002D29FB">
      <w:pPr>
        <w:pStyle w:val="Caption"/>
      </w:pPr>
      <w:bookmarkStart w:id="241" w:name="_Toc227139331"/>
      <w:proofErr w:type="gramStart"/>
      <w:r>
        <w:t xml:space="preserve">Figure </w:t>
      </w:r>
      <w:fldSimple w:instr=" SEQ Figure \* ARABIC ">
        <w:r w:rsidR="001633BC">
          <w:rPr>
            <w:noProof/>
          </w:rPr>
          <w:t>34</w:t>
        </w:r>
      </w:fldSimple>
      <w:r>
        <w:t>.</w:t>
      </w:r>
      <w:proofErr w:type="gramEnd"/>
      <w:r>
        <w:t xml:space="preserve">  3-variable QDA cross-validation posterior probabilities histogram</w:t>
      </w:r>
      <w:bookmarkEnd w:id="241"/>
    </w:p>
    <w:p w:rsidR="00082E62" w:rsidRDefault="00082E62" w:rsidP="00082E62"/>
    <w:p w:rsidR="00082E62" w:rsidRDefault="00082E62" w:rsidP="00082E62">
      <w:pPr>
        <w:keepNext/>
      </w:pPr>
      <w:r w:rsidRPr="00082E62">
        <w:rPr>
          <w:noProof/>
        </w:rPr>
        <w:drawing>
          <wp:inline distT="0" distB="0" distL="0" distR="0">
            <wp:extent cx="3048000" cy="1619250"/>
            <wp:effectExtent l="0" t="0" r="0" b="0"/>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048000" cy="1619250"/>
                    </a:xfrm>
                    <a:prstGeom prst="rect">
                      <a:avLst/>
                    </a:prstGeom>
                  </pic:spPr>
                </pic:pic>
              </a:graphicData>
            </a:graphic>
          </wp:inline>
        </w:drawing>
      </w:r>
    </w:p>
    <w:p w:rsidR="002D29FB" w:rsidRPr="00082E62" w:rsidRDefault="00082E62" w:rsidP="00082E62">
      <w:pPr>
        <w:pStyle w:val="Caption"/>
      </w:pPr>
      <w:bookmarkStart w:id="242" w:name="_Toc227139332"/>
      <w:proofErr w:type="gramStart"/>
      <w:r>
        <w:t xml:space="preserve">Figure </w:t>
      </w:r>
      <w:fldSimple w:instr=" SEQ Figure \* ARABIC ">
        <w:r w:rsidR="001633BC">
          <w:rPr>
            <w:noProof/>
          </w:rPr>
          <w:t>35</w:t>
        </w:r>
      </w:fldSimple>
      <w:r>
        <w:t>.</w:t>
      </w:r>
      <w:proofErr w:type="gramEnd"/>
      <w:r>
        <w:t xml:space="preserve"> Descriptive statistics - QDA cross-validation misclassification posterior probabilites</w:t>
      </w:r>
      <w:bookmarkEnd w:id="242"/>
    </w:p>
    <w:p w:rsidR="002D29FB" w:rsidRDefault="002D29FB" w:rsidP="002D29FB">
      <w:pPr>
        <w:keepNext/>
      </w:pPr>
      <w:r w:rsidRPr="002D29FB">
        <w:rPr>
          <w:noProof/>
        </w:rPr>
        <w:drawing>
          <wp:inline distT="0" distB="0" distL="0" distR="0">
            <wp:extent cx="5943600" cy="4457700"/>
            <wp:effectExtent l="25400" t="0" r="0" b="0"/>
            <wp:docPr id="23" name="Picture 1" descr="Histogram for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gram for Post"/>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5943600" cy="4457700"/>
                    </a:xfrm>
                    <a:prstGeom prst="rect">
                      <a:avLst/>
                    </a:prstGeom>
                    <a:noFill/>
                    <a:ln>
                      <a:noFill/>
                    </a:ln>
                  </pic:spPr>
                </pic:pic>
              </a:graphicData>
            </a:graphic>
          </wp:inline>
        </w:drawing>
      </w:r>
    </w:p>
    <w:p w:rsidR="00082E62" w:rsidRDefault="002D29FB" w:rsidP="002D29FB">
      <w:pPr>
        <w:pStyle w:val="Caption"/>
      </w:pPr>
      <w:bookmarkStart w:id="243" w:name="_Toc227139333"/>
      <w:proofErr w:type="gramStart"/>
      <w:r>
        <w:t xml:space="preserve">Figure </w:t>
      </w:r>
      <w:fldSimple w:instr=" SEQ Figure \* ARABIC ">
        <w:r w:rsidR="001633BC">
          <w:rPr>
            <w:noProof/>
          </w:rPr>
          <w:t>36</w:t>
        </w:r>
      </w:fldSimple>
      <w:r>
        <w:t>.</w:t>
      </w:r>
      <w:proofErr w:type="gramEnd"/>
      <w:r>
        <w:t xml:space="preserve"> 3-variable QDA holdout posterior probabilities histogram</w:t>
      </w:r>
      <w:bookmarkEnd w:id="243"/>
    </w:p>
    <w:p w:rsidR="00082E62" w:rsidRDefault="00082E62" w:rsidP="00082E62"/>
    <w:p w:rsidR="00082E62" w:rsidRDefault="00082E62" w:rsidP="00082E62">
      <w:pPr>
        <w:keepNext/>
      </w:pPr>
      <w:r w:rsidRPr="00082E62">
        <w:rPr>
          <w:noProof/>
        </w:rPr>
        <w:drawing>
          <wp:inline distT="0" distB="0" distL="0" distR="0">
            <wp:extent cx="3038475" cy="1600200"/>
            <wp:effectExtent l="0" t="0" r="9525"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038475" cy="1600200"/>
                    </a:xfrm>
                    <a:prstGeom prst="rect">
                      <a:avLst/>
                    </a:prstGeom>
                  </pic:spPr>
                </pic:pic>
              </a:graphicData>
            </a:graphic>
          </wp:inline>
        </w:drawing>
      </w:r>
    </w:p>
    <w:p w:rsidR="009462B3" w:rsidRDefault="00082E62" w:rsidP="00082E62">
      <w:pPr>
        <w:pStyle w:val="Caption"/>
      </w:pPr>
      <w:bookmarkStart w:id="244" w:name="_Toc227139334"/>
      <w:proofErr w:type="gramStart"/>
      <w:r>
        <w:t xml:space="preserve">Figure </w:t>
      </w:r>
      <w:fldSimple w:instr=" SEQ Figure \* ARABIC ">
        <w:r w:rsidR="001633BC">
          <w:rPr>
            <w:noProof/>
          </w:rPr>
          <w:t>37</w:t>
        </w:r>
      </w:fldSimple>
      <w:r>
        <w:t>.</w:t>
      </w:r>
      <w:proofErr w:type="gramEnd"/>
      <w:r>
        <w:t xml:space="preserve"> Descriptive statistics - QDA holdout misclassification posterior probabilities</w:t>
      </w:r>
      <w:bookmarkEnd w:id="244"/>
    </w:p>
    <w:p w:rsidR="009462B3" w:rsidRDefault="009462B3" w:rsidP="009462B3"/>
    <w:p w:rsidR="009462B3" w:rsidRDefault="009462B3" w:rsidP="009462B3"/>
    <w:p w:rsidR="009462B3" w:rsidRDefault="009462B3" w:rsidP="009462B3">
      <w:pPr>
        <w:keepNext/>
      </w:pPr>
      <w:r w:rsidRPr="009462B3">
        <w:rPr>
          <w:noProof/>
        </w:rPr>
        <w:drawing>
          <wp:inline distT="0" distB="0" distL="0" distR="0">
            <wp:extent cx="3038475" cy="1590675"/>
            <wp:effectExtent l="0" t="0" r="9525" b="9525"/>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038475" cy="1590675"/>
                    </a:xfrm>
                    <a:prstGeom prst="rect">
                      <a:avLst/>
                    </a:prstGeom>
                  </pic:spPr>
                </pic:pic>
              </a:graphicData>
            </a:graphic>
          </wp:inline>
        </w:drawing>
      </w:r>
    </w:p>
    <w:p w:rsidR="009462B3" w:rsidRDefault="009462B3" w:rsidP="009462B3">
      <w:pPr>
        <w:pStyle w:val="Caption"/>
      </w:pPr>
      <w:bookmarkStart w:id="245" w:name="_Toc227139335"/>
      <w:proofErr w:type="gramStart"/>
      <w:r>
        <w:t xml:space="preserve">Figure </w:t>
      </w:r>
      <w:fldSimple w:instr=" SEQ Figure \* ARABIC ">
        <w:r w:rsidR="001633BC">
          <w:rPr>
            <w:noProof/>
          </w:rPr>
          <w:t>38</w:t>
        </w:r>
      </w:fldSimple>
      <w:r>
        <w:t>.</w:t>
      </w:r>
      <w:proofErr w:type="gramEnd"/>
      <w:r>
        <w:t xml:space="preserve"> Descriptive statistics - LDA re-substitution misses</w:t>
      </w:r>
      <w:bookmarkEnd w:id="245"/>
    </w:p>
    <w:p w:rsidR="009462B3" w:rsidRDefault="009462B3" w:rsidP="009462B3"/>
    <w:p w:rsidR="009462B3" w:rsidRDefault="009462B3" w:rsidP="009462B3">
      <w:pPr>
        <w:keepNext/>
      </w:pPr>
      <w:r w:rsidRPr="009462B3">
        <w:rPr>
          <w:noProof/>
        </w:rPr>
        <w:drawing>
          <wp:inline distT="0" distB="0" distL="0" distR="0">
            <wp:extent cx="1676400" cy="3390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676400" cy="3390900"/>
                    </a:xfrm>
                    <a:prstGeom prst="rect">
                      <a:avLst/>
                    </a:prstGeom>
                  </pic:spPr>
                </pic:pic>
              </a:graphicData>
            </a:graphic>
          </wp:inline>
        </w:drawing>
      </w:r>
    </w:p>
    <w:p w:rsidR="009462B3" w:rsidRDefault="009462B3" w:rsidP="009462B3">
      <w:pPr>
        <w:pStyle w:val="Caption"/>
      </w:pPr>
      <w:bookmarkStart w:id="246" w:name="_Toc227139336"/>
      <w:proofErr w:type="gramStart"/>
      <w:r>
        <w:t xml:space="preserve">Figure </w:t>
      </w:r>
      <w:fldSimple w:instr=" SEQ Figure \* ARABIC ">
        <w:r w:rsidR="001633BC">
          <w:rPr>
            <w:noProof/>
          </w:rPr>
          <w:t>39</w:t>
        </w:r>
      </w:fldSimple>
      <w:r>
        <w:t>.</w:t>
      </w:r>
      <w:proofErr w:type="gramEnd"/>
      <w:r>
        <w:t xml:space="preserve"> LDA re-substitution misses quartile statistics</w:t>
      </w:r>
      <w:bookmarkEnd w:id="246"/>
    </w:p>
    <w:p w:rsidR="009462B3" w:rsidRDefault="009462B3" w:rsidP="009462B3">
      <w:pPr>
        <w:keepNext/>
      </w:pPr>
      <w:r w:rsidRPr="009462B3">
        <w:rPr>
          <w:noProof/>
        </w:rPr>
        <w:drawing>
          <wp:inline distT="0" distB="0" distL="0" distR="0">
            <wp:extent cx="5943600" cy="4469130"/>
            <wp:effectExtent l="2540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943600" cy="4469130"/>
                    </a:xfrm>
                    <a:prstGeom prst="rect">
                      <a:avLst/>
                    </a:prstGeom>
                  </pic:spPr>
                </pic:pic>
              </a:graphicData>
            </a:graphic>
          </wp:inline>
        </w:drawing>
      </w:r>
    </w:p>
    <w:p w:rsidR="00040A08" w:rsidRDefault="009462B3" w:rsidP="009462B3">
      <w:pPr>
        <w:pStyle w:val="Caption"/>
      </w:pPr>
      <w:bookmarkStart w:id="247" w:name="_Toc227139337"/>
      <w:proofErr w:type="gramStart"/>
      <w:r>
        <w:t xml:space="preserve">Figure </w:t>
      </w:r>
      <w:fldSimple w:instr=" SEQ Figure \* ARABIC ">
        <w:r w:rsidR="001633BC">
          <w:rPr>
            <w:noProof/>
          </w:rPr>
          <w:t>40</w:t>
        </w:r>
      </w:fldSimple>
      <w:r>
        <w:t>.</w:t>
      </w:r>
      <w:proofErr w:type="gramEnd"/>
      <w:r>
        <w:t xml:space="preserve"> LDA re-substitution misses histogram</w:t>
      </w:r>
      <w:bookmarkEnd w:id="247"/>
    </w:p>
    <w:p w:rsidR="00040A08" w:rsidRDefault="00040A08" w:rsidP="00040A08"/>
    <w:p w:rsidR="00040A08" w:rsidRDefault="00040A08" w:rsidP="00040A08"/>
    <w:p w:rsidR="009462B3" w:rsidRPr="00040A08" w:rsidRDefault="009462B3" w:rsidP="00040A08"/>
    <w:p w:rsidR="009462B3" w:rsidRDefault="009462B3" w:rsidP="009462B3"/>
    <w:p w:rsidR="009462B3" w:rsidRDefault="009462B3" w:rsidP="009462B3">
      <w:pPr>
        <w:keepNext/>
      </w:pPr>
      <w:r w:rsidRPr="009462B3">
        <w:rPr>
          <w:noProof/>
        </w:rPr>
        <w:drawing>
          <wp:inline distT="0" distB="0" distL="0" distR="0">
            <wp:extent cx="3057525" cy="1609725"/>
            <wp:effectExtent l="0" t="0" r="9525" b="9525"/>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057525" cy="1609725"/>
                    </a:xfrm>
                    <a:prstGeom prst="rect">
                      <a:avLst/>
                    </a:prstGeom>
                  </pic:spPr>
                </pic:pic>
              </a:graphicData>
            </a:graphic>
          </wp:inline>
        </w:drawing>
      </w:r>
    </w:p>
    <w:p w:rsidR="009462B3" w:rsidRDefault="009462B3" w:rsidP="009462B3">
      <w:pPr>
        <w:pStyle w:val="Caption"/>
      </w:pPr>
      <w:bookmarkStart w:id="248" w:name="_Toc227139338"/>
      <w:proofErr w:type="gramStart"/>
      <w:r>
        <w:t xml:space="preserve">Figure </w:t>
      </w:r>
      <w:fldSimple w:instr=" SEQ Figure \* ARABIC ">
        <w:r w:rsidR="001633BC">
          <w:rPr>
            <w:noProof/>
          </w:rPr>
          <w:t>41</w:t>
        </w:r>
      </w:fldSimple>
      <w:r>
        <w:t>.</w:t>
      </w:r>
      <w:proofErr w:type="gramEnd"/>
      <w:r>
        <w:t xml:space="preserve"> Descriptive statistics - LDA cross-validation misses</w:t>
      </w:r>
      <w:bookmarkEnd w:id="248"/>
    </w:p>
    <w:p w:rsidR="009462B3" w:rsidRDefault="009462B3" w:rsidP="009462B3"/>
    <w:p w:rsidR="009462B3" w:rsidRDefault="009462B3" w:rsidP="009462B3">
      <w:pPr>
        <w:keepNext/>
      </w:pPr>
      <w:r w:rsidRPr="009462B3">
        <w:rPr>
          <w:noProof/>
        </w:rPr>
        <w:drawing>
          <wp:inline distT="0" distB="0" distL="0" distR="0">
            <wp:extent cx="1619250" cy="3400425"/>
            <wp:effectExtent l="0" t="0" r="0" b="9525"/>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619250" cy="3400425"/>
                    </a:xfrm>
                    <a:prstGeom prst="rect">
                      <a:avLst/>
                    </a:prstGeom>
                  </pic:spPr>
                </pic:pic>
              </a:graphicData>
            </a:graphic>
          </wp:inline>
        </w:drawing>
      </w:r>
    </w:p>
    <w:p w:rsidR="009462B3" w:rsidRDefault="009462B3" w:rsidP="009462B3">
      <w:pPr>
        <w:pStyle w:val="Caption"/>
      </w:pPr>
      <w:bookmarkStart w:id="249" w:name="_Toc227139339"/>
      <w:proofErr w:type="gramStart"/>
      <w:r>
        <w:t xml:space="preserve">Figure </w:t>
      </w:r>
      <w:fldSimple w:instr=" SEQ Figure \* ARABIC ">
        <w:r w:rsidR="001633BC">
          <w:rPr>
            <w:noProof/>
          </w:rPr>
          <w:t>42</w:t>
        </w:r>
      </w:fldSimple>
      <w:r>
        <w:t>.</w:t>
      </w:r>
      <w:proofErr w:type="gramEnd"/>
      <w:r>
        <w:t xml:space="preserve"> LDA cross-validation misses quartiles</w:t>
      </w:r>
      <w:bookmarkEnd w:id="249"/>
    </w:p>
    <w:p w:rsidR="009462B3" w:rsidRDefault="009462B3" w:rsidP="009462B3">
      <w:pPr>
        <w:keepNext/>
      </w:pPr>
      <w:r w:rsidRPr="009462B3">
        <w:rPr>
          <w:noProof/>
        </w:rPr>
        <w:drawing>
          <wp:inline distT="0" distB="0" distL="0" distR="0">
            <wp:extent cx="5943600" cy="4464685"/>
            <wp:effectExtent l="2540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943600" cy="4464685"/>
                    </a:xfrm>
                    <a:prstGeom prst="rect">
                      <a:avLst/>
                    </a:prstGeom>
                  </pic:spPr>
                </pic:pic>
              </a:graphicData>
            </a:graphic>
          </wp:inline>
        </w:drawing>
      </w:r>
    </w:p>
    <w:p w:rsidR="009462B3" w:rsidRDefault="009462B3" w:rsidP="009462B3">
      <w:pPr>
        <w:pStyle w:val="Caption"/>
      </w:pPr>
      <w:bookmarkStart w:id="250" w:name="_Toc227139340"/>
      <w:proofErr w:type="gramStart"/>
      <w:r>
        <w:t xml:space="preserve">Figure </w:t>
      </w:r>
      <w:fldSimple w:instr=" SEQ Figure \* ARABIC ">
        <w:r w:rsidR="001633BC">
          <w:rPr>
            <w:noProof/>
          </w:rPr>
          <w:t>43</w:t>
        </w:r>
      </w:fldSimple>
      <w:r>
        <w:t>.</w:t>
      </w:r>
      <w:proofErr w:type="gramEnd"/>
      <w:r>
        <w:t xml:space="preserve"> LDA cross-validation misses histogram</w:t>
      </w:r>
      <w:bookmarkEnd w:id="250"/>
    </w:p>
    <w:p w:rsidR="00040A08" w:rsidRDefault="00040A08" w:rsidP="009462B3"/>
    <w:p w:rsidR="00040A08" w:rsidRDefault="00040A08" w:rsidP="009462B3"/>
    <w:p w:rsidR="00040A08" w:rsidRDefault="00040A08" w:rsidP="009462B3"/>
    <w:p w:rsidR="00040A08" w:rsidRDefault="00040A08" w:rsidP="009462B3"/>
    <w:p w:rsidR="009462B3" w:rsidRDefault="009462B3" w:rsidP="009462B3"/>
    <w:p w:rsidR="009462B3" w:rsidRDefault="009462B3" w:rsidP="009462B3">
      <w:pPr>
        <w:keepNext/>
      </w:pPr>
      <w:r w:rsidRPr="009462B3">
        <w:rPr>
          <w:noProof/>
        </w:rPr>
        <w:drawing>
          <wp:inline distT="0" distB="0" distL="0" distR="0">
            <wp:extent cx="3028950" cy="1600200"/>
            <wp:effectExtent l="0" t="0" r="0" b="0"/>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028950" cy="1600200"/>
                    </a:xfrm>
                    <a:prstGeom prst="rect">
                      <a:avLst/>
                    </a:prstGeom>
                  </pic:spPr>
                </pic:pic>
              </a:graphicData>
            </a:graphic>
          </wp:inline>
        </w:drawing>
      </w:r>
    </w:p>
    <w:p w:rsidR="00D0550F" w:rsidRDefault="009462B3" w:rsidP="009462B3">
      <w:pPr>
        <w:pStyle w:val="Caption"/>
      </w:pPr>
      <w:bookmarkStart w:id="251" w:name="_Toc227139341"/>
      <w:proofErr w:type="gramStart"/>
      <w:r>
        <w:t xml:space="preserve">Figure </w:t>
      </w:r>
      <w:fldSimple w:instr=" SEQ Figure \* ARABIC ">
        <w:r w:rsidR="001633BC">
          <w:rPr>
            <w:noProof/>
          </w:rPr>
          <w:t>44</w:t>
        </w:r>
      </w:fldSimple>
      <w:r>
        <w:t>.</w:t>
      </w:r>
      <w:proofErr w:type="gramEnd"/>
      <w:r>
        <w:t xml:space="preserve"> Descriptive statistics - LDA holdout misses</w:t>
      </w:r>
      <w:bookmarkEnd w:id="251"/>
    </w:p>
    <w:p w:rsidR="00D0550F" w:rsidRDefault="00D0550F" w:rsidP="00D0550F"/>
    <w:p w:rsidR="00D0550F" w:rsidRDefault="00D0550F" w:rsidP="00D0550F">
      <w:pPr>
        <w:keepNext/>
      </w:pPr>
      <w:r w:rsidRPr="00D0550F">
        <w:rPr>
          <w:noProof/>
        </w:rPr>
        <w:drawing>
          <wp:inline distT="0" distB="0" distL="0" distR="0">
            <wp:extent cx="1619250" cy="3400425"/>
            <wp:effectExtent l="0" t="0" r="0" b="9525"/>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1619250" cy="3400425"/>
                    </a:xfrm>
                    <a:prstGeom prst="rect">
                      <a:avLst/>
                    </a:prstGeom>
                  </pic:spPr>
                </pic:pic>
              </a:graphicData>
            </a:graphic>
          </wp:inline>
        </w:drawing>
      </w:r>
    </w:p>
    <w:p w:rsidR="00D0550F" w:rsidRDefault="00D0550F" w:rsidP="00D0550F">
      <w:pPr>
        <w:pStyle w:val="Caption"/>
      </w:pPr>
      <w:bookmarkStart w:id="252" w:name="_Toc227139342"/>
      <w:proofErr w:type="gramStart"/>
      <w:r>
        <w:t xml:space="preserve">Figure </w:t>
      </w:r>
      <w:fldSimple w:instr=" SEQ Figure \* ARABIC ">
        <w:r w:rsidR="001633BC">
          <w:rPr>
            <w:noProof/>
          </w:rPr>
          <w:t>45</w:t>
        </w:r>
      </w:fldSimple>
      <w:r>
        <w:t>.</w:t>
      </w:r>
      <w:proofErr w:type="gramEnd"/>
      <w:r>
        <w:t xml:space="preserve"> LDA holdout misses quartiles</w:t>
      </w:r>
      <w:bookmarkEnd w:id="252"/>
    </w:p>
    <w:p w:rsidR="00D0550F" w:rsidRDefault="00D0550F" w:rsidP="00D0550F">
      <w:pPr>
        <w:keepNext/>
      </w:pPr>
      <w:r w:rsidRPr="00D0550F">
        <w:rPr>
          <w:noProof/>
        </w:rPr>
        <w:drawing>
          <wp:inline distT="0" distB="0" distL="0" distR="0">
            <wp:extent cx="5943600" cy="4466590"/>
            <wp:effectExtent l="25400" t="0" r="0"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43600" cy="4466590"/>
                    </a:xfrm>
                    <a:prstGeom prst="rect">
                      <a:avLst/>
                    </a:prstGeom>
                  </pic:spPr>
                </pic:pic>
              </a:graphicData>
            </a:graphic>
          </wp:inline>
        </w:drawing>
      </w:r>
    </w:p>
    <w:p w:rsidR="00040A08" w:rsidRDefault="00D0550F" w:rsidP="00D0550F">
      <w:pPr>
        <w:pStyle w:val="Caption"/>
      </w:pPr>
      <w:bookmarkStart w:id="253" w:name="_Toc227139343"/>
      <w:proofErr w:type="gramStart"/>
      <w:r>
        <w:t xml:space="preserve">Figure </w:t>
      </w:r>
      <w:fldSimple w:instr=" SEQ Figure \* ARABIC ">
        <w:r w:rsidR="001633BC">
          <w:rPr>
            <w:noProof/>
          </w:rPr>
          <w:t>46</w:t>
        </w:r>
      </w:fldSimple>
      <w:r>
        <w:t>.</w:t>
      </w:r>
      <w:proofErr w:type="gramEnd"/>
      <w:r>
        <w:t xml:space="preserve"> LDA holdout misses histogram</w:t>
      </w:r>
      <w:bookmarkEnd w:id="253"/>
    </w:p>
    <w:p w:rsidR="00040A08" w:rsidRDefault="00040A08" w:rsidP="00040A08"/>
    <w:p w:rsidR="00040A08" w:rsidRDefault="00040A08" w:rsidP="00040A08"/>
    <w:p w:rsidR="00040A08" w:rsidRDefault="00040A08" w:rsidP="00040A08"/>
    <w:p w:rsidR="00040A08" w:rsidRDefault="00040A08" w:rsidP="00040A08"/>
    <w:p w:rsidR="00040A08" w:rsidRDefault="00040A08" w:rsidP="00040A08"/>
    <w:p w:rsidR="00040A08" w:rsidRDefault="00040A08" w:rsidP="00040A08">
      <w:pPr>
        <w:keepNext/>
      </w:pPr>
      <w:r w:rsidRPr="00040A08">
        <w:rPr>
          <w:noProof/>
        </w:rPr>
        <w:drawing>
          <wp:inline distT="0" distB="0" distL="0" distR="0">
            <wp:extent cx="3048000" cy="1600200"/>
            <wp:effectExtent l="0" t="0" r="0" b="0"/>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048000" cy="1600200"/>
                    </a:xfrm>
                    <a:prstGeom prst="rect">
                      <a:avLst/>
                    </a:prstGeom>
                  </pic:spPr>
                </pic:pic>
              </a:graphicData>
            </a:graphic>
          </wp:inline>
        </w:drawing>
      </w:r>
    </w:p>
    <w:p w:rsidR="00040A08" w:rsidRDefault="00040A08" w:rsidP="00040A08">
      <w:pPr>
        <w:pStyle w:val="Caption"/>
      </w:pPr>
      <w:bookmarkStart w:id="254" w:name="_Toc227139344"/>
      <w:proofErr w:type="gramStart"/>
      <w:r>
        <w:t xml:space="preserve">Figure </w:t>
      </w:r>
      <w:fldSimple w:instr=" SEQ Figure \* ARABIC ">
        <w:r w:rsidR="001633BC">
          <w:rPr>
            <w:noProof/>
          </w:rPr>
          <w:t>47</w:t>
        </w:r>
      </w:fldSimple>
      <w:r>
        <w:t>.</w:t>
      </w:r>
      <w:proofErr w:type="gramEnd"/>
      <w:r>
        <w:t xml:space="preserve"> Descriptive statistics - QDA resubstitution misses</w:t>
      </w:r>
      <w:bookmarkEnd w:id="254"/>
    </w:p>
    <w:p w:rsidR="00040A08" w:rsidRDefault="00040A08" w:rsidP="00040A08"/>
    <w:p w:rsidR="00040A08" w:rsidRDefault="00040A08" w:rsidP="00040A08">
      <w:pPr>
        <w:keepNext/>
      </w:pPr>
      <w:r w:rsidRPr="00040A08">
        <w:rPr>
          <w:noProof/>
        </w:rPr>
        <w:drawing>
          <wp:inline distT="0" distB="0" distL="0" distR="0">
            <wp:extent cx="1685925" cy="3390900"/>
            <wp:effectExtent l="0" t="0" r="9525" b="0"/>
            <wp:docPr id="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1685925" cy="3390900"/>
                    </a:xfrm>
                    <a:prstGeom prst="rect">
                      <a:avLst/>
                    </a:prstGeom>
                  </pic:spPr>
                </pic:pic>
              </a:graphicData>
            </a:graphic>
          </wp:inline>
        </w:drawing>
      </w:r>
    </w:p>
    <w:p w:rsidR="00040A08" w:rsidRDefault="00040A08" w:rsidP="00040A08">
      <w:pPr>
        <w:pStyle w:val="Caption"/>
      </w:pPr>
      <w:bookmarkStart w:id="255" w:name="_Toc227139345"/>
      <w:proofErr w:type="gramStart"/>
      <w:r>
        <w:t xml:space="preserve">Figure </w:t>
      </w:r>
      <w:fldSimple w:instr=" SEQ Figure \* ARABIC ">
        <w:r w:rsidR="001633BC">
          <w:rPr>
            <w:noProof/>
          </w:rPr>
          <w:t>48</w:t>
        </w:r>
      </w:fldSimple>
      <w:r>
        <w:t>.</w:t>
      </w:r>
      <w:proofErr w:type="gramEnd"/>
      <w:r>
        <w:t xml:space="preserve"> QDA resubstitution misses quartiles</w:t>
      </w:r>
      <w:bookmarkEnd w:id="255"/>
    </w:p>
    <w:p w:rsidR="00040A08" w:rsidRDefault="00040A08" w:rsidP="00040A08"/>
    <w:p w:rsidR="00040A08" w:rsidRDefault="00040A08" w:rsidP="00040A08">
      <w:pPr>
        <w:keepNext/>
      </w:pPr>
      <w:r w:rsidRPr="00040A08">
        <w:rPr>
          <w:noProof/>
        </w:rPr>
        <w:drawing>
          <wp:inline distT="0" distB="0" distL="0" distR="0">
            <wp:extent cx="5943600" cy="4473575"/>
            <wp:effectExtent l="25400" t="0" r="0" b="0"/>
            <wp:docPr id="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943600" cy="4473575"/>
                    </a:xfrm>
                    <a:prstGeom prst="rect">
                      <a:avLst/>
                    </a:prstGeom>
                  </pic:spPr>
                </pic:pic>
              </a:graphicData>
            </a:graphic>
          </wp:inline>
        </w:drawing>
      </w:r>
    </w:p>
    <w:p w:rsidR="00040A08" w:rsidRDefault="00040A08" w:rsidP="00040A08">
      <w:pPr>
        <w:pStyle w:val="Caption"/>
      </w:pPr>
      <w:bookmarkStart w:id="256" w:name="_Toc227139346"/>
      <w:proofErr w:type="gramStart"/>
      <w:r>
        <w:t xml:space="preserve">Figure </w:t>
      </w:r>
      <w:fldSimple w:instr=" SEQ Figure \* ARABIC ">
        <w:r w:rsidR="001633BC">
          <w:rPr>
            <w:noProof/>
          </w:rPr>
          <w:t>49</w:t>
        </w:r>
      </w:fldSimple>
      <w:r>
        <w:t>.</w:t>
      </w:r>
      <w:proofErr w:type="gramEnd"/>
      <w:r>
        <w:t xml:space="preserve"> QDA resubstitution misses histogram</w:t>
      </w:r>
      <w:bookmarkEnd w:id="256"/>
    </w:p>
    <w:p w:rsidR="00040A08" w:rsidRDefault="00040A08" w:rsidP="00040A08"/>
    <w:p w:rsidR="00040A08" w:rsidRDefault="00040A08" w:rsidP="00040A08"/>
    <w:p w:rsidR="00040A08" w:rsidRDefault="00040A08" w:rsidP="00040A08"/>
    <w:p w:rsidR="00040A08" w:rsidRDefault="00040A08" w:rsidP="00040A08"/>
    <w:p w:rsidR="00040A08" w:rsidRDefault="00040A08" w:rsidP="00040A08">
      <w:pPr>
        <w:keepNext/>
      </w:pPr>
      <w:r w:rsidRPr="00040A08">
        <w:rPr>
          <w:noProof/>
        </w:rPr>
        <w:drawing>
          <wp:inline distT="0" distB="0" distL="0" distR="0">
            <wp:extent cx="3038475" cy="1590675"/>
            <wp:effectExtent l="0" t="0" r="9525" b="9525"/>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3038475" cy="1590675"/>
                    </a:xfrm>
                    <a:prstGeom prst="rect">
                      <a:avLst/>
                    </a:prstGeom>
                  </pic:spPr>
                </pic:pic>
              </a:graphicData>
            </a:graphic>
          </wp:inline>
        </w:drawing>
      </w:r>
    </w:p>
    <w:p w:rsidR="00040A08" w:rsidRDefault="00040A08" w:rsidP="00040A08">
      <w:pPr>
        <w:pStyle w:val="Caption"/>
      </w:pPr>
      <w:bookmarkStart w:id="257" w:name="_Toc227139347"/>
      <w:proofErr w:type="gramStart"/>
      <w:r>
        <w:t xml:space="preserve">Figure </w:t>
      </w:r>
      <w:fldSimple w:instr=" SEQ Figure \* ARABIC ">
        <w:r w:rsidR="001633BC">
          <w:rPr>
            <w:noProof/>
          </w:rPr>
          <w:t>50</w:t>
        </w:r>
      </w:fldSimple>
      <w:r>
        <w:t>.</w:t>
      </w:r>
      <w:proofErr w:type="gramEnd"/>
      <w:r>
        <w:t xml:space="preserve"> Descriptive statistics - QDA cross-validation misses</w:t>
      </w:r>
      <w:bookmarkEnd w:id="257"/>
    </w:p>
    <w:p w:rsidR="00040A08" w:rsidRDefault="00040A08" w:rsidP="00040A08"/>
    <w:p w:rsidR="00040A08" w:rsidRDefault="00040A08" w:rsidP="00040A08">
      <w:pPr>
        <w:keepNext/>
      </w:pPr>
      <w:r w:rsidRPr="00040A08">
        <w:rPr>
          <w:noProof/>
        </w:rPr>
        <w:drawing>
          <wp:inline distT="0" distB="0" distL="0" distR="0">
            <wp:extent cx="1666875" cy="3390900"/>
            <wp:effectExtent l="0" t="0" r="9525" b="0"/>
            <wp:docPr id="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666875" cy="3390900"/>
                    </a:xfrm>
                    <a:prstGeom prst="rect">
                      <a:avLst/>
                    </a:prstGeom>
                  </pic:spPr>
                </pic:pic>
              </a:graphicData>
            </a:graphic>
          </wp:inline>
        </w:drawing>
      </w:r>
    </w:p>
    <w:p w:rsidR="00040A08" w:rsidRDefault="00040A08" w:rsidP="00040A08">
      <w:pPr>
        <w:pStyle w:val="Caption"/>
      </w:pPr>
      <w:bookmarkStart w:id="258" w:name="_Toc227139348"/>
      <w:proofErr w:type="gramStart"/>
      <w:r>
        <w:t xml:space="preserve">Figure </w:t>
      </w:r>
      <w:fldSimple w:instr=" SEQ Figure \* ARABIC ">
        <w:r w:rsidR="001633BC">
          <w:rPr>
            <w:noProof/>
          </w:rPr>
          <w:t>51</w:t>
        </w:r>
      </w:fldSimple>
      <w:r>
        <w:t>.</w:t>
      </w:r>
      <w:proofErr w:type="gramEnd"/>
      <w:r>
        <w:t xml:space="preserve"> QDA cross-validation quartiles</w:t>
      </w:r>
      <w:bookmarkEnd w:id="258"/>
    </w:p>
    <w:p w:rsidR="00040A08" w:rsidRDefault="00040A08" w:rsidP="00040A08"/>
    <w:p w:rsidR="00040A08" w:rsidRDefault="00040A08" w:rsidP="00040A08">
      <w:pPr>
        <w:keepNext/>
      </w:pPr>
      <w:r w:rsidRPr="00040A08">
        <w:rPr>
          <w:noProof/>
        </w:rPr>
        <w:drawing>
          <wp:inline distT="0" distB="0" distL="0" distR="0">
            <wp:extent cx="5943600" cy="4464685"/>
            <wp:effectExtent l="25400" t="0" r="0" b="0"/>
            <wp:docPr id="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43600" cy="4464685"/>
                    </a:xfrm>
                    <a:prstGeom prst="rect">
                      <a:avLst/>
                    </a:prstGeom>
                  </pic:spPr>
                </pic:pic>
              </a:graphicData>
            </a:graphic>
          </wp:inline>
        </w:drawing>
      </w:r>
    </w:p>
    <w:p w:rsidR="00040A08" w:rsidRDefault="00040A08" w:rsidP="00040A08">
      <w:pPr>
        <w:pStyle w:val="Caption"/>
      </w:pPr>
      <w:bookmarkStart w:id="259" w:name="_Toc227139349"/>
      <w:proofErr w:type="gramStart"/>
      <w:r>
        <w:t xml:space="preserve">Figure </w:t>
      </w:r>
      <w:fldSimple w:instr=" SEQ Figure \* ARABIC ">
        <w:r w:rsidR="001633BC">
          <w:rPr>
            <w:noProof/>
          </w:rPr>
          <w:t>52</w:t>
        </w:r>
      </w:fldSimple>
      <w:r>
        <w:t>.</w:t>
      </w:r>
      <w:proofErr w:type="gramEnd"/>
      <w:r>
        <w:t xml:space="preserve"> QDA cross-validation histogram</w:t>
      </w:r>
      <w:bookmarkEnd w:id="259"/>
    </w:p>
    <w:p w:rsidR="00040A08" w:rsidRDefault="00040A08" w:rsidP="00040A08"/>
    <w:p w:rsidR="00040A08" w:rsidRDefault="00040A08" w:rsidP="00040A08"/>
    <w:p w:rsidR="00040A08" w:rsidRDefault="00040A08" w:rsidP="00040A08"/>
    <w:p w:rsidR="00040A08" w:rsidRDefault="00040A08" w:rsidP="00040A08"/>
    <w:p w:rsidR="00040A08" w:rsidRDefault="00040A08" w:rsidP="00040A08"/>
    <w:p w:rsidR="00040A08" w:rsidRDefault="00040A08" w:rsidP="00040A08"/>
    <w:p w:rsidR="00040A08" w:rsidRDefault="00040A08" w:rsidP="00040A08"/>
    <w:p w:rsidR="00040A08" w:rsidRDefault="00040A08" w:rsidP="00040A08"/>
    <w:p w:rsidR="00040A08" w:rsidRDefault="00040A08" w:rsidP="00040A08"/>
    <w:p w:rsidR="00040A08" w:rsidRDefault="00040A08" w:rsidP="00040A08">
      <w:pPr>
        <w:keepNext/>
      </w:pPr>
      <w:r w:rsidRPr="00040A08">
        <w:rPr>
          <w:noProof/>
        </w:rPr>
        <w:drawing>
          <wp:inline distT="0" distB="0" distL="0" distR="0">
            <wp:extent cx="3028950" cy="1590675"/>
            <wp:effectExtent l="0" t="0" r="0" b="9525"/>
            <wp:docPr id="5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3028950" cy="1590675"/>
                    </a:xfrm>
                    <a:prstGeom prst="rect">
                      <a:avLst/>
                    </a:prstGeom>
                  </pic:spPr>
                </pic:pic>
              </a:graphicData>
            </a:graphic>
          </wp:inline>
        </w:drawing>
      </w:r>
    </w:p>
    <w:p w:rsidR="00040A08" w:rsidRDefault="00040A08" w:rsidP="00040A08">
      <w:pPr>
        <w:pStyle w:val="Caption"/>
      </w:pPr>
      <w:bookmarkStart w:id="260" w:name="_Toc227139350"/>
      <w:proofErr w:type="gramStart"/>
      <w:r>
        <w:t xml:space="preserve">Figure </w:t>
      </w:r>
      <w:fldSimple w:instr=" SEQ Figure \* ARABIC ">
        <w:r w:rsidR="001633BC">
          <w:rPr>
            <w:noProof/>
          </w:rPr>
          <w:t>53</w:t>
        </w:r>
      </w:fldSimple>
      <w:r>
        <w:t>.</w:t>
      </w:r>
      <w:proofErr w:type="gramEnd"/>
      <w:r>
        <w:t xml:space="preserve"> Descriptive statistics - QDA holdout misses</w:t>
      </w:r>
      <w:bookmarkEnd w:id="260"/>
    </w:p>
    <w:p w:rsidR="00040A08" w:rsidRDefault="00040A08" w:rsidP="00040A08"/>
    <w:p w:rsidR="00040A08" w:rsidRDefault="00040A08" w:rsidP="00040A08">
      <w:pPr>
        <w:keepNext/>
      </w:pPr>
      <w:r w:rsidRPr="00040A08">
        <w:rPr>
          <w:noProof/>
        </w:rPr>
        <w:drawing>
          <wp:inline distT="0" distB="0" distL="0" distR="0">
            <wp:extent cx="1609725" cy="3381375"/>
            <wp:effectExtent l="0" t="0" r="9525" b="9525"/>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1609725" cy="3381375"/>
                    </a:xfrm>
                    <a:prstGeom prst="rect">
                      <a:avLst/>
                    </a:prstGeom>
                  </pic:spPr>
                </pic:pic>
              </a:graphicData>
            </a:graphic>
          </wp:inline>
        </w:drawing>
      </w:r>
    </w:p>
    <w:p w:rsidR="00040A08" w:rsidRDefault="00040A08" w:rsidP="00040A08">
      <w:pPr>
        <w:pStyle w:val="Caption"/>
      </w:pPr>
      <w:bookmarkStart w:id="261" w:name="_Toc227139351"/>
      <w:proofErr w:type="gramStart"/>
      <w:r>
        <w:t xml:space="preserve">Figure </w:t>
      </w:r>
      <w:fldSimple w:instr=" SEQ Figure \* ARABIC ">
        <w:r w:rsidR="001633BC">
          <w:rPr>
            <w:noProof/>
          </w:rPr>
          <w:t>54</w:t>
        </w:r>
      </w:fldSimple>
      <w:r>
        <w:t>.</w:t>
      </w:r>
      <w:proofErr w:type="gramEnd"/>
      <w:r>
        <w:t xml:space="preserve"> QDA holdout misses quartiles</w:t>
      </w:r>
      <w:bookmarkEnd w:id="261"/>
    </w:p>
    <w:p w:rsidR="00040A08" w:rsidRDefault="00040A08" w:rsidP="00040A08"/>
    <w:p w:rsidR="00040A08" w:rsidRDefault="00040A08" w:rsidP="00040A08">
      <w:pPr>
        <w:keepNext/>
      </w:pPr>
      <w:r w:rsidRPr="00040A08">
        <w:rPr>
          <w:noProof/>
        </w:rPr>
        <w:drawing>
          <wp:inline distT="0" distB="0" distL="0" distR="0">
            <wp:extent cx="5943600" cy="4462145"/>
            <wp:effectExtent l="25400" t="0" r="0" b="0"/>
            <wp:docPr id="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943600" cy="4462145"/>
                    </a:xfrm>
                    <a:prstGeom prst="rect">
                      <a:avLst/>
                    </a:prstGeom>
                  </pic:spPr>
                </pic:pic>
              </a:graphicData>
            </a:graphic>
          </wp:inline>
        </w:drawing>
      </w:r>
    </w:p>
    <w:p w:rsidR="00E812E6" w:rsidRDefault="00040A08" w:rsidP="00040A08">
      <w:pPr>
        <w:pStyle w:val="Caption"/>
      </w:pPr>
      <w:bookmarkStart w:id="262" w:name="_Toc227139352"/>
      <w:proofErr w:type="gramStart"/>
      <w:r>
        <w:t xml:space="preserve">Figure </w:t>
      </w:r>
      <w:fldSimple w:instr=" SEQ Figure \* ARABIC ">
        <w:r w:rsidR="001633BC">
          <w:rPr>
            <w:noProof/>
          </w:rPr>
          <w:t>55</w:t>
        </w:r>
      </w:fldSimple>
      <w:r>
        <w:t>.</w:t>
      </w:r>
      <w:proofErr w:type="gramEnd"/>
      <w:r>
        <w:t xml:space="preserve"> QDA holdout misses histogram</w:t>
      </w:r>
      <w:bookmarkEnd w:id="262"/>
    </w:p>
    <w:p w:rsidR="00E812E6" w:rsidRDefault="00E812E6" w:rsidP="00E812E6"/>
    <w:p w:rsidR="00E812E6" w:rsidRDefault="00E812E6" w:rsidP="00E812E6"/>
    <w:p w:rsidR="00E812E6" w:rsidRDefault="00E812E6" w:rsidP="00E812E6"/>
    <w:p w:rsidR="00E812E6" w:rsidRDefault="00E812E6" w:rsidP="00E812E6"/>
    <w:p w:rsidR="00E812E6" w:rsidRDefault="00E812E6" w:rsidP="00E812E6"/>
    <w:p w:rsidR="00E812E6" w:rsidRDefault="00E812E6" w:rsidP="00E812E6"/>
    <w:p w:rsidR="00E812E6" w:rsidRDefault="00E812E6" w:rsidP="00E812E6"/>
    <w:p w:rsidR="00E812E6" w:rsidRDefault="00E812E6" w:rsidP="00E812E6"/>
    <w:p w:rsidR="00E812E6" w:rsidRDefault="00E812E6" w:rsidP="00E812E6"/>
    <w:p w:rsidR="00E812E6" w:rsidRDefault="00E812E6" w:rsidP="00E812E6">
      <w:pPr>
        <w:pStyle w:val="Heading1"/>
      </w:pPr>
      <w:bookmarkStart w:id="263" w:name="_Toc227982508"/>
      <w:r>
        <w:t>VITA</w:t>
      </w:r>
      <w:bookmarkEnd w:id="263"/>
    </w:p>
    <w:p w:rsidR="001C6C19" w:rsidRPr="00E812E6" w:rsidRDefault="004D01C0" w:rsidP="00E812E6">
      <w:r>
        <w:tab/>
      </w:r>
      <w:r w:rsidR="00F7100A">
        <w:t>David Mercer was born in Cincinatti, OH.  He began his higher education at Lander University in Greenwood, SC, studying chemistry and chemical engineering.  Upon transferring to Clemson University, David changed his major to sociology.  In 2010 he graduated from Clemson with a Bachelor of Science in sociology emphasizing in criminal justice and a minor in philosophy.</w:t>
      </w:r>
      <w:r w:rsidR="00671E3E">
        <w:t xml:space="preserve">  David became interested in forensic anthropology </w:t>
      </w:r>
      <w:r w:rsidR="00F7100A">
        <w:t>while studying at Clemson.  He was admitted to The University of Tennessee Anthropology program.  He was offered a graduate research assistantship at the Forensic Anthropology Center, where he worked for two years.  In his final year of graduate study he worked for the Office of Information Technology’s Research Computing Support group, providing students and professors statistical consulting.   He graduated with a Master of Arts in anthropology and a graduate minor in statistics in May 2013.</w:t>
      </w:r>
    </w:p>
    <w:sectPr w:rsidR="001C6C19" w:rsidRPr="00E812E6" w:rsidSect="002E243A">
      <w:footerReference w:type="even" r:id="rId64"/>
      <w:footerReference w:type="default" r:id="rId65"/>
      <w:pgSz w:w="12240" w:h="15840"/>
      <w:pgMar w:top="1440" w:right="1440" w:bottom="1440" w:left="1440" w:gutter="0"/>
      <w:pgNumType w:start="1"/>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00000201" w:usb1="00000000" w:usb2="00000000" w:usb3="00000000" w:csb0="00000004"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00A" w:rsidRDefault="00F7100A" w:rsidP="00AA2D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100A" w:rsidRDefault="00F7100A">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00A" w:rsidRDefault="00F7100A" w:rsidP="00AA2D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w:t>
    </w:r>
    <w:r>
      <w:rPr>
        <w:rStyle w:val="PageNumber"/>
      </w:rPr>
      <w:fldChar w:fldCharType="end"/>
    </w:r>
  </w:p>
  <w:p w:rsidR="00F7100A" w:rsidRDefault="00F7100A">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00A" w:rsidRDefault="00F7100A" w:rsidP="002E24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100A" w:rsidRDefault="00F7100A">
    <w:pPr>
      <w:pStyle w:val="Footer"/>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00A" w:rsidRDefault="00F7100A" w:rsidP="002E24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1E3E">
      <w:rPr>
        <w:rStyle w:val="PageNumber"/>
        <w:noProof/>
      </w:rPr>
      <w:t>128</w:t>
    </w:r>
    <w:r>
      <w:rPr>
        <w:rStyle w:val="PageNumber"/>
      </w:rPr>
      <w:fldChar w:fldCharType="end"/>
    </w:r>
  </w:p>
  <w:p w:rsidR="00F7100A" w:rsidRDefault="00F7100A">
    <w:pPr>
      <w:pStyle w:val="Footer"/>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E38708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2B70DF"/>
    <w:multiLevelType w:val="hybridMultilevel"/>
    <w:tmpl w:val="C638DB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37AF8"/>
    <w:multiLevelType w:val="hybridMultilevel"/>
    <w:tmpl w:val="9F66B9A4"/>
    <w:lvl w:ilvl="0" w:tplc="BD7254DA">
      <w:start w:val="52"/>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88C2C78"/>
    <w:multiLevelType w:val="hybridMultilevel"/>
    <w:tmpl w:val="B3265C24"/>
    <w:lvl w:ilvl="0" w:tplc="80E45418">
      <w:start w:val="52"/>
      <w:numFmt w:val="bullet"/>
      <w:lvlText w:val=""/>
      <w:lvlJc w:val="left"/>
      <w:pPr>
        <w:ind w:left="720"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3479F4"/>
    <w:multiLevelType w:val="hybridMultilevel"/>
    <w:tmpl w:val="C922D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4A6081"/>
    <w:multiLevelType w:val="hybridMultilevel"/>
    <w:tmpl w:val="218C40BE"/>
    <w:lvl w:ilvl="0" w:tplc="1A3CED5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C3169D"/>
    <w:multiLevelType w:val="hybridMultilevel"/>
    <w:tmpl w:val="3D44CB92"/>
    <w:lvl w:ilvl="0" w:tplc="329AA324">
      <w:start w:val="52"/>
      <w:numFmt w:val="bullet"/>
      <w:lvlText w:val=""/>
      <w:lvlJc w:val="left"/>
      <w:pPr>
        <w:ind w:left="720"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104241"/>
    <w:multiLevelType w:val="multilevel"/>
    <w:tmpl w:val="C638D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1"/>
  </w:num>
  <w:num w:numId="4">
    <w:abstractNumId w:val="7"/>
  </w:num>
  <w:num w:numId="5">
    <w:abstractNumId w:val="3"/>
  </w:num>
  <w:num w:numId="6">
    <w:abstractNumId w:val="6"/>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grammar="clean"/>
  <w:doNotTrackMoves/>
  <w:defaultTabStop w:val="720"/>
  <w:characterSpacingControl w:val="doNotCompress"/>
  <w:hdrShapeDefaults>
    <o:shapedefaults v:ext="edit" spidmax="2050">
      <o:colormenu v:ext="edit" fillcolor="none [3212]"/>
    </o:shapedefaults>
  </w:hdrShapeDefaults>
  <w:compat/>
  <w:docVars>
    <w:docVar w:name="EN.InstantFormat" w:val="&lt;ENInstantFormat&gt;&lt;Enabled&gt;1&lt;/Enabled&gt;&lt;ScanUnformatted&gt;1&lt;/ScanUnformatted&gt;&lt;ScanChanges&gt;1&lt;/ScanChanges&gt;&lt;Suspended&gt;0&lt;/Suspended&gt;&lt;/ENInstantFormat&gt;"/>
    <w:docVar w:name="EN.Layout" w:val="&lt;ENLayout&gt;&lt;Style&gt;Amer J Physical Anthro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0frpf5eyrpavaevz925sv9t29f5epa9pd2z&quot;&gt;My EndNote Library&lt;record-ids&gt;&lt;item&gt;17&lt;/item&gt;&lt;item&gt;37&lt;/item&gt;&lt;item&gt;59&lt;/item&gt;&lt;item&gt;60&lt;/item&gt;&lt;item&gt;61&lt;/item&gt;&lt;item&gt;63&lt;/item&gt;&lt;item&gt;65&lt;/item&gt;&lt;item&gt;66&lt;/item&gt;&lt;item&gt;68&lt;/item&gt;&lt;item&gt;69&lt;/item&gt;&lt;item&gt;70&lt;/item&gt;&lt;item&gt;72&lt;/item&gt;&lt;item&gt;73&lt;/item&gt;&lt;item&gt;74&lt;/item&gt;&lt;item&gt;75&lt;/item&gt;&lt;item&gt;76&lt;/item&gt;&lt;item&gt;77&lt;/item&gt;&lt;item&gt;78&lt;/item&gt;&lt;item&gt;81&lt;/item&gt;&lt;item&gt;82&lt;/item&gt;&lt;item&gt;83&lt;/item&gt;&lt;item&gt;85&lt;/item&gt;&lt;item&gt;87&lt;/item&gt;&lt;item&gt;91&lt;/item&gt;&lt;item&gt;92&lt;/item&gt;&lt;item&gt;93&lt;/item&gt;&lt;item&gt;95&lt;/item&gt;&lt;item&gt;96&lt;/item&gt;&lt;item&gt;97&lt;/item&gt;&lt;item&gt;110&lt;/item&gt;&lt;item&gt;132&lt;/item&gt;&lt;item&gt;136&lt;/item&gt;&lt;item&gt;150&lt;/item&gt;&lt;item&gt;199&lt;/item&gt;&lt;item&gt;211&lt;/item&gt;&lt;item&gt;224&lt;/item&gt;&lt;item&gt;226&lt;/item&gt;&lt;item&gt;242&lt;/item&gt;&lt;item&gt;277&lt;/item&gt;&lt;item&gt;283&lt;/item&gt;&lt;item&gt;287&lt;/item&gt;&lt;item&gt;290&lt;/item&gt;&lt;item&gt;304&lt;/item&gt;&lt;item&gt;305&lt;/item&gt;&lt;item&gt;306&lt;/item&gt;&lt;item&gt;311&lt;/item&gt;&lt;item&gt;312&lt;/item&gt;&lt;item&gt;313&lt;/item&gt;&lt;item&gt;334&lt;/item&gt;&lt;item&gt;340&lt;/item&gt;&lt;item&gt;341&lt;/item&gt;&lt;item&gt;345&lt;/item&gt;&lt;item&gt;357&lt;/item&gt;&lt;item&gt;363&lt;/item&gt;&lt;item&gt;367&lt;/item&gt;&lt;item&gt;368&lt;/item&gt;&lt;item&gt;369&lt;/item&gt;&lt;item&gt;370&lt;/item&gt;&lt;item&gt;371&lt;/item&gt;&lt;item&gt;373&lt;/item&gt;&lt;item&gt;374&lt;/item&gt;&lt;item&gt;375&lt;/item&gt;&lt;item&gt;378&lt;/item&gt;&lt;item&gt;380&lt;/item&gt;&lt;item&gt;391&lt;/item&gt;&lt;item&gt;392&lt;/item&gt;&lt;item&gt;402&lt;/item&gt;&lt;/record-ids&gt;&lt;/item&gt;&lt;/Libraries&gt;"/>
  </w:docVars>
  <w:rsids>
    <w:rsidRoot w:val="002E689D"/>
    <w:rsid w:val="000015AA"/>
    <w:rsid w:val="00002BB2"/>
    <w:rsid w:val="00004B68"/>
    <w:rsid w:val="000059DB"/>
    <w:rsid w:val="0000646C"/>
    <w:rsid w:val="0000773B"/>
    <w:rsid w:val="00007C09"/>
    <w:rsid w:val="00010BEF"/>
    <w:rsid w:val="00011C19"/>
    <w:rsid w:val="000127AB"/>
    <w:rsid w:val="000136F5"/>
    <w:rsid w:val="00015C6D"/>
    <w:rsid w:val="00015FFC"/>
    <w:rsid w:val="00017A4B"/>
    <w:rsid w:val="000200D5"/>
    <w:rsid w:val="00021B1B"/>
    <w:rsid w:val="00022662"/>
    <w:rsid w:val="000236F4"/>
    <w:rsid w:val="00023CBC"/>
    <w:rsid w:val="00024E15"/>
    <w:rsid w:val="00026A96"/>
    <w:rsid w:val="00027722"/>
    <w:rsid w:val="00027819"/>
    <w:rsid w:val="00030304"/>
    <w:rsid w:val="00031B7F"/>
    <w:rsid w:val="000320F2"/>
    <w:rsid w:val="00034C70"/>
    <w:rsid w:val="0004060A"/>
    <w:rsid w:val="00040A08"/>
    <w:rsid w:val="00040D05"/>
    <w:rsid w:val="00040F1C"/>
    <w:rsid w:val="0004110E"/>
    <w:rsid w:val="0004202C"/>
    <w:rsid w:val="000430B0"/>
    <w:rsid w:val="0004372E"/>
    <w:rsid w:val="00050985"/>
    <w:rsid w:val="00051B3F"/>
    <w:rsid w:val="00052192"/>
    <w:rsid w:val="0005224F"/>
    <w:rsid w:val="000526F0"/>
    <w:rsid w:val="00053016"/>
    <w:rsid w:val="000546BC"/>
    <w:rsid w:val="00055F58"/>
    <w:rsid w:val="00056382"/>
    <w:rsid w:val="00057257"/>
    <w:rsid w:val="00057D8B"/>
    <w:rsid w:val="00064389"/>
    <w:rsid w:val="00066613"/>
    <w:rsid w:val="00066B07"/>
    <w:rsid w:val="000708C6"/>
    <w:rsid w:val="00070C86"/>
    <w:rsid w:val="00070E2A"/>
    <w:rsid w:val="0007126B"/>
    <w:rsid w:val="000734DE"/>
    <w:rsid w:val="00074826"/>
    <w:rsid w:val="00074A6E"/>
    <w:rsid w:val="00074CA2"/>
    <w:rsid w:val="00076AFD"/>
    <w:rsid w:val="000774A7"/>
    <w:rsid w:val="0007777E"/>
    <w:rsid w:val="000805D2"/>
    <w:rsid w:val="00081F32"/>
    <w:rsid w:val="00082E62"/>
    <w:rsid w:val="00083768"/>
    <w:rsid w:val="00083F34"/>
    <w:rsid w:val="000842DD"/>
    <w:rsid w:val="00084311"/>
    <w:rsid w:val="000855FD"/>
    <w:rsid w:val="0009028B"/>
    <w:rsid w:val="00090B24"/>
    <w:rsid w:val="00092658"/>
    <w:rsid w:val="00092BDD"/>
    <w:rsid w:val="0009388D"/>
    <w:rsid w:val="00094AE0"/>
    <w:rsid w:val="000956DC"/>
    <w:rsid w:val="00096792"/>
    <w:rsid w:val="00097FBE"/>
    <w:rsid w:val="000A04F3"/>
    <w:rsid w:val="000A4369"/>
    <w:rsid w:val="000A513E"/>
    <w:rsid w:val="000A7B67"/>
    <w:rsid w:val="000B2800"/>
    <w:rsid w:val="000B290D"/>
    <w:rsid w:val="000B4198"/>
    <w:rsid w:val="000B5BD1"/>
    <w:rsid w:val="000B6B06"/>
    <w:rsid w:val="000B729A"/>
    <w:rsid w:val="000B78A2"/>
    <w:rsid w:val="000B7EC1"/>
    <w:rsid w:val="000C171D"/>
    <w:rsid w:val="000C2A0E"/>
    <w:rsid w:val="000C32C1"/>
    <w:rsid w:val="000C5907"/>
    <w:rsid w:val="000C5F65"/>
    <w:rsid w:val="000C70AD"/>
    <w:rsid w:val="000D155F"/>
    <w:rsid w:val="000D1D05"/>
    <w:rsid w:val="000D334D"/>
    <w:rsid w:val="000D3A4E"/>
    <w:rsid w:val="000D5574"/>
    <w:rsid w:val="000D730A"/>
    <w:rsid w:val="000D7C28"/>
    <w:rsid w:val="000E046F"/>
    <w:rsid w:val="000E0AB0"/>
    <w:rsid w:val="000E0BEE"/>
    <w:rsid w:val="000E381A"/>
    <w:rsid w:val="000E3E05"/>
    <w:rsid w:val="000E53FB"/>
    <w:rsid w:val="000E62CC"/>
    <w:rsid w:val="000E68D5"/>
    <w:rsid w:val="000E6A35"/>
    <w:rsid w:val="000E73A3"/>
    <w:rsid w:val="000F0CD4"/>
    <w:rsid w:val="000F2DC4"/>
    <w:rsid w:val="000F31F7"/>
    <w:rsid w:val="000F4238"/>
    <w:rsid w:val="000F4564"/>
    <w:rsid w:val="000F4BB3"/>
    <w:rsid w:val="000F6960"/>
    <w:rsid w:val="001000A1"/>
    <w:rsid w:val="00103122"/>
    <w:rsid w:val="0010695E"/>
    <w:rsid w:val="001079B7"/>
    <w:rsid w:val="00107D5C"/>
    <w:rsid w:val="0011094E"/>
    <w:rsid w:val="00110DD8"/>
    <w:rsid w:val="001131E3"/>
    <w:rsid w:val="00114F9A"/>
    <w:rsid w:val="001157C8"/>
    <w:rsid w:val="00120001"/>
    <w:rsid w:val="001201DE"/>
    <w:rsid w:val="0012143F"/>
    <w:rsid w:val="00122860"/>
    <w:rsid w:val="00124B13"/>
    <w:rsid w:val="00125BAC"/>
    <w:rsid w:val="001301C5"/>
    <w:rsid w:val="0013029F"/>
    <w:rsid w:val="00130BE1"/>
    <w:rsid w:val="00133BB8"/>
    <w:rsid w:val="001353AD"/>
    <w:rsid w:val="00136A4D"/>
    <w:rsid w:val="001378B7"/>
    <w:rsid w:val="00137F43"/>
    <w:rsid w:val="001420EC"/>
    <w:rsid w:val="00143D29"/>
    <w:rsid w:val="0014436B"/>
    <w:rsid w:val="00147A4A"/>
    <w:rsid w:val="00147F8B"/>
    <w:rsid w:val="00150EA7"/>
    <w:rsid w:val="001520A3"/>
    <w:rsid w:val="00152D71"/>
    <w:rsid w:val="00152F1B"/>
    <w:rsid w:val="001559E5"/>
    <w:rsid w:val="00156583"/>
    <w:rsid w:val="0015693A"/>
    <w:rsid w:val="00160359"/>
    <w:rsid w:val="00161CA6"/>
    <w:rsid w:val="001633BC"/>
    <w:rsid w:val="00163699"/>
    <w:rsid w:val="0016412F"/>
    <w:rsid w:val="00164339"/>
    <w:rsid w:val="00164450"/>
    <w:rsid w:val="001648FF"/>
    <w:rsid w:val="00165007"/>
    <w:rsid w:val="00166F89"/>
    <w:rsid w:val="00167A72"/>
    <w:rsid w:val="00167ABE"/>
    <w:rsid w:val="00170E7C"/>
    <w:rsid w:val="00172BF7"/>
    <w:rsid w:val="00174DE1"/>
    <w:rsid w:val="00176D75"/>
    <w:rsid w:val="0017720B"/>
    <w:rsid w:val="00177D58"/>
    <w:rsid w:val="00182CE2"/>
    <w:rsid w:val="00183359"/>
    <w:rsid w:val="001849FC"/>
    <w:rsid w:val="001852BC"/>
    <w:rsid w:val="00186004"/>
    <w:rsid w:val="001862FB"/>
    <w:rsid w:val="00186B83"/>
    <w:rsid w:val="001872F6"/>
    <w:rsid w:val="00187E44"/>
    <w:rsid w:val="00191F5F"/>
    <w:rsid w:val="00192AC3"/>
    <w:rsid w:val="00192B18"/>
    <w:rsid w:val="001935F9"/>
    <w:rsid w:val="001A0379"/>
    <w:rsid w:val="001A1727"/>
    <w:rsid w:val="001A374A"/>
    <w:rsid w:val="001A695B"/>
    <w:rsid w:val="001B099F"/>
    <w:rsid w:val="001B10FC"/>
    <w:rsid w:val="001B2A14"/>
    <w:rsid w:val="001B3F66"/>
    <w:rsid w:val="001B4A0C"/>
    <w:rsid w:val="001B5588"/>
    <w:rsid w:val="001B7181"/>
    <w:rsid w:val="001B7A8B"/>
    <w:rsid w:val="001C10C8"/>
    <w:rsid w:val="001C2966"/>
    <w:rsid w:val="001C3DC5"/>
    <w:rsid w:val="001C5095"/>
    <w:rsid w:val="001C6B98"/>
    <w:rsid w:val="001C6C19"/>
    <w:rsid w:val="001D0F80"/>
    <w:rsid w:val="001D4570"/>
    <w:rsid w:val="001D54DC"/>
    <w:rsid w:val="001D5E5D"/>
    <w:rsid w:val="001D5E76"/>
    <w:rsid w:val="001D6AE9"/>
    <w:rsid w:val="001D7ED0"/>
    <w:rsid w:val="001E32E9"/>
    <w:rsid w:val="001E3CCC"/>
    <w:rsid w:val="001E415E"/>
    <w:rsid w:val="001E44E2"/>
    <w:rsid w:val="001E4AB9"/>
    <w:rsid w:val="001E62F2"/>
    <w:rsid w:val="001E6DB4"/>
    <w:rsid w:val="001F0D40"/>
    <w:rsid w:val="001F317A"/>
    <w:rsid w:val="001F4295"/>
    <w:rsid w:val="001F497C"/>
    <w:rsid w:val="001F6748"/>
    <w:rsid w:val="001F6B1F"/>
    <w:rsid w:val="001F6C44"/>
    <w:rsid w:val="001F70FA"/>
    <w:rsid w:val="0020061E"/>
    <w:rsid w:val="00200A95"/>
    <w:rsid w:val="00201EB1"/>
    <w:rsid w:val="0020276A"/>
    <w:rsid w:val="00202B5F"/>
    <w:rsid w:val="0020348B"/>
    <w:rsid w:val="00203AA0"/>
    <w:rsid w:val="002115E2"/>
    <w:rsid w:val="00211FE5"/>
    <w:rsid w:val="00212699"/>
    <w:rsid w:val="00215513"/>
    <w:rsid w:val="00221096"/>
    <w:rsid w:val="00221B42"/>
    <w:rsid w:val="0022377A"/>
    <w:rsid w:val="00223D49"/>
    <w:rsid w:val="0022484E"/>
    <w:rsid w:val="00227188"/>
    <w:rsid w:val="00227535"/>
    <w:rsid w:val="00231996"/>
    <w:rsid w:val="00233393"/>
    <w:rsid w:val="00233B19"/>
    <w:rsid w:val="00234EB9"/>
    <w:rsid w:val="002358D7"/>
    <w:rsid w:val="00235F6F"/>
    <w:rsid w:val="00240792"/>
    <w:rsid w:val="00240C24"/>
    <w:rsid w:val="002413AD"/>
    <w:rsid w:val="00241790"/>
    <w:rsid w:val="002419FF"/>
    <w:rsid w:val="00241E65"/>
    <w:rsid w:val="0024354B"/>
    <w:rsid w:val="002436D5"/>
    <w:rsid w:val="00244649"/>
    <w:rsid w:val="00245EBA"/>
    <w:rsid w:val="00250D06"/>
    <w:rsid w:val="00250F8C"/>
    <w:rsid w:val="002513BA"/>
    <w:rsid w:val="00251D8F"/>
    <w:rsid w:val="00254396"/>
    <w:rsid w:val="002556AD"/>
    <w:rsid w:val="002558E6"/>
    <w:rsid w:val="00257A3F"/>
    <w:rsid w:val="002611DB"/>
    <w:rsid w:val="002625E3"/>
    <w:rsid w:val="00262B13"/>
    <w:rsid w:val="0026385C"/>
    <w:rsid w:val="002669A8"/>
    <w:rsid w:val="00267005"/>
    <w:rsid w:val="0026708E"/>
    <w:rsid w:val="002728E8"/>
    <w:rsid w:val="00272E36"/>
    <w:rsid w:val="00273847"/>
    <w:rsid w:val="002742D7"/>
    <w:rsid w:val="00274A82"/>
    <w:rsid w:val="0027521B"/>
    <w:rsid w:val="002801B6"/>
    <w:rsid w:val="00284490"/>
    <w:rsid w:val="00286D6C"/>
    <w:rsid w:val="00286F9B"/>
    <w:rsid w:val="00287501"/>
    <w:rsid w:val="002901F5"/>
    <w:rsid w:val="00291852"/>
    <w:rsid w:val="00291965"/>
    <w:rsid w:val="00294125"/>
    <w:rsid w:val="002962CE"/>
    <w:rsid w:val="00296AC8"/>
    <w:rsid w:val="002A2BF6"/>
    <w:rsid w:val="002A2D0F"/>
    <w:rsid w:val="002B05DE"/>
    <w:rsid w:val="002B39F8"/>
    <w:rsid w:val="002B4819"/>
    <w:rsid w:val="002B5147"/>
    <w:rsid w:val="002B599C"/>
    <w:rsid w:val="002B61C4"/>
    <w:rsid w:val="002B68D9"/>
    <w:rsid w:val="002C01F9"/>
    <w:rsid w:val="002C15AA"/>
    <w:rsid w:val="002C15F0"/>
    <w:rsid w:val="002C3F98"/>
    <w:rsid w:val="002C5325"/>
    <w:rsid w:val="002C68E0"/>
    <w:rsid w:val="002C7A7F"/>
    <w:rsid w:val="002D002A"/>
    <w:rsid w:val="002D0BE2"/>
    <w:rsid w:val="002D15F4"/>
    <w:rsid w:val="002D1C84"/>
    <w:rsid w:val="002D29FB"/>
    <w:rsid w:val="002D3CF3"/>
    <w:rsid w:val="002D43E2"/>
    <w:rsid w:val="002D48D0"/>
    <w:rsid w:val="002D5187"/>
    <w:rsid w:val="002D7B4A"/>
    <w:rsid w:val="002E0EBB"/>
    <w:rsid w:val="002E0F06"/>
    <w:rsid w:val="002E1697"/>
    <w:rsid w:val="002E243A"/>
    <w:rsid w:val="002E4109"/>
    <w:rsid w:val="002E689D"/>
    <w:rsid w:val="002E757A"/>
    <w:rsid w:val="002F065C"/>
    <w:rsid w:val="002F20BB"/>
    <w:rsid w:val="002F2A7B"/>
    <w:rsid w:val="002F2FBF"/>
    <w:rsid w:val="002F3CA3"/>
    <w:rsid w:val="002F5501"/>
    <w:rsid w:val="002F656A"/>
    <w:rsid w:val="002F6FD5"/>
    <w:rsid w:val="002F7591"/>
    <w:rsid w:val="00301606"/>
    <w:rsid w:val="0030362D"/>
    <w:rsid w:val="003061DD"/>
    <w:rsid w:val="00306BF2"/>
    <w:rsid w:val="003108B1"/>
    <w:rsid w:val="0031216B"/>
    <w:rsid w:val="0031267D"/>
    <w:rsid w:val="00312E2A"/>
    <w:rsid w:val="0031354C"/>
    <w:rsid w:val="0031406C"/>
    <w:rsid w:val="0031506A"/>
    <w:rsid w:val="00316625"/>
    <w:rsid w:val="0031786F"/>
    <w:rsid w:val="00317F4F"/>
    <w:rsid w:val="003200E5"/>
    <w:rsid w:val="00321D37"/>
    <w:rsid w:val="003235B1"/>
    <w:rsid w:val="00325581"/>
    <w:rsid w:val="00325B81"/>
    <w:rsid w:val="003264D6"/>
    <w:rsid w:val="00331359"/>
    <w:rsid w:val="00331413"/>
    <w:rsid w:val="003319AC"/>
    <w:rsid w:val="003321CA"/>
    <w:rsid w:val="00332453"/>
    <w:rsid w:val="00332CC2"/>
    <w:rsid w:val="003330A6"/>
    <w:rsid w:val="00333AED"/>
    <w:rsid w:val="003358F0"/>
    <w:rsid w:val="00337CC8"/>
    <w:rsid w:val="0034220B"/>
    <w:rsid w:val="00342714"/>
    <w:rsid w:val="00342D01"/>
    <w:rsid w:val="003430DD"/>
    <w:rsid w:val="003436F9"/>
    <w:rsid w:val="00343A98"/>
    <w:rsid w:val="00343B07"/>
    <w:rsid w:val="00346640"/>
    <w:rsid w:val="0034692C"/>
    <w:rsid w:val="00347686"/>
    <w:rsid w:val="00350A75"/>
    <w:rsid w:val="003515B5"/>
    <w:rsid w:val="00351FD6"/>
    <w:rsid w:val="003532D0"/>
    <w:rsid w:val="00354826"/>
    <w:rsid w:val="003556F5"/>
    <w:rsid w:val="00356276"/>
    <w:rsid w:val="00356DE2"/>
    <w:rsid w:val="0035713C"/>
    <w:rsid w:val="0035797B"/>
    <w:rsid w:val="00357C87"/>
    <w:rsid w:val="00362C35"/>
    <w:rsid w:val="00363AE0"/>
    <w:rsid w:val="003661A8"/>
    <w:rsid w:val="0036799B"/>
    <w:rsid w:val="00367B32"/>
    <w:rsid w:val="00372B4C"/>
    <w:rsid w:val="003731B6"/>
    <w:rsid w:val="00373D6D"/>
    <w:rsid w:val="00375A9F"/>
    <w:rsid w:val="00376EE1"/>
    <w:rsid w:val="00376F37"/>
    <w:rsid w:val="00380D74"/>
    <w:rsid w:val="00381CD6"/>
    <w:rsid w:val="0038250F"/>
    <w:rsid w:val="00383ED1"/>
    <w:rsid w:val="003853D1"/>
    <w:rsid w:val="003915E3"/>
    <w:rsid w:val="00391923"/>
    <w:rsid w:val="00392D2D"/>
    <w:rsid w:val="00395C81"/>
    <w:rsid w:val="00395DDA"/>
    <w:rsid w:val="00397591"/>
    <w:rsid w:val="003A0B4C"/>
    <w:rsid w:val="003A363C"/>
    <w:rsid w:val="003A525C"/>
    <w:rsid w:val="003A5422"/>
    <w:rsid w:val="003A63F5"/>
    <w:rsid w:val="003A7E73"/>
    <w:rsid w:val="003B127C"/>
    <w:rsid w:val="003B2EC5"/>
    <w:rsid w:val="003B3186"/>
    <w:rsid w:val="003C039C"/>
    <w:rsid w:val="003C1CF5"/>
    <w:rsid w:val="003C32C9"/>
    <w:rsid w:val="003C62D8"/>
    <w:rsid w:val="003C66ED"/>
    <w:rsid w:val="003C675C"/>
    <w:rsid w:val="003C7490"/>
    <w:rsid w:val="003D0299"/>
    <w:rsid w:val="003D0A1E"/>
    <w:rsid w:val="003D0F63"/>
    <w:rsid w:val="003D387A"/>
    <w:rsid w:val="003D4FD8"/>
    <w:rsid w:val="003D64FC"/>
    <w:rsid w:val="003D71BE"/>
    <w:rsid w:val="003E02A2"/>
    <w:rsid w:val="003E06B6"/>
    <w:rsid w:val="003E1659"/>
    <w:rsid w:val="003E26C4"/>
    <w:rsid w:val="003E4BD0"/>
    <w:rsid w:val="003E5A10"/>
    <w:rsid w:val="003F0E63"/>
    <w:rsid w:val="003F42D9"/>
    <w:rsid w:val="003F44C2"/>
    <w:rsid w:val="003F70E9"/>
    <w:rsid w:val="003F749F"/>
    <w:rsid w:val="003F788E"/>
    <w:rsid w:val="003F7A3B"/>
    <w:rsid w:val="004005F9"/>
    <w:rsid w:val="00400F2B"/>
    <w:rsid w:val="00402966"/>
    <w:rsid w:val="00402DE0"/>
    <w:rsid w:val="00405D30"/>
    <w:rsid w:val="00406C81"/>
    <w:rsid w:val="00407970"/>
    <w:rsid w:val="00410AF5"/>
    <w:rsid w:val="00412371"/>
    <w:rsid w:val="00412F01"/>
    <w:rsid w:val="0041518C"/>
    <w:rsid w:val="00416A79"/>
    <w:rsid w:val="00416E6C"/>
    <w:rsid w:val="004215A3"/>
    <w:rsid w:val="00423C9F"/>
    <w:rsid w:val="00427C77"/>
    <w:rsid w:val="00432FCE"/>
    <w:rsid w:val="00433A1D"/>
    <w:rsid w:val="004341EF"/>
    <w:rsid w:val="00435089"/>
    <w:rsid w:val="004370D9"/>
    <w:rsid w:val="00437A1C"/>
    <w:rsid w:val="004418A7"/>
    <w:rsid w:val="004426DB"/>
    <w:rsid w:val="00445951"/>
    <w:rsid w:val="00447C61"/>
    <w:rsid w:val="00450005"/>
    <w:rsid w:val="00450C08"/>
    <w:rsid w:val="004544E5"/>
    <w:rsid w:val="0045772C"/>
    <w:rsid w:val="004602C7"/>
    <w:rsid w:val="00460E26"/>
    <w:rsid w:val="004610EE"/>
    <w:rsid w:val="004622AA"/>
    <w:rsid w:val="00463ADD"/>
    <w:rsid w:val="004655DF"/>
    <w:rsid w:val="0046648D"/>
    <w:rsid w:val="004664A8"/>
    <w:rsid w:val="00466523"/>
    <w:rsid w:val="00466579"/>
    <w:rsid w:val="00466824"/>
    <w:rsid w:val="00467FC6"/>
    <w:rsid w:val="004723DF"/>
    <w:rsid w:val="0048048C"/>
    <w:rsid w:val="00482162"/>
    <w:rsid w:val="00483615"/>
    <w:rsid w:val="00483B36"/>
    <w:rsid w:val="0048537F"/>
    <w:rsid w:val="0048585F"/>
    <w:rsid w:val="00487B6E"/>
    <w:rsid w:val="00487E5D"/>
    <w:rsid w:val="004908A9"/>
    <w:rsid w:val="004912A1"/>
    <w:rsid w:val="004912C7"/>
    <w:rsid w:val="00491A86"/>
    <w:rsid w:val="00491B90"/>
    <w:rsid w:val="0049269E"/>
    <w:rsid w:val="00493532"/>
    <w:rsid w:val="004938DF"/>
    <w:rsid w:val="00495476"/>
    <w:rsid w:val="00497C74"/>
    <w:rsid w:val="004A0EC3"/>
    <w:rsid w:val="004A2358"/>
    <w:rsid w:val="004A29B5"/>
    <w:rsid w:val="004A4B2A"/>
    <w:rsid w:val="004A53D4"/>
    <w:rsid w:val="004A5932"/>
    <w:rsid w:val="004A7789"/>
    <w:rsid w:val="004A7AEF"/>
    <w:rsid w:val="004B0A18"/>
    <w:rsid w:val="004B384A"/>
    <w:rsid w:val="004B3D01"/>
    <w:rsid w:val="004B45BB"/>
    <w:rsid w:val="004B5297"/>
    <w:rsid w:val="004B6AAB"/>
    <w:rsid w:val="004B6F8C"/>
    <w:rsid w:val="004B71A6"/>
    <w:rsid w:val="004B7951"/>
    <w:rsid w:val="004B7FC1"/>
    <w:rsid w:val="004C15C0"/>
    <w:rsid w:val="004C266D"/>
    <w:rsid w:val="004C2FD1"/>
    <w:rsid w:val="004C3E31"/>
    <w:rsid w:val="004C42C5"/>
    <w:rsid w:val="004C595D"/>
    <w:rsid w:val="004C6981"/>
    <w:rsid w:val="004D012D"/>
    <w:rsid w:val="004D01C0"/>
    <w:rsid w:val="004D057D"/>
    <w:rsid w:val="004D0F32"/>
    <w:rsid w:val="004D1165"/>
    <w:rsid w:val="004D2824"/>
    <w:rsid w:val="004D2EB5"/>
    <w:rsid w:val="004D6E5B"/>
    <w:rsid w:val="004E02FB"/>
    <w:rsid w:val="004E0D53"/>
    <w:rsid w:val="004E12DB"/>
    <w:rsid w:val="004E1802"/>
    <w:rsid w:val="004E2F09"/>
    <w:rsid w:val="004E3391"/>
    <w:rsid w:val="004E42FA"/>
    <w:rsid w:val="004E5168"/>
    <w:rsid w:val="004E5453"/>
    <w:rsid w:val="004E5827"/>
    <w:rsid w:val="004E60B0"/>
    <w:rsid w:val="004E625C"/>
    <w:rsid w:val="004F0CC0"/>
    <w:rsid w:val="004F246F"/>
    <w:rsid w:val="004F2A28"/>
    <w:rsid w:val="004F2E9A"/>
    <w:rsid w:val="004F43B9"/>
    <w:rsid w:val="004F45F8"/>
    <w:rsid w:val="004F6953"/>
    <w:rsid w:val="004F697C"/>
    <w:rsid w:val="004F6A3C"/>
    <w:rsid w:val="004F71E4"/>
    <w:rsid w:val="004F7208"/>
    <w:rsid w:val="00500A90"/>
    <w:rsid w:val="0050250F"/>
    <w:rsid w:val="0050298D"/>
    <w:rsid w:val="00502A46"/>
    <w:rsid w:val="00505824"/>
    <w:rsid w:val="00505D2E"/>
    <w:rsid w:val="005077F8"/>
    <w:rsid w:val="005106B5"/>
    <w:rsid w:val="005115E0"/>
    <w:rsid w:val="00512026"/>
    <w:rsid w:val="00514ACA"/>
    <w:rsid w:val="005157EB"/>
    <w:rsid w:val="00515A75"/>
    <w:rsid w:val="00516358"/>
    <w:rsid w:val="005231CA"/>
    <w:rsid w:val="00524D6E"/>
    <w:rsid w:val="0052538C"/>
    <w:rsid w:val="0052666F"/>
    <w:rsid w:val="00526B2A"/>
    <w:rsid w:val="00527813"/>
    <w:rsid w:val="00530128"/>
    <w:rsid w:val="005303C8"/>
    <w:rsid w:val="0053074E"/>
    <w:rsid w:val="00530757"/>
    <w:rsid w:val="00532846"/>
    <w:rsid w:val="00534AB6"/>
    <w:rsid w:val="0053577F"/>
    <w:rsid w:val="0053584A"/>
    <w:rsid w:val="00536098"/>
    <w:rsid w:val="005360FE"/>
    <w:rsid w:val="00536439"/>
    <w:rsid w:val="00536FE4"/>
    <w:rsid w:val="0053726B"/>
    <w:rsid w:val="00541268"/>
    <w:rsid w:val="005419B2"/>
    <w:rsid w:val="00542582"/>
    <w:rsid w:val="00542A78"/>
    <w:rsid w:val="00542F78"/>
    <w:rsid w:val="00543493"/>
    <w:rsid w:val="005448BC"/>
    <w:rsid w:val="0054638F"/>
    <w:rsid w:val="0054767F"/>
    <w:rsid w:val="005500D3"/>
    <w:rsid w:val="005506B9"/>
    <w:rsid w:val="0055205E"/>
    <w:rsid w:val="0055212A"/>
    <w:rsid w:val="00552934"/>
    <w:rsid w:val="005534B3"/>
    <w:rsid w:val="00553E26"/>
    <w:rsid w:val="00554492"/>
    <w:rsid w:val="00554643"/>
    <w:rsid w:val="005562B7"/>
    <w:rsid w:val="0056000B"/>
    <w:rsid w:val="0056330C"/>
    <w:rsid w:val="005645FF"/>
    <w:rsid w:val="00565EA5"/>
    <w:rsid w:val="005661F6"/>
    <w:rsid w:val="00567DAF"/>
    <w:rsid w:val="00570482"/>
    <w:rsid w:val="00571E45"/>
    <w:rsid w:val="00575B22"/>
    <w:rsid w:val="00577B86"/>
    <w:rsid w:val="005802BC"/>
    <w:rsid w:val="00580C2C"/>
    <w:rsid w:val="00581497"/>
    <w:rsid w:val="00583C82"/>
    <w:rsid w:val="00584282"/>
    <w:rsid w:val="005844B5"/>
    <w:rsid w:val="00585BD6"/>
    <w:rsid w:val="00585C0E"/>
    <w:rsid w:val="00585FEE"/>
    <w:rsid w:val="005861E6"/>
    <w:rsid w:val="005867E6"/>
    <w:rsid w:val="0058722C"/>
    <w:rsid w:val="00592000"/>
    <w:rsid w:val="00593E05"/>
    <w:rsid w:val="0059451E"/>
    <w:rsid w:val="00594A60"/>
    <w:rsid w:val="00594E19"/>
    <w:rsid w:val="00596111"/>
    <w:rsid w:val="005967EB"/>
    <w:rsid w:val="005A040B"/>
    <w:rsid w:val="005A0828"/>
    <w:rsid w:val="005A2D21"/>
    <w:rsid w:val="005A6047"/>
    <w:rsid w:val="005A6BAF"/>
    <w:rsid w:val="005A742A"/>
    <w:rsid w:val="005B0CE8"/>
    <w:rsid w:val="005B1C69"/>
    <w:rsid w:val="005B25E9"/>
    <w:rsid w:val="005B3368"/>
    <w:rsid w:val="005B538B"/>
    <w:rsid w:val="005B573C"/>
    <w:rsid w:val="005B6656"/>
    <w:rsid w:val="005B6B63"/>
    <w:rsid w:val="005B796D"/>
    <w:rsid w:val="005C128F"/>
    <w:rsid w:val="005C2050"/>
    <w:rsid w:val="005C31C4"/>
    <w:rsid w:val="005C40FA"/>
    <w:rsid w:val="005C4AD3"/>
    <w:rsid w:val="005C4DA1"/>
    <w:rsid w:val="005C4E1A"/>
    <w:rsid w:val="005D085E"/>
    <w:rsid w:val="005D1273"/>
    <w:rsid w:val="005D16C2"/>
    <w:rsid w:val="005D556E"/>
    <w:rsid w:val="005D6196"/>
    <w:rsid w:val="005E01DC"/>
    <w:rsid w:val="005E1824"/>
    <w:rsid w:val="005E195B"/>
    <w:rsid w:val="005E2556"/>
    <w:rsid w:val="005E4FB7"/>
    <w:rsid w:val="005E6F99"/>
    <w:rsid w:val="005F0161"/>
    <w:rsid w:val="005F0324"/>
    <w:rsid w:val="005F2F7C"/>
    <w:rsid w:val="005F380F"/>
    <w:rsid w:val="005F3D74"/>
    <w:rsid w:val="005F3F4E"/>
    <w:rsid w:val="005F7607"/>
    <w:rsid w:val="00600ABB"/>
    <w:rsid w:val="00601218"/>
    <w:rsid w:val="006017F0"/>
    <w:rsid w:val="00602097"/>
    <w:rsid w:val="00603025"/>
    <w:rsid w:val="00603E43"/>
    <w:rsid w:val="00604576"/>
    <w:rsid w:val="00605793"/>
    <w:rsid w:val="00605D03"/>
    <w:rsid w:val="00607844"/>
    <w:rsid w:val="00610036"/>
    <w:rsid w:val="00610DA1"/>
    <w:rsid w:val="00610DFC"/>
    <w:rsid w:val="00612284"/>
    <w:rsid w:val="00613627"/>
    <w:rsid w:val="00621B42"/>
    <w:rsid w:val="00621DF6"/>
    <w:rsid w:val="006229B3"/>
    <w:rsid w:val="00623695"/>
    <w:rsid w:val="00623754"/>
    <w:rsid w:val="00625A01"/>
    <w:rsid w:val="00627EB0"/>
    <w:rsid w:val="00630833"/>
    <w:rsid w:val="006327C4"/>
    <w:rsid w:val="00632B28"/>
    <w:rsid w:val="006345DD"/>
    <w:rsid w:val="00635C26"/>
    <w:rsid w:val="00636DE1"/>
    <w:rsid w:val="00637CB2"/>
    <w:rsid w:val="00637D27"/>
    <w:rsid w:val="006405BD"/>
    <w:rsid w:val="00640ADA"/>
    <w:rsid w:val="00641172"/>
    <w:rsid w:val="006425E3"/>
    <w:rsid w:val="00642744"/>
    <w:rsid w:val="0064298B"/>
    <w:rsid w:val="00643224"/>
    <w:rsid w:val="00644175"/>
    <w:rsid w:val="00647075"/>
    <w:rsid w:val="00647976"/>
    <w:rsid w:val="00650909"/>
    <w:rsid w:val="00650B15"/>
    <w:rsid w:val="00650D11"/>
    <w:rsid w:val="00651CEC"/>
    <w:rsid w:val="00652103"/>
    <w:rsid w:val="006521E3"/>
    <w:rsid w:val="006527B7"/>
    <w:rsid w:val="00652A17"/>
    <w:rsid w:val="0065375A"/>
    <w:rsid w:val="00653D15"/>
    <w:rsid w:val="0065540A"/>
    <w:rsid w:val="00656F5D"/>
    <w:rsid w:val="00657B0C"/>
    <w:rsid w:val="00657BB9"/>
    <w:rsid w:val="0066062D"/>
    <w:rsid w:val="00662472"/>
    <w:rsid w:val="006634A7"/>
    <w:rsid w:val="0066399A"/>
    <w:rsid w:val="00663B21"/>
    <w:rsid w:val="00666235"/>
    <w:rsid w:val="00666CAE"/>
    <w:rsid w:val="00667AAE"/>
    <w:rsid w:val="00670F2E"/>
    <w:rsid w:val="0067150E"/>
    <w:rsid w:val="00671E3E"/>
    <w:rsid w:val="006749AA"/>
    <w:rsid w:val="00675F3B"/>
    <w:rsid w:val="00676A5C"/>
    <w:rsid w:val="00682F3B"/>
    <w:rsid w:val="0068344B"/>
    <w:rsid w:val="00683B2C"/>
    <w:rsid w:val="006853AE"/>
    <w:rsid w:val="006924D1"/>
    <w:rsid w:val="00692FA5"/>
    <w:rsid w:val="006933B6"/>
    <w:rsid w:val="00695AF8"/>
    <w:rsid w:val="00696CD7"/>
    <w:rsid w:val="00697956"/>
    <w:rsid w:val="006A26E7"/>
    <w:rsid w:val="006A2EBF"/>
    <w:rsid w:val="006A3818"/>
    <w:rsid w:val="006A43A7"/>
    <w:rsid w:val="006A5023"/>
    <w:rsid w:val="006A798F"/>
    <w:rsid w:val="006B0D34"/>
    <w:rsid w:val="006B1CE9"/>
    <w:rsid w:val="006B23C9"/>
    <w:rsid w:val="006B4A18"/>
    <w:rsid w:val="006B7A7E"/>
    <w:rsid w:val="006C15A1"/>
    <w:rsid w:val="006C1E4A"/>
    <w:rsid w:val="006C282A"/>
    <w:rsid w:val="006C2BF9"/>
    <w:rsid w:val="006C3DA4"/>
    <w:rsid w:val="006C5E62"/>
    <w:rsid w:val="006C7D8C"/>
    <w:rsid w:val="006C7DE5"/>
    <w:rsid w:val="006D0F26"/>
    <w:rsid w:val="006D1317"/>
    <w:rsid w:val="006D43AA"/>
    <w:rsid w:val="006D5165"/>
    <w:rsid w:val="006E0133"/>
    <w:rsid w:val="006E0415"/>
    <w:rsid w:val="006E073B"/>
    <w:rsid w:val="006E1482"/>
    <w:rsid w:val="006E2169"/>
    <w:rsid w:val="006E3106"/>
    <w:rsid w:val="006E51FF"/>
    <w:rsid w:val="006E6C96"/>
    <w:rsid w:val="006E7F63"/>
    <w:rsid w:val="006F1A66"/>
    <w:rsid w:val="006F1E7B"/>
    <w:rsid w:val="006F3004"/>
    <w:rsid w:val="00701E31"/>
    <w:rsid w:val="00702BFB"/>
    <w:rsid w:val="00703809"/>
    <w:rsid w:val="00703C46"/>
    <w:rsid w:val="007067C6"/>
    <w:rsid w:val="0071032A"/>
    <w:rsid w:val="00710E90"/>
    <w:rsid w:val="00711012"/>
    <w:rsid w:val="0071119C"/>
    <w:rsid w:val="00712054"/>
    <w:rsid w:val="007126F6"/>
    <w:rsid w:val="00712A28"/>
    <w:rsid w:val="00713309"/>
    <w:rsid w:val="007148BA"/>
    <w:rsid w:val="00714C6A"/>
    <w:rsid w:val="00716262"/>
    <w:rsid w:val="0072012E"/>
    <w:rsid w:val="00720A19"/>
    <w:rsid w:val="00721795"/>
    <w:rsid w:val="00721E0D"/>
    <w:rsid w:val="007222F3"/>
    <w:rsid w:val="00730AF7"/>
    <w:rsid w:val="007312C4"/>
    <w:rsid w:val="00732434"/>
    <w:rsid w:val="007344E3"/>
    <w:rsid w:val="00735996"/>
    <w:rsid w:val="00736AF2"/>
    <w:rsid w:val="00736F15"/>
    <w:rsid w:val="0074009F"/>
    <w:rsid w:val="0074228D"/>
    <w:rsid w:val="007438AB"/>
    <w:rsid w:val="00744F8C"/>
    <w:rsid w:val="007452C4"/>
    <w:rsid w:val="007475A2"/>
    <w:rsid w:val="007475C1"/>
    <w:rsid w:val="007479CC"/>
    <w:rsid w:val="00751845"/>
    <w:rsid w:val="007528A4"/>
    <w:rsid w:val="00753429"/>
    <w:rsid w:val="00755BFA"/>
    <w:rsid w:val="0075698F"/>
    <w:rsid w:val="007571B0"/>
    <w:rsid w:val="0076066E"/>
    <w:rsid w:val="007606D3"/>
    <w:rsid w:val="00760CD7"/>
    <w:rsid w:val="00762946"/>
    <w:rsid w:val="00764351"/>
    <w:rsid w:val="00765AFD"/>
    <w:rsid w:val="0077023E"/>
    <w:rsid w:val="007715F5"/>
    <w:rsid w:val="0077384A"/>
    <w:rsid w:val="00773A77"/>
    <w:rsid w:val="0077705E"/>
    <w:rsid w:val="007779EB"/>
    <w:rsid w:val="00782032"/>
    <w:rsid w:val="007820A9"/>
    <w:rsid w:val="00785724"/>
    <w:rsid w:val="007859E4"/>
    <w:rsid w:val="00790842"/>
    <w:rsid w:val="00790A66"/>
    <w:rsid w:val="00790BF8"/>
    <w:rsid w:val="00790E66"/>
    <w:rsid w:val="00792EB4"/>
    <w:rsid w:val="0079387B"/>
    <w:rsid w:val="00793A75"/>
    <w:rsid w:val="00794381"/>
    <w:rsid w:val="00794BAC"/>
    <w:rsid w:val="00795D26"/>
    <w:rsid w:val="00797F9A"/>
    <w:rsid w:val="007A13E3"/>
    <w:rsid w:val="007A15B9"/>
    <w:rsid w:val="007A16C6"/>
    <w:rsid w:val="007A2374"/>
    <w:rsid w:val="007A294A"/>
    <w:rsid w:val="007A331E"/>
    <w:rsid w:val="007A368B"/>
    <w:rsid w:val="007A380B"/>
    <w:rsid w:val="007A3E54"/>
    <w:rsid w:val="007A4627"/>
    <w:rsid w:val="007A54AA"/>
    <w:rsid w:val="007A7187"/>
    <w:rsid w:val="007B0CEB"/>
    <w:rsid w:val="007B1F82"/>
    <w:rsid w:val="007B1FCF"/>
    <w:rsid w:val="007B2109"/>
    <w:rsid w:val="007B30E7"/>
    <w:rsid w:val="007B32FF"/>
    <w:rsid w:val="007B3C14"/>
    <w:rsid w:val="007B3C68"/>
    <w:rsid w:val="007B3C86"/>
    <w:rsid w:val="007B5F6F"/>
    <w:rsid w:val="007C00CD"/>
    <w:rsid w:val="007C14C7"/>
    <w:rsid w:val="007C1607"/>
    <w:rsid w:val="007C22D2"/>
    <w:rsid w:val="007C2E9C"/>
    <w:rsid w:val="007C5350"/>
    <w:rsid w:val="007C5372"/>
    <w:rsid w:val="007C7CEC"/>
    <w:rsid w:val="007D0D7F"/>
    <w:rsid w:val="007D12EC"/>
    <w:rsid w:val="007D16DC"/>
    <w:rsid w:val="007D3C30"/>
    <w:rsid w:val="007D4355"/>
    <w:rsid w:val="007D4648"/>
    <w:rsid w:val="007D4678"/>
    <w:rsid w:val="007D5CBA"/>
    <w:rsid w:val="007D6E35"/>
    <w:rsid w:val="007D7422"/>
    <w:rsid w:val="007E000D"/>
    <w:rsid w:val="007E186E"/>
    <w:rsid w:val="007E26E9"/>
    <w:rsid w:val="007E3275"/>
    <w:rsid w:val="007E359C"/>
    <w:rsid w:val="007E41FB"/>
    <w:rsid w:val="007E4A7A"/>
    <w:rsid w:val="007E4EA9"/>
    <w:rsid w:val="007E539D"/>
    <w:rsid w:val="007E673A"/>
    <w:rsid w:val="007F0CF0"/>
    <w:rsid w:val="007F27BE"/>
    <w:rsid w:val="007F2F4C"/>
    <w:rsid w:val="007F46F4"/>
    <w:rsid w:val="007F4A0D"/>
    <w:rsid w:val="007F4A3A"/>
    <w:rsid w:val="007F4AA6"/>
    <w:rsid w:val="007F4ADD"/>
    <w:rsid w:val="007F4B31"/>
    <w:rsid w:val="007F5C3E"/>
    <w:rsid w:val="007F6699"/>
    <w:rsid w:val="007F75CA"/>
    <w:rsid w:val="00800B21"/>
    <w:rsid w:val="0080161D"/>
    <w:rsid w:val="00803258"/>
    <w:rsid w:val="00803FB7"/>
    <w:rsid w:val="008048C7"/>
    <w:rsid w:val="00804919"/>
    <w:rsid w:val="00804AC6"/>
    <w:rsid w:val="008055C0"/>
    <w:rsid w:val="008061C2"/>
    <w:rsid w:val="00806893"/>
    <w:rsid w:val="008070EE"/>
    <w:rsid w:val="008072E1"/>
    <w:rsid w:val="00810893"/>
    <w:rsid w:val="00812870"/>
    <w:rsid w:val="0081436F"/>
    <w:rsid w:val="008149B3"/>
    <w:rsid w:val="00816DE8"/>
    <w:rsid w:val="00817841"/>
    <w:rsid w:val="00821A94"/>
    <w:rsid w:val="00822FD0"/>
    <w:rsid w:val="00825055"/>
    <w:rsid w:val="0082652B"/>
    <w:rsid w:val="00827895"/>
    <w:rsid w:val="00827B06"/>
    <w:rsid w:val="00827CD6"/>
    <w:rsid w:val="00831378"/>
    <w:rsid w:val="0083454D"/>
    <w:rsid w:val="00837E09"/>
    <w:rsid w:val="0084003A"/>
    <w:rsid w:val="00840751"/>
    <w:rsid w:val="00840FA2"/>
    <w:rsid w:val="0084180E"/>
    <w:rsid w:val="00841C85"/>
    <w:rsid w:val="0084348C"/>
    <w:rsid w:val="00843D8D"/>
    <w:rsid w:val="00844D4E"/>
    <w:rsid w:val="00844E84"/>
    <w:rsid w:val="00850D85"/>
    <w:rsid w:val="008512A3"/>
    <w:rsid w:val="00854120"/>
    <w:rsid w:val="0085418D"/>
    <w:rsid w:val="00855A9F"/>
    <w:rsid w:val="008573FA"/>
    <w:rsid w:val="008602F8"/>
    <w:rsid w:val="0086192E"/>
    <w:rsid w:val="00862715"/>
    <w:rsid w:val="0086277B"/>
    <w:rsid w:val="00863D73"/>
    <w:rsid w:val="00864F2C"/>
    <w:rsid w:val="008659CB"/>
    <w:rsid w:val="0086662F"/>
    <w:rsid w:val="0086797D"/>
    <w:rsid w:val="008679A2"/>
    <w:rsid w:val="00870C3D"/>
    <w:rsid w:val="00872CAE"/>
    <w:rsid w:val="00874AE0"/>
    <w:rsid w:val="00876985"/>
    <w:rsid w:val="008825CD"/>
    <w:rsid w:val="00883714"/>
    <w:rsid w:val="00884696"/>
    <w:rsid w:val="00885D4C"/>
    <w:rsid w:val="00886196"/>
    <w:rsid w:val="0088752A"/>
    <w:rsid w:val="00891397"/>
    <w:rsid w:val="00891812"/>
    <w:rsid w:val="00892245"/>
    <w:rsid w:val="00892C71"/>
    <w:rsid w:val="0089321E"/>
    <w:rsid w:val="008932DF"/>
    <w:rsid w:val="00893662"/>
    <w:rsid w:val="0089705D"/>
    <w:rsid w:val="008A0E34"/>
    <w:rsid w:val="008A0F86"/>
    <w:rsid w:val="008A1249"/>
    <w:rsid w:val="008A1844"/>
    <w:rsid w:val="008A2F7B"/>
    <w:rsid w:val="008A43BA"/>
    <w:rsid w:val="008A5602"/>
    <w:rsid w:val="008A7983"/>
    <w:rsid w:val="008B126B"/>
    <w:rsid w:val="008B2665"/>
    <w:rsid w:val="008B41C8"/>
    <w:rsid w:val="008B7336"/>
    <w:rsid w:val="008B7C3C"/>
    <w:rsid w:val="008C0D5D"/>
    <w:rsid w:val="008C1A21"/>
    <w:rsid w:val="008C2C34"/>
    <w:rsid w:val="008C332A"/>
    <w:rsid w:val="008C68F7"/>
    <w:rsid w:val="008C7391"/>
    <w:rsid w:val="008D2698"/>
    <w:rsid w:val="008D5173"/>
    <w:rsid w:val="008D5524"/>
    <w:rsid w:val="008D57AF"/>
    <w:rsid w:val="008D5815"/>
    <w:rsid w:val="008D5F9E"/>
    <w:rsid w:val="008E0221"/>
    <w:rsid w:val="008E0416"/>
    <w:rsid w:val="008E133D"/>
    <w:rsid w:val="008E24EE"/>
    <w:rsid w:val="008E2DFF"/>
    <w:rsid w:val="008E31BD"/>
    <w:rsid w:val="008E37AD"/>
    <w:rsid w:val="008E38E2"/>
    <w:rsid w:val="008E43E6"/>
    <w:rsid w:val="008E5EFC"/>
    <w:rsid w:val="008E7C0B"/>
    <w:rsid w:val="008F0A5B"/>
    <w:rsid w:val="008F1B42"/>
    <w:rsid w:val="008F31FD"/>
    <w:rsid w:val="008F4E6E"/>
    <w:rsid w:val="008F59A3"/>
    <w:rsid w:val="008F7DE2"/>
    <w:rsid w:val="008F7F49"/>
    <w:rsid w:val="009004FB"/>
    <w:rsid w:val="00906BAB"/>
    <w:rsid w:val="00907CEC"/>
    <w:rsid w:val="00913E48"/>
    <w:rsid w:val="009141C1"/>
    <w:rsid w:val="009156E4"/>
    <w:rsid w:val="00915814"/>
    <w:rsid w:val="00915822"/>
    <w:rsid w:val="00916A50"/>
    <w:rsid w:val="00920C4C"/>
    <w:rsid w:val="00920F5E"/>
    <w:rsid w:val="00921FA6"/>
    <w:rsid w:val="00922F29"/>
    <w:rsid w:val="009240C5"/>
    <w:rsid w:val="00925166"/>
    <w:rsid w:val="009260B3"/>
    <w:rsid w:val="009275E8"/>
    <w:rsid w:val="00927F78"/>
    <w:rsid w:val="00930A22"/>
    <w:rsid w:val="00931C62"/>
    <w:rsid w:val="00932502"/>
    <w:rsid w:val="009326C5"/>
    <w:rsid w:val="0093472A"/>
    <w:rsid w:val="009348D6"/>
    <w:rsid w:val="00935025"/>
    <w:rsid w:val="00936AC0"/>
    <w:rsid w:val="00942B25"/>
    <w:rsid w:val="00944E88"/>
    <w:rsid w:val="00945EE9"/>
    <w:rsid w:val="009462B3"/>
    <w:rsid w:val="00952B1D"/>
    <w:rsid w:val="009532A5"/>
    <w:rsid w:val="00953EF1"/>
    <w:rsid w:val="00954206"/>
    <w:rsid w:val="00954936"/>
    <w:rsid w:val="00954C64"/>
    <w:rsid w:val="009553CB"/>
    <w:rsid w:val="00955FD5"/>
    <w:rsid w:val="00956315"/>
    <w:rsid w:val="00956587"/>
    <w:rsid w:val="00960439"/>
    <w:rsid w:val="00960ECC"/>
    <w:rsid w:val="00963632"/>
    <w:rsid w:val="00963BCE"/>
    <w:rsid w:val="00965AE5"/>
    <w:rsid w:val="0096660D"/>
    <w:rsid w:val="009667ED"/>
    <w:rsid w:val="00966C97"/>
    <w:rsid w:val="009716FD"/>
    <w:rsid w:val="00980C78"/>
    <w:rsid w:val="00980EB4"/>
    <w:rsid w:val="0098104F"/>
    <w:rsid w:val="009834B6"/>
    <w:rsid w:val="009842A9"/>
    <w:rsid w:val="00986B8C"/>
    <w:rsid w:val="00991808"/>
    <w:rsid w:val="00996D57"/>
    <w:rsid w:val="00997BCC"/>
    <w:rsid w:val="009A023B"/>
    <w:rsid w:val="009A18AD"/>
    <w:rsid w:val="009A1D77"/>
    <w:rsid w:val="009A2F08"/>
    <w:rsid w:val="009A479D"/>
    <w:rsid w:val="009A5718"/>
    <w:rsid w:val="009A5EB8"/>
    <w:rsid w:val="009A739C"/>
    <w:rsid w:val="009A7867"/>
    <w:rsid w:val="009B1709"/>
    <w:rsid w:val="009B17DB"/>
    <w:rsid w:val="009B2454"/>
    <w:rsid w:val="009B35EA"/>
    <w:rsid w:val="009B3D17"/>
    <w:rsid w:val="009B4510"/>
    <w:rsid w:val="009B6395"/>
    <w:rsid w:val="009C10A4"/>
    <w:rsid w:val="009C1AFD"/>
    <w:rsid w:val="009C263A"/>
    <w:rsid w:val="009C37DD"/>
    <w:rsid w:val="009C4E68"/>
    <w:rsid w:val="009C6B25"/>
    <w:rsid w:val="009D30D4"/>
    <w:rsid w:val="009D43CF"/>
    <w:rsid w:val="009D6B08"/>
    <w:rsid w:val="009D729A"/>
    <w:rsid w:val="009D7ADA"/>
    <w:rsid w:val="009E0438"/>
    <w:rsid w:val="009E2C8A"/>
    <w:rsid w:val="009E3466"/>
    <w:rsid w:val="009E45EA"/>
    <w:rsid w:val="009E4B4F"/>
    <w:rsid w:val="009E6BA6"/>
    <w:rsid w:val="009E7E8A"/>
    <w:rsid w:val="009F0B7D"/>
    <w:rsid w:val="009F16A5"/>
    <w:rsid w:val="009F16FE"/>
    <w:rsid w:val="009F1B28"/>
    <w:rsid w:val="009F2212"/>
    <w:rsid w:val="009F3D2D"/>
    <w:rsid w:val="009F4946"/>
    <w:rsid w:val="009F503F"/>
    <w:rsid w:val="009F60FD"/>
    <w:rsid w:val="009F61E0"/>
    <w:rsid w:val="009F6567"/>
    <w:rsid w:val="00A02742"/>
    <w:rsid w:val="00A02B1C"/>
    <w:rsid w:val="00A02E3A"/>
    <w:rsid w:val="00A038CE"/>
    <w:rsid w:val="00A047E0"/>
    <w:rsid w:val="00A04C87"/>
    <w:rsid w:val="00A052CB"/>
    <w:rsid w:val="00A05FE4"/>
    <w:rsid w:val="00A060E9"/>
    <w:rsid w:val="00A07C88"/>
    <w:rsid w:val="00A07CC9"/>
    <w:rsid w:val="00A139A1"/>
    <w:rsid w:val="00A15884"/>
    <w:rsid w:val="00A1598C"/>
    <w:rsid w:val="00A15E90"/>
    <w:rsid w:val="00A174CC"/>
    <w:rsid w:val="00A20102"/>
    <w:rsid w:val="00A21102"/>
    <w:rsid w:val="00A22277"/>
    <w:rsid w:val="00A23E92"/>
    <w:rsid w:val="00A249C3"/>
    <w:rsid w:val="00A276E6"/>
    <w:rsid w:val="00A31D2A"/>
    <w:rsid w:val="00A32796"/>
    <w:rsid w:val="00A32F10"/>
    <w:rsid w:val="00A3393E"/>
    <w:rsid w:val="00A3486E"/>
    <w:rsid w:val="00A36304"/>
    <w:rsid w:val="00A436BC"/>
    <w:rsid w:val="00A44239"/>
    <w:rsid w:val="00A46B00"/>
    <w:rsid w:val="00A509B4"/>
    <w:rsid w:val="00A50FE8"/>
    <w:rsid w:val="00A52D0B"/>
    <w:rsid w:val="00A5458F"/>
    <w:rsid w:val="00A57BA4"/>
    <w:rsid w:val="00A6155C"/>
    <w:rsid w:val="00A633D4"/>
    <w:rsid w:val="00A646F1"/>
    <w:rsid w:val="00A65A59"/>
    <w:rsid w:val="00A65D5B"/>
    <w:rsid w:val="00A67D6D"/>
    <w:rsid w:val="00A7137A"/>
    <w:rsid w:val="00A7231A"/>
    <w:rsid w:val="00A73C45"/>
    <w:rsid w:val="00A740A4"/>
    <w:rsid w:val="00A75010"/>
    <w:rsid w:val="00A7548C"/>
    <w:rsid w:val="00A75712"/>
    <w:rsid w:val="00A768A6"/>
    <w:rsid w:val="00A76C77"/>
    <w:rsid w:val="00A7755B"/>
    <w:rsid w:val="00A81FDC"/>
    <w:rsid w:val="00A8227C"/>
    <w:rsid w:val="00A82BB4"/>
    <w:rsid w:val="00A82E22"/>
    <w:rsid w:val="00A846F8"/>
    <w:rsid w:val="00A85217"/>
    <w:rsid w:val="00A92F63"/>
    <w:rsid w:val="00A93CDA"/>
    <w:rsid w:val="00A93FD5"/>
    <w:rsid w:val="00A95B8B"/>
    <w:rsid w:val="00A95C2A"/>
    <w:rsid w:val="00A9658E"/>
    <w:rsid w:val="00A9753B"/>
    <w:rsid w:val="00A977D0"/>
    <w:rsid w:val="00AA0116"/>
    <w:rsid w:val="00AA0986"/>
    <w:rsid w:val="00AA09AA"/>
    <w:rsid w:val="00AA0CC2"/>
    <w:rsid w:val="00AA1B74"/>
    <w:rsid w:val="00AA2B0A"/>
    <w:rsid w:val="00AA2D31"/>
    <w:rsid w:val="00AA4418"/>
    <w:rsid w:val="00AA50E9"/>
    <w:rsid w:val="00AA59ED"/>
    <w:rsid w:val="00AA62DF"/>
    <w:rsid w:val="00AA7855"/>
    <w:rsid w:val="00AA7BB7"/>
    <w:rsid w:val="00AA7BEC"/>
    <w:rsid w:val="00AB1271"/>
    <w:rsid w:val="00AB1E11"/>
    <w:rsid w:val="00AB280C"/>
    <w:rsid w:val="00AB2C65"/>
    <w:rsid w:val="00AB3113"/>
    <w:rsid w:val="00AB3724"/>
    <w:rsid w:val="00AC05B8"/>
    <w:rsid w:val="00AC05DD"/>
    <w:rsid w:val="00AC1089"/>
    <w:rsid w:val="00AC1BDD"/>
    <w:rsid w:val="00AC2D6C"/>
    <w:rsid w:val="00AC30AA"/>
    <w:rsid w:val="00AC5156"/>
    <w:rsid w:val="00AC78C4"/>
    <w:rsid w:val="00AD0FB4"/>
    <w:rsid w:val="00AD18DD"/>
    <w:rsid w:val="00AE12E7"/>
    <w:rsid w:val="00AE2B27"/>
    <w:rsid w:val="00AE3107"/>
    <w:rsid w:val="00AE43C8"/>
    <w:rsid w:val="00AE4C43"/>
    <w:rsid w:val="00AE737F"/>
    <w:rsid w:val="00AF0853"/>
    <w:rsid w:val="00AF4790"/>
    <w:rsid w:val="00B01DDB"/>
    <w:rsid w:val="00B03833"/>
    <w:rsid w:val="00B03BD5"/>
    <w:rsid w:val="00B03CBC"/>
    <w:rsid w:val="00B06CC3"/>
    <w:rsid w:val="00B115A4"/>
    <w:rsid w:val="00B1689F"/>
    <w:rsid w:val="00B17BAF"/>
    <w:rsid w:val="00B202D9"/>
    <w:rsid w:val="00B20759"/>
    <w:rsid w:val="00B20B30"/>
    <w:rsid w:val="00B210E6"/>
    <w:rsid w:val="00B218A7"/>
    <w:rsid w:val="00B21CDB"/>
    <w:rsid w:val="00B22A43"/>
    <w:rsid w:val="00B23578"/>
    <w:rsid w:val="00B23E99"/>
    <w:rsid w:val="00B24B7D"/>
    <w:rsid w:val="00B24CD2"/>
    <w:rsid w:val="00B256D7"/>
    <w:rsid w:val="00B267B9"/>
    <w:rsid w:val="00B27043"/>
    <w:rsid w:val="00B27B02"/>
    <w:rsid w:val="00B31857"/>
    <w:rsid w:val="00B31876"/>
    <w:rsid w:val="00B31F6A"/>
    <w:rsid w:val="00B322EF"/>
    <w:rsid w:val="00B33D34"/>
    <w:rsid w:val="00B3408F"/>
    <w:rsid w:val="00B35098"/>
    <w:rsid w:val="00B361A6"/>
    <w:rsid w:val="00B37122"/>
    <w:rsid w:val="00B40504"/>
    <w:rsid w:val="00B4065B"/>
    <w:rsid w:val="00B4106D"/>
    <w:rsid w:val="00B424C9"/>
    <w:rsid w:val="00B42542"/>
    <w:rsid w:val="00B45D61"/>
    <w:rsid w:val="00B462B8"/>
    <w:rsid w:val="00B46B61"/>
    <w:rsid w:val="00B47BB5"/>
    <w:rsid w:val="00B5019A"/>
    <w:rsid w:val="00B506FE"/>
    <w:rsid w:val="00B517B1"/>
    <w:rsid w:val="00B52FA4"/>
    <w:rsid w:val="00B54D58"/>
    <w:rsid w:val="00B55A24"/>
    <w:rsid w:val="00B577AC"/>
    <w:rsid w:val="00B57DB4"/>
    <w:rsid w:val="00B57FC6"/>
    <w:rsid w:val="00B61455"/>
    <w:rsid w:val="00B61531"/>
    <w:rsid w:val="00B64FB6"/>
    <w:rsid w:val="00B65391"/>
    <w:rsid w:val="00B65F04"/>
    <w:rsid w:val="00B66449"/>
    <w:rsid w:val="00B70B34"/>
    <w:rsid w:val="00B724F4"/>
    <w:rsid w:val="00B75F4D"/>
    <w:rsid w:val="00B77F79"/>
    <w:rsid w:val="00B8111B"/>
    <w:rsid w:val="00B81A00"/>
    <w:rsid w:val="00B82012"/>
    <w:rsid w:val="00B8231D"/>
    <w:rsid w:val="00B8355B"/>
    <w:rsid w:val="00B87DC4"/>
    <w:rsid w:val="00B9019D"/>
    <w:rsid w:val="00B910AE"/>
    <w:rsid w:val="00B919D1"/>
    <w:rsid w:val="00B91C0C"/>
    <w:rsid w:val="00B932E3"/>
    <w:rsid w:val="00B935CF"/>
    <w:rsid w:val="00B96AC4"/>
    <w:rsid w:val="00BA02D8"/>
    <w:rsid w:val="00BA056A"/>
    <w:rsid w:val="00BA1837"/>
    <w:rsid w:val="00BA18DD"/>
    <w:rsid w:val="00BA1C07"/>
    <w:rsid w:val="00BA231F"/>
    <w:rsid w:val="00BA2B97"/>
    <w:rsid w:val="00BA35A3"/>
    <w:rsid w:val="00BA3996"/>
    <w:rsid w:val="00BA4108"/>
    <w:rsid w:val="00BA5BCF"/>
    <w:rsid w:val="00BA75ED"/>
    <w:rsid w:val="00BB0E18"/>
    <w:rsid w:val="00BB0E1F"/>
    <w:rsid w:val="00BB2CB0"/>
    <w:rsid w:val="00BB6A36"/>
    <w:rsid w:val="00BC0BE8"/>
    <w:rsid w:val="00BC27E0"/>
    <w:rsid w:val="00BC404E"/>
    <w:rsid w:val="00BC5BC0"/>
    <w:rsid w:val="00BC5F15"/>
    <w:rsid w:val="00BC67C4"/>
    <w:rsid w:val="00BC689C"/>
    <w:rsid w:val="00BD1A9D"/>
    <w:rsid w:val="00BD3553"/>
    <w:rsid w:val="00BD6881"/>
    <w:rsid w:val="00BE32CE"/>
    <w:rsid w:val="00BE60DF"/>
    <w:rsid w:val="00BF0257"/>
    <w:rsid w:val="00BF1AF3"/>
    <w:rsid w:val="00BF1B04"/>
    <w:rsid w:val="00BF346A"/>
    <w:rsid w:val="00BF407F"/>
    <w:rsid w:val="00BF5657"/>
    <w:rsid w:val="00BF5DB2"/>
    <w:rsid w:val="00C01B61"/>
    <w:rsid w:val="00C01BEE"/>
    <w:rsid w:val="00C034AA"/>
    <w:rsid w:val="00C047A5"/>
    <w:rsid w:val="00C04B8A"/>
    <w:rsid w:val="00C058A9"/>
    <w:rsid w:val="00C0740E"/>
    <w:rsid w:val="00C13014"/>
    <w:rsid w:val="00C14721"/>
    <w:rsid w:val="00C16114"/>
    <w:rsid w:val="00C21126"/>
    <w:rsid w:val="00C26BC6"/>
    <w:rsid w:val="00C26C42"/>
    <w:rsid w:val="00C311A6"/>
    <w:rsid w:val="00C32092"/>
    <w:rsid w:val="00C32DA0"/>
    <w:rsid w:val="00C3368D"/>
    <w:rsid w:val="00C359BE"/>
    <w:rsid w:val="00C36058"/>
    <w:rsid w:val="00C37B4F"/>
    <w:rsid w:val="00C401D7"/>
    <w:rsid w:val="00C43FD2"/>
    <w:rsid w:val="00C44CA8"/>
    <w:rsid w:val="00C46CC5"/>
    <w:rsid w:val="00C477B5"/>
    <w:rsid w:val="00C50125"/>
    <w:rsid w:val="00C50A93"/>
    <w:rsid w:val="00C50C54"/>
    <w:rsid w:val="00C55742"/>
    <w:rsid w:val="00C61A92"/>
    <w:rsid w:val="00C63492"/>
    <w:rsid w:val="00C63870"/>
    <w:rsid w:val="00C649C1"/>
    <w:rsid w:val="00C64DB7"/>
    <w:rsid w:val="00C66521"/>
    <w:rsid w:val="00C75D99"/>
    <w:rsid w:val="00C75F1E"/>
    <w:rsid w:val="00C76C81"/>
    <w:rsid w:val="00C77869"/>
    <w:rsid w:val="00C778D3"/>
    <w:rsid w:val="00C80FF8"/>
    <w:rsid w:val="00C82920"/>
    <w:rsid w:val="00C84420"/>
    <w:rsid w:val="00C92CD8"/>
    <w:rsid w:val="00C9727C"/>
    <w:rsid w:val="00CA016C"/>
    <w:rsid w:val="00CA0E3C"/>
    <w:rsid w:val="00CA1619"/>
    <w:rsid w:val="00CA197F"/>
    <w:rsid w:val="00CA21F7"/>
    <w:rsid w:val="00CA4AE0"/>
    <w:rsid w:val="00CA7239"/>
    <w:rsid w:val="00CA74DB"/>
    <w:rsid w:val="00CB0BC5"/>
    <w:rsid w:val="00CB0C42"/>
    <w:rsid w:val="00CB0EBC"/>
    <w:rsid w:val="00CB123A"/>
    <w:rsid w:val="00CB19CB"/>
    <w:rsid w:val="00CB385B"/>
    <w:rsid w:val="00CB52B6"/>
    <w:rsid w:val="00CB618E"/>
    <w:rsid w:val="00CB722B"/>
    <w:rsid w:val="00CC08C1"/>
    <w:rsid w:val="00CC153E"/>
    <w:rsid w:val="00CC1F8B"/>
    <w:rsid w:val="00CC2288"/>
    <w:rsid w:val="00CC24AD"/>
    <w:rsid w:val="00CC38A4"/>
    <w:rsid w:val="00CC45B1"/>
    <w:rsid w:val="00CC5170"/>
    <w:rsid w:val="00CC5F57"/>
    <w:rsid w:val="00CC7602"/>
    <w:rsid w:val="00CD07D8"/>
    <w:rsid w:val="00CD0C4F"/>
    <w:rsid w:val="00CD39D4"/>
    <w:rsid w:val="00CD4613"/>
    <w:rsid w:val="00CD6C13"/>
    <w:rsid w:val="00CD780E"/>
    <w:rsid w:val="00CE5881"/>
    <w:rsid w:val="00CE68D7"/>
    <w:rsid w:val="00CF0A8C"/>
    <w:rsid w:val="00CF13AC"/>
    <w:rsid w:val="00CF6534"/>
    <w:rsid w:val="00D0102F"/>
    <w:rsid w:val="00D01BAE"/>
    <w:rsid w:val="00D05096"/>
    <w:rsid w:val="00D0550F"/>
    <w:rsid w:val="00D12481"/>
    <w:rsid w:val="00D139A3"/>
    <w:rsid w:val="00D15AF1"/>
    <w:rsid w:val="00D15D27"/>
    <w:rsid w:val="00D16A34"/>
    <w:rsid w:val="00D17582"/>
    <w:rsid w:val="00D1786E"/>
    <w:rsid w:val="00D20EAE"/>
    <w:rsid w:val="00D221B1"/>
    <w:rsid w:val="00D22766"/>
    <w:rsid w:val="00D22BFF"/>
    <w:rsid w:val="00D24F5A"/>
    <w:rsid w:val="00D251E6"/>
    <w:rsid w:val="00D26270"/>
    <w:rsid w:val="00D269F6"/>
    <w:rsid w:val="00D27D19"/>
    <w:rsid w:val="00D31394"/>
    <w:rsid w:val="00D31BC2"/>
    <w:rsid w:val="00D330FD"/>
    <w:rsid w:val="00D351B3"/>
    <w:rsid w:val="00D353D0"/>
    <w:rsid w:val="00D42825"/>
    <w:rsid w:val="00D455E1"/>
    <w:rsid w:val="00D4657D"/>
    <w:rsid w:val="00D525A3"/>
    <w:rsid w:val="00D52D6D"/>
    <w:rsid w:val="00D546B6"/>
    <w:rsid w:val="00D602EF"/>
    <w:rsid w:val="00D6050A"/>
    <w:rsid w:val="00D613AC"/>
    <w:rsid w:val="00D618BF"/>
    <w:rsid w:val="00D627E5"/>
    <w:rsid w:val="00D631FA"/>
    <w:rsid w:val="00D63391"/>
    <w:rsid w:val="00D65372"/>
    <w:rsid w:val="00D67985"/>
    <w:rsid w:val="00D701C0"/>
    <w:rsid w:val="00D70F29"/>
    <w:rsid w:val="00D71F46"/>
    <w:rsid w:val="00D73393"/>
    <w:rsid w:val="00D7429C"/>
    <w:rsid w:val="00D74309"/>
    <w:rsid w:val="00D74C28"/>
    <w:rsid w:val="00D75A67"/>
    <w:rsid w:val="00D80006"/>
    <w:rsid w:val="00D807AC"/>
    <w:rsid w:val="00D80890"/>
    <w:rsid w:val="00D824C8"/>
    <w:rsid w:val="00D83B60"/>
    <w:rsid w:val="00D83E0C"/>
    <w:rsid w:val="00D83E6D"/>
    <w:rsid w:val="00D8416B"/>
    <w:rsid w:val="00D87ACF"/>
    <w:rsid w:val="00D87D82"/>
    <w:rsid w:val="00D91590"/>
    <w:rsid w:val="00D91B88"/>
    <w:rsid w:val="00D9285C"/>
    <w:rsid w:val="00D92AA7"/>
    <w:rsid w:val="00D92E34"/>
    <w:rsid w:val="00D934BA"/>
    <w:rsid w:val="00D93608"/>
    <w:rsid w:val="00D97388"/>
    <w:rsid w:val="00D97B5A"/>
    <w:rsid w:val="00DA0B50"/>
    <w:rsid w:val="00DA116A"/>
    <w:rsid w:val="00DA2439"/>
    <w:rsid w:val="00DA4568"/>
    <w:rsid w:val="00DA53EF"/>
    <w:rsid w:val="00DA6A1F"/>
    <w:rsid w:val="00DA72CB"/>
    <w:rsid w:val="00DB008E"/>
    <w:rsid w:val="00DB088E"/>
    <w:rsid w:val="00DB0ACF"/>
    <w:rsid w:val="00DB0DAF"/>
    <w:rsid w:val="00DB147B"/>
    <w:rsid w:val="00DB1752"/>
    <w:rsid w:val="00DB45F9"/>
    <w:rsid w:val="00DB49B2"/>
    <w:rsid w:val="00DB4DAE"/>
    <w:rsid w:val="00DB5267"/>
    <w:rsid w:val="00DB5437"/>
    <w:rsid w:val="00DB7FF7"/>
    <w:rsid w:val="00DC5D40"/>
    <w:rsid w:val="00DC784E"/>
    <w:rsid w:val="00DD0C32"/>
    <w:rsid w:val="00DD2E2C"/>
    <w:rsid w:val="00DD32C6"/>
    <w:rsid w:val="00DD3F72"/>
    <w:rsid w:val="00DD4047"/>
    <w:rsid w:val="00DD41B4"/>
    <w:rsid w:val="00DD495E"/>
    <w:rsid w:val="00DD5073"/>
    <w:rsid w:val="00DD6F64"/>
    <w:rsid w:val="00DD77A5"/>
    <w:rsid w:val="00DE079C"/>
    <w:rsid w:val="00DE102E"/>
    <w:rsid w:val="00DE149B"/>
    <w:rsid w:val="00DE1D88"/>
    <w:rsid w:val="00DE1E30"/>
    <w:rsid w:val="00DE2CC1"/>
    <w:rsid w:val="00DE51DC"/>
    <w:rsid w:val="00DE6C3F"/>
    <w:rsid w:val="00DE7809"/>
    <w:rsid w:val="00DF08BA"/>
    <w:rsid w:val="00DF1509"/>
    <w:rsid w:val="00DF5826"/>
    <w:rsid w:val="00DF5C93"/>
    <w:rsid w:val="00E00E8A"/>
    <w:rsid w:val="00E02252"/>
    <w:rsid w:val="00E077E0"/>
    <w:rsid w:val="00E10E96"/>
    <w:rsid w:val="00E1301F"/>
    <w:rsid w:val="00E16466"/>
    <w:rsid w:val="00E1762D"/>
    <w:rsid w:val="00E20345"/>
    <w:rsid w:val="00E2059B"/>
    <w:rsid w:val="00E216E1"/>
    <w:rsid w:val="00E21B8F"/>
    <w:rsid w:val="00E22B9F"/>
    <w:rsid w:val="00E22C15"/>
    <w:rsid w:val="00E23EE5"/>
    <w:rsid w:val="00E247F8"/>
    <w:rsid w:val="00E25905"/>
    <w:rsid w:val="00E2758A"/>
    <w:rsid w:val="00E3021E"/>
    <w:rsid w:val="00E30335"/>
    <w:rsid w:val="00E31984"/>
    <w:rsid w:val="00E31F7F"/>
    <w:rsid w:val="00E323CE"/>
    <w:rsid w:val="00E32515"/>
    <w:rsid w:val="00E37310"/>
    <w:rsid w:val="00E37647"/>
    <w:rsid w:val="00E4085B"/>
    <w:rsid w:val="00E41B9C"/>
    <w:rsid w:val="00E41D13"/>
    <w:rsid w:val="00E42567"/>
    <w:rsid w:val="00E42A98"/>
    <w:rsid w:val="00E435A9"/>
    <w:rsid w:val="00E4372C"/>
    <w:rsid w:val="00E4735E"/>
    <w:rsid w:val="00E474F5"/>
    <w:rsid w:val="00E475B5"/>
    <w:rsid w:val="00E506E6"/>
    <w:rsid w:val="00E50A18"/>
    <w:rsid w:val="00E518C9"/>
    <w:rsid w:val="00E53326"/>
    <w:rsid w:val="00E533C7"/>
    <w:rsid w:val="00E5354A"/>
    <w:rsid w:val="00E5449D"/>
    <w:rsid w:val="00E5698F"/>
    <w:rsid w:val="00E56F9F"/>
    <w:rsid w:val="00E57FAE"/>
    <w:rsid w:val="00E62290"/>
    <w:rsid w:val="00E6285D"/>
    <w:rsid w:val="00E63DE6"/>
    <w:rsid w:val="00E667D4"/>
    <w:rsid w:val="00E67F62"/>
    <w:rsid w:val="00E717C7"/>
    <w:rsid w:val="00E71E1C"/>
    <w:rsid w:val="00E72B4F"/>
    <w:rsid w:val="00E72BD6"/>
    <w:rsid w:val="00E733A4"/>
    <w:rsid w:val="00E745C0"/>
    <w:rsid w:val="00E76682"/>
    <w:rsid w:val="00E76780"/>
    <w:rsid w:val="00E804CC"/>
    <w:rsid w:val="00E80537"/>
    <w:rsid w:val="00E812E6"/>
    <w:rsid w:val="00E83B7D"/>
    <w:rsid w:val="00E842F3"/>
    <w:rsid w:val="00E84E66"/>
    <w:rsid w:val="00E8686D"/>
    <w:rsid w:val="00E872F9"/>
    <w:rsid w:val="00E900D0"/>
    <w:rsid w:val="00E9076C"/>
    <w:rsid w:val="00E9387C"/>
    <w:rsid w:val="00E9446E"/>
    <w:rsid w:val="00E95775"/>
    <w:rsid w:val="00E96ED3"/>
    <w:rsid w:val="00EA0A55"/>
    <w:rsid w:val="00EA1628"/>
    <w:rsid w:val="00EA3423"/>
    <w:rsid w:val="00EA36D0"/>
    <w:rsid w:val="00EA4E67"/>
    <w:rsid w:val="00EA55DA"/>
    <w:rsid w:val="00EA5C63"/>
    <w:rsid w:val="00EB0C79"/>
    <w:rsid w:val="00EB13A8"/>
    <w:rsid w:val="00EB40AB"/>
    <w:rsid w:val="00EB4679"/>
    <w:rsid w:val="00EB6D7B"/>
    <w:rsid w:val="00EB6F0D"/>
    <w:rsid w:val="00EB7061"/>
    <w:rsid w:val="00EB7BA4"/>
    <w:rsid w:val="00EC1191"/>
    <w:rsid w:val="00EC4CAD"/>
    <w:rsid w:val="00EC596A"/>
    <w:rsid w:val="00EC6047"/>
    <w:rsid w:val="00EC78D7"/>
    <w:rsid w:val="00ED04D5"/>
    <w:rsid w:val="00ED0B9E"/>
    <w:rsid w:val="00ED0F9A"/>
    <w:rsid w:val="00ED31A5"/>
    <w:rsid w:val="00ED35D1"/>
    <w:rsid w:val="00ED5190"/>
    <w:rsid w:val="00ED6762"/>
    <w:rsid w:val="00ED6D88"/>
    <w:rsid w:val="00ED7770"/>
    <w:rsid w:val="00EE00A4"/>
    <w:rsid w:val="00EE01E0"/>
    <w:rsid w:val="00EE089C"/>
    <w:rsid w:val="00EE2156"/>
    <w:rsid w:val="00EE221A"/>
    <w:rsid w:val="00EE2B5E"/>
    <w:rsid w:val="00EE4AFE"/>
    <w:rsid w:val="00EE573D"/>
    <w:rsid w:val="00EF1ECF"/>
    <w:rsid w:val="00EF233C"/>
    <w:rsid w:val="00EF2868"/>
    <w:rsid w:val="00EF328C"/>
    <w:rsid w:val="00EF42C7"/>
    <w:rsid w:val="00EF65D8"/>
    <w:rsid w:val="00EF681E"/>
    <w:rsid w:val="00F00DEB"/>
    <w:rsid w:val="00F02C38"/>
    <w:rsid w:val="00F03297"/>
    <w:rsid w:val="00F04AA1"/>
    <w:rsid w:val="00F04D7D"/>
    <w:rsid w:val="00F063FB"/>
    <w:rsid w:val="00F068E7"/>
    <w:rsid w:val="00F074B2"/>
    <w:rsid w:val="00F07B0D"/>
    <w:rsid w:val="00F112E0"/>
    <w:rsid w:val="00F11EDD"/>
    <w:rsid w:val="00F1218D"/>
    <w:rsid w:val="00F12578"/>
    <w:rsid w:val="00F15C68"/>
    <w:rsid w:val="00F16089"/>
    <w:rsid w:val="00F1700D"/>
    <w:rsid w:val="00F22F26"/>
    <w:rsid w:val="00F25660"/>
    <w:rsid w:val="00F2723D"/>
    <w:rsid w:val="00F309C3"/>
    <w:rsid w:val="00F30A03"/>
    <w:rsid w:val="00F31D11"/>
    <w:rsid w:val="00F33BFA"/>
    <w:rsid w:val="00F33DAB"/>
    <w:rsid w:val="00F348CF"/>
    <w:rsid w:val="00F369FA"/>
    <w:rsid w:val="00F37263"/>
    <w:rsid w:val="00F372D7"/>
    <w:rsid w:val="00F40FFA"/>
    <w:rsid w:val="00F41BDC"/>
    <w:rsid w:val="00F444DA"/>
    <w:rsid w:val="00F450CB"/>
    <w:rsid w:val="00F46DD4"/>
    <w:rsid w:val="00F51970"/>
    <w:rsid w:val="00F51DDD"/>
    <w:rsid w:val="00F51F3F"/>
    <w:rsid w:val="00F52D03"/>
    <w:rsid w:val="00F532F8"/>
    <w:rsid w:val="00F5375F"/>
    <w:rsid w:val="00F53E2D"/>
    <w:rsid w:val="00F564F0"/>
    <w:rsid w:val="00F573E0"/>
    <w:rsid w:val="00F57552"/>
    <w:rsid w:val="00F578A1"/>
    <w:rsid w:val="00F600E3"/>
    <w:rsid w:val="00F60AEF"/>
    <w:rsid w:val="00F61609"/>
    <w:rsid w:val="00F624F0"/>
    <w:rsid w:val="00F6379A"/>
    <w:rsid w:val="00F640E5"/>
    <w:rsid w:val="00F657B1"/>
    <w:rsid w:val="00F65ADA"/>
    <w:rsid w:val="00F70DB4"/>
    <w:rsid w:val="00F7100A"/>
    <w:rsid w:val="00F72277"/>
    <w:rsid w:val="00F73933"/>
    <w:rsid w:val="00F73992"/>
    <w:rsid w:val="00F74D11"/>
    <w:rsid w:val="00F74EB2"/>
    <w:rsid w:val="00F768E6"/>
    <w:rsid w:val="00F77154"/>
    <w:rsid w:val="00F8102E"/>
    <w:rsid w:val="00F81AFF"/>
    <w:rsid w:val="00F82211"/>
    <w:rsid w:val="00F82369"/>
    <w:rsid w:val="00F82CEC"/>
    <w:rsid w:val="00F845C9"/>
    <w:rsid w:val="00F858FA"/>
    <w:rsid w:val="00F86E70"/>
    <w:rsid w:val="00F87D67"/>
    <w:rsid w:val="00F91EF9"/>
    <w:rsid w:val="00F9338C"/>
    <w:rsid w:val="00F933F5"/>
    <w:rsid w:val="00F94969"/>
    <w:rsid w:val="00F95A2A"/>
    <w:rsid w:val="00F96A46"/>
    <w:rsid w:val="00F978A2"/>
    <w:rsid w:val="00FA26D5"/>
    <w:rsid w:val="00FA357C"/>
    <w:rsid w:val="00FA3A8D"/>
    <w:rsid w:val="00FA4E8F"/>
    <w:rsid w:val="00FA56E8"/>
    <w:rsid w:val="00FA7096"/>
    <w:rsid w:val="00FA7DEE"/>
    <w:rsid w:val="00FB0186"/>
    <w:rsid w:val="00FB0619"/>
    <w:rsid w:val="00FB1995"/>
    <w:rsid w:val="00FB5699"/>
    <w:rsid w:val="00FB5D9F"/>
    <w:rsid w:val="00FB71B8"/>
    <w:rsid w:val="00FC1C27"/>
    <w:rsid w:val="00FC53AF"/>
    <w:rsid w:val="00FC763D"/>
    <w:rsid w:val="00FC77F1"/>
    <w:rsid w:val="00FC78F9"/>
    <w:rsid w:val="00FC7CE5"/>
    <w:rsid w:val="00FD00FC"/>
    <w:rsid w:val="00FD2A26"/>
    <w:rsid w:val="00FD3D25"/>
    <w:rsid w:val="00FD4508"/>
    <w:rsid w:val="00FD4E26"/>
    <w:rsid w:val="00FD51DA"/>
    <w:rsid w:val="00FD5E7E"/>
    <w:rsid w:val="00FD6B3C"/>
    <w:rsid w:val="00FE2D6D"/>
    <w:rsid w:val="00FE36D1"/>
    <w:rsid w:val="00FE4303"/>
    <w:rsid w:val="00FE4431"/>
    <w:rsid w:val="00FE4437"/>
    <w:rsid w:val="00FE55F0"/>
    <w:rsid w:val="00FE58CD"/>
    <w:rsid w:val="00FE5A34"/>
    <w:rsid w:val="00FE75E3"/>
    <w:rsid w:val="00FE7700"/>
    <w:rsid w:val="00FF1CAC"/>
    <w:rsid w:val="00FF45E2"/>
    <w:rsid w:val="00FF6F4A"/>
  </w:rsids>
  <m:mathPr>
    <m:mathFont m:val="Monaco"/>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able of figures" w:uiPriority="99"/>
  </w:latentStyles>
  <w:style w:type="paragraph" w:default="1" w:styleId="Normal">
    <w:name w:val="Normal"/>
    <w:qFormat/>
    <w:rsid w:val="00C37B4F"/>
    <w:pPr>
      <w:spacing w:line="480" w:lineRule="auto"/>
      <w:contextualSpacing/>
    </w:pPr>
    <w:rPr>
      <w:rFonts w:ascii="Arial" w:hAnsi="Arial"/>
    </w:rPr>
  </w:style>
  <w:style w:type="paragraph" w:styleId="Heading1">
    <w:name w:val="heading 1"/>
    <w:basedOn w:val="Normal"/>
    <w:next w:val="Normal"/>
    <w:link w:val="Heading1Char"/>
    <w:rsid w:val="002B599C"/>
    <w:pPr>
      <w:keepNext/>
      <w:keepLines/>
      <w:spacing w:before="480" w:after="0"/>
      <w:jc w:val="center"/>
      <w:outlineLvl w:val="0"/>
    </w:pPr>
    <w:rPr>
      <w:rFonts w:eastAsiaTheme="majorEastAsia" w:cstheme="majorBidi"/>
      <w:b/>
      <w:bCs/>
      <w:sz w:val="28"/>
      <w:szCs w:val="32"/>
    </w:rPr>
  </w:style>
  <w:style w:type="paragraph" w:styleId="Heading2">
    <w:name w:val="heading 2"/>
    <w:basedOn w:val="Normal"/>
    <w:next w:val="Normal"/>
    <w:link w:val="Heading2Char"/>
    <w:rsid w:val="002B599C"/>
    <w:pPr>
      <w:keepNext/>
      <w:keepLines/>
      <w:spacing w:before="200" w:after="0"/>
      <w:jc w:val="center"/>
      <w:outlineLvl w:val="1"/>
    </w:pPr>
    <w:rPr>
      <w:rFonts w:eastAsiaTheme="majorEastAsia" w:cstheme="majorBidi"/>
      <w:b/>
      <w:bCs/>
      <w:sz w:val="28"/>
      <w:szCs w:val="26"/>
    </w:rPr>
  </w:style>
  <w:style w:type="paragraph" w:styleId="Heading3">
    <w:name w:val="heading 3"/>
    <w:basedOn w:val="Normal"/>
    <w:next w:val="Normal"/>
    <w:link w:val="Heading3Char"/>
    <w:rsid w:val="002B599C"/>
    <w:pPr>
      <w:keepNext/>
      <w:keepLines/>
      <w:spacing w:before="200" w:after="0"/>
      <w:outlineLvl w:val="2"/>
    </w:pPr>
    <w:rPr>
      <w:rFonts w:eastAsiaTheme="majorEastAsia" w:cstheme="majorBidi"/>
      <w:b/>
      <w:bCs/>
      <w:i/>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337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CC8"/>
    <w:rPr>
      <w:rFonts w:ascii="Tahoma" w:hAnsi="Tahoma" w:cs="Tahoma"/>
      <w:sz w:val="16"/>
      <w:szCs w:val="16"/>
    </w:rPr>
  </w:style>
  <w:style w:type="paragraph" w:styleId="Caption">
    <w:name w:val="caption"/>
    <w:basedOn w:val="Normal"/>
    <w:next w:val="Normal"/>
    <w:uiPriority w:val="99"/>
    <w:unhideWhenUsed/>
    <w:qFormat/>
    <w:rsid w:val="000F6960"/>
    <w:pPr>
      <w:spacing w:line="240" w:lineRule="auto"/>
    </w:pPr>
    <w:rPr>
      <w:bCs/>
      <w:sz w:val="20"/>
      <w:szCs w:val="18"/>
    </w:rPr>
  </w:style>
  <w:style w:type="character" w:styleId="Hyperlink">
    <w:name w:val="Hyperlink"/>
    <w:basedOn w:val="DefaultParagraphFont"/>
    <w:unhideWhenUsed/>
    <w:rsid w:val="00FD6B3C"/>
    <w:rPr>
      <w:color w:val="0000FF" w:themeColor="hyperlink"/>
      <w:u w:val="single"/>
    </w:rPr>
  </w:style>
  <w:style w:type="paragraph" w:styleId="ListParagraph">
    <w:name w:val="List Paragraph"/>
    <w:basedOn w:val="Normal"/>
    <w:uiPriority w:val="34"/>
    <w:qFormat/>
    <w:rsid w:val="00A67D6D"/>
    <w:pPr>
      <w:spacing w:after="0" w:line="240" w:lineRule="auto"/>
      <w:ind w:left="720"/>
    </w:pPr>
    <w:rPr>
      <w:szCs w:val="24"/>
    </w:rPr>
  </w:style>
  <w:style w:type="paragraph" w:styleId="ListBullet">
    <w:name w:val="List Bullet"/>
    <w:basedOn w:val="Normal"/>
    <w:uiPriority w:val="99"/>
    <w:unhideWhenUsed/>
    <w:rsid w:val="004938DF"/>
    <w:pPr>
      <w:numPr>
        <w:numId w:val="2"/>
      </w:numPr>
    </w:pPr>
  </w:style>
  <w:style w:type="table" w:styleId="TableGrid">
    <w:name w:val="Table Grid"/>
    <w:basedOn w:val="TableNormal"/>
    <w:uiPriority w:val="59"/>
    <w:rsid w:val="00716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2B599C"/>
    <w:rPr>
      <w:rFonts w:ascii="Arial" w:eastAsiaTheme="majorEastAsia" w:hAnsi="Arial" w:cstheme="majorBidi"/>
      <w:b/>
      <w:bCs/>
      <w:sz w:val="28"/>
      <w:szCs w:val="32"/>
    </w:rPr>
  </w:style>
  <w:style w:type="paragraph" w:styleId="TOCHeading">
    <w:name w:val="TOC Heading"/>
    <w:basedOn w:val="Heading1"/>
    <w:next w:val="Normal"/>
    <w:uiPriority w:val="39"/>
    <w:unhideWhenUsed/>
    <w:qFormat/>
    <w:rsid w:val="000F6960"/>
    <w:pPr>
      <w:outlineLvl w:val="9"/>
    </w:pPr>
    <w:rPr>
      <w:color w:val="365F91" w:themeColor="accent1" w:themeShade="BF"/>
      <w:szCs w:val="28"/>
    </w:rPr>
  </w:style>
  <w:style w:type="paragraph" w:styleId="TOC1">
    <w:name w:val="toc 1"/>
    <w:basedOn w:val="Normal"/>
    <w:next w:val="Normal"/>
    <w:autoRedefine/>
    <w:uiPriority w:val="39"/>
    <w:rsid w:val="000F6960"/>
    <w:pPr>
      <w:spacing w:before="120" w:after="0"/>
    </w:pPr>
    <w:rPr>
      <w:rFonts w:asciiTheme="minorHAnsi" w:hAnsiTheme="minorHAnsi"/>
      <w:b/>
      <w:szCs w:val="24"/>
    </w:rPr>
  </w:style>
  <w:style w:type="paragraph" w:styleId="TOC2">
    <w:name w:val="toc 2"/>
    <w:basedOn w:val="Normal"/>
    <w:next w:val="Normal"/>
    <w:autoRedefine/>
    <w:uiPriority w:val="39"/>
    <w:rsid w:val="000F6960"/>
    <w:pPr>
      <w:spacing w:after="0"/>
      <w:ind w:left="240"/>
    </w:pPr>
    <w:rPr>
      <w:rFonts w:asciiTheme="minorHAnsi" w:hAnsiTheme="minorHAnsi"/>
      <w:b/>
      <w:sz w:val="22"/>
    </w:rPr>
  </w:style>
  <w:style w:type="paragraph" w:styleId="TOC3">
    <w:name w:val="toc 3"/>
    <w:basedOn w:val="Normal"/>
    <w:next w:val="Normal"/>
    <w:autoRedefine/>
    <w:uiPriority w:val="39"/>
    <w:rsid w:val="000F6960"/>
    <w:pPr>
      <w:spacing w:after="0"/>
      <w:ind w:left="480"/>
    </w:pPr>
    <w:rPr>
      <w:rFonts w:asciiTheme="minorHAnsi" w:hAnsiTheme="minorHAnsi"/>
      <w:sz w:val="22"/>
    </w:rPr>
  </w:style>
  <w:style w:type="paragraph" w:styleId="TOC4">
    <w:name w:val="toc 4"/>
    <w:basedOn w:val="Normal"/>
    <w:next w:val="Normal"/>
    <w:autoRedefine/>
    <w:uiPriority w:val="39"/>
    <w:rsid w:val="000F6960"/>
    <w:pPr>
      <w:spacing w:after="0"/>
      <w:ind w:left="720"/>
    </w:pPr>
    <w:rPr>
      <w:rFonts w:asciiTheme="minorHAnsi" w:hAnsiTheme="minorHAnsi"/>
      <w:sz w:val="20"/>
      <w:szCs w:val="20"/>
    </w:rPr>
  </w:style>
  <w:style w:type="paragraph" w:styleId="TOC5">
    <w:name w:val="toc 5"/>
    <w:basedOn w:val="Normal"/>
    <w:next w:val="Normal"/>
    <w:autoRedefine/>
    <w:uiPriority w:val="39"/>
    <w:rsid w:val="000F6960"/>
    <w:pPr>
      <w:spacing w:after="0"/>
      <w:ind w:left="960"/>
    </w:pPr>
    <w:rPr>
      <w:rFonts w:asciiTheme="minorHAnsi" w:hAnsiTheme="minorHAnsi"/>
      <w:sz w:val="20"/>
      <w:szCs w:val="20"/>
    </w:rPr>
  </w:style>
  <w:style w:type="paragraph" w:styleId="TOC6">
    <w:name w:val="toc 6"/>
    <w:basedOn w:val="Normal"/>
    <w:next w:val="Normal"/>
    <w:autoRedefine/>
    <w:uiPriority w:val="39"/>
    <w:rsid w:val="000F6960"/>
    <w:pPr>
      <w:spacing w:after="0"/>
      <w:ind w:left="1200"/>
    </w:pPr>
    <w:rPr>
      <w:rFonts w:asciiTheme="minorHAnsi" w:hAnsiTheme="minorHAnsi"/>
      <w:sz w:val="20"/>
      <w:szCs w:val="20"/>
    </w:rPr>
  </w:style>
  <w:style w:type="paragraph" w:styleId="TOC7">
    <w:name w:val="toc 7"/>
    <w:basedOn w:val="Normal"/>
    <w:next w:val="Normal"/>
    <w:autoRedefine/>
    <w:uiPriority w:val="39"/>
    <w:rsid w:val="000F6960"/>
    <w:pPr>
      <w:spacing w:after="0"/>
      <w:ind w:left="1440"/>
    </w:pPr>
    <w:rPr>
      <w:rFonts w:asciiTheme="minorHAnsi" w:hAnsiTheme="minorHAnsi"/>
      <w:sz w:val="20"/>
      <w:szCs w:val="20"/>
    </w:rPr>
  </w:style>
  <w:style w:type="paragraph" w:styleId="TOC8">
    <w:name w:val="toc 8"/>
    <w:basedOn w:val="Normal"/>
    <w:next w:val="Normal"/>
    <w:autoRedefine/>
    <w:uiPriority w:val="39"/>
    <w:rsid w:val="000F6960"/>
    <w:pPr>
      <w:spacing w:after="0"/>
      <w:ind w:left="1680"/>
    </w:pPr>
    <w:rPr>
      <w:rFonts w:asciiTheme="minorHAnsi" w:hAnsiTheme="minorHAnsi"/>
      <w:sz w:val="20"/>
      <w:szCs w:val="20"/>
    </w:rPr>
  </w:style>
  <w:style w:type="paragraph" w:styleId="TOC9">
    <w:name w:val="toc 9"/>
    <w:basedOn w:val="Normal"/>
    <w:next w:val="Normal"/>
    <w:autoRedefine/>
    <w:uiPriority w:val="39"/>
    <w:rsid w:val="000F6960"/>
    <w:pPr>
      <w:spacing w:after="0"/>
      <w:ind w:left="1920"/>
    </w:pPr>
    <w:rPr>
      <w:rFonts w:asciiTheme="minorHAnsi" w:hAnsiTheme="minorHAnsi"/>
      <w:sz w:val="20"/>
      <w:szCs w:val="20"/>
    </w:rPr>
  </w:style>
  <w:style w:type="character" w:customStyle="1" w:styleId="Heading2Char">
    <w:name w:val="Heading 2 Char"/>
    <w:basedOn w:val="DefaultParagraphFont"/>
    <w:link w:val="Heading2"/>
    <w:rsid w:val="002B599C"/>
    <w:rPr>
      <w:rFonts w:ascii="Arial" w:eastAsiaTheme="majorEastAsia" w:hAnsi="Arial" w:cstheme="majorBidi"/>
      <w:b/>
      <w:bCs/>
      <w:sz w:val="28"/>
      <w:szCs w:val="26"/>
    </w:rPr>
  </w:style>
  <w:style w:type="character" w:customStyle="1" w:styleId="Heading3Char">
    <w:name w:val="Heading 3 Char"/>
    <w:basedOn w:val="DefaultParagraphFont"/>
    <w:link w:val="Heading3"/>
    <w:rsid w:val="002B599C"/>
    <w:rPr>
      <w:rFonts w:ascii="Arial" w:eastAsiaTheme="majorEastAsia" w:hAnsi="Arial" w:cstheme="majorBidi"/>
      <w:b/>
      <w:bCs/>
      <w:i/>
    </w:rPr>
  </w:style>
  <w:style w:type="paragraph" w:styleId="Footer">
    <w:name w:val="footer"/>
    <w:basedOn w:val="Normal"/>
    <w:link w:val="FooterChar"/>
    <w:rsid w:val="002E243A"/>
    <w:pPr>
      <w:tabs>
        <w:tab w:val="center" w:pos="4320"/>
        <w:tab w:val="right" w:pos="8640"/>
      </w:tabs>
      <w:spacing w:after="0" w:line="240" w:lineRule="auto"/>
    </w:pPr>
  </w:style>
  <w:style w:type="character" w:customStyle="1" w:styleId="FooterChar">
    <w:name w:val="Footer Char"/>
    <w:basedOn w:val="DefaultParagraphFont"/>
    <w:link w:val="Footer"/>
    <w:rsid w:val="002E243A"/>
    <w:rPr>
      <w:rFonts w:ascii="Arial" w:hAnsi="Arial"/>
    </w:rPr>
  </w:style>
  <w:style w:type="character" w:styleId="PageNumber">
    <w:name w:val="page number"/>
    <w:basedOn w:val="DefaultParagraphFont"/>
    <w:rsid w:val="002E243A"/>
  </w:style>
  <w:style w:type="paragraph" w:styleId="TableofFigures">
    <w:name w:val="table of figures"/>
    <w:basedOn w:val="Normal"/>
    <w:next w:val="Normal"/>
    <w:uiPriority w:val="99"/>
    <w:rsid w:val="00C50C54"/>
    <w:pPr>
      <w:ind w:left="480" w:hanging="480"/>
    </w:pPr>
  </w:style>
  <w:style w:type="character" w:styleId="FollowedHyperlink">
    <w:name w:val="FollowedHyperlink"/>
    <w:basedOn w:val="DefaultParagraphFont"/>
    <w:rsid w:val="00844D4E"/>
    <w:rPr>
      <w:color w:val="800080" w:themeColor="followedHyperlink"/>
      <w:u w:val="single"/>
    </w:rPr>
  </w:style>
  <w:style w:type="paragraph" w:styleId="Header">
    <w:name w:val="header"/>
    <w:basedOn w:val="Normal"/>
    <w:link w:val="HeaderChar"/>
    <w:rsid w:val="00DC5D40"/>
    <w:pPr>
      <w:tabs>
        <w:tab w:val="center" w:pos="4320"/>
        <w:tab w:val="right" w:pos="8640"/>
      </w:tabs>
      <w:spacing w:after="0" w:line="240" w:lineRule="auto"/>
    </w:pPr>
  </w:style>
  <w:style w:type="character" w:customStyle="1" w:styleId="HeaderChar">
    <w:name w:val="Header Char"/>
    <w:basedOn w:val="DefaultParagraphFont"/>
    <w:link w:val="Header"/>
    <w:rsid w:val="00DC5D40"/>
    <w:rPr>
      <w:rFonts w:ascii="Arial" w:hAnsi="Arial"/>
    </w:rPr>
  </w:style>
  <w:style w:type="table" w:styleId="LightGrid-Accent1">
    <w:name w:val="Light Grid Accent 1"/>
    <w:basedOn w:val="TableNormal"/>
    <w:uiPriority w:val="62"/>
    <w:rsid w:val="00331413"/>
    <w:pPr>
      <w:spacing w:after="0" w:line="240" w:lineRule="auto"/>
    </w:pPr>
    <w:rPr>
      <w:rFonts w:asciiTheme="minorHAnsi" w:hAnsiTheme="minorHAnsi"/>
      <w:sz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1">
    <w:name w:val="Light Grid - Accent 11"/>
    <w:basedOn w:val="TableNormal"/>
    <w:uiPriority w:val="62"/>
    <w:rsid w:val="002358D7"/>
    <w:pPr>
      <w:spacing w:after="0" w:line="240" w:lineRule="auto"/>
    </w:pPr>
    <w:rPr>
      <w:rFonts w:asciiTheme="minorHAnsi" w:hAnsiTheme="minorHAnsi"/>
      <w:sz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7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CC8"/>
    <w:rPr>
      <w:rFonts w:ascii="Tahoma" w:hAnsi="Tahoma" w:cs="Tahoma"/>
      <w:sz w:val="16"/>
      <w:szCs w:val="16"/>
    </w:rPr>
  </w:style>
  <w:style w:type="paragraph" w:styleId="Caption">
    <w:name w:val="caption"/>
    <w:basedOn w:val="Normal"/>
    <w:next w:val="Normal"/>
    <w:uiPriority w:val="35"/>
    <w:unhideWhenUsed/>
    <w:qFormat/>
    <w:rsid w:val="00EB6D7B"/>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944071540">
      <w:bodyDiv w:val="1"/>
      <w:marLeft w:val="0"/>
      <w:marRight w:val="0"/>
      <w:marTop w:val="0"/>
      <w:marBottom w:val="0"/>
      <w:divBdr>
        <w:top w:val="none" w:sz="0" w:space="0" w:color="auto"/>
        <w:left w:val="none" w:sz="0" w:space="0" w:color="auto"/>
        <w:bottom w:val="none" w:sz="0" w:space="0" w:color="auto"/>
        <w:right w:val="none" w:sz="0" w:space="0" w:color="auto"/>
      </w:divBdr>
    </w:div>
    <w:div w:id="959071912">
      <w:bodyDiv w:val="1"/>
      <w:marLeft w:val="0"/>
      <w:marRight w:val="0"/>
      <w:marTop w:val="0"/>
      <w:marBottom w:val="0"/>
      <w:divBdr>
        <w:top w:val="none" w:sz="0" w:space="0" w:color="auto"/>
        <w:left w:val="none" w:sz="0" w:space="0" w:color="auto"/>
        <w:bottom w:val="none" w:sz="0" w:space="0" w:color="auto"/>
        <w:right w:val="none" w:sz="0" w:space="0" w:color="auto"/>
      </w:divBdr>
    </w:div>
    <w:div w:id="969363859">
      <w:bodyDiv w:val="1"/>
      <w:marLeft w:val="0"/>
      <w:marRight w:val="0"/>
      <w:marTop w:val="0"/>
      <w:marBottom w:val="0"/>
      <w:divBdr>
        <w:top w:val="none" w:sz="0" w:space="0" w:color="auto"/>
        <w:left w:val="none" w:sz="0" w:space="0" w:color="auto"/>
        <w:bottom w:val="none" w:sz="0" w:space="0" w:color="auto"/>
        <w:right w:val="none" w:sz="0" w:space="0" w:color="auto"/>
      </w:divBdr>
    </w:div>
    <w:div w:id="981158035">
      <w:bodyDiv w:val="1"/>
      <w:marLeft w:val="0"/>
      <w:marRight w:val="0"/>
      <w:marTop w:val="0"/>
      <w:marBottom w:val="0"/>
      <w:divBdr>
        <w:top w:val="none" w:sz="0" w:space="0" w:color="auto"/>
        <w:left w:val="none" w:sz="0" w:space="0" w:color="auto"/>
        <w:bottom w:val="none" w:sz="0" w:space="0" w:color="auto"/>
        <w:right w:val="none" w:sz="0" w:space="0" w:color="auto"/>
      </w:divBdr>
    </w:div>
    <w:div w:id="1010569368">
      <w:bodyDiv w:val="1"/>
      <w:marLeft w:val="0"/>
      <w:marRight w:val="0"/>
      <w:marTop w:val="0"/>
      <w:marBottom w:val="0"/>
      <w:divBdr>
        <w:top w:val="none" w:sz="0" w:space="0" w:color="auto"/>
        <w:left w:val="none" w:sz="0" w:space="0" w:color="auto"/>
        <w:bottom w:val="none" w:sz="0" w:space="0" w:color="auto"/>
        <w:right w:val="none" w:sz="0" w:space="0" w:color="auto"/>
      </w:divBdr>
    </w:div>
    <w:div w:id="1521549920">
      <w:bodyDiv w:val="1"/>
      <w:marLeft w:val="0"/>
      <w:marRight w:val="0"/>
      <w:marTop w:val="0"/>
      <w:marBottom w:val="0"/>
      <w:divBdr>
        <w:top w:val="none" w:sz="0" w:space="0" w:color="auto"/>
        <w:left w:val="none" w:sz="0" w:space="0" w:color="auto"/>
        <w:bottom w:val="none" w:sz="0" w:space="0" w:color="auto"/>
        <w:right w:val="none" w:sz="0" w:space="0" w:color="auto"/>
      </w:divBdr>
    </w:div>
    <w:div w:id="188757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swganth.org/" TargetMode="External"/><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63" Type="http://schemas.openxmlformats.org/officeDocument/2006/relationships/image" Target="media/image55.png"/><Relationship Id="rId64" Type="http://schemas.openxmlformats.org/officeDocument/2006/relationships/footer" Target="footer3.xml"/><Relationship Id="rId65" Type="http://schemas.openxmlformats.org/officeDocument/2006/relationships/footer" Target="footer4.xml"/><Relationship Id="rId66" Type="http://schemas.openxmlformats.org/officeDocument/2006/relationships/fontTable" Target="fontTable.xml"/><Relationship Id="rId67" Type="http://schemas.openxmlformats.org/officeDocument/2006/relationships/theme" Target="theme/theme1.xml"/><Relationship Id="rId68" Type="http://schemas.microsoft.com/office/2007/relationships/stylesWithEffects" Target="stylesWithEffects.xml"/><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8.png"/><Relationship Id="rId57" Type="http://schemas.openxmlformats.org/officeDocument/2006/relationships/image" Target="media/image49.png"/><Relationship Id="rId58" Type="http://schemas.openxmlformats.org/officeDocument/2006/relationships/image" Target="media/image50.png"/><Relationship Id="rId59" Type="http://schemas.openxmlformats.org/officeDocument/2006/relationships/image" Target="media/image5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emf"/><Relationship Id="rId8" Type="http://schemas.openxmlformats.org/officeDocument/2006/relationships/image" Target="media/image2.emf"/><Relationship Id="rId9" Type="http://schemas.openxmlformats.org/officeDocument/2006/relationships/image" Target="media/image3.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60" Type="http://schemas.openxmlformats.org/officeDocument/2006/relationships/image" Target="media/image52.png"/><Relationship Id="rId61" Type="http://schemas.openxmlformats.org/officeDocument/2006/relationships/image" Target="media/image53.png"/><Relationship Id="rId62" Type="http://schemas.openxmlformats.org/officeDocument/2006/relationships/image" Target="media/image54.png"/><Relationship Id="rId10" Type="http://schemas.openxmlformats.org/officeDocument/2006/relationships/image" Target="media/image4.pict"/><Relationship Id="rId11" Type="http://schemas.openxmlformats.org/officeDocument/2006/relationships/oleObject" Target="embeddings/Microsoft_Equation1.bin"/><Relationship Id="rId1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139</Pages>
  <Words>51673</Words>
  <Characters>294540</Characters>
  <Application>Microsoft Macintosh Word</Application>
  <DocSecurity>0</DocSecurity>
  <Lines>2454</Lines>
  <Paragraphs>589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361715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Gary Mercer</cp:lastModifiedBy>
  <cp:revision>34</cp:revision>
  <cp:lastPrinted>2012-07-12T17:55:00Z</cp:lastPrinted>
  <dcterms:created xsi:type="dcterms:W3CDTF">2013-04-15T00:42:00Z</dcterms:created>
  <dcterms:modified xsi:type="dcterms:W3CDTF">2013-04-19T13:32:00Z</dcterms:modified>
</cp:coreProperties>
</file>