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3CF" w:rsidRPr="009673CF" w:rsidRDefault="009673CF" w:rsidP="009673CF">
      <w:pPr>
        <w:jc w:val="center"/>
        <w:rPr>
          <w:b/>
          <w:sz w:val="36"/>
          <w:szCs w:val="36"/>
        </w:rPr>
      </w:pPr>
      <w:r w:rsidRPr="009673CF">
        <w:rPr>
          <w:b/>
          <w:sz w:val="36"/>
          <w:szCs w:val="36"/>
        </w:rPr>
        <w:t>Does Twice-Exceptional Status Impact College Student Success?</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9673CF" w:rsidRDefault="009673CF">
      <w:pPr>
        <w:jc w:val="center"/>
        <w:rPr>
          <w:sz w:val="36"/>
          <w:szCs w:val="36"/>
        </w:rPr>
      </w:pPr>
    </w:p>
    <w:p w:rsidR="009673CF" w:rsidRDefault="009673CF">
      <w:pPr>
        <w:jc w:val="center"/>
        <w:rPr>
          <w:sz w:val="36"/>
          <w:szCs w:val="36"/>
        </w:rPr>
      </w:pPr>
    </w:p>
    <w:p w:rsidR="009673CF" w:rsidRPr="009673CF" w:rsidRDefault="009673CF" w:rsidP="009673CF">
      <w:pPr>
        <w:spacing w:line="480" w:lineRule="auto"/>
        <w:jc w:val="center"/>
        <w:rPr>
          <w:sz w:val="36"/>
          <w:szCs w:val="36"/>
        </w:rPr>
      </w:pPr>
      <w:r w:rsidRPr="009673CF">
        <w:rPr>
          <w:sz w:val="36"/>
          <w:szCs w:val="36"/>
        </w:rPr>
        <w:t xml:space="preserve">A Prospectus Presented for </w:t>
      </w:r>
    </w:p>
    <w:p w:rsidR="009673CF" w:rsidRDefault="009673CF" w:rsidP="009673CF">
      <w:pPr>
        <w:spacing w:line="480" w:lineRule="auto"/>
        <w:jc w:val="center"/>
        <w:rPr>
          <w:sz w:val="36"/>
          <w:szCs w:val="36"/>
        </w:rPr>
      </w:pPr>
      <w:r w:rsidRPr="009673CF">
        <w:rPr>
          <w:sz w:val="36"/>
          <w:szCs w:val="36"/>
        </w:rPr>
        <w:t xml:space="preserve">the Doctor of Philosophy </w:t>
      </w:r>
    </w:p>
    <w:p w:rsidR="009673CF" w:rsidRPr="009673CF" w:rsidRDefault="009673CF" w:rsidP="009673CF">
      <w:pPr>
        <w:spacing w:line="480" w:lineRule="auto"/>
        <w:jc w:val="center"/>
        <w:rPr>
          <w:sz w:val="36"/>
          <w:szCs w:val="36"/>
        </w:rPr>
      </w:pPr>
      <w:r w:rsidRPr="009673CF">
        <w:rPr>
          <w:sz w:val="36"/>
          <w:szCs w:val="36"/>
        </w:rPr>
        <w:t>Degree</w:t>
      </w:r>
    </w:p>
    <w:p w:rsidR="009673CF" w:rsidRPr="009673CF" w:rsidRDefault="009673CF" w:rsidP="009673CF">
      <w:pPr>
        <w:spacing w:line="480" w:lineRule="auto"/>
        <w:jc w:val="center"/>
        <w:rPr>
          <w:sz w:val="36"/>
          <w:szCs w:val="36"/>
        </w:rPr>
      </w:pPr>
      <w:r w:rsidRPr="009673CF">
        <w:rPr>
          <w:sz w:val="36"/>
          <w:szCs w:val="36"/>
        </w:rPr>
        <w:t>The University of Tennessee, Knoxville</w:t>
      </w:r>
    </w:p>
    <w:p w:rsidR="009C755C" w:rsidRDefault="009C755C">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9673CF">
      <w:pPr>
        <w:jc w:val="center"/>
        <w:rPr>
          <w:sz w:val="36"/>
          <w:szCs w:val="36"/>
        </w:rPr>
      </w:pPr>
      <w:r>
        <w:rPr>
          <w:sz w:val="36"/>
          <w:szCs w:val="36"/>
        </w:rPr>
        <w:t>Kelly H. Smyth, M.S.</w:t>
      </w:r>
    </w:p>
    <w:p w:rsidR="009C755C" w:rsidRDefault="009673CF">
      <w:pPr>
        <w:jc w:val="center"/>
        <w:rPr>
          <w:sz w:val="36"/>
          <w:szCs w:val="36"/>
        </w:rPr>
      </w:pPr>
      <w:r>
        <w:rPr>
          <w:sz w:val="36"/>
          <w:szCs w:val="36"/>
        </w:rPr>
        <w:t>February 2016</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3D07F7" w:rsidP="00D91C27">
      <w:pPr>
        <w:jc w:val="center"/>
      </w:pPr>
      <w:r>
        <w:t>Copyright © 20</w:t>
      </w:r>
      <w:r w:rsidR="00173751">
        <w:t>15</w:t>
      </w:r>
      <w:r w:rsidR="00236E6D">
        <w:t xml:space="preserve"> by </w:t>
      </w:r>
      <w:r w:rsidR="009673CF">
        <w:t>Kelly H. Smyth</w:t>
      </w:r>
    </w:p>
    <w:p w:rsidR="00236E6D" w:rsidRDefault="00236E6D">
      <w:pPr>
        <w:jc w:val="center"/>
      </w:pPr>
      <w:r>
        <w:t>All rights reserved.</w:t>
      </w: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CD73A9" w:rsidRDefault="00236E6D" w:rsidP="009C755C">
      <w:pPr>
        <w:jc w:val="center"/>
        <w:rPr>
          <w:b/>
          <w:sz w:val="28"/>
          <w:szCs w:val="28"/>
        </w:rPr>
      </w:pPr>
      <w:r>
        <w:rPr>
          <w:sz w:val="36"/>
          <w:szCs w:val="36"/>
        </w:rPr>
        <w:br w:type="page"/>
      </w:r>
      <w:r w:rsidR="00CD73A9">
        <w:rPr>
          <w:b/>
          <w:sz w:val="28"/>
          <w:szCs w:val="28"/>
        </w:rPr>
        <w:lastRenderedPageBreak/>
        <w:t>ACKNOWLEDGEMENTS</w:t>
      </w:r>
    </w:p>
    <w:p w:rsidR="00CD73A9" w:rsidRDefault="00CD73A9">
      <w:pPr>
        <w:jc w:val="center"/>
      </w:pPr>
    </w:p>
    <w:p w:rsidR="00236E6D" w:rsidRDefault="00CD73A9" w:rsidP="008F60C3">
      <w:pPr>
        <w:jc w:val="center"/>
      </w:pPr>
      <w:r>
        <w:rPr>
          <w:sz w:val="36"/>
          <w:szCs w:val="36"/>
        </w:rPr>
        <w:br w:type="page"/>
      </w:r>
      <w:r w:rsidR="00236E6D">
        <w:rPr>
          <w:b/>
          <w:bCs/>
          <w:sz w:val="28"/>
          <w:szCs w:val="28"/>
        </w:rPr>
        <w:lastRenderedPageBreak/>
        <w:t>ABSTRACT</w:t>
      </w:r>
    </w:p>
    <w:p w:rsidR="00236E6D" w:rsidRDefault="00236E6D"/>
    <w:p w:rsidR="009C755C" w:rsidRDefault="009673CF" w:rsidP="009673CF">
      <w:pPr>
        <w:spacing w:line="480" w:lineRule="auto"/>
        <w:ind w:firstLine="720"/>
      </w:pPr>
      <w:r w:rsidRPr="009673CF">
        <w:t>Educational outcomes (e.g., GPA, retention) of undergraduate students screened and selected for twice-exceptional status (2e; giftedness with a learning disability) varied (or failed to vary) based on characterizations of two operationalizaitons (of 2e status): ACT or SAT scores. Those screened and tentatively identified as 2e based on the ACT earned higher/lower GPA (or not) than those identified by the SAT(p &lt; .05). In addition, 2e students who declare a major in line with their academic strength earned a higher mean GPA at graduation than those who did not?</w:t>
      </w:r>
      <w:r w:rsidR="008A4E30">
        <w:t xml:space="preserve"> </w:t>
      </w:r>
    </w:p>
    <w:p w:rsidR="003F7FED" w:rsidRDefault="00236E6D" w:rsidP="009673CF">
      <w:pPr>
        <w:jc w:val="center"/>
      </w:pPr>
      <w:r>
        <w:br w:type="page"/>
      </w:r>
    </w:p>
    <w:sdt>
      <w:sdtPr>
        <w:rPr>
          <w:b w:val="0"/>
          <w:caps w:val="0"/>
          <w:sz w:val="24"/>
        </w:rPr>
        <w:id w:val="607165129"/>
        <w:docPartObj>
          <w:docPartGallery w:val="Table of Contents"/>
          <w:docPartUnique/>
        </w:docPartObj>
      </w:sdtPr>
      <w:sdtEndPr>
        <w:rPr>
          <w:bCs/>
          <w:noProof/>
        </w:rPr>
      </w:sdtEndPr>
      <w:sdtContent>
        <w:p w:rsidR="00E91931" w:rsidRDefault="00E91931">
          <w:pPr>
            <w:pStyle w:val="TOCHeading"/>
          </w:pPr>
          <w:r>
            <w:t>Table of Contents</w:t>
          </w:r>
        </w:p>
        <w:p w:rsidR="00D83B30" w:rsidRPr="00D83B30" w:rsidRDefault="00D83B30" w:rsidP="00D83B30"/>
        <w:p w:rsidR="00D83B30" w:rsidRDefault="00E91931">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28278467" w:history="1">
            <w:r w:rsidR="00D83B30" w:rsidRPr="00CB305B">
              <w:rPr>
                <w:rStyle w:val="Hyperlink"/>
                <w:noProof/>
              </w:rPr>
              <w:t>Chapter One</w:t>
            </w:r>
            <w:r w:rsidR="00981F1B">
              <w:rPr>
                <w:rStyle w:val="Hyperlink"/>
                <w:noProof/>
              </w:rPr>
              <w:t>:</w:t>
            </w:r>
            <w:r w:rsidR="00D83B30" w:rsidRPr="00CB305B">
              <w:rPr>
                <w:rStyle w:val="Hyperlink"/>
                <w:noProof/>
              </w:rPr>
              <w:t xml:space="preserve"> </w:t>
            </w:r>
            <w:r w:rsidR="009673CF">
              <w:rPr>
                <w:rStyle w:val="Hyperlink"/>
                <w:noProof/>
              </w:rPr>
              <w:t>Literature Review</w:t>
            </w:r>
            <w:r w:rsidR="00D83B30">
              <w:rPr>
                <w:noProof/>
                <w:webHidden/>
              </w:rPr>
              <w:tab/>
            </w:r>
            <w:r w:rsidR="00D83B30">
              <w:rPr>
                <w:noProof/>
                <w:webHidden/>
              </w:rPr>
              <w:fldChar w:fldCharType="begin"/>
            </w:r>
            <w:r w:rsidR="00D83B30">
              <w:rPr>
                <w:noProof/>
                <w:webHidden/>
              </w:rPr>
              <w:instrText xml:space="preserve"> PAGEREF _Toc428278467 \h </w:instrText>
            </w:r>
            <w:r w:rsidR="00D83B30">
              <w:rPr>
                <w:noProof/>
                <w:webHidden/>
              </w:rPr>
            </w:r>
            <w:r w:rsidR="00D83B30">
              <w:rPr>
                <w:noProof/>
                <w:webHidden/>
              </w:rPr>
              <w:fldChar w:fldCharType="separate"/>
            </w:r>
            <w:r w:rsidR="009673CF">
              <w:rPr>
                <w:noProof/>
                <w:webHidden/>
              </w:rPr>
              <w:t>1</w:t>
            </w:r>
            <w:r w:rsidR="00D83B30">
              <w:rPr>
                <w:noProof/>
                <w:webHidden/>
              </w:rPr>
              <w:fldChar w:fldCharType="end"/>
            </w:r>
          </w:hyperlink>
        </w:p>
        <w:p w:rsidR="00D83B30" w:rsidRDefault="00981F1B" w:rsidP="009673CF">
          <w:pPr>
            <w:pStyle w:val="TOC2"/>
            <w:tabs>
              <w:tab w:val="right" w:leader="dot" w:pos="8630"/>
            </w:tabs>
            <w:rPr>
              <w:rFonts w:asciiTheme="minorHAnsi" w:eastAsiaTheme="minorEastAsia" w:hAnsiTheme="minorHAnsi" w:cstheme="minorBidi"/>
              <w:noProof/>
              <w:sz w:val="22"/>
              <w:szCs w:val="22"/>
            </w:rPr>
          </w:pPr>
          <w:hyperlink w:anchor="_Toc428278468" w:history="1">
            <w:r w:rsidR="009673CF">
              <w:rPr>
                <w:rStyle w:val="Hyperlink"/>
                <w:noProof/>
              </w:rPr>
              <w:t>Traditional Predictors of College Success</w:t>
            </w:r>
            <w:r w:rsidR="00D83B30">
              <w:rPr>
                <w:noProof/>
                <w:webHidden/>
              </w:rPr>
              <w:tab/>
            </w:r>
            <w:r w:rsidR="00D83B30">
              <w:rPr>
                <w:noProof/>
                <w:webHidden/>
              </w:rPr>
              <w:fldChar w:fldCharType="begin"/>
            </w:r>
            <w:r w:rsidR="00D83B30">
              <w:rPr>
                <w:noProof/>
                <w:webHidden/>
              </w:rPr>
              <w:instrText xml:space="preserve"> PAGEREF _Toc428278468 \h </w:instrText>
            </w:r>
            <w:r w:rsidR="00D83B30">
              <w:rPr>
                <w:noProof/>
                <w:webHidden/>
              </w:rPr>
            </w:r>
            <w:r w:rsidR="00D83B30">
              <w:rPr>
                <w:noProof/>
                <w:webHidden/>
              </w:rPr>
              <w:fldChar w:fldCharType="separate"/>
            </w:r>
            <w:r w:rsidR="009673CF">
              <w:rPr>
                <w:noProof/>
                <w:webHidden/>
              </w:rPr>
              <w:t>1</w:t>
            </w:r>
            <w:r w:rsidR="00D83B30">
              <w:rPr>
                <w:noProof/>
                <w:webHidden/>
              </w:rPr>
              <w:fldChar w:fldCharType="end"/>
            </w:r>
          </w:hyperlink>
        </w:p>
        <w:p w:rsidR="00D83B30" w:rsidRDefault="00981F1B">
          <w:pPr>
            <w:pStyle w:val="TOC3"/>
            <w:tabs>
              <w:tab w:val="right" w:leader="dot" w:pos="8630"/>
            </w:tabs>
            <w:rPr>
              <w:rFonts w:asciiTheme="minorHAnsi" w:eastAsiaTheme="minorEastAsia" w:hAnsiTheme="minorHAnsi" w:cstheme="minorBidi"/>
              <w:noProof/>
              <w:sz w:val="22"/>
              <w:szCs w:val="22"/>
            </w:rPr>
          </w:pPr>
          <w:hyperlink w:anchor="_Toc428278470" w:history="1">
            <w:r w:rsidR="009673CF">
              <w:rPr>
                <w:rStyle w:val="Hyperlink"/>
                <w:noProof/>
              </w:rPr>
              <w:t>“College Readiness”</w:t>
            </w:r>
            <w:r w:rsidR="00D83B30">
              <w:rPr>
                <w:noProof/>
                <w:webHidden/>
              </w:rPr>
              <w:tab/>
            </w:r>
            <w:r w:rsidR="00D83B30">
              <w:rPr>
                <w:noProof/>
                <w:webHidden/>
              </w:rPr>
              <w:fldChar w:fldCharType="begin"/>
            </w:r>
            <w:r w:rsidR="00D83B30">
              <w:rPr>
                <w:noProof/>
                <w:webHidden/>
              </w:rPr>
              <w:instrText xml:space="preserve"> PAGEREF _Toc428278470 \h </w:instrText>
            </w:r>
            <w:r w:rsidR="00D83B30">
              <w:rPr>
                <w:noProof/>
                <w:webHidden/>
              </w:rPr>
            </w:r>
            <w:r w:rsidR="00D83B30">
              <w:rPr>
                <w:noProof/>
                <w:webHidden/>
              </w:rPr>
              <w:fldChar w:fldCharType="separate"/>
            </w:r>
            <w:r w:rsidR="009673CF">
              <w:rPr>
                <w:noProof/>
                <w:webHidden/>
              </w:rPr>
              <w:t>1</w:t>
            </w:r>
            <w:r w:rsidR="00D83B30">
              <w:rPr>
                <w:noProof/>
                <w:webHidden/>
              </w:rPr>
              <w:fldChar w:fldCharType="end"/>
            </w:r>
          </w:hyperlink>
        </w:p>
        <w:p w:rsidR="009673CF" w:rsidRDefault="00981F1B">
          <w:pPr>
            <w:pStyle w:val="TOC3"/>
            <w:tabs>
              <w:tab w:val="right" w:leader="dot" w:pos="8630"/>
            </w:tabs>
          </w:pPr>
          <w:hyperlink w:anchor="_Toc428278471" w:history="1">
            <w:r w:rsidR="009673CF">
              <w:rPr>
                <w:rStyle w:val="Hyperlink"/>
                <w:noProof/>
              </w:rPr>
              <w:t>College Entrance Exams</w:t>
            </w:r>
            <w:r w:rsidR="009673CF" w:rsidRPr="009673CF">
              <w:rPr>
                <w:rStyle w:val="Hyperlink"/>
                <w:noProof/>
                <w:webHidden/>
              </w:rPr>
              <w:tab/>
            </w:r>
            <w:r w:rsidR="009673CF" w:rsidRPr="009673CF">
              <w:rPr>
                <w:rStyle w:val="Hyperlink"/>
                <w:noProof/>
                <w:webHidden/>
              </w:rPr>
              <w:fldChar w:fldCharType="begin"/>
            </w:r>
            <w:r w:rsidR="009673CF" w:rsidRPr="009673CF">
              <w:rPr>
                <w:rStyle w:val="Hyperlink"/>
                <w:noProof/>
                <w:webHidden/>
              </w:rPr>
              <w:instrText xml:space="preserve"> PAGEREF _Toc428278471 \h </w:instrText>
            </w:r>
            <w:r w:rsidR="009673CF" w:rsidRPr="009673CF">
              <w:rPr>
                <w:rStyle w:val="Hyperlink"/>
                <w:noProof/>
                <w:webHidden/>
              </w:rPr>
            </w:r>
            <w:r w:rsidR="009673CF" w:rsidRPr="009673CF">
              <w:rPr>
                <w:rStyle w:val="Hyperlink"/>
                <w:noProof/>
                <w:webHidden/>
              </w:rPr>
              <w:fldChar w:fldCharType="separate"/>
            </w:r>
            <w:r w:rsidR="009673CF" w:rsidRPr="009673CF">
              <w:rPr>
                <w:rStyle w:val="Hyperlink"/>
                <w:noProof/>
                <w:webHidden/>
              </w:rPr>
              <w:t>1</w:t>
            </w:r>
            <w:r w:rsidR="009673CF" w:rsidRPr="009673CF">
              <w:rPr>
                <w:rStyle w:val="Hyperlink"/>
                <w:noProof/>
                <w:webHidden/>
              </w:rPr>
              <w:fldChar w:fldCharType="end"/>
            </w:r>
          </w:hyperlink>
          <w:r w:rsidR="009673CF" w:rsidRPr="009673CF">
            <w:t xml:space="preserve"> </w:t>
          </w:r>
        </w:p>
        <w:p w:rsidR="009673CF" w:rsidRDefault="009673CF">
          <w:pPr>
            <w:pStyle w:val="TOC3"/>
            <w:tabs>
              <w:tab w:val="right" w:leader="dot" w:pos="8630"/>
            </w:tabs>
            <w:rPr>
              <w:noProof/>
            </w:rPr>
          </w:pPr>
          <w:r>
            <w:rPr>
              <w:noProof/>
            </w:rPr>
            <w:t>Schlastic Aptitude Test (SAT)</w:t>
          </w:r>
          <w:r w:rsidRPr="009673CF">
            <w:rPr>
              <w:noProof/>
              <w:webHidden/>
            </w:rPr>
            <w:tab/>
          </w:r>
          <w:r w:rsidRPr="009673CF">
            <w:rPr>
              <w:noProof/>
              <w:webHidden/>
            </w:rPr>
            <w:fldChar w:fldCharType="begin"/>
          </w:r>
          <w:r w:rsidRPr="009673CF">
            <w:rPr>
              <w:noProof/>
              <w:webHidden/>
            </w:rPr>
            <w:instrText xml:space="preserve"> PAGEREF _Toc428278471 \h </w:instrText>
          </w:r>
          <w:r w:rsidRPr="009673CF">
            <w:rPr>
              <w:noProof/>
              <w:webHidden/>
            </w:rPr>
          </w:r>
          <w:r w:rsidRPr="009673CF">
            <w:rPr>
              <w:noProof/>
              <w:webHidden/>
            </w:rPr>
            <w:fldChar w:fldCharType="separate"/>
          </w:r>
          <w:r w:rsidRPr="009673CF">
            <w:rPr>
              <w:noProof/>
              <w:webHidden/>
            </w:rPr>
            <w:t>1</w:t>
          </w:r>
          <w:r w:rsidRPr="009673CF">
            <w:rPr>
              <w:noProof/>
              <w:webHidden/>
            </w:rPr>
            <w:fldChar w:fldCharType="end"/>
          </w:r>
          <w:r w:rsidRPr="009673CF">
            <w:rPr>
              <w:noProof/>
            </w:rPr>
            <w:t xml:space="preserve"> </w:t>
          </w:r>
        </w:p>
        <w:p w:rsidR="009673CF" w:rsidRDefault="009673CF">
          <w:pPr>
            <w:pStyle w:val="TOC3"/>
            <w:tabs>
              <w:tab w:val="right" w:leader="dot" w:pos="8630"/>
            </w:tabs>
            <w:rPr>
              <w:noProof/>
            </w:rPr>
          </w:pPr>
          <w:r>
            <w:rPr>
              <w:noProof/>
            </w:rPr>
            <w:t>American College Testing (ACT)</w:t>
          </w:r>
          <w:r w:rsidRPr="009673CF">
            <w:rPr>
              <w:noProof/>
              <w:webHidden/>
            </w:rPr>
            <w:tab/>
          </w:r>
          <w:r w:rsidRPr="009673CF">
            <w:rPr>
              <w:noProof/>
              <w:webHidden/>
            </w:rPr>
            <w:fldChar w:fldCharType="begin"/>
          </w:r>
          <w:r w:rsidRPr="009673CF">
            <w:rPr>
              <w:noProof/>
              <w:webHidden/>
            </w:rPr>
            <w:instrText xml:space="preserve"> PAGEREF _Toc428278471 \h </w:instrText>
          </w:r>
          <w:r w:rsidRPr="009673CF">
            <w:rPr>
              <w:noProof/>
              <w:webHidden/>
            </w:rPr>
          </w:r>
          <w:r w:rsidRPr="009673CF">
            <w:rPr>
              <w:noProof/>
              <w:webHidden/>
            </w:rPr>
            <w:fldChar w:fldCharType="separate"/>
          </w:r>
          <w:r w:rsidRPr="009673CF">
            <w:rPr>
              <w:noProof/>
              <w:webHidden/>
            </w:rPr>
            <w:t>1</w:t>
          </w:r>
          <w:r w:rsidRPr="009673CF">
            <w:rPr>
              <w:noProof/>
              <w:webHidden/>
            </w:rPr>
            <w:fldChar w:fldCharType="end"/>
          </w:r>
          <w:r w:rsidRPr="009673CF">
            <w:rPr>
              <w:noProof/>
            </w:rPr>
            <w:t xml:space="preserve"> </w:t>
          </w:r>
        </w:p>
        <w:p w:rsidR="00D83B30" w:rsidRDefault="009673CF">
          <w:pPr>
            <w:pStyle w:val="TOC3"/>
            <w:tabs>
              <w:tab w:val="right" w:leader="dot" w:pos="8630"/>
            </w:tabs>
            <w:rPr>
              <w:rFonts w:asciiTheme="minorHAnsi" w:eastAsiaTheme="minorEastAsia" w:hAnsiTheme="minorHAnsi" w:cstheme="minorBidi"/>
              <w:noProof/>
              <w:sz w:val="22"/>
              <w:szCs w:val="22"/>
            </w:rPr>
          </w:pPr>
          <w:r>
            <w:rPr>
              <w:noProof/>
            </w:rPr>
            <w:t>Concordance Among SAT and ACT</w:t>
          </w:r>
          <w:r w:rsidRPr="009673CF">
            <w:rPr>
              <w:noProof/>
              <w:webHidden/>
            </w:rPr>
            <w:tab/>
          </w:r>
          <w:r w:rsidRPr="009673CF">
            <w:rPr>
              <w:noProof/>
              <w:webHidden/>
            </w:rPr>
            <w:fldChar w:fldCharType="begin"/>
          </w:r>
          <w:r w:rsidRPr="009673CF">
            <w:rPr>
              <w:noProof/>
              <w:webHidden/>
            </w:rPr>
            <w:instrText xml:space="preserve"> PAGEREF _Toc428278471 \h </w:instrText>
          </w:r>
          <w:r w:rsidRPr="009673CF">
            <w:rPr>
              <w:noProof/>
              <w:webHidden/>
            </w:rPr>
          </w:r>
          <w:r w:rsidRPr="009673CF">
            <w:rPr>
              <w:noProof/>
              <w:webHidden/>
            </w:rPr>
            <w:fldChar w:fldCharType="separate"/>
          </w:r>
          <w:r w:rsidRPr="009673CF">
            <w:rPr>
              <w:noProof/>
              <w:webHidden/>
            </w:rPr>
            <w:t>1</w:t>
          </w:r>
          <w:r w:rsidRPr="009673CF">
            <w:rPr>
              <w:noProof/>
              <w:webHidden/>
            </w:rPr>
            <w:fldChar w:fldCharType="end"/>
          </w:r>
        </w:p>
        <w:p w:rsidR="009673CF" w:rsidRDefault="00981F1B">
          <w:pPr>
            <w:pStyle w:val="TOC2"/>
            <w:tabs>
              <w:tab w:val="right" w:leader="dot" w:pos="8630"/>
            </w:tabs>
          </w:pPr>
          <w:hyperlink w:anchor="_Toc428278472" w:history="1">
            <w:r w:rsidR="009673CF">
              <w:rPr>
                <w:rStyle w:val="Hyperlink"/>
                <w:noProof/>
              </w:rPr>
              <w:t>Major Declaration Among College Students</w:t>
            </w:r>
            <w:r w:rsidR="009673CF" w:rsidRPr="009673CF">
              <w:rPr>
                <w:rStyle w:val="Hyperlink"/>
                <w:noProof/>
                <w:webHidden/>
              </w:rPr>
              <w:tab/>
            </w:r>
            <w:r w:rsidR="009673CF" w:rsidRPr="009673CF">
              <w:rPr>
                <w:rStyle w:val="Hyperlink"/>
                <w:noProof/>
                <w:webHidden/>
              </w:rPr>
              <w:fldChar w:fldCharType="begin"/>
            </w:r>
            <w:r w:rsidR="009673CF" w:rsidRPr="009673CF">
              <w:rPr>
                <w:rStyle w:val="Hyperlink"/>
                <w:noProof/>
                <w:webHidden/>
              </w:rPr>
              <w:instrText xml:space="preserve"> PAGEREF _Toc428278472 \h </w:instrText>
            </w:r>
            <w:r w:rsidR="009673CF" w:rsidRPr="009673CF">
              <w:rPr>
                <w:rStyle w:val="Hyperlink"/>
                <w:noProof/>
                <w:webHidden/>
              </w:rPr>
            </w:r>
            <w:r w:rsidR="009673CF" w:rsidRPr="009673CF">
              <w:rPr>
                <w:rStyle w:val="Hyperlink"/>
                <w:noProof/>
                <w:webHidden/>
              </w:rPr>
              <w:fldChar w:fldCharType="separate"/>
            </w:r>
            <w:r w:rsidR="009673CF" w:rsidRPr="009673CF">
              <w:rPr>
                <w:rStyle w:val="Hyperlink"/>
                <w:noProof/>
                <w:webHidden/>
              </w:rPr>
              <w:t>1</w:t>
            </w:r>
            <w:r w:rsidR="009673CF" w:rsidRPr="009673CF">
              <w:rPr>
                <w:rStyle w:val="Hyperlink"/>
                <w:noProof/>
                <w:webHidden/>
              </w:rPr>
              <w:fldChar w:fldCharType="end"/>
            </w:r>
          </w:hyperlink>
          <w:r w:rsidR="009673CF" w:rsidRPr="009673CF">
            <w:t xml:space="preserve"> </w:t>
          </w:r>
        </w:p>
        <w:p w:rsidR="00981F1B" w:rsidRDefault="009673CF">
          <w:pPr>
            <w:pStyle w:val="TOC2"/>
            <w:tabs>
              <w:tab w:val="right" w:leader="dot" w:pos="8630"/>
            </w:tabs>
            <w:rPr>
              <w:noProof/>
              <w:webHidden/>
            </w:rPr>
          </w:pPr>
          <w:r>
            <w:rPr>
              <w:noProof/>
            </w:rPr>
            <w:t>College Student Success Among Students with Exceptionalities</w:t>
          </w:r>
          <w:r w:rsidRPr="009673CF">
            <w:rPr>
              <w:noProof/>
              <w:webHidden/>
            </w:rPr>
            <w:tab/>
          </w:r>
          <w:r w:rsidRPr="009673CF">
            <w:rPr>
              <w:noProof/>
              <w:webHidden/>
            </w:rPr>
            <w:fldChar w:fldCharType="begin"/>
          </w:r>
          <w:r w:rsidRPr="009673CF">
            <w:rPr>
              <w:noProof/>
              <w:webHidden/>
            </w:rPr>
            <w:instrText xml:space="preserve"> PAGEREF _Toc428278472 \h </w:instrText>
          </w:r>
          <w:r w:rsidRPr="009673CF">
            <w:rPr>
              <w:noProof/>
              <w:webHidden/>
            </w:rPr>
          </w:r>
          <w:r w:rsidRPr="009673CF">
            <w:rPr>
              <w:noProof/>
              <w:webHidden/>
            </w:rPr>
            <w:fldChar w:fldCharType="separate"/>
          </w:r>
          <w:r w:rsidRPr="009673CF">
            <w:rPr>
              <w:noProof/>
              <w:webHidden/>
            </w:rPr>
            <w:t>1</w:t>
          </w:r>
          <w:r w:rsidRPr="009673CF">
            <w:rPr>
              <w:noProof/>
              <w:webHidden/>
            </w:rPr>
            <w:fldChar w:fldCharType="end"/>
          </w:r>
        </w:p>
        <w:p w:rsidR="00981F1B" w:rsidRDefault="00981F1B">
          <w:pPr>
            <w:pStyle w:val="TOC2"/>
            <w:tabs>
              <w:tab w:val="right" w:leader="dot" w:pos="8630"/>
            </w:tabs>
          </w:pPr>
          <w:r>
            <w:t xml:space="preserve">   Characteristics of Gifted Students……………………………………………….</w:t>
          </w:r>
          <w:r>
            <w:tab/>
            <w:t>1</w:t>
          </w:r>
        </w:p>
        <w:p w:rsidR="00981F1B" w:rsidRDefault="00981F1B">
          <w:pPr>
            <w:pStyle w:val="TOC2"/>
            <w:tabs>
              <w:tab w:val="right" w:leader="dot" w:pos="8630"/>
            </w:tabs>
          </w:pPr>
          <w:r>
            <w:t xml:space="preserve">       Learning Outcomes of Gifted Students……………………………………… 1</w:t>
          </w:r>
        </w:p>
        <w:p w:rsidR="00981F1B" w:rsidRDefault="00981F1B" w:rsidP="00981F1B">
          <w:pPr>
            <w:pStyle w:val="TOC2"/>
            <w:tabs>
              <w:tab w:val="right" w:leader="dot" w:pos="8630"/>
            </w:tabs>
          </w:pPr>
          <w:r>
            <w:t xml:space="preserve">   Characteristics of Students with Specific Learning Disabilities (SLD)…….</w:t>
          </w:r>
          <w:r>
            <w:tab/>
            <w:t>1</w:t>
          </w:r>
        </w:p>
        <w:p w:rsidR="00981F1B" w:rsidRDefault="00981F1B" w:rsidP="00981F1B">
          <w:pPr>
            <w:pStyle w:val="TOC2"/>
            <w:tabs>
              <w:tab w:val="right" w:leader="dot" w:pos="8630"/>
            </w:tabs>
          </w:pPr>
          <w:r>
            <w:t xml:space="preserve">       Learning Outcomes of Students with SLD…………………………………..  1</w:t>
          </w:r>
        </w:p>
        <w:p w:rsidR="00981F1B" w:rsidRDefault="00981F1B" w:rsidP="00981F1B">
          <w:pPr>
            <w:pStyle w:val="TOC2"/>
            <w:tabs>
              <w:tab w:val="right" w:leader="dot" w:pos="8630"/>
            </w:tabs>
          </w:pPr>
          <w:r>
            <w:t xml:space="preserve">   Characteristics of Twice-Exceptional  Students……………………………….</w:t>
          </w:r>
          <w:r>
            <w:tab/>
            <w:t>1</w:t>
          </w:r>
        </w:p>
        <w:p w:rsidR="00981F1B" w:rsidRDefault="00981F1B" w:rsidP="00981F1B">
          <w:pPr>
            <w:pStyle w:val="TOC2"/>
            <w:tabs>
              <w:tab w:val="right" w:leader="dot" w:pos="8630"/>
            </w:tabs>
          </w:pPr>
          <w:r>
            <w:t xml:space="preserve">       Identification of Twice-Exceptional Students……………………………….. 1</w:t>
          </w:r>
          <w:r w:rsidRPr="00981F1B">
            <w:t xml:space="preserve"> </w:t>
          </w:r>
          <w:r>
            <w:t xml:space="preserve">   </w:t>
          </w:r>
        </w:p>
        <w:p w:rsidR="00981F1B" w:rsidRDefault="00981F1B" w:rsidP="00981F1B">
          <w:pPr>
            <w:pStyle w:val="TOC2"/>
            <w:tabs>
              <w:tab w:val="right" w:leader="dot" w:pos="8630"/>
            </w:tabs>
          </w:pPr>
          <w:r>
            <w:t xml:space="preserve">       Learning Outcomes of Twice-Exceptional Students ………………………. 1</w:t>
          </w:r>
        </w:p>
        <w:p w:rsidR="00D83B30" w:rsidRDefault="00981F1B">
          <w:pPr>
            <w:pStyle w:val="TOC2"/>
            <w:tabs>
              <w:tab w:val="right" w:leader="dot" w:pos="8630"/>
            </w:tabs>
            <w:rPr>
              <w:rFonts w:asciiTheme="minorHAnsi" w:eastAsiaTheme="minorEastAsia" w:hAnsiTheme="minorHAnsi" w:cstheme="minorBidi"/>
              <w:noProof/>
              <w:sz w:val="22"/>
              <w:szCs w:val="22"/>
            </w:rPr>
          </w:pPr>
          <w:r>
            <w:rPr>
              <w:noProof/>
            </w:rPr>
            <w:t>Statement of the Problem</w:t>
          </w:r>
          <w:r w:rsidR="009673CF" w:rsidRPr="009673CF">
            <w:rPr>
              <w:noProof/>
              <w:webHidden/>
            </w:rPr>
            <w:tab/>
          </w:r>
          <w:r w:rsidR="009673CF" w:rsidRPr="009673CF">
            <w:rPr>
              <w:noProof/>
              <w:webHidden/>
            </w:rPr>
            <w:fldChar w:fldCharType="begin"/>
          </w:r>
          <w:r w:rsidR="009673CF" w:rsidRPr="009673CF">
            <w:rPr>
              <w:noProof/>
              <w:webHidden/>
            </w:rPr>
            <w:instrText xml:space="preserve"> PAGEREF _Toc428278472 \h </w:instrText>
          </w:r>
          <w:r w:rsidR="009673CF" w:rsidRPr="009673CF">
            <w:rPr>
              <w:noProof/>
              <w:webHidden/>
            </w:rPr>
          </w:r>
          <w:r w:rsidR="009673CF" w:rsidRPr="009673CF">
            <w:rPr>
              <w:noProof/>
              <w:webHidden/>
            </w:rPr>
            <w:fldChar w:fldCharType="separate"/>
          </w:r>
          <w:r w:rsidR="009673CF" w:rsidRPr="009673CF">
            <w:rPr>
              <w:noProof/>
              <w:webHidden/>
            </w:rPr>
            <w:t>1</w:t>
          </w:r>
          <w:r w:rsidR="009673CF" w:rsidRPr="009673CF">
            <w:rPr>
              <w:noProof/>
              <w:webHidden/>
            </w:rPr>
            <w:fldChar w:fldCharType="end"/>
          </w:r>
        </w:p>
        <w:p w:rsidR="00D83B30" w:rsidRDefault="00981F1B">
          <w:pPr>
            <w:pStyle w:val="TOC1"/>
            <w:tabs>
              <w:tab w:val="right" w:leader="dot" w:pos="8630"/>
            </w:tabs>
            <w:rPr>
              <w:rFonts w:asciiTheme="minorHAnsi" w:eastAsiaTheme="minorEastAsia" w:hAnsiTheme="minorHAnsi" w:cstheme="minorBidi"/>
              <w:noProof/>
              <w:sz w:val="22"/>
              <w:szCs w:val="22"/>
            </w:rPr>
          </w:pPr>
          <w:hyperlink w:anchor="_Toc428278473" w:history="1">
            <w:r w:rsidR="00D83B30" w:rsidRPr="00CB305B">
              <w:rPr>
                <w:rStyle w:val="Hyperlink"/>
                <w:noProof/>
              </w:rPr>
              <w:t>Chapter Two</w:t>
            </w:r>
            <w:r>
              <w:rPr>
                <w:rStyle w:val="Hyperlink"/>
                <w:noProof/>
              </w:rPr>
              <w:t>:Method</w:t>
            </w:r>
            <w:r w:rsidR="00D83B30">
              <w:rPr>
                <w:noProof/>
                <w:webHidden/>
              </w:rPr>
              <w:tab/>
            </w:r>
            <w:r w:rsidR="00D83B30">
              <w:rPr>
                <w:noProof/>
                <w:webHidden/>
              </w:rPr>
              <w:fldChar w:fldCharType="begin"/>
            </w:r>
            <w:r w:rsidR="00D83B30">
              <w:rPr>
                <w:noProof/>
                <w:webHidden/>
              </w:rPr>
              <w:instrText xml:space="preserve"> PAGEREF _Toc428278473 \h </w:instrText>
            </w:r>
            <w:r w:rsidR="00D83B30">
              <w:rPr>
                <w:noProof/>
                <w:webHidden/>
              </w:rPr>
            </w:r>
            <w:r w:rsidR="00D83B30">
              <w:rPr>
                <w:noProof/>
                <w:webHidden/>
              </w:rPr>
              <w:fldChar w:fldCharType="separate"/>
            </w:r>
            <w:r w:rsidR="009673CF">
              <w:rPr>
                <w:noProof/>
                <w:webHidden/>
              </w:rPr>
              <w:t>2</w:t>
            </w:r>
            <w:r w:rsidR="00D83B30">
              <w:rPr>
                <w:noProof/>
                <w:webHidden/>
              </w:rPr>
              <w:fldChar w:fldCharType="end"/>
            </w:r>
          </w:hyperlink>
        </w:p>
        <w:p w:rsidR="00D83B30" w:rsidRDefault="00981F1B">
          <w:pPr>
            <w:pStyle w:val="TOC2"/>
            <w:tabs>
              <w:tab w:val="right" w:leader="dot" w:pos="8630"/>
            </w:tabs>
            <w:rPr>
              <w:rFonts w:asciiTheme="minorHAnsi" w:eastAsiaTheme="minorEastAsia" w:hAnsiTheme="minorHAnsi" w:cstheme="minorBidi"/>
              <w:noProof/>
              <w:sz w:val="22"/>
              <w:szCs w:val="22"/>
            </w:rPr>
          </w:pPr>
          <w:hyperlink w:anchor="_Toc428278474" w:history="1">
            <w:r>
              <w:rPr>
                <w:rStyle w:val="Hyperlink"/>
                <w:noProof/>
              </w:rPr>
              <w:t xml:space="preserve">Participants </w:t>
            </w:r>
            <w:r w:rsidR="00D83B30">
              <w:rPr>
                <w:noProof/>
                <w:webHidden/>
              </w:rPr>
              <w:tab/>
            </w:r>
            <w:r w:rsidR="00D83B30">
              <w:rPr>
                <w:noProof/>
                <w:webHidden/>
              </w:rPr>
              <w:fldChar w:fldCharType="begin"/>
            </w:r>
            <w:r w:rsidR="00D83B30">
              <w:rPr>
                <w:noProof/>
                <w:webHidden/>
              </w:rPr>
              <w:instrText xml:space="preserve"> PAGEREF _Toc428278474 \h </w:instrText>
            </w:r>
            <w:r w:rsidR="00D83B30">
              <w:rPr>
                <w:noProof/>
                <w:webHidden/>
              </w:rPr>
            </w:r>
            <w:r w:rsidR="00D83B30">
              <w:rPr>
                <w:noProof/>
                <w:webHidden/>
              </w:rPr>
              <w:fldChar w:fldCharType="separate"/>
            </w:r>
            <w:r w:rsidR="009673CF">
              <w:rPr>
                <w:noProof/>
                <w:webHidden/>
              </w:rPr>
              <w:t>2</w:t>
            </w:r>
            <w:r w:rsidR="00D83B30">
              <w:rPr>
                <w:noProof/>
                <w:webHidden/>
              </w:rPr>
              <w:fldChar w:fldCharType="end"/>
            </w:r>
          </w:hyperlink>
        </w:p>
        <w:p w:rsidR="00D83B30" w:rsidRDefault="00981F1B">
          <w:pPr>
            <w:pStyle w:val="TOC3"/>
            <w:tabs>
              <w:tab w:val="right" w:leader="dot" w:pos="8630"/>
            </w:tabs>
            <w:rPr>
              <w:rFonts w:asciiTheme="minorHAnsi" w:eastAsiaTheme="minorEastAsia" w:hAnsiTheme="minorHAnsi" w:cstheme="minorBidi"/>
              <w:noProof/>
              <w:sz w:val="22"/>
              <w:szCs w:val="22"/>
            </w:rPr>
          </w:pPr>
          <w:hyperlink w:anchor="_Toc428278475" w:history="1">
            <w:r>
              <w:rPr>
                <w:rStyle w:val="Hyperlink"/>
                <w:noProof/>
              </w:rPr>
              <w:t>Exclusions</w:t>
            </w:r>
            <w:r w:rsidR="00D83B30">
              <w:rPr>
                <w:noProof/>
                <w:webHidden/>
              </w:rPr>
              <w:tab/>
            </w:r>
            <w:r w:rsidR="00D83B30">
              <w:rPr>
                <w:noProof/>
                <w:webHidden/>
              </w:rPr>
              <w:fldChar w:fldCharType="begin"/>
            </w:r>
            <w:r w:rsidR="00D83B30">
              <w:rPr>
                <w:noProof/>
                <w:webHidden/>
              </w:rPr>
              <w:instrText xml:space="preserve"> PAGEREF _Toc428278475 \h </w:instrText>
            </w:r>
            <w:r w:rsidR="00D83B30">
              <w:rPr>
                <w:noProof/>
                <w:webHidden/>
              </w:rPr>
            </w:r>
            <w:r w:rsidR="00D83B30">
              <w:rPr>
                <w:noProof/>
                <w:webHidden/>
              </w:rPr>
              <w:fldChar w:fldCharType="separate"/>
            </w:r>
            <w:r w:rsidR="009673CF">
              <w:rPr>
                <w:noProof/>
                <w:webHidden/>
              </w:rPr>
              <w:t>2</w:t>
            </w:r>
            <w:r w:rsidR="00D83B30">
              <w:rPr>
                <w:noProof/>
                <w:webHidden/>
              </w:rPr>
              <w:fldChar w:fldCharType="end"/>
            </w:r>
          </w:hyperlink>
        </w:p>
        <w:p w:rsidR="00D83B30" w:rsidRDefault="00981F1B">
          <w:pPr>
            <w:pStyle w:val="TOC3"/>
            <w:tabs>
              <w:tab w:val="right" w:leader="dot" w:pos="8630"/>
            </w:tabs>
            <w:rPr>
              <w:noProof/>
            </w:rPr>
          </w:pPr>
          <w:hyperlink w:anchor="_Toc428278476" w:history="1">
            <w:r>
              <w:rPr>
                <w:rStyle w:val="Hyperlink"/>
                <w:noProof/>
              </w:rPr>
              <w:t xml:space="preserve">Establishing Criteria for Gifted and twice-Exceptional Screening </w:t>
            </w:r>
            <w:r w:rsidR="00D83B30">
              <w:rPr>
                <w:noProof/>
                <w:webHidden/>
              </w:rPr>
              <w:tab/>
            </w:r>
            <w:r w:rsidR="00D83B30">
              <w:rPr>
                <w:noProof/>
                <w:webHidden/>
              </w:rPr>
              <w:fldChar w:fldCharType="begin"/>
            </w:r>
            <w:r w:rsidR="00D83B30">
              <w:rPr>
                <w:noProof/>
                <w:webHidden/>
              </w:rPr>
              <w:instrText xml:space="preserve"> PAGEREF _Toc428278476 \h </w:instrText>
            </w:r>
            <w:r w:rsidR="00D83B30">
              <w:rPr>
                <w:noProof/>
                <w:webHidden/>
              </w:rPr>
            </w:r>
            <w:r w:rsidR="00D83B30">
              <w:rPr>
                <w:noProof/>
                <w:webHidden/>
              </w:rPr>
              <w:fldChar w:fldCharType="separate"/>
            </w:r>
            <w:r w:rsidR="009673CF">
              <w:rPr>
                <w:noProof/>
                <w:webHidden/>
              </w:rPr>
              <w:t>2</w:t>
            </w:r>
            <w:r w:rsidR="00D83B30">
              <w:rPr>
                <w:noProof/>
                <w:webHidden/>
              </w:rPr>
              <w:fldChar w:fldCharType="end"/>
            </w:r>
          </w:hyperlink>
        </w:p>
        <w:p w:rsidR="00981F1B" w:rsidRDefault="00981F1B" w:rsidP="00981F1B">
          <w:pPr>
            <w:pStyle w:val="TOC2"/>
            <w:tabs>
              <w:tab w:val="right" w:leader="dot" w:pos="8630"/>
            </w:tabs>
            <w:rPr>
              <w:rFonts w:asciiTheme="minorHAnsi" w:eastAsiaTheme="minorEastAsia" w:hAnsiTheme="minorHAnsi" w:cstheme="minorBidi"/>
              <w:noProof/>
              <w:sz w:val="22"/>
              <w:szCs w:val="22"/>
            </w:rPr>
          </w:pPr>
          <w:hyperlink w:anchor="_Toc428278481" w:history="1">
            <w:r>
              <w:rPr>
                <w:rStyle w:val="Hyperlink"/>
                <w:noProof/>
              </w:rPr>
              <w:t>Measures</w:t>
            </w:r>
            <w:r>
              <w:rPr>
                <w:noProof/>
                <w:webHidden/>
              </w:rPr>
              <w:tab/>
            </w:r>
            <w:r>
              <w:rPr>
                <w:noProof/>
                <w:webHidden/>
              </w:rPr>
              <w:fldChar w:fldCharType="begin"/>
            </w:r>
            <w:r>
              <w:rPr>
                <w:noProof/>
                <w:webHidden/>
              </w:rPr>
              <w:instrText xml:space="preserve"> PAGEREF _Toc428278481 \h </w:instrText>
            </w:r>
            <w:r>
              <w:rPr>
                <w:noProof/>
                <w:webHidden/>
              </w:rPr>
            </w:r>
            <w:r>
              <w:rPr>
                <w:noProof/>
                <w:webHidden/>
              </w:rPr>
              <w:fldChar w:fldCharType="separate"/>
            </w:r>
            <w:r>
              <w:rPr>
                <w:noProof/>
                <w:webHidden/>
              </w:rPr>
              <w:t>5</w:t>
            </w:r>
            <w:r>
              <w:rPr>
                <w:noProof/>
                <w:webHidden/>
              </w:rPr>
              <w:fldChar w:fldCharType="end"/>
            </w:r>
          </w:hyperlink>
        </w:p>
        <w:p w:rsidR="00981F1B" w:rsidRDefault="00981F1B" w:rsidP="00981F1B">
          <w:pPr>
            <w:pStyle w:val="TOC3"/>
            <w:tabs>
              <w:tab w:val="right" w:leader="dot" w:pos="8630"/>
            </w:tabs>
            <w:rPr>
              <w:rFonts w:asciiTheme="minorHAnsi" w:eastAsiaTheme="minorEastAsia" w:hAnsiTheme="minorHAnsi" w:cstheme="minorBidi"/>
              <w:noProof/>
              <w:sz w:val="22"/>
              <w:szCs w:val="22"/>
            </w:rPr>
          </w:pPr>
          <w:hyperlink w:anchor="_Toc428278482" w:history="1">
            <w:r>
              <w:rPr>
                <w:rStyle w:val="Hyperlink"/>
                <w:noProof/>
              </w:rPr>
              <w:t>ACT/SAT Superscores</w:t>
            </w:r>
            <w:r>
              <w:rPr>
                <w:noProof/>
                <w:webHidden/>
              </w:rPr>
              <w:tab/>
            </w:r>
            <w:r>
              <w:rPr>
                <w:noProof/>
                <w:webHidden/>
              </w:rPr>
              <w:fldChar w:fldCharType="begin"/>
            </w:r>
            <w:r>
              <w:rPr>
                <w:noProof/>
                <w:webHidden/>
              </w:rPr>
              <w:instrText xml:space="preserve"> PAGEREF _Toc428278482 \h </w:instrText>
            </w:r>
            <w:r>
              <w:rPr>
                <w:noProof/>
                <w:webHidden/>
              </w:rPr>
            </w:r>
            <w:r>
              <w:rPr>
                <w:noProof/>
                <w:webHidden/>
              </w:rPr>
              <w:fldChar w:fldCharType="separate"/>
            </w:r>
            <w:r>
              <w:rPr>
                <w:noProof/>
                <w:webHidden/>
              </w:rPr>
              <w:t>5</w:t>
            </w:r>
            <w:r>
              <w:rPr>
                <w:noProof/>
                <w:webHidden/>
              </w:rPr>
              <w:fldChar w:fldCharType="end"/>
            </w:r>
          </w:hyperlink>
        </w:p>
        <w:p w:rsidR="00981F1B" w:rsidRDefault="00981F1B" w:rsidP="00981F1B">
          <w:pPr>
            <w:pStyle w:val="TOC3"/>
            <w:tabs>
              <w:tab w:val="right" w:leader="dot" w:pos="8630"/>
            </w:tabs>
            <w:rPr>
              <w:rFonts w:asciiTheme="minorHAnsi" w:eastAsiaTheme="minorEastAsia" w:hAnsiTheme="minorHAnsi" w:cstheme="minorBidi"/>
              <w:noProof/>
              <w:sz w:val="22"/>
              <w:szCs w:val="22"/>
            </w:rPr>
          </w:pPr>
          <w:hyperlink w:anchor="_Toc428278482" w:history="1">
            <w:r>
              <w:rPr>
                <w:rStyle w:val="Hyperlink"/>
                <w:noProof/>
              </w:rPr>
              <w:t>High School GPA</w:t>
            </w:r>
            <w:r>
              <w:rPr>
                <w:noProof/>
                <w:webHidden/>
              </w:rPr>
              <w:tab/>
            </w:r>
            <w:r>
              <w:rPr>
                <w:noProof/>
                <w:webHidden/>
              </w:rPr>
              <w:fldChar w:fldCharType="begin"/>
            </w:r>
            <w:r>
              <w:rPr>
                <w:noProof/>
                <w:webHidden/>
              </w:rPr>
              <w:instrText xml:space="preserve"> PAGEREF _Toc428278482 \h </w:instrText>
            </w:r>
            <w:r>
              <w:rPr>
                <w:noProof/>
                <w:webHidden/>
              </w:rPr>
            </w:r>
            <w:r>
              <w:rPr>
                <w:noProof/>
                <w:webHidden/>
              </w:rPr>
              <w:fldChar w:fldCharType="separate"/>
            </w:r>
            <w:r>
              <w:rPr>
                <w:noProof/>
                <w:webHidden/>
              </w:rPr>
              <w:t>5</w:t>
            </w:r>
            <w:r>
              <w:rPr>
                <w:noProof/>
                <w:webHidden/>
              </w:rPr>
              <w:fldChar w:fldCharType="end"/>
            </w:r>
          </w:hyperlink>
        </w:p>
        <w:p w:rsidR="00981F1B" w:rsidRDefault="00981F1B" w:rsidP="00981F1B">
          <w:pPr>
            <w:pStyle w:val="TOC3"/>
            <w:tabs>
              <w:tab w:val="right" w:leader="dot" w:pos="8630"/>
            </w:tabs>
            <w:rPr>
              <w:rFonts w:asciiTheme="minorHAnsi" w:eastAsiaTheme="minorEastAsia" w:hAnsiTheme="minorHAnsi" w:cstheme="minorBidi"/>
              <w:noProof/>
              <w:sz w:val="22"/>
              <w:szCs w:val="22"/>
            </w:rPr>
          </w:pPr>
          <w:hyperlink w:anchor="_Toc428278482" w:history="1">
            <w:r>
              <w:rPr>
                <w:rStyle w:val="Hyperlink"/>
                <w:noProof/>
              </w:rPr>
              <w:t>College GPA</w:t>
            </w:r>
            <w:r>
              <w:rPr>
                <w:noProof/>
                <w:webHidden/>
              </w:rPr>
              <w:tab/>
            </w:r>
            <w:r>
              <w:rPr>
                <w:noProof/>
                <w:webHidden/>
              </w:rPr>
              <w:fldChar w:fldCharType="begin"/>
            </w:r>
            <w:r>
              <w:rPr>
                <w:noProof/>
                <w:webHidden/>
              </w:rPr>
              <w:instrText xml:space="preserve"> PAGEREF _Toc428278482 \h </w:instrText>
            </w:r>
            <w:r>
              <w:rPr>
                <w:noProof/>
                <w:webHidden/>
              </w:rPr>
            </w:r>
            <w:r>
              <w:rPr>
                <w:noProof/>
                <w:webHidden/>
              </w:rPr>
              <w:fldChar w:fldCharType="separate"/>
            </w:r>
            <w:r>
              <w:rPr>
                <w:noProof/>
                <w:webHidden/>
              </w:rPr>
              <w:t>5</w:t>
            </w:r>
            <w:r>
              <w:rPr>
                <w:noProof/>
                <w:webHidden/>
              </w:rPr>
              <w:fldChar w:fldCharType="end"/>
            </w:r>
          </w:hyperlink>
        </w:p>
        <w:p w:rsidR="00981F1B" w:rsidRDefault="00981F1B" w:rsidP="00981F1B">
          <w:pPr>
            <w:pStyle w:val="TOC3"/>
            <w:tabs>
              <w:tab w:val="right" w:leader="dot" w:pos="8630"/>
            </w:tabs>
            <w:rPr>
              <w:rFonts w:asciiTheme="minorHAnsi" w:eastAsiaTheme="minorEastAsia" w:hAnsiTheme="minorHAnsi" w:cstheme="minorBidi"/>
              <w:noProof/>
              <w:sz w:val="22"/>
              <w:szCs w:val="22"/>
            </w:rPr>
          </w:pPr>
          <w:hyperlink w:anchor="_Toc428278482" w:history="1">
            <w:r>
              <w:rPr>
                <w:rStyle w:val="Hyperlink"/>
                <w:noProof/>
              </w:rPr>
              <w:t>First Year Retention</w:t>
            </w:r>
            <w:r>
              <w:rPr>
                <w:noProof/>
                <w:webHidden/>
              </w:rPr>
              <w:tab/>
            </w:r>
            <w:r>
              <w:rPr>
                <w:noProof/>
                <w:webHidden/>
              </w:rPr>
              <w:fldChar w:fldCharType="begin"/>
            </w:r>
            <w:r>
              <w:rPr>
                <w:noProof/>
                <w:webHidden/>
              </w:rPr>
              <w:instrText xml:space="preserve"> PAGEREF _Toc428278482 \h </w:instrText>
            </w:r>
            <w:r>
              <w:rPr>
                <w:noProof/>
                <w:webHidden/>
              </w:rPr>
            </w:r>
            <w:r>
              <w:rPr>
                <w:noProof/>
                <w:webHidden/>
              </w:rPr>
              <w:fldChar w:fldCharType="separate"/>
            </w:r>
            <w:r>
              <w:rPr>
                <w:noProof/>
                <w:webHidden/>
              </w:rPr>
              <w:t>5</w:t>
            </w:r>
            <w:r>
              <w:rPr>
                <w:noProof/>
                <w:webHidden/>
              </w:rPr>
              <w:fldChar w:fldCharType="end"/>
            </w:r>
          </w:hyperlink>
        </w:p>
        <w:p w:rsidR="00981F1B" w:rsidRDefault="00981F1B" w:rsidP="00981F1B">
          <w:pPr>
            <w:pStyle w:val="TOC3"/>
            <w:tabs>
              <w:tab w:val="right" w:leader="dot" w:pos="8630"/>
            </w:tabs>
            <w:rPr>
              <w:rFonts w:asciiTheme="minorHAnsi" w:eastAsiaTheme="minorEastAsia" w:hAnsiTheme="minorHAnsi" w:cstheme="minorBidi"/>
              <w:noProof/>
              <w:sz w:val="22"/>
              <w:szCs w:val="22"/>
            </w:rPr>
          </w:pPr>
          <w:hyperlink w:anchor="_Toc428278482" w:history="1">
            <w:r>
              <w:rPr>
                <w:rStyle w:val="Hyperlink"/>
                <w:noProof/>
              </w:rPr>
              <w:t>Graduation</w:t>
            </w:r>
            <w:r>
              <w:rPr>
                <w:noProof/>
                <w:webHidden/>
              </w:rPr>
              <w:tab/>
            </w:r>
            <w:r>
              <w:rPr>
                <w:noProof/>
                <w:webHidden/>
              </w:rPr>
              <w:fldChar w:fldCharType="begin"/>
            </w:r>
            <w:r>
              <w:rPr>
                <w:noProof/>
                <w:webHidden/>
              </w:rPr>
              <w:instrText xml:space="preserve"> PAGEREF _Toc428278482 \h </w:instrText>
            </w:r>
            <w:r>
              <w:rPr>
                <w:noProof/>
                <w:webHidden/>
              </w:rPr>
            </w:r>
            <w:r>
              <w:rPr>
                <w:noProof/>
                <w:webHidden/>
              </w:rPr>
              <w:fldChar w:fldCharType="separate"/>
            </w:r>
            <w:r>
              <w:rPr>
                <w:noProof/>
                <w:webHidden/>
              </w:rPr>
              <w:t>5</w:t>
            </w:r>
            <w:r>
              <w:rPr>
                <w:noProof/>
                <w:webHidden/>
              </w:rPr>
              <w:fldChar w:fldCharType="end"/>
            </w:r>
          </w:hyperlink>
        </w:p>
        <w:p w:rsidR="00981F1B" w:rsidRDefault="00981F1B" w:rsidP="00981F1B">
          <w:pPr>
            <w:pStyle w:val="TOC3"/>
            <w:tabs>
              <w:tab w:val="right" w:leader="dot" w:pos="8630"/>
            </w:tabs>
            <w:rPr>
              <w:rFonts w:asciiTheme="minorHAnsi" w:eastAsiaTheme="minorEastAsia" w:hAnsiTheme="minorHAnsi" w:cstheme="minorBidi"/>
              <w:noProof/>
              <w:sz w:val="22"/>
              <w:szCs w:val="22"/>
            </w:rPr>
          </w:pPr>
          <w:hyperlink w:anchor="_Toc428278482" w:history="1">
            <w:r>
              <w:rPr>
                <w:rStyle w:val="Hyperlink"/>
                <w:noProof/>
              </w:rPr>
              <w:t xml:space="preserve">Major Declaration </w:t>
            </w:r>
            <w:r>
              <w:rPr>
                <w:noProof/>
                <w:webHidden/>
              </w:rPr>
              <w:tab/>
            </w:r>
            <w:r>
              <w:rPr>
                <w:noProof/>
                <w:webHidden/>
              </w:rPr>
              <w:fldChar w:fldCharType="begin"/>
            </w:r>
            <w:r>
              <w:rPr>
                <w:noProof/>
                <w:webHidden/>
              </w:rPr>
              <w:instrText xml:space="preserve"> PAGEREF _Toc428278482 \h </w:instrText>
            </w:r>
            <w:r>
              <w:rPr>
                <w:noProof/>
                <w:webHidden/>
              </w:rPr>
            </w:r>
            <w:r>
              <w:rPr>
                <w:noProof/>
                <w:webHidden/>
              </w:rPr>
              <w:fldChar w:fldCharType="separate"/>
            </w:r>
            <w:r>
              <w:rPr>
                <w:noProof/>
                <w:webHidden/>
              </w:rPr>
              <w:t>5</w:t>
            </w:r>
            <w:r>
              <w:rPr>
                <w:noProof/>
                <w:webHidden/>
              </w:rPr>
              <w:fldChar w:fldCharType="end"/>
            </w:r>
          </w:hyperlink>
        </w:p>
        <w:p w:rsidR="00981F1B" w:rsidRDefault="00981F1B" w:rsidP="00981F1B">
          <w:pPr>
            <w:pStyle w:val="TOC3"/>
            <w:tabs>
              <w:tab w:val="right" w:leader="dot" w:pos="8630"/>
            </w:tabs>
            <w:rPr>
              <w:rFonts w:asciiTheme="minorHAnsi" w:eastAsiaTheme="minorEastAsia" w:hAnsiTheme="minorHAnsi" w:cstheme="minorBidi"/>
              <w:noProof/>
              <w:sz w:val="22"/>
              <w:szCs w:val="22"/>
            </w:rPr>
          </w:pPr>
          <w:r>
            <w:rPr>
              <w:noProof/>
            </w:rPr>
            <w:t xml:space="preserve">    </w:t>
          </w:r>
          <w:hyperlink w:anchor="_Toc428278482" w:history="1">
            <w:r>
              <w:rPr>
                <w:rStyle w:val="Hyperlink"/>
                <w:noProof/>
              </w:rPr>
              <w:t>Declaring Major in Line with Strength</w:t>
            </w:r>
            <w:r>
              <w:rPr>
                <w:noProof/>
                <w:webHidden/>
              </w:rPr>
              <w:tab/>
            </w:r>
            <w:r>
              <w:rPr>
                <w:noProof/>
                <w:webHidden/>
              </w:rPr>
              <w:fldChar w:fldCharType="begin"/>
            </w:r>
            <w:r>
              <w:rPr>
                <w:noProof/>
                <w:webHidden/>
              </w:rPr>
              <w:instrText xml:space="preserve"> PAGEREF _Toc428278482 \h </w:instrText>
            </w:r>
            <w:r>
              <w:rPr>
                <w:noProof/>
                <w:webHidden/>
              </w:rPr>
            </w:r>
            <w:r>
              <w:rPr>
                <w:noProof/>
                <w:webHidden/>
              </w:rPr>
              <w:fldChar w:fldCharType="separate"/>
            </w:r>
            <w:r>
              <w:rPr>
                <w:noProof/>
                <w:webHidden/>
              </w:rPr>
              <w:t>5</w:t>
            </w:r>
            <w:r>
              <w:rPr>
                <w:noProof/>
                <w:webHidden/>
              </w:rPr>
              <w:fldChar w:fldCharType="end"/>
            </w:r>
          </w:hyperlink>
        </w:p>
        <w:p w:rsidR="00981F1B" w:rsidRDefault="00981F1B" w:rsidP="00981F1B">
          <w:pPr>
            <w:pStyle w:val="TOC2"/>
            <w:tabs>
              <w:tab w:val="right" w:leader="dot" w:pos="8630"/>
            </w:tabs>
            <w:rPr>
              <w:rFonts w:asciiTheme="minorHAnsi" w:eastAsiaTheme="minorEastAsia" w:hAnsiTheme="minorHAnsi" w:cstheme="minorBidi"/>
              <w:noProof/>
              <w:sz w:val="22"/>
              <w:szCs w:val="22"/>
            </w:rPr>
          </w:pPr>
          <w:hyperlink w:anchor="_Toc428278478" w:history="1">
            <w:r>
              <w:rPr>
                <w:rStyle w:val="Hyperlink"/>
                <w:noProof/>
              </w:rPr>
              <w:t xml:space="preserve">Plan for Data Analysis </w:t>
            </w:r>
            <w:r>
              <w:rPr>
                <w:noProof/>
                <w:webHidden/>
              </w:rPr>
              <w:tab/>
            </w:r>
            <w:r>
              <w:rPr>
                <w:noProof/>
                <w:webHidden/>
              </w:rPr>
              <w:fldChar w:fldCharType="begin"/>
            </w:r>
            <w:r>
              <w:rPr>
                <w:noProof/>
                <w:webHidden/>
              </w:rPr>
              <w:instrText xml:space="preserve"> PAGEREF _Toc428278478 \h </w:instrText>
            </w:r>
            <w:r>
              <w:rPr>
                <w:noProof/>
                <w:webHidden/>
              </w:rPr>
            </w:r>
            <w:r>
              <w:rPr>
                <w:noProof/>
                <w:webHidden/>
              </w:rPr>
              <w:fldChar w:fldCharType="separate"/>
            </w:r>
            <w:r>
              <w:rPr>
                <w:noProof/>
                <w:webHidden/>
              </w:rPr>
              <w:t>5</w:t>
            </w:r>
            <w:r>
              <w:rPr>
                <w:noProof/>
                <w:webHidden/>
              </w:rPr>
              <w:fldChar w:fldCharType="end"/>
            </w:r>
          </w:hyperlink>
        </w:p>
        <w:p w:rsidR="00981F1B" w:rsidRDefault="00981F1B">
          <w:pPr>
            <w:pStyle w:val="TOC1"/>
            <w:tabs>
              <w:tab w:val="right" w:leader="dot" w:pos="8630"/>
            </w:tabs>
            <w:rPr>
              <w:noProof/>
            </w:rPr>
          </w:pPr>
          <w:r w:rsidRPr="00981F1B">
            <w:rPr>
              <w:noProof/>
            </w:rPr>
            <w:t>List of References</w:t>
          </w:r>
          <w:r w:rsidRPr="00981F1B">
            <w:rPr>
              <w:noProof/>
              <w:webHidden/>
            </w:rPr>
            <w:tab/>
          </w:r>
          <w:r w:rsidRPr="00981F1B">
            <w:rPr>
              <w:noProof/>
              <w:webHidden/>
            </w:rPr>
            <w:fldChar w:fldCharType="begin"/>
          </w:r>
          <w:r w:rsidRPr="00981F1B">
            <w:rPr>
              <w:noProof/>
              <w:webHidden/>
            </w:rPr>
            <w:instrText xml:space="preserve"> PAGEREF _Toc428278488 \h </w:instrText>
          </w:r>
          <w:r w:rsidRPr="00981F1B">
            <w:rPr>
              <w:noProof/>
              <w:webHidden/>
            </w:rPr>
          </w:r>
          <w:r w:rsidRPr="00981F1B">
            <w:rPr>
              <w:noProof/>
              <w:webHidden/>
            </w:rPr>
            <w:fldChar w:fldCharType="separate"/>
          </w:r>
          <w:r w:rsidRPr="00981F1B">
            <w:rPr>
              <w:noProof/>
              <w:webHidden/>
            </w:rPr>
            <w:t>9</w:t>
          </w:r>
          <w:r w:rsidRPr="00981F1B">
            <w:rPr>
              <w:noProof/>
              <w:webHidden/>
            </w:rPr>
            <w:fldChar w:fldCharType="end"/>
          </w:r>
        </w:p>
        <w:p w:rsidR="00981F1B" w:rsidRDefault="00981F1B">
          <w:pPr>
            <w:pStyle w:val="TOC1"/>
            <w:tabs>
              <w:tab w:val="right" w:leader="dot" w:pos="8630"/>
            </w:tabs>
            <w:rPr>
              <w:noProof/>
            </w:rPr>
          </w:pPr>
        </w:p>
        <w:p w:rsidR="00D83B30" w:rsidRDefault="00981F1B">
          <w:pPr>
            <w:pStyle w:val="TOC1"/>
            <w:tabs>
              <w:tab w:val="right" w:leader="dot" w:pos="8630"/>
            </w:tabs>
            <w:rPr>
              <w:rFonts w:asciiTheme="minorHAnsi" w:eastAsiaTheme="minorEastAsia" w:hAnsiTheme="minorHAnsi" w:cstheme="minorBidi"/>
              <w:noProof/>
              <w:sz w:val="22"/>
              <w:szCs w:val="22"/>
            </w:rPr>
          </w:pPr>
          <w:hyperlink w:anchor="_Toc428278477" w:history="1">
            <w:r w:rsidR="00D83B30" w:rsidRPr="00CB305B">
              <w:rPr>
                <w:rStyle w:val="Hyperlink"/>
                <w:noProof/>
              </w:rPr>
              <w:t>Chapter Three Materials and Methods</w:t>
            </w:r>
            <w:r w:rsidR="00D83B30">
              <w:rPr>
                <w:noProof/>
                <w:webHidden/>
              </w:rPr>
              <w:tab/>
            </w:r>
            <w:r w:rsidR="00D83B30">
              <w:rPr>
                <w:noProof/>
                <w:webHidden/>
              </w:rPr>
              <w:fldChar w:fldCharType="begin"/>
            </w:r>
            <w:r w:rsidR="00D83B30">
              <w:rPr>
                <w:noProof/>
                <w:webHidden/>
              </w:rPr>
              <w:instrText xml:space="preserve"> PAGEREF _Toc428278477 \h </w:instrText>
            </w:r>
            <w:r w:rsidR="00D83B30">
              <w:rPr>
                <w:noProof/>
                <w:webHidden/>
              </w:rPr>
            </w:r>
            <w:r w:rsidR="00D83B30">
              <w:rPr>
                <w:noProof/>
                <w:webHidden/>
              </w:rPr>
              <w:fldChar w:fldCharType="separate"/>
            </w:r>
            <w:r w:rsidR="009673CF">
              <w:rPr>
                <w:noProof/>
                <w:webHidden/>
              </w:rPr>
              <w:t>5</w:t>
            </w:r>
            <w:r w:rsidR="00D83B30">
              <w:rPr>
                <w:noProof/>
                <w:webHidden/>
              </w:rPr>
              <w:fldChar w:fldCharType="end"/>
            </w:r>
          </w:hyperlink>
        </w:p>
        <w:p w:rsidR="00D83B30" w:rsidRDefault="00981F1B">
          <w:pPr>
            <w:pStyle w:val="TOC2"/>
            <w:tabs>
              <w:tab w:val="right" w:leader="dot" w:pos="8630"/>
            </w:tabs>
            <w:rPr>
              <w:rFonts w:asciiTheme="minorHAnsi" w:eastAsiaTheme="minorEastAsia" w:hAnsiTheme="minorHAnsi" w:cstheme="minorBidi"/>
              <w:noProof/>
              <w:sz w:val="22"/>
              <w:szCs w:val="22"/>
            </w:rPr>
          </w:pPr>
          <w:hyperlink w:anchor="_Toc428278478"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_Toc428278478 \h </w:instrText>
            </w:r>
            <w:r w:rsidR="00D83B30">
              <w:rPr>
                <w:noProof/>
                <w:webHidden/>
              </w:rPr>
            </w:r>
            <w:r w:rsidR="00D83B30">
              <w:rPr>
                <w:noProof/>
                <w:webHidden/>
              </w:rPr>
              <w:fldChar w:fldCharType="separate"/>
            </w:r>
            <w:r w:rsidR="009673CF">
              <w:rPr>
                <w:noProof/>
                <w:webHidden/>
              </w:rPr>
              <w:t>5</w:t>
            </w:r>
            <w:r w:rsidR="00D83B30">
              <w:rPr>
                <w:noProof/>
                <w:webHidden/>
              </w:rPr>
              <w:fldChar w:fldCharType="end"/>
            </w:r>
          </w:hyperlink>
        </w:p>
        <w:p w:rsidR="00D83B30" w:rsidRDefault="00981F1B">
          <w:pPr>
            <w:pStyle w:val="TOC3"/>
            <w:tabs>
              <w:tab w:val="right" w:leader="dot" w:pos="8630"/>
            </w:tabs>
            <w:rPr>
              <w:rFonts w:asciiTheme="minorHAnsi" w:eastAsiaTheme="minorEastAsia" w:hAnsiTheme="minorHAnsi" w:cstheme="minorBidi"/>
              <w:noProof/>
              <w:sz w:val="22"/>
              <w:szCs w:val="22"/>
            </w:rPr>
          </w:pPr>
          <w:hyperlink w:anchor="_Toc428278479"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_Toc428278479 \h </w:instrText>
            </w:r>
            <w:r w:rsidR="00D83B30">
              <w:rPr>
                <w:noProof/>
                <w:webHidden/>
              </w:rPr>
            </w:r>
            <w:r w:rsidR="00D83B30">
              <w:rPr>
                <w:noProof/>
                <w:webHidden/>
              </w:rPr>
              <w:fldChar w:fldCharType="separate"/>
            </w:r>
            <w:r w:rsidR="009673CF">
              <w:rPr>
                <w:noProof/>
                <w:webHidden/>
              </w:rPr>
              <w:t>5</w:t>
            </w:r>
            <w:r w:rsidR="00D83B30">
              <w:rPr>
                <w:noProof/>
                <w:webHidden/>
              </w:rPr>
              <w:fldChar w:fldCharType="end"/>
            </w:r>
          </w:hyperlink>
        </w:p>
        <w:p w:rsidR="00D83B30" w:rsidRDefault="00981F1B">
          <w:pPr>
            <w:pStyle w:val="TOC3"/>
            <w:tabs>
              <w:tab w:val="right" w:leader="dot" w:pos="8630"/>
            </w:tabs>
            <w:rPr>
              <w:rFonts w:asciiTheme="minorHAnsi" w:eastAsiaTheme="minorEastAsia" w:hAnsiTheme="minorHAnsi" w:cstheme="minorBidi"/>
              <w:noProof/>
              <w:sz w:val="22"/>
              <w:szCs w:val="22"/>
            </w:rPr>
          </w:pPr>
          <w:hyperlink w:anchor="_Toc428278480"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_Toc428278480 \h </w:instrText>
            </w:r>
            <w:r w:rsidR="00D83B30">
              <w:rPr>
                <w:noProof/>
                <w:webHidden/>
              </w:rPr>
            </w:r>
            <w:r w:rsidR="00D83B30">
              <w:rPr>
                <w:noProof/>
                <w:webHidden/>
              </w:rPr>
              <w:fldChar w:fldCharType="separate"/>
            </w:r>
            <w:r w:rsidR="009673CF">
              <w:rPr>
                <w:noProof/>
                <w:webHidden/>
              </w:rPr>
              <w:t>5</w:t>
            </w:r>
            <w:r w:rsidR="00D83B30">
              <w:rPr>
                <w:noProof/>
                <w:webHidden/>
              </w:rPr>
              <w:fldChar w:fldCharType="end"/>
            </w:r>
          </w:hyperlink>
        </w:p>
        <w:p w:rsidR="00D83B30" w:rsidRDefault="00981F1B">
          <w:pPr>
            <w:pStyle w:val="TOC2"/>
            <w:tabs>
              <w:tab w:val="right" w:leader="dot" w:pos="8630"/>
            </w:tabs>
            <w:rPr>
              <w:rFonts w:asciiTheme="minorHAnsi" w:eastAsiaTheme="minorEastAsia" w:hAnsiTheme="minorHAnsi" w:cstheme="minorBidi"/>
              <w:noProof/>
              <w:sz w:val="22"/>
              <w:szCs w:val="22"/>
            </w:rPr>
          </w:pPr>
          <w:hyperlink w:anchor="_Toc428278481"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_Toc428278481 \h </w:instrText>
            </w:r>
            <w:r w:rsidR="00D83B30">
              <w:rPr>
                <w:noProof/>
                <w:webHidden/>
              </w:rPr>
            </w:r>
            <w:r w:rsidR="00D83B30">
              <w:rPr>
                <w:noProof/>
                <w:webHidden/>
              </w:rPr>
              <w:fldChar w:fldCharType="separate"/>
            </w:r>
            <w:r w:rsidR="009673CF">
              <w:rPr>
                <w:noProof/>
                <w:webHidden/>
              </w:rPr>
              <w:t>5</w:t>
            </w:r>
            <w:r w:rsidR="00D83B30">
              <w:rPr>
                <w:noProof/>
                <w:webHidden/>
              </w:rPr>
              <w:fldChar w:fldCharType="end"/>
            </w:r>
          </w:hyperlink>
        </w:p>
        <w:p w:rsidR="00D83B30" w:rsidRDefault="00981F1B">
          <w:pPr>
            <w:pStyle w:val="TOC3"/>
            <w:tabs>
              <w:tab w:val="right" w:leader="dot" w:pos="8630"/>
            </w:tabs>
            <w:rPr>
              <w:rFonts w:asciiTheme="minorHAnsi" w:eastAsiaTheme="minorEastAsia" w:hAnsiTheme="minorHAnsi" w:cstheme="minorBidi"/>
              <w:noProof/>
              <w:sz w:val="22"/>
              <w:szCs w:val="22"/>
            </w:rPr>
          </w:pPr>
          <w:hyperlink w:anchor="_Toc428278482"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_Toc428278482 \h </w:instrText>
            </w:r>
            <w:r w:rsidR="00D83B30">
              <w:rPr>
                <w:noProof/>
                <w:webHidden/>
              </w:rPr>
            </w:r>
            <w:r w:rsidR="00D83B30">
              <w:rPr>
                <w:noProof/>
                <w:webHidden/>
              </w:rPr>
              <w:fldChar w:fldCharType="separate"/>
            </w:r>
            <w:r w:rsidR="009673CF">
              <w:rPr>
                <w:noProof/>
                <w:webHidden/>
              </w:rPr>
              <w:t>5</w:t>
            </w:r>
            <w:r w:rsidR="00D83B30">
              <w:rPr>
                <w:noProof/>
                <w:webHidden/>
              </w:rPr>
              <w:fldChar w:fldCharType="end"/>
            </w:r>
          </w:hyperlink>
        </w:p>
        <w:p w:rsidR="00D83B30" w:rsidRDefault="00981F1B">
          <w:pPr>
            <w:pStyle w:val="TOC3"/>
            <w:tabs>
              <w:tab w:val="right" w:leader="dot" w:pos="8630"/>
            </w:tabs>
            <w:rPr>
              <w:rFonts w:asciiTheme="minorHAnsi" w:eastAsiaTheme="minorEastAsia" w:hAnsiTheme="minorHAnsi" w:cstheme="minorBidi"/>
              <w:noProof/>
              <w:sz w:val="22"/>
              <w:szCs w:val="22"/>
            </w:rPr>
          </w:pPr>
          <w:hyperlink w:anchor="_Toc428278483"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_Toc428278483 \h </w:instrText>
            </w:r>
            <w:r w:rsidR="00D83B30">
              <w:rPr>
                <w:noProof/>
                <w:webHidden/>
              </w:rPr>
            </w:r>
            <w:r w:rsidR="00D83B30">
              <w:rPr>
                <w:noProof/>
                <w:webHidden/>
              </w:rPr>
              <w:fldChar w:fldCharType="separate"/>
            </w:r>
            <w:r w:rsidR="009673CF">
              <w:rPr>
                <w:noProof/>
                <w:webHidden/>
              </w:rPr>
              <w:t>5</w:t>
            </w:r>
            <w:r w:rsidR="00D83B30">
              <w:rPr>
                <w:noProof/>
                <w:webHidden/>
              </w:rPr>
              <w:fldChar w:fldCharType="end"/>
            </w:r>
          </w:hyperlink>
        </w:p>
        <w:p w:rsidR="00D83B30" w:rsidRDefault="00981F1B">
          <w:pPr>
            <w:pStyle w:val="TOC2"/>
            <w:tabs>
              <w:tab w:val="right" w:leader="dot" w:pos="8630"/>
            </w:tabs>
            <w:rPr>
              <w:rFonts w:asciiTheme="minorHAnsi" w:eastAsiaTheme="minorEastAsia" w:hAnsiTheme="minorHAnsi" w:cstheme="minorBidi"/>
              <w:noProof/>
              <w:sz w:val="22"/>
              <w:szCs w:val="22"/>
            </w:rPr>
          </w:pPr>
          <w:hyperlink w:anchor="_Toc428278484"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_Toc428278484 \h </w:instrText>
            </w:r>
            <w:r w:rsidR="00D83B30">
              <w:rPr>
                <w:noProof/>
                <w:webHidden/>
              </w:rPr>
            </w:r>
            <w:r w:rsidR="00D83B30">
              <w:rPr>
                <w:noProof/>
                <w:webHidden/>
              </w:rPr>
              <w:fldChar w:fldCharType="separate"/>
            </w:r>
            <w:r w:rsidR="009673CF">
              <w:rPr>
                <w:noProof/>
                <w:webHidden/>
              </w:rPr>
              <w:t>5</w:t>
            </w:r>
            <w:r w:rsidR="00D83B30">
              <w:rPr>
                <w:noProof/>
                <w:webHidden/>
              </w:rPr>
              <w:fldChar w:fldCharType="end"/>
            </w:r>
          </w:hyperlink>
        </w:p>
        <w:p w:rsidR="00D83B30" w:rsidRDefault="00981F1B">
          <w:pPr>
            <w:pStyle w:val="TOC1"/>
            <w:tabs>
              <w:tab w:val="right" w:leader="dot" w:pos="8630"/>
            </w:tabs>
            <w:rPr>
              <w:rFonts w:asciiTheme="minorHAnsi" w:eastAsiaTheme="minorEastAsia" w:hAnsiTheme="minorHAnsi" w:cstheme="minorBidi"/>
              <w:noProof/>
              <w:sz w:val="22"/>
              <w:szCs w:val="22"/>
            </w:rPr>
          </w:pPr>
          <w:hyperlink w:anchor="_Toc428278485" w:history="1">
            <w:r w:rsidR="00D83B30" w:rsidRPr="00CB305B">
              <w:rPr>
                <w:rStyle w:val="Hyperlink"/>
                <w:noProof/>
              </w:rPr>
              <w:t>Chapter Four Results and Discussion</w:t>
            </w:r>
            <w:r w:rsidR="00D83B30">
              <w:rPr>
                <w:noProof/>
                <w:webHidden/>
              </w:rPr>
              <w:tab/>
            </w:r>
            <w:r w:rsidR="00D83B30">
              <w:rPr>
                <w:noProof/>
                <w:webHidden/>
              </w:rPr>
              <w:fldChar w:fldCharType="begin"/>
            </w:r>
            <w:r w:rsidR="00D83B30">
              <w:rPr>
                <w:noProof/>
                <w:webHidden/>
              </w:rPr>
              <w:instrText xml:space="preserve"> PAGEREF _Toc428278485 \h </w:instrText>
            </w:r>
            <w:r w:rsidR="00D83B30">
              <w:rPr>
                <w:noProof/>
                <w:webHidden/>
              </w:rPr>
            </w:r>
            <w:r w:rsidR="00D83B30">
              <w:rPr>
                <w:noProof/>
                <w:webHidden/>
              </w:rPr>
              <w:fldChar w:fldCharType="separate"/>
            </w:r>
            <w:r w:rsidR="009673CF">
              <w:rPr>
                <w:noProof/>
                <w:webHidden/>
              </w:rPr>
              <w:t>7</w:t>
            </w:r>
            <w:r w:rsidR="00D83B30">
              <w:rPr>
                <w:noProof/>
                <w:webHidden/>
              </w:rPr>
              <w:fldChar w:fldCharType="end"/>
            </w:r>
          </w:hyperlink>
        </w:p>
        <w:p w:rsidR="00D83B30" w:rsidRDefault="00981F1B">
          <w:pPr>
            <w:pStyle w:val="TOC2"/>
            <w:tabs>
              <w:tab w:val="right" w:leader="dot" w:pos="8630"/>
            </w:tabs>
            <w:rPr>
              <w:rFonts w:asciiTheme="minorHAnsi" w:eastAsiaTheme="minorEastAsia" w:hAnsiTheme="minorHAnsi" w:cstheme="minorBidi"/>
              <w:noProof/>
              <w:sz w:val="22"/>
              <w:szCs w:val="22"/>
            </w:rPr>
          </w:pPr>
          <w:hyperlink w:anchor="_Toc428278486"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_Toc428278486 \h </w:instrText>
            </w:r>
            <w:r w:rsidR="00D83B30">
              <w:rPr>
                <w:noProof/>
                <w:webHidden/>
              </w:rPr>
            </w:r>
            <w:r w:rsidR="00D83B30">
              <w:rPr>
                <w:noProof/>
                <w:webHidden/>
              </w:rPr>
              <w:fldChar w:fldCharType="separate"/>
            </w:r>
            <w:r w:rsidR="009673CF">
              <w:rPr>
                <w:noProof/>
                <w:webHidden/>
              </w:rPr>
              <w:t>7</w:t>
            </w:r>
            <w:r w:rsidR="00D83B30">
              <w:rPr>
                <w:noProof/>
                <w:webHidden/>
              </w:rPr>
              <w:fldChar w:fldCharType="end"/>
            </w:r>
          </w:hyperlink>
        </w:p>
        <w:p w:rsidR="00D83B30" w:rsidRDefault="00981F1B">
          <w:pPr>
            <w:pStyle w:val="TOC1"/>
            <w:tabs>
              <w:tab w:val="right" w:leader="dot" w:pos="8630"/>
            </w:tabs>
            <w:rPr>
              <w:rFonts w:asciiTheme="minorHAnsi" w:eastAsiaTheme="minorEastAsia" w:hAnsiTheme="minorHAnsi" w:cstheme="minorBidi"/>
              <w:noProof/>
              <w:sz w:val="22"/>
              <w:szCs w:val="22"/>
            </w:rPr>
          </w:pPr>
          <w:hyperlink w:anchor="_Toc428278487" w:history="1">
            <w:r w:rsidR="00D83B30" w:rsidRPr="00CB305B">
              <w:rPr>
                <w:rStyle w:val="Hyperlink"/>
                <w:noProof/>
              </w:rPr>
              <w:t>Chapter Five Conclusions and Recommendations</w:t>
            </w:r>
            <w:r w:rsidR="00D83B30">
              <w:rPr>
                <w:noProof/>
                <w:webHidden/>
              </w:rPr>
              <w:tab/>
            </w:r>
            <w:r w:rsidR="00D83B30">
              <w:rPr>
                <w:noProof/>
                <w:webHidden/>
              </w:rPr>
              <w:fldChar w:fldCharType="begin"/>
            </w:r>
            <w:r w:rsidR="00D83B30">
              <w:rPr>
                <w:noProof/>
                <w:webHidden/>
              </w:rPr>
              <w:instrText xml:space="preserve"> PAGEREF _Toc428278487 \h </w:instrText>
            </w:r>
            <w:r w:rsidR="00D83B30">
              <w:rPr>
                <w:noProof/>
                <w:webHidden/>
              </w:rPr>
            </w:r>
            <w:r w:rsidR="00D83B30">
              <w:rPr>
                <w:noProof/>
                <w:webHidden/>
              </w:rPr>
              <w:fldChar w:fldCharType="separate"/>
            </w:r>
            <w:r w:rsidR="009673CF">
              <w:rPr>
                <w:noProof/>
                <w:webHidden/>
              </w:rPr>
              <w:t>8</w:t>
            </w:r>
            <w:r w:rsidR="00D83B30">
              <w:rPr>
                <w:noProof/>
                <w:webHidden/>
              </w:rPr>
              <w:fldChar w:fldCharType="end"/>
            </w:r>
          </w:hyperlink>
        </w:p>
        <w:p w:rsidR="00D83B30" w:rsidRDefault="00981F1B">
          <w:pPr>
            <w:pStyle w:val="TOC1"/>
            <w:tabs>
              <w:tab w:val="right" w:leader="dot" w:pos="8630"/>
            </w:tabs>
            <w:rPr>
              <w:rFonts w:asciiTheme="minorHAnsi" w:eastAsiaTheme="minorEastAsia" w:hAnsiTheme="minorHAnsi" w:cstheme="minorBidi"/>
              <w:noProof/>
              <w:sz w:val="22"/>
              <w:szCs w:val="22"/>
            </w:rPr>
          </w:pPr>
          <w:hyperlink w:anchor="_Toc428278488" w:history="1"/>
        </w:p>
        <w:p w:rsidR="00D83B30" w:rsidRDefault="00981F1B">
          <w:pPr>
            <w:pStyle w:val="TOC1"/>
            <w:tabs>
              <w:tab w:val="right" w:leader="dot" w:pos="8630"/>
            </w:tabs>
            <w:rPr>
              <w:rFonts w:asciiTheme="minorHAnsi" w:eastAsiaTheme="minorEastAsia" w:hAnsiTheme="minorHAnsi" w:cstheme="minorBidi"/>
              <w:noProof/>
              <w:sz w:val="22"/>
              <w:szCs w:val="22"/>
            </w:rPr>
          </w:pPr>
          <w:hyperlink w:anchor="_Toc428278489" w:history="1">
            <w:r w:rsidR="00D83B30" w:rsidRPr="00CB305B">
              <w:rPr>
                <w:rStyle w:val="Hyperlink"/>
                <w:noProof/>
              </w:rPr>
              <w:t>Appendix</w:t>
            </w:r>
            <w:r w:rsidR="00D83B30">
              <w:rPr>
                <w:noProof/>
                <w:webHidden/>
              </w:rPr>
              <w:tab/>
            </w:r>
            <w:r w:rsidR="00D83B30">
              <w:rPr>
                <w:noProof/>
                <w:webHidden/>
              </w:rPr>
              <w:fldChar w:fldCharType="begin"/>
            </w:r>
            <w:r w:rsidR="00D83B30">
              <w:rPr>
                <w:noProof/>
                <w:webHidden/>
              </w:rPr>
              <w:instrText xml:space="preserve"> PAGEREF _Toc428278489 \h </w:instrText>
            </w:r>
            <w:r w:rsidR="00D83B30">
              <w:rPr>
                <w:noProof/>
                <w:webHidden/>
              </w:rPr>
            </w:r>
            <w:r w:rsidR="00D83B30">
              <w:rPr>
                <w:noProof/>
                <w:webHidden/>
              </w:rPr>
              <w:fldChar w:fldCharType="separate"/>
            </w:r>
            <w:r w:rsidR="009673CF">
              <w:rPr>
                <w:noProof/>
                <w:webHidden/>
              </w:rPr>
              <w:t>11</w:t>
            </w:r>
            <w:r w:rsidR="00D83B30">
              <w:rPr>
                <w:noProof/>
                <w:webHidden/>
              </w:rPr>
              <w:fldChar w:fldCharType="end"/>
            </w:r>
          </w:hyperlink>
        </w:p>
        <w:p w:rsidR="00D83B30" w:rsidRDefault="00981F1B">
          <w:pPr>
            <w:pStyle w:val="TOC1"/>
            <w:tabs>
              <w:tab w:val="right" w:leader="dot" w:pos="8630"/>
            </w:tabs>
            <w:rPr>
              <w:rFonts w:asciiTheme="minorHAnsi" w:eastAsiaTheme="minorEastAsia" w:hAnsiTheme="minorHAnsi" w:cstheme="minorBidi"/>
              <w:noProof/>
              <w:sz w:val="22"/>
              <w:szCs w:val="22"/>
            </w:rPr>
          </w:pPr>
          <w:hyperlink w:anchor="_Toc428278490" w:history="1">
            <w:r w:rsidR="00D83B30" w:rsidRPr="00CB305B">
              <w:rPr>
                <w:rStyle w:val="Hyperlink"/>
                <w:noProof/>
              </w:rPr>
              <w:t>Vita</w:t>
            </w:r>
            <w:r w:rsidR="00D83B30">
              <w:rPr>
                <w:noProof/>
                <w:webHidden/>
              </w:rPr>
              <w:tab/>
            </w:r>
            <w:r w:rsidR="00D83B30">
              <w:rPr>
                <w:noProof/>
                <w:webHidden/>
              </w:rPr>
              <w:fldChar w:fldCharType="begin"/>
            </w:r>
            <w:r w:rsidR="00D83B30">
              <w:rPr>
                <w:noProof/>
                <w:webHidden/>
              </w:rPr>
              <w:instrText xml:space="preserve"> PAGEREF _Toc428278490 \h </w:instrText>
            </w:r>
            <w:r w:rsidR="00D83B30">
              <w:rPr>
                <w:noProof/>
                <w:webHidden/>
              </w:rPr>
            </w:r>
            <w:r w:rsidR="00D83B30">
              <w:rPr>
                <w:noProof/>
                <w:webHidden/>
              </w:rPr>
              <w:fldChar w:fldCharType="separate"/>
            </w:r>
            <w:r w:rsidR="009673CF">
              <w:rPr>
                <w:noProof/>
                <w:webHidden/>
              </w:rPr>
              <w:t>13</w:t>
            </w:r>
            <w:r w:rsidR="00D83B30">
              <w:rPr>
                <w:noProof/>
                <w:webHidden/>
              </w:rPr>
              <w:fldChar w:fldCharType="end"/>
            </w:r>
          </w:hyperlink>
        </w:p>
        <w:p w:rsidR="00E91931" w:rsidRDefault="00E91931">
          <w:r>
            <w:rPr>
              <w:b/>
              <w:bCs/>
              <w:noProof/>
            </w:rPr>
            <w:fldChar w:fldCharType="end"/>
          </w:r>
        </w:p>
      </w:sdtContent>
    </w:sdt>
    <w:p w:rsidR="003F7FED" w:rsidRDefault="003F7FED"/>
    <w:p w:rsidR="003F7FED" w:rsidRDefault="003F7FED">
      <w:pPr>
        <w:rPr>
          <w:b/>
          <w:bCs/>
          <w:sz w:val="28"/>
          <w:szCs w:val="28"/>
        </w:rPr>
      </w:pPr>
      <w:r>
        <w:rPr>
          <w:b/>
          <w:bCs/>
          <w:sz w:val="28"/>
          <w:szCs w:val="28"/>
        </w:rPr>
        <w:br w:type="page"/>
      </w:r>
    </w:p>
    <w:p w:rsidR="00236E6D" w:rsidRDefault="00236E6D">
      <w:pPr>
        <w:numPr>
          <w:ilvl w:val="12"/>
          <w:numId w:val="0"/>
        </w:numPr>
        <w:jc w:val="center"/>
      </w:pPr>
      <w:r>
        <w:rPr>
          <w:b/>
          <w:bCs/>
          <w:sz w:val="28"/>
          <w:szCs w:val="28"/>
        </w:rPr>
        <w:t>LIST OF TABLES</w:t>
      </w:r>
    </w:p>
    <w:p w:rsidR="00236E6D" w:rsidRDefault="00236E6D">
      <w:pPr>
        <w:numPr>
          <w:ilvl w:val="12"/>
          <w:numId w:val="0"/>
        </w:numPr>
        <w:jc w:val="center"/>
      </w:pP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3E2944" w:rsidRDefault="00665C7E" w:rsidP="00F92ABD">
      <w:pPr>
        <w:pStyle w:val="TableofFigures"/>
        <w:tabs>
          <w:tab w:val="right" w:leader="dot" w:pos="8630"/>
        </w:tabs>
        <w:rPr>
          <w:rFonts w:asciiTheme="minorHAnsi" w:eastAsiaTheme="minorEastAsia" w:hAnsiTheme="minorHAnsi" w:cstheme="minorBidi"/>
          <w:noProof/>
          <w:sz w:val="22"/>
          <w:szCs w:val="22"/>
        </w:rPr>
      </w:pPr>
      <w:r>
        <w:fldChar w:fldCharType="begin"/>
      </w:r>
      <w:r w:rsidR="00236E6D">
        <w:instrText xml:space="preserve"> TOC \h \z \c "Table" </w:instrText>
      </w:r>
      <w:r>
        <w:fldChar w:fldCharType="separate"/>
      </w:r>
    </w:p>
    <w:p w:rsidR="00236E6D"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rsidR="00236E6D" w:rsidRDefault="00236E6D">
      <w:pPr>
        <w:spacing w:line="2" w:lineRule="exact"/>
      </w:pPr>
    </w:p>
    <w:p w:rsidR="00236E6D" w:rsidRDefault="00236E6D">
      <w:pPr>
        <w:spacing w:line="2" w:lineRule="exact"/>
      </w:pPr>
    </w:p>
    <w:p w:rsidR="00236E6D" w:rsidRDefault="00236E6D">
      <w:pPr>
        <w:pStyle w:val="Level1"/>
        <w:tabs>
          <w:tab w:val="right" w:leader="dot" w:pos="8228"/>
        </w:tabs>
        <w:ind w:left="0"/>
        <w:rPr>
          <w:b/>
          <w:bCs/>
          <w:sz w:val="28"/>
          <w:szCs w:val="28"/>
        </w:rPr>
      </w:pPr>
    </w:p>
    <w:p w:rsidR="00236E6D" w:rsidRPr="00737F54" w:rsidRDefault="00236E6D" w:rsidP="00737F54">
      <w:pPr>
        <w:jc w:val="center"/>
        <w:rPr>
          <w:b/>
        </w:rPr>
      </w:pPr>
      <w:r>
        <w:br w:type="page"/>
      </w:r>
      <w:r w:rsidRPr="00737F54">
        <w:rPr>
          <w:b/>
          <w:sz w:val="28"/>
        </w:rPr>
        <w:t>LIST OF FIGURES</w:t>
      </w:r>
    </w:p>
    <w:p w:rsidR="00236E6D" w:rsidRDefault="00236E6D">
      <w:pPr>
        <w:numPr>
          <w:ilvl w:val="12"/>
          <w:numId w:val="0"/>
        </w:numPr>
      </w:pP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3C1575" w:rsidRDefault="003C1575">
      <w:pPr>
        <w:numPr>
          <w:ilvl w:val="12"/>
          <w:numId w:val="0"/>
        </w:numPr>
        <w:sectPr w:rsidR="003C1575" w:rsidSect="008A4E30">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sectPr>
      </w:pPr>
    </w:p>
    <w:p w:rsidR="00236E6D" w:rsidRDefault="00965FBD" w:rsidP="00311F1A">
      <w:pPr>
        <w:pStyle w:val="Heading1"/>
      </w:pPr>
      <w:bookmarkStart w:id="0" w:name="_Toc420995890"/>
      <w:bookmarkStart w:id="1" w:name="_Toc422997477"/>
      <w:r>
        <w:br/>
      </w:r>
      <w:bookmarkEnd w:id="0"/>
      <w:bookmarkEnd w:id="1"/>
      <w:r w:rsidR="00F92ABD">
        <w:t>Literature review</w:t>
      </w:r>
    </w:p>
    <w:p w:rsidR="00F92ABD" w:rsidRPr="00F92ABD" w:rsidRDefault="00F92ABD" w:rsidP="00F92ABD">
      <w:pPr>
        <w:spacing w:line="480" w:lineRule="auto"/>
        <w:ind w:firstLine="720"/>
      </w:pPr>
      <w:r w:rsidRPr="00F92ABD">
        <w:t>In 1977, C. June Maker identified a particular subset of public school students that require a special set of accommodations, students that were initially identified as gifted and handicapped. Today, this subset of students is known by a different name: twice-exceptional (2e). Twice-exceptional learners are those students who demonstrate giftedness while simultaneously experiencing an academic disability of some kind (Reis, Baum, &amp; Burke, 2014), such as a specific learning disability, attention deficit hyperactive disorder, or a high functioning Autism Spectrum Disorder (Assouline &amp; Whiteman, 2011). Because 2e students exhibit both giftedness and a disability, their learning needs can differ drastically from peers with no diagnosis or a single diagnosis (Brody &amp; Mills, 1997). Much of the current research for the 2e population focuses on identification techniques and intervention strategies to service the unique set of educational needs these learners experience in the public schools (Ruben &amp; Reis, 2005). Research into the needs of the 2e college student population is limited. The design of this study will allow an investigation of identification techniques for twice-exceptional college students, those who exhibit exceptional academic talent but who may also have a learning disability, then focus on describing academic success among these students. Specifically, the relations between multiple operational definitions of twice-exceptionality and students’ major declaration, and their success operationalized by grade point average (GPA), and retention will be investigated.</w:t>
      </w:r>
    </w:p>
    <w:p w:rsidR="00F92ABD" w:rsidRPr="00F92ABD" w:rsidRDefault="00F92ABD" w:rsidP="00F92ABD">
      <w:pPr>
        <w:spacing w:line="480" w:lineRule="auto"/>
        <w:rPr>
          <w:b/>
        </w:rPr>
      </w:pPr>
      <w:r w:rsidRPr="00F92ABD">
        <w:rPr>
          <w:b/>
        </w:rPr>
        <w:t>Traditional Predictors of College Success</w:t>
      </w:r>
    </w:p>
    <w:p w:rsidR="00F92ABD" w:rsidRPr="00F92ABD" w:rsidRDefault="00F92ABD" w:rsidP="00F92ABD">
      <w:pPr>
        <w:spacing w:line="480" w:lineRule="auto"/>
      </w:pPr>
      <w:r w:rsidRPr="00F92ABD">
        <w:tab/>
        <w:t xml:space="preserve">Today, more and more students are making the decision to attend college. Thus, determining what it means to be ‘college ready’ and what will make students most successful in college has become important to educators (Conley, 2007). Individual colleges and universities have different methods for determining college readiness among applicants. While most states require students to pass standardized tests in order to be eligible for graduation, universities have focused much of their college readiness evaluation on high school coursework and college entrance exam scores (Roderick, Nagaoka, &amp; Coca, 2009). In addition to consideration of how advanced placement courses in high school curriculums affect college performance (Education Commission of the United States, 2000), universities now must navigate  the substantial racial and geographic differences that exist in evaluating the likelihood of success in college (Greene &amp; Foster, 2003; Roderick et al., 2009). </w:t>
      </w:r>
      <w:r w:rsidRPr="00F92ABD">
        <w:tab/>
      </w:r>
      <w:r w:rsidRPr="00F92ABD">
        <w:tab/>
      </w:r>
    </w:p>
    <w:p w:rsidR="00F92ABD" w:rsidRPr="00F92ABD" w:rsidRDefault="00F92ABD" w:rsidP="00F92ABD">
      <w:pPr>
        <w:spacing w:line="480" w:lineRule="auto"/>
        <w:ind w:firstLine="720"/>
      </w:pPr>
      <w:r w:rsidRPr="00F92ABD">
        <w:t>Historically, the debate on the determination of college readiness has been controversial; however, there has been some agreement as well. Simply graduating from high school and earning a diploma does not mean that a student is ‘college ready’ (Kobrin, 2007). In fact, approximately one-third of students require some remedial coursework in their first semesters at colleges and universities (U.S. Department of Education, 2006). According to the National Center for Higher Education Management Systems [NCHEMS] (2007), only three-fourths of college freshman return for their sophomore year. Student recruitment is often the highest priority for college admissions offices (Astin, 1993); however, further study of student retention is necessary as it provides a subjective measure of the college or university’s success as well as the student’s (Fike &amp; Fike, 2008). The American College Testing (ACT) reports college readiness benchmarks within their college entrance exam. Results of these benchmark studies indicate most entering freshman are not adequately prepared for college level coursework (Greene &amp; Winters, 2005). Perhaps an explanation for why about one-fourth of college freshman make the decision drop out after the first year is related to the fact that they were not college ready when they entered. Of course, there may be other explanations (e.g., persistence, executive functioning, and disability status).</w:t>
      </w:r>
    </w:p>
    <w:p w:rsidR="00F92ABD" w:rsidRPr="00F92ABD" w:rsidRDefault="00F92ABD" w:rsidP="00F92ABD">
      <w:pPr>
        <w:spacing w:line="480" w:lineRule="auto"/>
        <w:ind w:firstLine="720"/>
      </w:pPr>
      <w:r w:rsidRPr="00F92ABD">
        <w:rPr>
          <w:b/>
        </w:rPr>
        <w:t xml:space="preserve">“College readiness.” </w:t>
      </w:r>
      <w:r w:rsidRPr="00F92ABD">
        <w:t>The skills necessary to succeed in college may be broken down into 4 board categories: basic skills and knowledge, basic academic skills, basic intuitive skills, and “college knowledge” (Conley, 2007; Roderick et al., 2009). Basic skills include the ability to read, write, and do arithmetic, while basic knowledge is specific to different subjects (Roderick et al., 2009). Basic academic skills are not specific to any particular subject. Instead, these skills are essential to a student’s ability to engage in a variety of academic activities and are often cited as the biggest area of weakness for entering freshman (Conley, 2007). Intuitive skills include interpersonal skills, time-management, study skills, and work habits among others, and have been strongly linked to success in college (Bowles &amp; Gintis, 1976). Finally, knowledge needed to successfully navigate the college application process is commonly referred to as “college knowledge” (Conley, 2007; Roderick et al., 2009).</w:t>
      </w:r>
    </w:p>
    <w:p w:rsidR="00F92ABD" w:rsidRPr="00F92ABD" w:rsidRDefault="00F92ABD" w:rsidP="00F92ABD">
      <w:pPr>
        <w:spacing w:line="480" w:lineRule="auto"/>
        <w:ind w:firstLine="720"/>
        <w:rPr>
          <w:highlight w:val="yellow"/>
        </w:rPr>
      </w:pPr>
      <w:r w:rsidRPr="00F92ABD">
        <w:t xml:space="preserve">Traditionally, the bedrock definition of college readiness has included basic reading skills, obtaining a high school diploma, and completing the minimum high school coursework requirements (Greene &amp; Foster, 2003). However, as implied by the above discussion, a student who meets only these 3 criteria likely would not be successful under the demands of the current college curriculum. Operationalization of college readiness have changed somewhat over the years and some have been added to this basic definition. Cumulative high school grade point average (HSGPA) has long been thought to be the strongest predictor of college success (DeBerard, Spielmans, &amp; Julka, 2004; Geiser &amp; Santelices, 2007). Additional research has shown that scores on college entrance exams are related to academic success in college, though the predictive power is not as strong as the predictive power of HSGPA (Hoffman &amp; Lowitzki, 2005).  </w:t>
      </w:r>
    </w:p>
    <w:p w:rsidR="00F92ABD" w:rsidRPr="00F92ABD" w:rsidRDefault="00F92ABD" w:rsidP="00F92ABD">
      <w:pPr>
        <w:spacing w:line="480" w:lineRule="auto"/>
        <w:ind w:firstLine="720"/>
      </w:pPr>
      <w:r w:rsidRPr="00F92ABD">
        <w:t>When used in conjunction with entrance exam scores, such as combined SAT scores, HSGPA is a strong predictor of college graduation (Stumpf &amp; Stanley, 2002). Perhaps somewhat surprising, HSGPA strongly predicts intuitive skills, which can be just as crucial to college success as basic knowledge (ACT, 2008). The ACT-based college readiness benchmarks provide minimum ACT scores that need to be achieved by entering freshman in order to obtain a B in a college course (Noble &amp; Sawyer, 2002), which is considered to be one good operationalization of college success (Roderick et al., 2009). Perhaps ACT and Scholastic Aptitude Test (SAT) scores, should be used in combination with other measures to predict college success. For example, state assessments offer comparisons across multiple cohorts of entering freshman, and might also be a good predictor of college success (Roderick et al., 2009). In general, combining numerous measures proves to be the best and strongest prediction of many important outcomes, including college success because that strategy provides a more comprehensive characterization of the applicant. In this context, the combination of cumulative HSGPA, class rank, state graduation test scores, and college entrance exam scores have been identified as strong predictors of success among entering freshman (Berkner &amp; Chavez, 1997). Below I describe additional literature describing in some detail the predictive capability of two important operationalization of college readiness—the SAT and ACT—in part because they are used by most higher education institutions to aid in determining readiness, and because the measures are critical in defining  2e in this study.</w:t>
      </w:r>
    </w:p>
    <w:p w:rsidR="00F92ABD" w:rsidRPr="00F92ABD" w:rsidRDefault="00F92ABD" w:rsidP="00F92ABD">
      <w:pPr>
        <w:spacing w:line="480" w:lineRule="auto"/>
        <w:ind w:firstLine="720"/>
        <w:rPr>
          <w:highlight w:val="yellow"/>
        </w:rPr>
      </w:pPr>
      <w:r w:rsidRPr="00F92ABD">
        <w:rPr>
          <w:b/>
        </w:rPr>
        <w:t>College entrance exams.</w:t>
      </w:r>
      <w:r w:rsidRPr="00F92ABD">
        <w:t xml:space="preserve"> Approximately 90 percent of the colleges and universities in the United States require an SAT or an ACT score as part of their admission requirements (Breland, Maxey, Nickerson, Trapani, &amp; Walker, 2002). Standardized test scores allow admission counselors to review applicants without considering geographic and resource differences that inevitably confound the utility of high school grades and curriculum reviews (Zwick, 2007). Even so, colleges and universities rank HSGPA as the most important criterion for admission, though standardized test scores are a close second (Breland et al., 2002); however, as the size of institution increases, the relative weight placed on standardized test scores also increases (Zwick, 2007). Ramist, Lewis, and McCamley-Jenkins (1994) investigated the predictive power of HSGPA and standardized test scores on college success; their results indicated that while HSGPA (</w:t>
      </w:r>
      <w:r w:rsidRPr="00F92ABD">
        <w:rPr>
          <w:i/>
        </w:rPr>
        <w:t>r</w:t>
      </w:r>
      <w:r w:rsidRPr="00F92ABD">
        <w:t>= .67) alone predicted college success slightly better than SAT (</w:t>
      </w:r>
      <w:r w:rsidRPr="00F92ABD">
        <w:rPr>
          <w:i/>
        </w:rPr>
        <w:t>r</w:t>
      </w:r>
      <w:r w:rsidRPr="00F92ABD">
        <w:t>= .65) or ACT (</w:t>
      </w:r>
      <w:r w:rsidRPr="00F92ABD">
        <w:rPr>
          <w:i/>
        </w:rPr>
        <w:t>r= .</w:t>
      </w:r>
      <w:r w:rsidRPr="00F92ABD">
        <w:t>66) composites alone. When admission test scores were added into a regression equation with HSGPA, the predictive power significantly increased (</w:t>
      </w:r>
      <w:r w:rsidRPr="00F92ABD">
        <w:rPr>
          <w:i/>
        </w:rPr>
        <w:t>r</w:t>
      </w:r>
      <w:r w:rsidRPr="00F92ABD">
        <w:t xml:space="preserve">= .75). However, it is important to note that there are important differences between the two most commonly used standardized entrance exam. For example, scores from the ACT and SAT are created to reflect differences on an aptitude – achievement continuum. The ACT is more related to high school curriculums (Koenig, Frey, &amp; Detterman, 2008) and falls more on the achievement end of the spectrum (Zwick, 2007). On the other hand, the SAT, assesses more general academic application skills, which allows examinees to apply their generalized knowledge (The College Board, 2015); consequently, it falls more on the aptitude end of the spectrum (Zwick, 2007). </w:t>
      </w:r>
    </w:p>
    <w:p w:rsidR="00F92ABD" w:rsidRPr="00F92ABD" w:rsidRDefault="00F92ABD" w:rsidP="00F92ABD">
      <w:pPr>
        <w:spacing w:line="480" w:lineRule="auto"/>
        <w:ind w:firstLine="720"/>
      </w:pPr>
      <w:r w:rsidRPr="00F92ABD">
        <w:rPr>
          <w:b/>
          <w:i/>
        </w:rPr>
        <w:t>Scholastic Aptitude Test</w:t>
      </w:r>
      <w:r w:rsidRPr="00F92ABD">
        <w:rPr>
          <w:b/>
        </w:rPr>
        <w:t>.</w:t>
      </w:r>
      <w:r w:rsidRPr="00F92ABD">
        <w:t xml:space="preserve"> The SAT is divided into 9 subsections, with questions covering application of reading, math, and writing skills in multiple-choice and free response formats (The College Board, 2015). Generally, SAT results are influenced by critical thinking and reasoning abilities in addition to academics (Zwick, 2007). Significantly correlated (</w:t>
      </w:r>
      <w:r w:rsidRPr="00F92ABD">
        <w:rPr>
          <w:i/>
        </w:rPr>
        <w:t>r</w:t>
      </w:r>
      <w:r w:rsidRPr="00F92ABD">
        <w:t xml:space="preserve"> = .87) with measures of general intelligence (Frey &amp; Detterman, 2004), the SAT is accepted by nearly all colleges and universities as a measure of college preparedness (Koenig et al., 2008; The College Board, 2015). For admissions decisions some universities (e.g., the University of Tennessee) utilizes the superscoring method. That is, when multiple administrations are recorded for a particular examinee, the highest Verbal, Math, and Writing scores across all testing dates are identified and a “superscore” is created. </w:t>
      </w:r>
    </w:p>
    <w:p w:rsidR="00F92ABD" w:rsidRPr="00F92ABD" w:rsidRDefault="00F92ABD" w:rsidP="00F92ABD">
      <w:pPr>
        <w:spacing w:line="480" w:lineRule="auto"/>
        <w:ind w:firstLine="720"/>
      </w:pPr>
      <w:r w:rsidRPr="00F92ABD">
        <w:t>The SAT yields strong psychometric properties. For example, reliability estimates for the SAT were generally high based on a systematic sample of examines who took national administrations between January 2014 and December 2014. Subsection reliabilities were .91-.92 for Critical Reading, .92-.94 for Critical Math, and .89 - .91 for Critical Writing. Test development information, available from the SAT technical manual (2014), states that the test has high content validity. Each test question is reviewed by a team of experts, including teachers, to ensure the questions reflect current content being taught in today’s schools. Additional testing is conducted on each test question to ensure fairness across all student populations. Item difficulty has a mean of .615 and a range of .56 to .67.</w:t>
      </w:r>
    </w:p>
    <w:p w:rsidR="00F92ABD" w:rsidRPr="00F92ABD" w:rsidRDefault="00F92ABD" w:rsidP="00F92ABD">
      <w:pPr>
        <w:spacing w:line="480" w:lineRule="auto"/>
        <w:ind w:firstLine="720"/>
      </w:pPr>
      <w:r w:rsidRPr="00F92ABD">
        <w:t>Validity evidence for the SAT is also impressive. The College Board (2008) conducted a validity study using approximately 150,000 admitted students in the fall 2006 cohort of freshman. Results of this study indicate that the writing portion (</w:t>
      </w:r>
      <w:r w:rsidRPr="00F92ABD">
        <w:rPr>
          <w:i/>
        </w:rPr>
        <w:t>r</w:t>
      </w:r>
      <w:r w:rsidRPr="00F92ABD">
        <w:t>= .51) of the SAT has the strongest predictive power of college performance, though only slightly higher than the reading (</w:t>
      </w:r>
      <w:r w:rsidRPr="00F92ABD">
        <w:rPr>
          <w:i/>
        </w:rPr>
        <w:t>r</w:t>
      </w:r>
      <w:r w:rsidRPr="00F92ABD">
        <w:t>= .48) and mathematics (</w:t>
      </w:r>
      <w:r w:rsidRPr="00F92ABD">
        <w:rPr>
          <w:i/>
        </w:rPr>
        <w:t>r=</w:t>
      </w:r>
      <w:r w:rsidRPr="00F92ABD">
        <w:t xml:space="preserve"> .47) sections. SAT scores also had slightly higher predictive power for first year college performance than HSGPA. The predictive ability of the SAT is further supported in the literature. For example, Astin and Osequera (2002) found that higher HSGPA and SAT scores are highly correlated with degree attainment in 4 year universities. SAT scores also predict retention and graduation (Heziett et al., 2001). When combined, HSGPA and SAT scores highly correlated with first year college GPA (</w:t>
      </w:r>
      <w:r w:rsidRPr="00F92ABD">
        <w:rPr>
          <w:i/>
        </w:rPr>
        <w:t>r=</w:t>
      </w:r>
      <w:r w:rsidRPr="00F92ABD">
        <w:t xml:space="preserve"> .62). </w:t>
      </w:r>
    </w:p>
    <w:p w:rsidR="00F92ABD" w:rsidRPr="00F92ABD" w:rsidRDefault="00F92ABD" w:rsidP="00F92ABD">
      <w:pPr>
        <w:spacing w:line="480" w:lineRule="auto"/>
        <w:ind w:firstLine="720"/>
      </w:pPr>
      <w:r w:rsidRPr="00F92ABD">
        <w:rPr>
          <w:b/>
          <w:i/>
        </w:rPr>
        <w:t>American College Testing</w:t>
      </w:r>
      <w:r w:rsidRPr="00F92ABD">
        <w:t xml:space="preserve">. American College Testing (ACT) was developed around 1960 as an alternative testing option for college entrance; nearly all colleges and universities accept it as a measure of college preparedness (Koenig et al., 2008). The test is divided into 4 multiple-choice subsections of academic readiness: Math, English, Reading, and Science; scores from these subsections are combined for an overall composite score (Zwick, 2007). The test content is closely related to high school curriculums (Keonig et al., 2008). Therefore, success on the test varies greatly depending on examinees course selection during high school (Paszczyk, 1994) and the high school attended (Noble, Davenport, Scheil, &amp; Pommerich, 1999). For admissions purposes, some universities (e.g., the University of Tennessee) uses the superscoring method described above for the SAT scores when there are multiple administrations; the highest ACT subset and composite scores are created across all testing dates and superscores are created. </w:t>
      </w:r>
    </w:p>
    <w:p w:rsidR="00F92ABD" w:rsidRPr="00F92ABD" w:rsidRDefault="00F92ABD" w:rsidP="00F92ABD">
      <w:pPr>
        <w:spacing w:line="480" w:lineRule="auto"/>
      </w:pPr>
      <w:r w:rsidRPr="00F92ABD">
        <w:tab/>
        <w:t xml:space="preserve">Psychometric evidence for the ACT is impressive. For example, reliability estimates for the ACT were generally high when based on a systematic sample of 2,000 examines who took one of six national administrations during the 2005-2006 school year. Scale score reliabilities were .85 for Reading, .91 for Math, and .96 for the Composite score. Test development information, available from the ACT technical manual (2014), states the test has high content validity. To ensure content validity, curricular analyses inform item construction. Beginning with a curricular analysis, content specialists’ are trained in writing the test items, which are regularly reviewed to determine relevancy. Item difficulty variability is necessary to allow for discrimination between high and low performing examinees; a difficulty index mean score of .58 was obtained, along with a range of .20 to .89. Item total scale correlations are also evaluated, and test items must demonstrate a correlation of .20 or higher with the content area scale in order to be included on the ACT. </w:t>
      </w:r>
    </w:p>
    <w:p w:rsidR="00F92ABD" w:rsidRPr="00F92ABD" w:rsidRDefault="00F92ABD" w:rsidP="00F92ABD">
      <w:pPr>
        <w:spacing w:line="480" w:lineRule="auto"/>
        <w:rPr>
          <w:highlight w:val="yellow"/>
        </w:rPr>
      </w:pPr>
      <w:r w:rsidRPr="00F92ABD">
        <w:tab/>
        <w:t xml:space="preserve">Finally, the majority of colleges and universities accept ACT scores as valid predictions of academic success and college retention in part because its predictive validity has been demonstrated in the literature (ACT, 2008). In addition, convergent validity evidence has been shown in studies between ACT scores, subject area coursework, and HSGPA (for review, see ACT, 2006). </w:t>
      </w:r>
    </w:p>
    <w:p w:rsidR="00F92ABD" w:rsidRPr="00F92ABD" w:rsidRDefault="00F92ABD" w:rsidP="00F92ABD">
      <w:pPr>
        <w:spacing w:line="480" w:lineRule="auto"/>
      </w:pPr>
      <w:r w:rsidRPr="00F92ABD">
        <w:tab/>
      </w:r>
      <w:r w:rsidRPr="00F92ABD">
        <w:rPr>
          <w:b/>
          <w:i/>
        </w:rPr>
        <w:t xml:space="preserve">Concordance among ACT and SAT. </w:t>
      </w:r>
      <w:r w:rsidRPr="00F92ABD">
        <w:t xml:space="preserve">As mentioned above, most colleges and universities require either the ACT or SAT. While on different ends of the aptitude-achievement continuum, the ACT and the SAT certainly overlap. The SAT produces 3 test scores: Critical Reading, Critical Writing, and Critical Mathematics scores. The ACT produces an overall composite score and 4 subscores in Reading, English, Mathematics, and Science. Because these two tests measure academic knowledge in slightly different ways, colleges and universities should be aware of the relationship between the two sets of scores. </w:t>
      </w:r>
    </w:p>
    <w:p w:rsidR="00F92ABD" w:rsidRPr="00F92ABD" w:rsidRDefault="00F92ABD" w:rsidP="00F92ABD">
      <w:pPr>
        <w:spacing w:line="480" w:lineRule="auto"/>
        <w:ind w:firstLine="720"/>
      </w:pPr>
      <w:r w:rsidRPr="00F92ABD">
        <w:t>In addition to evaluating convergent or concurrent validity estimates between two tests. Concordance may also be used for this purpose.  Two test scores are thought to be concordant if they yield the same (or a very similar) percentile rank for individuals who take both tests. Because of recent changes in format for both tests updated concordance tables have been published by both the ACT (2015) and the College Board (2015). The following example indicates how universities may use concordance tables. If a student obtains a score of 24 on the ACT, the concordance table will show a predicted range of SAT scores. In this case, the SAT score range for an ACT score of 24 is 1090 – 1120.</w:t>
      </w:r>
    </w:p>
    <w:p w:rsidR="00F92ABD" w:rsidRPr="00F92ABD" w:rsidRDefault="00F92ABD" w:rsidP="00F92ABD">
      <w:pPr>
        <w:spacing w:line="480" w:lineRule="auto"/>
        <w:ind w:firstLine="720"/>
      </w:pPr>
      <w:r w:rsidRPr="00F92ABD">
        <w:t xml:space="preserve">In addition, ACT (2015) recently published an Estimating Relationship table. The advantage of the Estimated Relationship table is that it is simple and easier to use that a concordance table. Concordance tables consider ACT and SAT scale scores separately, when estimating the relationship between the two tests. The Estimated Relationship table combines the Reading, Mathematics, and Writing components into a composite to estimate the relation between the global scores. This strategy reduces error by relying on composite scores, rather than scale scores separately For example, when considering an overall ACT score of 24, the Estimated Relationship table predicts a score of 1620 – 1670 on the SAT.   </w:t>
      </w:r>
    </w:p>
    <w:p w:rsidR="00F92ABD" w:rsidRPr="00F92ABD" w:rsidRDefault="00F92ABD" w:rsidP="00F92ABD">
      <w:pPr>
        <w:spacing w:line="480" w:lineRule="auto"/>
        <w:rPr>
          <w:b/>
        </w:rPr>
      </w:pPr>
      <w:r w:rsidRPr="00F92ABD">
        <w:rPr>
          <w:b/>
        </w:rPr>
        <w:t xml:space="preserve">Major Declaration among College Students </w:t>
      </w:r>
    </w:p>
    <w:p w:rsidR="00F92ABD" w:rsidRPr="00F92ABD" w:rsidRDefault="00F92ABD" w:rsidP="00F92ABD">
      <w:pPr>
        <w:spacing w:line="480" w:lineRule="auto"/>
      </w:pPr>
      <w:r w:rsidRPr="00F92ABD">
        <w:tab/>
        <w:t>The major declaration literature is important to review because major declaration is related to college success, an important variable in this research. Being admitted to a college or university is sometimes thought to be the easy part in that those decisions are made based upon things already completed. When a student enters a college or university as a freshman, he or she faces a new hurdle: choosing a major and ultimately, a career path (Allen &amp; Robbins, 2008). Differences in how college students choose their majors has been investigated thoroughly and numerous influential factors have been identified; in addition, prediction of major choice among college students has been empirically investigated and is summarized below.</w:t>
      </w:r>
    </w:p>
    <w:p w:rsidR="00F92ABD" w:rsidRPr="00F92ABD" w:rsidRDefault="00F92ABD" w:rsidP="00F92ABD">
      <w:pPr>
        <w:spacing w:line="480" w:lineRule="auto"/>
        <w:rPr>
          <w:highlight w:val="yellow"/>
        </w:rPr>
      </w:pPr>
      <w:r w:rsidRPr="00F92ABD">
        <w:tab/>
        <w:t xml:space="preserve">Most college students view the declaration of their major as one of the most important decisions they make in their lives (Allen &amp; Robbins, 2008). Ability level, personality traits, social class, and political orientation have all been linked to prediction of college major among entering freshman (Giacomino &amp; Akers, 1998; Noel, Michaels, &amp; Levas, 2003; Porter &amp; Umbach, 2006). Specifically, a student high on a social activism scale is more likely to declare a social science or education major than a status-driven student; these students are likely to declare a major in architecture or agriculture (Astin, 1993). Values and future success have also been linked to major choice (Galotti, 1999). One of the most important predictive factors of major success is an interest and skill in a particular field (Malgwi, Howe, &amp; Burnaby, 2005). However, a student’s belief in their ability level has been shown to be just as predictive as actual skill level for success in particular majors (Farley &amp; Staniec, 2004). </w:t>
      </w:r>
    </w:p>
    <w:p w:rsidR="00F92ABD" w:rsidRPr="00F92ABD" w:rsidRDefault="00F92ABD" w:rsidP="00F92ABD">
      <w:pPr>
        <w:spacing w:line="480" w:lineRule="auto"/>
      </w:pPr>
      <w:r w:rsidRPr="00F92ABD">
        <w:tab/>
        <w:t xml:space="preserve">Factors outside of the student have also been linked to major declaration. Other people in the student’s life may provide information, opinions, encouragement, or examples of different career paths (Downey, McGaughey, &amp; Roach, 2011), which the student then can use in making their major choice. Job security and projected salary also have strong influences on major declaration (Walstrom, Schambach, Jones, &amp; Crampton, 2008) because of their influence on the quality of life in the future. The reputation surrounding the career has also been linked to major choice (Thomas &amp; Allen, 2006). Finally, the level and amount of coursework and the difficulty level of the major also influences major declaration (Calkins &amp; Welki, 2006). </w:t>
      </w:r>
    </w:p>
    <w:p w:rsidR="00F92ABD" w:rsidRPr="00F92ABD" w:rsidRDefault="00F92ABD" w:rsidP="00F92ABD">
      <w:pPr>
        <w:spacing w:line="480" w:lineRule="auto"/>
        <w:rPr>
          <w:highlight w:val="yellow"/>
        </w:rPr>
      </w:pPr>
      <w:r w:rsidRPr="00F92ABD">
        <w:tab/>
        <w:t>A majority of college students change their major during their college education. According to Kramer, Higley, and Olsen (1994), when students encounter a field of study that is more in line with not only their interests, but also their strengths, they are likely to change. As the strength of the major-interest relation increases, the likelihood the student will persist in that major also increases (Smart, Feldman, Ethinton, 2000). As might be expected, when students declare majors in line with their interests and their strengths, they are likely to be more successful in college (Porter &amp; Umbach, 2006); in fact, if the reciprocal relationship between major and interest in that major is high, students have higher retention and graduation rates (Tracey &amp; Robbins, 2006). Satisfaction in college majors and in universities in general also increases when students declare major in line with their interests and strengths (Allen &amp; Robbins, 2008).</w:t>
      </w:r>
      <w:r w:rsidRPr="00F92ABD">
        <w:rPr>
          <w:highlight w:val="yellow"/>
        </w:rPr>
        <w:t xml:space="preserve"> </w:t>
      </w:r>
    </w:p>
    <w:p w:rsidR="00F92ABD" w:rsidRPr="00F92ABD" w:rsidRDefault="00F92ABD" w:rsidP="00F92ABD">
      <w:pPr>
        <w:spacing w:line="480" w:lineRule="auto"/>
        <w:rPr>
          <w:b/>
        </w:rPr>
      </w:pPr>
      <w:r w:rsidRPr="00F92ABD">
        <w:t xml:space="preserve"> </w:t>
      </w:r>
      <w:r w:rsidRPr="00F92ABD">
        <w:rPr>
          <w:b/>
        </w:rPr>
        <w:t xml:space="preserve">College Success among Students with Exceptionalities </w:t>
      </w:r>
    </w:p>
    <w:p w:rsidR="00F92ABD" w:rsidRPr="00F92ABD" w:rsidRDefault="00F92ABD" w:rsidP="00F92ABD">
      <w:pPr>
        <w:spacing w:line="480" w:lineRule="auto"/>
        <w:rPr>
          <w:b/>
        </w:rPr>
      </w:pPr>
      <w:r w:rsidRPr="00F92ABD">
        <w:rPr>
          <w:b/>
        </w:rPr>
        <w:tab/>
        <w:t xml:space="preserve">Characteristics of gifted students. </w:t>
      </w:r>
      <w:r w:rsidRPr="00F92ABD">
        <w:t xml:space="preserve">The definition of giftedness has undergone numerous modifications since it was originally characterized in the literature in 1972. Despite the changes, the basic tenant has remained the same: a student can be classified as gifted if he or she demonstrates high aptitude in a particular area (Assouline, Foley-Nicpon, &amp; Huber, 2006; Stephens &amp; Karnes, 2000). The U.S. Department of Education identifies students as gifted if they demonstrate high ability in intellectual, creative, artistic areas, or leadership (Marland, 1971). Because of this superior ability, gifted students often require supplemental educational services in order to achieve their full potential (Marland, 1972). New concepts have been added to gifted definitions, including motivation, self-concept, and creativity (Bracken &amp; Brown, 2006). In the K-12 population, when a student is classified as gifted, typically he or she has demonstrated superior intellectual ability (Crepeau-Hobson &amp; Bianco, 2011). Therefore, much of what is known about giftedness is related to characterizations of level and types of intellectual ability (Assouline et al., 2006). </w:t>
      </w:r>
    </w:p>
    <w:p w:rsidR="00F92ABD" w:rsidRPr="00F92ABD" w:rsidRDefault="00F92ABD" w:rsidP="00F92ABD">
      <w:pPr>
        <w:spacing w:line="480" w:lineRule="auto"/>
        <w:ind w:firstLine="720"/>
        <w:rPr>
          <w:b/>
          <w:highlight w:val="yellow"/>
        </w:rPr>
      </w:pPr>
      <w:r w:rsidRPr="00F92ABD">
        <w:t>Identification techniques for gifted students vary considerably, which contributes to the variability in the percentage of gifted children identified among public school children. In public school systems, gifted students are often screened because of high academic achievement, then identified by superior performance on norm-referenced intelligence tests (Assouline, et al., 2006; Crepeau-Hobson &amp; Bianco, 2011). Between 5% and 20% of students in U.S. schools have been identified as gifted (Pfeiffer, 2001). The ever-changing definition of giftedness often makes receiving services difficult (Bracken &amp; Brown, 2006). Because their needs are unique, they often require modifications to curriculums to ensure that the content is both challenging and motivating.  (Newman &amp; Sternberg, 2004). With adequate services, gifted students generally do well academically and go on to succeed in college and professionally, unless they demonstrate significant cognitive, emotional, or behavioral limitations consistent with a more complicated diagnosis/status (e.g., 2e).</w:t>
      </w:r>
    </w:p>
    <w:p w:rsidR="00F92ABD" w:rsidRPr="00F92ABD" w:rsidRDefault="00F92ABD" w:rsidP="00F92ABD">
      <w:pPr>
        <w:spacing w:line="480" w:lineRule="auto"/>
      </w:pPr>
      <w:r w:rsidRPr="00F92ABD">
        <w:rPr>
          <w:b/>
        </w:rPr>
        <w:tab/>
      </w:r>
      <w:r w:rsidRPr="00F92ABD">
        <w:rPr>
          <w:b/>
          <w:i/>
        </w:rPr>
        <w:t xml:space="preserve">Learning outcomes of gifted students. </w:t>
      </w:r>
      <w:r w:rsidRPr="00F92ABD">
        <w:t>Generally speaking, students identified as gifted display high academic potential by middle school (Pfeiffer, 2012). Despite their high academic potential, gifted students often experience a tough time transitioning and succeeding in higher education (Conejeros-Solar &amp; Gomez-Arizaga, 2015). Special academic programs and resources are often beneficial to gifted students, as they aid them in achieving their highest potential (Pfeiffer, 2012). Educators of gifted students should facilitate their development by employing a good balance between skill development and new challenges (Boazman, 2010). By utilizing such a balance, educators encourage gifted students to achieve their full potential, both academically and personally (Rogers, 1986).</w:t>
      </w:r>
    </w:p>
    <w:p w:rsidR="00F92ABD" w:rsidRPr="00F92ABD" w:rsidRDefault="00F92ABD" w:rsidP="00F92ABD">
      <w:pPr>
        <w:spacing w:line="480" w:lineRule="auto"/>
        <w:rPr>
          <w:b/>
        </w:rPr>
      </w:pPr>
      <w:r w:rsidRPr="00F92ABD">
        <w:tab/>
        <w:t xml:space="preserve">Colleges and universities offer several options that aid gifted students. Honors colleges within a school are designed to deliver gifted students the balance between skill development and academic challenge; this balance is essential, as it is likely to enhance motivation and sustain interest in academic learning for gifted students (Boazman, 2010). Often accelerated learning strategies allow most gifted students to develop critical thinking abilities, thus enhancing both academic and personal growth (Colangelo, Assouline, &amp; Gross, 2004). Finally, some colleges or universities throughout the country offer programs that allow gifted students to enter college early, which is another way colleges and universities employ a balance between skill development and challenging academic experiences (Sayler, 2006). </w:t>
      </w:r>
    </w:p>
    <w:p w:rsidR="00F92ABD" w:rsidRPr="00F92ABD" w:rsidRDefault="00F92ABD" w:rsidP="00F92ABD">
      <w:pPr>
        <w:spacing w:line="480" w:lineRule="auto"/>
        <w:ind w:firstLine="720"/>
        <w:rPr>
          <w:highlight w:val="yellow"/>
        </w:rPr>
      </w:pPr>
      <w:r w:rsidRPr="00F92ABD">
        <w:rPr>
          <w:b/>
        </w:rPr>
        <w:t xml:space="preserve">Characteristics of students with specific learning disabilities. </w:t>
      </w:r>
      <w:r w:rsidRPr="00F92ABD">
        <w:t>According to the Diagnostic and Statistical Manuel of Mental Disorders, Fifth Edition (DSM-V), a specific learning disability can be diagnosed if</w:t>
      </w:r>
    </w:p>
    <w:p w:rsidR="00F92ABD" w:rsidRPr="00F92ABD" w:rsidRDefault="00F92ABD" w:rsidP="00F92ABD">
      <w:pPr>
        <w:spacing w:line="480" w:lineRule="auto"/>
        <w:ind w:left="720"/>
      </w:pPr>
      <w:r w:rsidRPr="00F92ABD">
        <w:t>The learning difficulties have persisted despite intervention for longer than six months and cause the individual to score significantly and markedly lower than peers of their chronological age. The learning difficulties may not be fully seen until the individual is asked to complete a task that require more than their limit ability. Finally, the learning difficulties must not be better explained by something else (i.e., visual, hearing, or motor impairment, emotional disturbance, other mental disability, or environmental or cultural disadvantage (DSM-V, 2013).</w:t>
      </w:r>
    </w:p>
    <w:p w:rsidR="00F92ABD" w:rsidRPr="00F92ABD" w:rsidRDefault="00F92ABD" w:rsidP="00F92ABD">
      <w:pPr>
        <w:spacing w:line="480" w:lineRule="auto"/>
      </w:pPr>
      <w:r w:rsidRPr="00F92ABD">
        <w:t xml:space="preserve">Numerous identification models have been purposed and modified for students with specific learning disabilities, including ability-aptitude discrepancy, response to intervention (RTI) and Patterns of Strengths and Weaknesses (PSW). The ability-aptitude discrepancy model requires that aptitude, operationalized by IQ, be considerably higher than academic ability, typically operationalized by standardized academic achievement test scores. This model has been criticized for psychometric and outcome (e.g., treatment validity) limitations. RTI is a new model assumed to address some of the limitations of the aptitude-treatment discrepancy model (e.g., delayed attention to academic problems, characterized as “wait to fail”), and provides educators with a tiered approach, and consistent progress monitoring, to classify students potentially in need of special education services (Gersten &amp; Dimino, 2006). PSW, which includes the Aptitude-Achievement Consistency model (Flanagan, Ortiz, &amp; Alfonzo, 2007), the Consistency-Discrepancy model (Naglieri, 1999), and the Concordance-Discordance model (Hale &amp; Fiorello, 2004), provide assessment of cognitive and academic strengths and weaknesses and requires that linkages be established between these cognitive and academic areas for a diagnosis; this model requires a comprehensive psychoeducational evaluation. Some students who enter college have been identified as having a learning disability by one of these models during their K-12 years. But, if a student has not been identified before entering college, he/she is unlikely to obtain a diagnosis once enrolled, even though she/he may struggle academically. </w:t>
      </w:r>
    </w:p>
    <w:p w:rsidR="00F92ABD" w:rsidRPr="00F92ABD" w:rsidRDefault="00F92ABD" w:rsidP="00F92ABD">
      <w:pPr>
        <w:spacing w:line="480" w:lineRule="auto"/>
        <w:rPr>
          <w:b/>
          <w:highlight w:val="yellow"/>
        </w:rPr>
      </w:pPr>
      <w:r w:rsidRPr="00F92ABD">
        <w:tab/>
        <w:t>While students identified as gifted typically excel academically, students with specific learning disabilities experience difficulty, specifically in the subject area linked to their disability. Approximately half of all students eligible for special education services are classified under the SLD category (National Joint Committee on Learning Disabilities, 2011) and receive special services (Yewchuk &amp; Lupart, 2000).</w:t>
      </w:r>
    </w:p>
    <w:p w:rsidR="00F92ABD" w:rsidRPr="00F92ABD" w:rsidRDefault="00F92ABD" w:rsidP="00F92ABD">
      <w:pPr>
        <w:spacing w:line="480" w:lineRule="auto"/>
        <w:rPr>
          <w:b/>
          <w:i/>
        </w:rPr>
      </w:pPr>
      <w:r w:rsidRPr="00F92ABD">
        <w:rPr>
          <w:b/>
          <w:i/>
        </w:rPr>
        <w:tab/>
        <w:t xml:space="preserve">Learning outcomes of students with specific learning disabilities. </w:t>
      </w:r>
      <w:r w:rsidRPr="00F92ABD">
        <w:t xml:space="preserve">Researchers have shown that approximately only 28 percent of students with learning disabilities complete their undergraduate degrees (Gregg, 2009), which is only about half the graduation rate of all other students (Connor, 2012). Some students with learning disabilities begin college underprepared, not only for the new academic demands of college, but also because success in college requires considerable independence. While most federal regulations are automatically put in place in the K-12 population, only 2 laws govern educational services for college students (Lombardi, Gerdes, Murray, 2011). Section 504 of the Rehabilitation Act of 1973 requires colleges and universities to make services accessible and provide appropriate accommodation. The American with Disabilities Act prevents discrimination against students with disabilities and specifically states these individuals are eligible for accommodations (Connor, 2012).  However, in order to receive services, college students must be proactive, i.e., they must bring current evidence of having a learning disability to the Office of Disability Services at the college or university they attend (Finn, 1998; Janiga &amp; Costenbader, 2002). Of course, some students may have a learning disability, but be unaware, and more troubling, may not know how to obtain an evaluation to consider the possibility. </w:t>
      </w:r>
      <w:r w:rsidRPr="00F92ABD">
        <w:rPr>
          <w:b/>
          <w:i/>
        </w:rPr>
        <w:t xml:space="preserve"> </w:t>
      </w:r>
    </w:p>
    <w:p w:rsidR="00F92ABD" w:rsidRPr="00F92ABD" w:rsidRDefault="00F92ABD" w:rsidP="00F92ABD">
      <w:pPr>
        <w:spacing w:line="480" w:lineRule="auto"/>
      </w:pPr>
      <w:r w:rsidRPr="00F92ABD">
        <w:tab/>
        <w:t>Students with learning disabilities likely will be more successful in college if they feel support from the college or university and their professors; in fact, student success might be dependent upon professors’ ability to adapt their instructional technique (Connor, 2012). Adjustments to the educational expectations (i.e., extended time on tests and assignments, audio textbooks, advanced class notes, etc.) might be necessary in order for students with learning disabilities to achieve their greatest potential (</w:t>
      </w:r>
      <w:r w:rsidRPr="00F92ABD">
        <w:rPr>
          <w:iCs/>
        </w:rPr>
        <w:t>Brinckerhoff, 1996; Madaus &amp; Shaw, 2004)</w:t>
      </w:r>
      <w:r w:rsidRPr="00F92ABD">
        <w:rPr>
          <w:i/>
          <w:iCs/>
        </w:rPr>
        <w:t>.</w:t>
      </w:r>
    </w:p>
    <w:p w:rsidR="00F92ABD" w:rsidRPr="00F92ABD" w:rsidRDefault="00F92ABD" w:rsidP="00F92ABD">
      <w:pPr>
        <w:spacing w:line="480" w:lineRule="auto"/>
      </w:pPr>
      <w:r w:rsidRPr="00F92ABD">
        <w:rPr>
          <w:b/>
        </w:rPr>
        <w:tab/>
        <w:t xml:space="preserve">Characteristics of twice-exceptional students. </w:t>
      </w:r>
      <w:r w:rsidRPr="00F92ABD">
        <w:t xml:space="preserve">An additional group of students, those who experience both giftedness characteristics and characteristics of specific learning disabilities, have been identified as 2e. Because of the unique profile twice exceptional students’ exhibit, there has been much debate surrounding the definition of this exceptionality. Since this type of 2e was first identified, twice-exceptionality has undergone modifications as the characteristics of giftedness and specific learning disabilities have changed. However, the main tenants have remained the same. Students can be screened as at risk for twice-exceptionality if they demonstrate superior ability in one academic domain while also experiencing academic difficulty in another domain (Brody &amp; Mills, 1997; McCallum, Bell, Coles, Miller, Hopkins, Hilton-Prillhart, 2013; Reis et al., 2014), and this academic variability is not better explained by other factors. </w:t>
      </w:r>
    </w:p>
    <w:p w:rsidR="00F92ABD" w:rsidRPr="00F92ABD" w:rsidRDefault="00F92ABD" w:rsidP="00F92ABD">
      <w:pPr>
        <w:spacing w:line="480" w:lineRule="auto"/>
        <w:ind w:firstLine="720"/>
      </w:pPr>
      <w:r w:rsidRPr="00F92ABD">
        <w:t>Twice-exceptionality has continued to garner research attention, particularly efforts to best operationalize it (Baum &amp; Owen, 2004; Foley-Nicpon, Allmon, Sieck, &amp; Stinson, 2011; Trail, 2010). Often, these students are difficult to identify because they do not fit into the traditional definition of either exceptionality (Reis et al., 2014). Some students have an obvious discrepancy between two academic areas, and are easily identified, while others have less obvious discrepancies (Ruban &amp; Reis, 2005). Thus, consensus among researchers continues to be of the utmost importance.</w:t>
      </w:r>
    </w:p>
    <w:p w:rsidR="00F92ABD" w:rsidRPr="00F92ABD" w:rsidRDefault="00F92ABD" w:rsidP="00F92ABD">
      <w:pPr>
        <w:spacing w:line="480" w:lineRule="auto"/>
        <w:ind w:firstLine="720"/>
      </w:pPr>
      <w:r w:rsidRPr="00F92ABD">
        <w:rPr>
          <w:b/>
          <w:i/>
        </w:rPr>
        <w:t>Identification of twice-exceptional students</w:t>
      </w:r>
      <w:r w:rsidRPr="00F92ABD">
        <w:rPr>
          <w:b/>
        </w:rPr>
        <w:t xml:space="preserve">. </w:t>
      </w:r>
      <w:r w:rsidRPr="00F92ABD">
        <w:t xml:space="preserve">To some extent the difficulty in establishing an identification technique for twice-exceptionality occurs because  it needs to be broad enough to account for all those at risk, but also specific enough to allow for accurate identification (Reis et al., 2014). Certainly, a clear and accepted definition needs to be established. Only then can educators hope to address the particular set of needs twice-exceptional learners experience (Reis et al., 2014). In 2006, the National Education Association identified approximately 400,000 students across the United States as potential twice-exceptional learners. Traditional criteria of SLD require that students demonstrate “unexpected achievement deficits,” limitations are not better explained by other factors (McCallum et al., 2013). Additionally, in order to receive services in public schools, the student’s achievement must be significantly below what is expected based on their chronological age, when compared to same-age peers. This requirement presents an additional challenge for 2e students. Because 2e students experience both superior and inferior ability (in different academic areas), they may perform within the average range overall (if global scores are created). In addition, despite the variability in their perform, 2e students may not qualify for the services they need because their performance is not normatively low, or low enough, due to their ability to compensate (Assouline et al., 2010; Mastropieri &amp; Scruggs, 2005; McCallum et al., 2013; Scruggs &amp; Mastropieri, 2002). So, 2e students’ difficulties might be “masked,” i.e., the difficulties associated with the student’s disability are masked by the strengths associated with the student’s giftedness (Baum, 1990; Silverman, 2003). Use of the aptitude-achievement discrepancy model and the PSW model will likely will miss 2e students’ normatively low performance that is required for identification (Scruggs &amp; Mastropieri, 2002). Traditional RTI models also are likely to miss 2e students because they are able to compensate somewhat for their disabilities and will not be identified as at-risk. Thus, even though 2e students may struggle academically, they may not perform low enough for their learning disabilities to be identified (Crepeau-Hobson &amp; Bianco, 2011; McKenzie, 2010). </w:t>
      </w:r>
    </w:p>
    <w:p w:rsidR="00F92ABD" w:rsidRPr="00F92ABD" w:rsidRDefault="00F92ABD" w:rsidP="00F92ABD">
      <w:pPr>
        <w:spacing w:line="480" w:lineRule="auto"/>
        <w:ind w:firstLine="720"/>
        <w:rPr>
          <w:b/>
          <w:highlight w:val="yellow"/>
        </w:rPr>
      </w:pPr>
      <w:r w:rsidRPr="00F92ABD">
        <w:t>Recently, an efficient screening model consistent with traditional definitions of learning disability and giftedness has been identified. McCallum et al. (2013) developed a screening technique for twice-exceptional students’ that focuses on determining whether a significant/large discrepancy exist between academic areas. This model is characterized by some advantages. First, this type of model takes into account specific academic performance on multiple subject areas, as opposed to focusing solely on composite scores as estimates of ability level. Second, this type of model can be adjusted for more liberal or conservative screening model for 2e students. Third, the model is efficient because it relies on group scores already available to either K-12 school systems or, in the case of college students, the university. Typically, performance variability is one important criterion for diagnosing a learning disability, and this model begins the screening process by determining the extent to which a discrepancy is present. Those identified as potentially at-risk because of a high score in one academic area but a low score in another would need further testing in order to be identified.</w:t>
      </w:r>
    </w:p>
    <w:p w:rsidR="00F92ABD" w:rsidRPr="00F92ABD" w:rsidRDefault="00F92ABD" w:rsidP="00F92ABD">
      <w:pPr>
        <w:spacing w:line="480" w:lineRule="auto"/>
        <w:ind w:firstLine="720"/>
      </w:pPr>
      <w:r w:rsidRPr="00F92ABD">
        <w:rPr>
          <w:b/>
          <w:i/>
        </w:rPr>
        <w:t>Learning outcomes of twice-exceptional students</w:t>
      </w:r>
      <w:r w:rsidRPr="00F92ABD">
        <w:rPr>
          <w:b/>
        </w:rPr>
        <w:t xml:space="preserve">. </w:t>
      </w:r>
      <w:r w:rsidRPr="00F92ABD">
        <w:t xml:space="preserve">While numerous researchers agree that catering instruction to students’ strengths and weaknesses allows teachers to be more successful (Ruben &amp; Reis, 2005), this strategy becomes particularly important when the students are twice-exceptional (Schultz, 2012). Even more important, the strengths and weaknesses need to be considered together (Schultz, 2012); consideration of optimal instruction based on both strengths and weaknesses is the most efficient way to ensure specific educational needs are met (Foley Nicpon et al., 2011). </w:t>
      </w:r>
    </w:p>
    <w:p w:rsidR="00F92ABD" w:rsidRPr="00F92ABD" w:rsidRDefault="00F92ABD" w:rsidP="00F92ABD">
      <w:pPr>
        <w:spacing w:line="480" w:lineRule="auto"/>
      </w:pPr>
      <w:r w:rsidRPr="00F92ABD">
        <w:tab/>
        <w:t>Often, twice-exceptional students are an anomaly to teachers (Schultz, 2012) because of their unique educational needs (Foley Nicpon et al., 2011). Researchers have conducted numerous empirical investigations exploring effective learning strategies for twice-exceptional students and have identified some important classroom techniques that include: . providing a flexible environment where students have the ability to self-direct their studies allows twice-exceptional students using multiple educational approaches  catering to both the strengths and weaknesses of the student, accelerated academics, and so on (Assouline &amp; Whiteman, 2011; Baum, Cooper, Neu, &amp; Owen, 1997; Neilson, 2002; Weinfled, Barnes-Robinson, Jeweler, &amp; Shevitz, 2002). Regardless of the strategy investigated, researchers agree on one important notion: the educational services of twice-exceptional students must address both their strengths and weaknesses in order to provide the student the optimal academic environment (Baum, 2008).</w:t>
      </w:r>
    </w:p>
    <w:p w:rsidR="00F92ABD" w:rsidRPr="00F92ABD" w:rsidRDefault="00F92ABD" w:rsidP="00F92ABD">
      <w:pPr>
        <w:spacing w:line="480" w:lineRule="auto"/>
        <w:ind w:firstLine="720"/>
      </w:pPr>
      <w:r w:rsidRPr="00F92ABD">
        <w:t>While there has been substantial investigation into the academic, social, and emotional needs of twice-exceptional students over the past few decades within public schools, there has been little research into how twice-exceptionality affects a students’ ability to succeed in college. To date, twice-exceptional status in college students has received minimal attention (Hays, 2015; Reis &amp; Colbert, 2004). Given what is known about K-12 twice-exceptional populations, twice-exceptional students who decide to pursue a college education are likely to experience difficulty in their courses (Reis &amp; Colbert, 2004). Approximately 5 percent of the K-12 population receives SLD services (National Joint Committee on Learning Disabilities, 2011), and almost 10 percent of those students pursue a college education after graduating from high school (Wagner, Newman, Cameto, Garza, &amp; Levine, 2005). The number of students under the SLD category pursuing a college education has continued to increase over the last decade (Gregg, 2007). Given the growing demographics of college students with learning disabilities, a percentage of those students likely exhibit twice-exceptional characteristics (Hays, 2015). But, we know little about how these 2e students perform on important outcome measures.</w:t>
      </w:r>
    </w:p>
    <w:p w:rsidR="00F92ABD" w:rsidRPr="00F92ABD" w:rsidRDefault="00F92ABD" w:rsidP="00F92ABD">
      <w:pPr>
        <w:spacing w:line="480" w:lineRule="auto"/>
        <w:rPr>
          <w:b/>
        </w:rPr>
      </w:pPr>
      <w:r w:rsidRPr="00F92ABD">
        <w:rPr>
          <w:b/>
        </w:rPr>
        <w:t xml:space="preserve">Statement of the Problem </w:t>
      </w:r>
    </w:p>
    <w:p w:rsidR="00F92ABD" w:rsidRPr="00F92ABD" w:rsidRDefault="00F92ABD" w:rsidP="00F92ABD">
      <w:pPr>
        <w:spacing w:line="480" w:lineRule="auto"/>
      </w:pPr>
      <w:r w:rsidRPr="00F92ABD">
        <w:tab/>
        <w:t>McCoach et al. (2001) have defined twice-exceptional students as those who demonstrate superior ability in one academic domain while simultaneously demonstrating inferior ability in another academic domain. This specific subset of students is often misunderstood because of the dual presence of giftedness and a SLD (Whitemore &amp; Maker, 1985); thus, identifying then providing services to these students is often difficult. Twice-exceptional students in the K-12 population have been investigated for years and identification techniques, intervention strategies, and educational approaches have often been the subject of empirical investigation. However, little is known about twice-exceptional students who choose to pursue a college education. More specifically, not much is known about the extent to which 2e students exist and succeed in the college environment. Hays (2015) investigated graduation and retention rates among college students screened as twice-exceptional. Results indicated that students screened as potentially twice-exceptional were significantly less likely (</w:t>
      </w:r>
      <w:r w:rsidRPr="00F92ABD">
        <w:rPr>
          <w:i/>
          <w:iCs/>
        </w:rPr>
        <w:t>x</w:t>
      </w:r>
      <w:r w:rsidRPr="00F92ABD">
        <w:rPr>
          <w:vertAlign w:val="superscript"/>
        </w:rPr>
        <w:t xml:space="preserve">2 </w:t>
      </w:r>
      <w:r w:rsidRPr="00F92ABD">
        <w:t xml:space="preserve">(1) = 9.49, </w:t>
      </w:r>
      <w:r w:rsidRPr="00F92ABD">
        <w:rPr>
          <w:i/>
        </w:rPr>
        <w:t>p</w:t>
      </w:r>
      <w:r w:rsidRPr="00F92ABD">
        <w:t>&lt; .01) to return after their first year of college when compared to their non-2e peers. Additionally, students screened as twice-exceptional were less likely to have declared a major compared to their non-2e peers, despite their obvious academic strengths and weaknesses. However, a number of questions remain regarding the performance of undergraduates screened as 2e. For example, 2e status may be operationalized according to scores obtained by students on two major examinations (i.e., ACT or SAT), and nothing is known about how academic outcomes might vary as a function of assigning 2e status based on the ACT vs assignment based on the SAT. Furthermore, there is no literature available describing outcomes for 2e students who graduate after six years vs. those who do not. Nor is there literature characterizing the academic success of 2e students who declare a major in line with their strong academic area vs. those who do not. The purpose of the present study is to continue to explore academic outcomes for students who are screened as twice-exceptional, specifically those who are screened as gifted with a potential SLD in reading or math.  The following specific research questions are addressed:</w:t>
      </w:r>
    </w:p>
    <w:p w:rsidR="00F92ABD" w:rsidRPr="00F92ABD" w:rsidRDefault="00F92ABD" w:rsidP="00F92ABD">
      <w:pPr>
        <w:pStyle w:val="ListParagraph"/>
        <w:numPr>
          <w:ilvl w:val="0"/>
          <w:numId w:val="6"/>
        </w:numPr>
        <w:spacing w:line="480" w:lineRule="auto"/>
      </w:pPr>
      <w:r w:rsidRPr="00F92ABD">
        <w:t xml:space="preserve">To what extent do the percentage of students screened as twice-exceptional by the SAT overlap with students screened as twice-exceptional by the ACT? </w:t>
      </w:r>
    </w:p>
    <w:p w:rsidR="00F92ABD" w:rsidRPr="00F92ABD" w:rsidRDefault="00F92ABD" w:rsidP="00F92ABD">
      <w:pPr>
        <w:pStyle w:val="ListParagraph"/>
        <w:numPr>
          <w:ilvl w:val="0"/>
          <w:numId w:val="6"/>
        </w:numPr>
        <w:spacing w:line="480" w:lineRule="auto"/>
      </w:pPr>
      <w:r w:rsidRPr="00F92ABD">
        <w:t xml:space="preserve">Do retention rates of students identified as 2e by the SAT differ from those identified by the ACT after one year of college? </w:t>
      </w:r>
    </w:p>
    <w:p w:rsidR="00F92ABD" w:rsidRPr="00F92ABD" w:rsidRDefault="00F92ABD" w:rsidP="00F92ABD">
      <w:pPr>
        <w:pStyle w:val="ListParagraph"/>
        <w:numPr>
          <w:ilvl w:val="0"/>
          <w:numId w:val="6"/>
        </w:numPr>
        <w:spacing w:line="480" w:lineRule="auto"/>
      </w:pPr>
      <w:r w:rsidRPr="00F92ABD">
        <w:t xml:space="preserve">Do students screened as twice-exceptional by the SAT perform as well as students screened as twice-exceptional by the ACT, based on GPA at graduation,  </w:t>
      </w:r>
    </w:p>
    <w:p w:rsidR="00F92ABD" w:rsidRPr="00F92ABD" w:rsidRDefault="00F92ABD" w:rsidP="00F92ABD">
      <w:pPr>
        <w:pStyle w:val="ListParagraph"/>
        <w:numPr>
          <w:ilvl w:val="0"/>
          <w:numId w:val="6"/>
        </w:numPr>
        <w:spacing w:line="480" w:lineRule="auto"/>
      </w:pPr>
      <w:r w:rsidRPr="00F92ABD">
        <w:t>Will twice-exceptional students identified by either ACT or SAT who declare a major in line with their strength earn a statistically significantly different mean on final GPA than those who do not declare a major in line with their strength?</w:t>
      </w:r>
    </w:p>
    <w:p w:rsidR="00F92ABD" w:rsidRPr="00F92ABD" w:rsidRDefault="00F92ABD" w:rsidP="00F92ABD">
      <w:pPr>
        <w:pStyle w:val="ListParagraph"/>
        <w:numPr>
          <w:ilvl w:val="0"/>
          <w:numId w:val="6"/>
        </w:numPr>
        <w:spacing w:line="480" w:lineRule="auto"/>
      </w:pPr>
      <w:r w:rsidRPr="00F92ABD">
        <w:t xml:space="preserve">Do  twice-exceptional students identified by either ACT or SAT who completed their degree after six years earn a significantly different final GPA mean than those who did not </w:t>
      </w:r>
    </w:p>
    <w:p w:rsidR="005F2B0B" w:rsidRPr="00F92ABD" w:rsidRDefault="00F92ABD" w:rsidP="005F2B0B">
      <w:pPr>
        <w:pStyle w:val="ListParagraph"/>
        <w:numPr>
          <w:ilvl w:val="0"/>
          <w:numId w:val="6"/>
        </w:numPr>
        <w:spacing w:line="480" w:lineRule="auto"/>
        <w:rPr>
          <w:rFonts w:ascii="Times New Roman" w:hAnsi="Times New Roman" w:cs="Times New Roman"/>
        </w:rPr>
      </w:pPr>
      <w:r w:rsidRPr="00F92ABD">
        <w:t>To what extent do twice-exceptional students identified by either ACT or SAT who completed their degree after six years declare a major in line with strength vs. those who do not complete their degree after six years?</w:t>
      </w:r>
      <w:r w:rsidRPr="00F92ABD">
        <w:tab/>
      </w:r>
      <w:r w:rsidRPr="0010409C">
        <w:rPr>
          <w:rFonts w:ascii="Times New Roman" w:hAnsi="Times New Roman" w:cs="Times New Roman"/>
        </w:rPr>
        <w:t xml:space="preserve"> </w:t>
      </w:r>
      <w:r w:rsidR="005F2B0B">
        <w:br w:type="page"/>
      </w:r>
    </w:p>
    <w:p w:rsidR="00236E6D" w:rsidRDefault="00965FBD" w:rsidP="00311F1A">
      <w:pPr>
        <w:pStyle w:val="Heading1"/>
      </w:pPr>
      <w:bookmarkStart w:id="2" w:name="_Toc420995896"/>
      <w:bookmarkStart w:id="3" w:name="_Toc422997483"/>
      <w:r>
        <w:br/>
      </w:r>
      <w:bookmarkEnd w:id="2"/>
      <w:bookmarkEnd w:id="3"/>
      <w:r w:rsidR="00F92ABD">
        <w:t>Method</w:t>
      </w:r>
    </w:p>
    <w:p w:rsidR="00F92ABD" w:rsidRDefault="00F92ABD" w:rsidP="00F92ABD">
      <w:pPr>
        <w:spacing w:line="480" w:lineRule="auto"/>
        <w:rPr>
          <w:rFonts w:ascii="Times New Roman" w:hAnsi="Times New Roman" w:cs="Times New Roman"/>
        </w:rPr>
      </w:pPr>
      <w:r w:rsidRPr="005D3F97">
        <w:rPr>
          <w:rFonts w:ascii="Times New Roman" w:hAnsi="Times New Roman" w:cs="Times New Roman"/>
          <w:b/>
        </w:rPr>
        <w:t>Participants</w:t>
      </w:r>
      <w:r w:rsidRPr="005D3F97">
        <w:rPr>
          <w:rFonts w:ascii="Times New Roman" w:hAnsi="Times New Roman" w:cs="Times New Roman"/>
        </w:rPr>
        <w:t xml:space="preserve"> </w:t>
      </w:r>
    </w:p>
    <w:p w:rsidR="00F92ABD" w:rsidRDefault="00F92ABD" w:rsidP="00F92ABD">
      <w:pPr>
        <w:spacing w:line="480" w:lineRule="auto"/>
        <w:rPr>
          <w:rFonts w:ascii="Times New Roman" w:hAnsi="Times New Roman" w:cs="Times New Roman"/>
        </w:rPr>
      </w:pPr>
      <w:r>
        <w:rPr>
          <w:rFonts w:ascii="Times New Roman" w:hAnsi="Times New Roman" w:cs="Times New Roman"/>
        </w:rPr>
        <w:tab/>
        <w:t xml:space="preserve">Data on the demographics, SAT/ACT college readiness test scores, high school and college GPA, choice of major, exiting college GPA, and year of graduation or exit were obtained for approximately 25,000 undergraduate students at the University of Tennessee (UT). These data were obtained as part of two larger databases complied and maintained by the UT Office of Institutional Research. The first database contains all information on all students who were enrolled at UT as entering freshmen within the years of 2007 and 2012. The second database differs from the first in that in includes accurate and current information about major declaration on all students who were enrolled at UT as entering freshmen within the years of 2008 and 2013. Finalized numbers and demographic information about participants will be included when the second database is completed. </w:t>
      </w:r>
    </w:p>
    <w:p w:rsidR="00F92ABD" w:rsidRDefault="00F92ABD" w:rsidP="00F92ABD">
      <w:pPr>
        <w:spacing w:line="480" w:lineRule="auto"/>
        <w:rPr>
          <w:rFonts w:ascii="Times New Roman" w:hAnsi="Times New Roman" w:cs="Times New Roman"/>
        </w:rPr>
      </w:pPr>
      <w:r>
        <w:rPr>
          <w:rFonts w:ascii="Times New Roman" w:hAnsi="Times New Roman" w:cs="Times New Roman"/>
        </w:rPr>
        <w:tab/>
      </w:r>
      <w:r w:rsidRPr="00743C85">
        <w:rPr>
          <w:rFonts w:ascii="Times New Roman" w:hAnsi="Times New Roman" w:cs="Times New Roman"/>
          <w:b/>
        </w:rPr>
        <w:t>Exclusions.</w:t>
      </w:r>
      <w:r>
        <w:rPr>
          <w:rFonts w:ascii="Times New Roman" w:hAnsi="Times New Roman" w:cs="Times New Roman"/>
        </w:rPr>
        <w:t xml:space="preserve"> Because the current study compares identification efficacy of the ACT and SAT, students who submitted only one college readiness test measure were excluded from the dataset. Additionally, because of possible confounds in English language fluency, students classified as non-resident/alien were also excluded from the dataset. This resulted in a final sample of XXXXX students. The XXXX cohort was set aside for the purpose of establishing cutoff criteria for screening for giftedness and twice-exceptional </w:t>
      </w:r>
    </w:p>
    <w:p w:rsidR="00F92ABD" w:rsidRDefault="00F92ABD" w:rsidP="00F92ABD">
      <w:pPr>
        <w:spacing w:line="480" w:lineRule="auto"/>
        <w:rPr>
          <w:rFonts w:ascii="Times New Roman" w:hAnsi="Times New Roman" w:cs="Times New Roman"/>
        </w:rPr>
      </w:pPr>
      <w:r>
        <w:rPr>
          <w:rFonts w:ascii="Times New Roman" w:hAnsi="Times New Roman" w:cs="Times New Roman"/>
        </w:rPr>
        <w:tab/>
      </w:r>
      <w:r w:rsidRPr="00743C85">
        <w:rPr>
          <w:rFonts w:ascii="Times New Roman" w:hAnsi="Times New Roman" w:cs="Times New Roman"/>
          <w:b/>
        </w:rPr>
        <w:t>Establishing criteria for gifted and twice-exceptional screening.</w:t>
      </w:r>
      <w:r>
        <w:rPr>
          <w:rFonts w:ascii="Times New Roman" w:hAnsi="Times New Roman" w:cs="Times New Roman"/>
        </w:rPr>
        <w:t xml:space="preserve"> A modified version of the screening method proposed by McCallum et al. (2013) was used to screen for twice-exceptional students in the present study. Students are first screened for giftedness, and then subsequently screened for twice-exceptionality. Despite the typical 1 and 1/3 standard deviation above the mean criteria for giftedness screening suggested by some researchers (Lovett &amp; Sparks, 2011), a more inclusive criteria will be used in the present study. As recommended by other researchers (McCallum et al., 2013), a more inclusive criterion will allow for screening of more students that are at risk for twice-exceptionality. Thus, students who are 1 standard deviation above the mean on either reading or math on either the ACT or SAT will be screened as potentially gifted. </w:t>
      </w:r>
    </w:p>
    <w:p w:rsidR="00F92ABD" w:rsidRDefault="00F92ABD" w:rsidP="00F92ABD">
      <w:pPr>
        <w:spacing w:line="480" w:lineRule="auto"/>
        <w:rPr>
          <w:rFonts w:ascii="Times New Roman" w:hAnsi="Times New Roman" w:cs="Times New Roman"/>
        </w:rPr>
      </w:pPr>
      <w:r>
        <w:rPr>
          <w:rFonts w:ascii="Times New Roman" w:hAnsi="Times New Roman" w:cs="Times New Roman"/>
        </w:rPr>
        <w:tab/>
        <w:t xml:space="preserve">Among those students screened as gifted, those who also demonstrate a discrepancy between math and reading scores of one, standard deviation or higher will be screened as potentially twice-exceptional on either the ACT or SAT. By comparing the students identified at varying cut-scores, the current study aims to establish various appropriate and inclusive criterions for twice-exceptional screening. </w:t>
      </w:r>
    </w:p>
    <w:p w:rsidR="00F92ABD" w:rsidRPr="002617BE" w:rsidRDefault="00F92ABD" w:rsidP="00F92ABD">
      <w:pPr>
        <w:spacing w:line="480" w:lineRule="auto"/>
        <w:rPr>
          <w:rFonts w:ascii="Times New Roman" w:hAnsi="Times New Roman" w:cs="Times New Roman"/>
          <w:b/>
        </w:rPr>
      </w:pPr>
      <w:r w:rsidRPr="002617BE">
        <w:rPr>
          <w:rFonts w:ascii="Times New Roman" w:hAnsi="Times New Roman" w:cs="Times New Roman"/>
          <w:b/>
        </w:rPr>
        <w:t>Measures</w:t>
      </w:r>
    </w:p>
    <w:p w:rsidR="00F92ABD" w:rsidRDefault="00F92ABD" w:rsidP="00F92ABD">
      <w:pPr>
        <w:spacing w:line="480" w:lineRule="auto"/>
        <w:rPr>
          <w:rFonts w:ascii="Times New Roman" w:hAnsi="Times New Roman" w:cs="Times New Roman"/>
        </w:rPr>
      </w:pPr>
      <w:r>
        <w:rPr>
          <w:rFonts w:ascii="Times New Roman" w:hAnsi="Times New Roman" w:cs="Times New Roman"/>
        </w:rPr>
        <w:tab/>
        <w:t xml:space="preserve">All analyses will be run using two databases provided by the Office of Institutional Research at the University of Tennessee Knoxville. Below is a brief description of each measure and its purpose in the current study. </w:t>
      </w:r>
    </w:p>
    <w:p w:rsidR="00F92ABD" w:rsidRDefault="00F92ABD" w:rsidP="00F92ABD">
      <w:pPr>
        <w:spacing w:line="480" w:lineRule="auto"/>
        <w:ind w:firstLine="720"/>
        <w:rPr>
          <w:rFonts w:ascii="Times New Roman" w:hAnsi="Times New Roman" w:cs="Times New Roman"/>
        </w:rPr>
      </w:pPr>
      <w:r>
        <w:rPr>
          <w:rFonts w:ascii="Times New Roman" w:hAnsi="Times New Roman" w:cs="Times New Roman"/>
          <w:b/>
        </w:rPr>
        <w:t>ACT/SAT s</w:t>
      </w:r>
      <w:r w:rsidRPr="009D2760">
        <w:rPr>
          <w:rFonts w:ascii="Times New Roman" w:hAnsi="Times New Roman" w:cs="Times New Roman"/>
          <w:b/>
        </w:rPr>
        <w:t>uperscores</w:t>
      </w:r>
      <w:r>
        <w:rPr>
          <w:rFonts w:ascii="Times New Roman" w:hAnsi="Times New Roman" w:cs="Times New Roman"/>
        </w:rPr>
        <w:t>.</w:t>
      </w:r>
      <w:r w:rsidRPr="009D2760">
        <w:rPr>
          <w:rFonts w:ascii="Times New Roman" w:hAnsi="Times New Roman" w:cs="Times New Roman"/>
        </w:rPr>
        <w:t xml:space="preserve"> </w:t>
      </w:r>
      <w:r w:rsidRPr="00CA2A22">
        <w:rPr>
          <w:rFonts w:ascii="Times New Roman" w:hAnsi="Times New Roman" w:cs="Times New Roman"/>
        </w:rPr>
        <w:t>The University of Tennessee accepts both SAT and ACT scores for admissions purposes. T</w:t>
      </w:r>
      <w:r>
        <w:rPr>
          <w:rFonts w:ascii="Times New Roman" w:hAnsi="Times New Roman" w:cs="Times New Roman"/>
        </w:rPr>
        <w:t xml:space="preserve">he superscoring method is applied if multiple testing attempts is submitted; the highest ACT or SAT subset and composite scores are created across all testing dates. Both superscores will be used to screen students for twice-exceptionality and a comparison between the populations identified will be conducted in question one. Psychometric properties of this variable were described above. </w:t>
      </w:r>
    </w:p>
    <w:p w:rsidR="00F92ABD" w:rsidRPr="009D2760" w:rsidRDefault="00F92ABD" w:rsidP="00F92ABD">
      <w:pPr>
        <w:spacing w:line="480" w:lineRule="auto"/>
        <w:rPr>
          <w:rFonts w:ascii="Times New Roman" w:hAnsi="Times New Roman" w:cs="Times New Roman"/>
        </w:rPr>
      </w:pPr>
      <w:r>
        <w:rPr>
          <w:rFonts w:ascii="Times New Roman" w:hAnsi="Times New Roman" w:cs="Times New Roman"/>
        </w:rPr>
        <w:tab/>
      </w:r>
      <w:r w:rsidRPr="005103F3">
        <w:rPr>
          <w:rFonts w:ascii="Times New Roman" w:hAnsi="Times New Roman" w:cs="Times New Roman"/>
          <w:b/>
        </w:rPr>
        <w:t xml:space="preserve">High </w:t>
      </w:r>
      <w:r>
        <w:rPr>
          <w:rFonts w:ascii="Times New Roman" w:hAnsi="Times New Roman" w:cs="Times New Roman"/>
          <w:b/>
        </w:rPr>
        <w:t>s</w:t>
      </w:r>
      <w:r w:rsidRPr="005103F3">
        <w:rPr>
          <w:rFonts w:ascii="Times New Roman" w:hAnsi="Times New Roman" w:cs="Times New Roman"/>
          <w:b/>
        </w:rPr>
        <w:t>chool GPA.</w:t>
      </w:r>
      <w:r>
        <w:rPr>
          <w:rFonts w:ascii="Times New Roman" w:hAnsi="Times New Roman" w:cs="Times New Roman"/>
        </w:rPr>
        <w:t xml:space="preserve"> The reported high school GPA (HSGPA) will be the final recorded grade point average for each student prior to applying for college. </w:t>
      </w:r>
    </w:p>
    <w:p w:rsidR="00F92ABD" w:rsidRPr="009D2760" w:rsidRDefault="00F92ABD" w:rsidP="00F92ABD">
      <w:pPr>
        <w:spacing w:line="480" w:lineRule="auto"/>
        <w:rPr>
          <w:rFonts w:ascii="Times New Roman" w:hAnsi="Times New Roman" w:cs="Times New Roman"/>
        </w:rPr>
      </w:pPr>
      <w:r w:rsidRPr="009D2760">
        <w:rPr>
          <w:rFonts w:ascii="Times New Roman" w:hAnsi="Times New Roman" w:cs="Times New Roman"/>
        </w:rPr>
        <w:tab/>
      </w:r>
      <w:r w:rsidRPr="005103F3">
        <w:rPr>
          <w:rFonts w:ascii="Times New Roman" w:hAnsi="Times New Roman" w:cs="Times New Roman"/>
          <w:b/>
        </w:rPr>
        <w:t>College GPA.</w:t>
      </w:r>
      <w:r>
        <w:rPr>
          <w:rFonts w:ascii="Times New Roman" w:hAnsi="Times New Roman" w:cs="Times New Roman"/>
        </w:rPr>
        <w:t xml:space="preserve"> The reported college GPA (CGPA) is the final reported cumulative GPA for each student during their tenure at the University of Tennessee. It will be recorded for the last term they attended, whether that be graduating from the university or leaving the university. This measure will be used as an operationalization of college success in questions three, four, and six. </w:t>
      </w:r>
    </w:p>
    <w:p w:rsidR="00F92ABD" w:rsidRDefault="00F92ABD" w:rsidP="00F92ABD">
      <w:pPr>
        <w:spacing w:line="480" w:lineRule="auto"/>
        <w:rPr>
          <w:rFonts w:ascii="Times New Roman" w:hAnsi="Times New Roman" w:cs="Times New Roman"/>
        </w:rPr>
      </w:pPr>
      <w:r>
        <w:rPr>
          <w:rFonts w:ascii="Times New Roman" w:hAnsi="Times New Roman" w:cs="Times New Roman"/>
          <w:i/>
        </w:rPr>
        <w:tab/>
      </w:r>
      <w:r w:rsidRPr="005103F3">
        <w:rPr>
          <w:rFonts w:ascii="Times New Roman" w:hAnsi="Times New Roman" w:cs="Times New Roman"/>
          <w:b/>
        </w:rPr>
        <w:t>First year retention.</w:t>
      </w:r>
      <w:r>
        <w:rPr>
          <w:rFonts w:ascii="Times New Roman" w:hAnsi="Times New Roman" w:cs="Times New Roman"/>
        </w:rPr>
        <w:t xml:space="preserve"> First year retention is defined as continuation of college education after the first academic year following the onset of the college education. This measure will be used as a measure of college success in questions two. </w:t>
      </w:r>
    </w:p>
    <w:p w:rsidR="00F92ABD" w:rsidRDefault="00F92ABD" w:rsidP="00F92ABD">
      <w:pPr>
        <w:spacing w:line="480" w:lineRule="auto"/>
        <w:rPr>
          <w:rFonts w:ascii="Times New Roman" w:hAnsi="Times New Roman" w:cs="Times New Roman"/>
        </w:rPr>
      </w:pPr>
      <w:r>
        <w:rPr>
          <w:rFonts w:ascii="Times New Roman" w:hAnsi="Times New Roman" w:cs="Times New Roman"/>
        </w:rPr>
        <w:tab/>
      </w:r>
      <w:r w:rsidRPr="005103F3">
        <w:rPr>
          <w:rFonts w:ascii="Times New Roman" w:hAnsi="Times New Roman" w:cs="Times New Roman"/>
          <w:b/>
        </w:rPr>
        <w:t>Graduation.</w:t>
      </w:r>
      <w:r>
        <w:rPr>
          <w:rFonts w:ascii="Times New Roman" w:hAnsi="Times New Roman" w:cs="Times New Roman"/>
        </w:rPr>
        <w:t xml:space="preserve"> Years to graduation will be calculated based on graduation term reported for each student in the dataset. The graduation measure will be used as a measure of college success in questions six. </w:t>
      </w:r>
    </w:p>
    <w:p w:rsidR="00F92ABD" w:rsidRDefault="00F92ABD" w:rsidP="00F92ABD">
      <w:pPr>
        <w:spacing w:line="480" w:lineRule="auto"/>
        <w:rPr>
          <w:rFonts w:ascii="Times New Roman" w:hAnsi="Times New Roman" w:cs="Times New Roman"/>
        </w:rPr>
      </w:pPr>
      <w:r>
        <w:rPr>
          <w:rFonts w:ascii="Times New Roman" w:hAnsi="Times New Roman" w:cs="Times New Roman"/>
        </w:rPr>
        <w:tab/>
      </w:r>
      <w:r w:rsidRPr="005103F3">
        <w:rPr>
          <w:rFonts w:ascii="Times New Roman" w:hAnsi="Times New Roman" w:cs="Times New Roman"/>
          <w:b/>
        </w:rPr>
        <w:t xml:space="preserve">Major </w:t>
      </w:r>
      <w:r>
        <w:rPr>
          <w:rFonts w:ascii="Times New Roman" w:hAnsi="Times New Roman" w:cs="Times New Roman"/>
          <w:b/>
        </w:rPr>
        <w:t>d</w:t>
      </w:r>
      <w:r w:rsidRPr="005103F3">
        <w:rPr>
          <w:rFonts w:ascii="Times New Roman" w:hAnsi="Times New Roman" w:cs="Times New Roman"/>
          <w:b/>
        </w:rPr>
        <w:t>eclaration.</w:t>
      </w:r>
      <w:r>
        <w:rPr>
          <w:rFonts w:ascii="Times New Roman" w:hAnsi="Times New Roman" w:cs="Times New Roman"/>
        </w:rPr>
        <w:t xml:space="preserve"> Among college students, often there are four broad categories that majors fall into. For the purposes of the study, the follow major distinctions will be used: a) STEM (i.e., Science, Technology, Engineering, or Math), b) Bachelor of Arts and Education majors (i.e., humanities, social sciences, etc.), c) Business or Communication majors, or d) Undecided. </w:t>
      </w:r>
      <w:r w:rsidRPr="005103F3">
        <w:rPr>
          <w:rFonts w:ascii="Times New Roman" w:hAnsi="Times New Roman" w:cs="Times New Roman"/>
          <w:highlight w:val="yellow"/>
        </w:rPr>
        <w:t>(THIS SECTION WILL BE ADAPTED ONCE ACCESS TO DATABASE WITH MAJOR INFORMATION IS GIVEN)</w:t>
      </w:r>
    </w:p>
    <w:p w:rsidR="00F92ABD" w:rsidRDefault="00F92ABD" w:rsidP="00F92ABD">
      <w:pPr>
        <w:spacing w:line="480" w:lineRule="auto"/>
        <w:rPr>
          <w:rFonts w:ascii="Times New Roman" w:hAnsi="Times New Roman" w:cs="Times New Roman"/>
        </w:rPr>
      </w:pPr>
      <w:r>
        <w:rPr>
          <w:rFonts w:ascii="Times New Roman" w:hAnsi="Times New Roman" w:cs="Times New Roman"/>
        </w:rPr>
        <w:tab/>
      </w:r>
      <w:r w:rsidRPr="005103F3">
        <w:rPr>
          <w:rFonts w:ascii="Times New Roman" w:hAnsi="Times New Roman" w:cs="Times New Roman"/>
          <w:b/>
          <w:i/>
        </w:rPr>
        <w:t>Declaring in line with strength.</w:t>
      </w:r>
      <w:r w:rsidRPr="005103F3">
        <w:rPr>
          <w:rFonts w:ascii="Times New Roman" w:hAnsi="Times New Roman" w:cs="Times New Roman"/>
        </w:rPr>
        <w:t xml:space="preserve"> </w:t>
      </w:r>
      <w:r>
        <w:rPr>
          <w:rFonts w:ascii="Times New Roman" w:hAnsi="Times New Roman" w:cs="Times New Roman"/>
        </w:rPr>
        <w:t xml:space="preserve">Among students screened as twice-exceptional, major declaration will be defined as follows. For students screened as gifted in reading with a learning disability in math, Bachelor of Arts or Education majors, and Communications majors will be considered declaration of major in line with strength. For students screened as gifted in math with a learning disability in reading, STEM majors or business majors will be considered declaration of major in line with strength. </w:t>
      </w:r>
    </w:p>
    <w:p w:rsidR="00F92ABD" w:rsidRPr="00CA2A22" w:rsidRDefault="00F92ABD" w:rsidP="00F92ABD">
      <w:pPr>
        <w:spacing w:line="480" w:lineRule="auto"/>
        <w:rPr>
          <w:rFonts w:ascii="Times New Roman" w:hAnsi="Times New Roman" w:cs="Times New Roman"/>
          <w:b/>
        </w:rPr>
      </w:pPr>
      <w:r w:rsidRPr="00CA2A22">
        <w:rPr>
          <w:rFonts w:ascii="Times New Roman" w:hAnsi="Times New Roman" w:cs="Times New Roman"/>
          <w:b/>
        </w:rPr>
        <w:t>Plan of Data Analysis</w:t>
      </w:r>
    </w:p>
    <w:p w:rsidR="00F92ABD" w:rsidRPr="00F92ABD" w:rsidRDefault="00F92ABD" w:rsidP="00F92ABD">
      <w:pPr>
        <w:spacing w:line="480" w:lineRule="auto"/>
      </w:pPr>
      <w:r w:rsidRPr="00CA2A22">
        <w:rPr>
          <w:rFonts w:ascii="Times New Roman" w:hAnsi="Times New Roman" w:cs="Times New Roman"/>
        </w:rPr>
        <w:tab/>
        <w:t xml:space="preserve">All research questions will be analyzed via appropriate statistical analyses. The first research question will explore the percentage of overlap between students screened as twice-exceptional by the ACT versus students screened as twice-exceptional by the SAT. Research question two will be analyzed via a chi square analysis. The third research question will be analyzed via a two-group ANOVA and a regression equation, which will allow for control of members who are screened as twice-exceptional by both the SAT and ACT. Research question four will be analyzed via a </w:t>
      </w:r>
      <w:r w:rsidRPr="00CA2A22">
        <w:rPr>
          <w:rFonts w:ascii="Times New Roman" w:hAnsi="Times New Roman" w:cs="Times New Roman"/>
          <w:i/>
        </w:rPr>
        <w:t xml:space="preserve">t </w:t>
      </w:r>
      <w:r w:rsidRPr="00CA2A22">
        <w:rPr>
          <w:rFonts w:ascii="Times New Roman" w:hAnsi="Times New Roman" w:cs="Times New Roman"/>
        </w:rPr>
        <w:t xml:space="preserve">test. Research question 5 will be analyzed via a </w:t>
      </w:r>
      <w:r w:rsidRPr="00F92ABD">
        <w:rPr>
          <w:rFonts w:ascii="Times New Roman" w:hAnsi="Times New Roman" w:cs="Times New Roman"/>
          <w:i/>
        </w:rPr>
        <w:t>t</w:t>
      </w:r>
      <w:r w:rsidRPr="00CA2A22">
        <w:rPr>
          <w:rFonts w:ascii="Times New Roman" w:hAnsi="Times New Roman" w:cs="Times New Roman"/>
        </w:rPr>
        <w:t xml:space="preserve"> test. </w:t>
      </w:r>
      <w:r>
        <w:rPr>
          <w:rFonts w:ascii="Times New Roman" w:hAnsi="Times New Roman" w:cs="Times New Roman"/>
        </w:rPr>
        <w:t>Research question 6 will be analyzed by a chi-square test.</w:t>
      </w:r>
    </w:p>
    <w:p w:rsidR="00236E6D" w:rsidRDefault="00236E6D">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rsidR="00236E6D" w:rsidRDefault="00236E6D">
      <w:pPr>
        <w:numPr>
          <w:ilvl w:val="12"/>
          <w:numId w:val="0"/>
        </w:numPr>
        <w:rPr>
          <w:highlight w:val="yellow"/>
        </w:rPr>
      </w:pPr>
      <w:r>
        <w:tab/>
      </w:r>
    </w:p>
    <w:p w:rsidR="008F2A6C" w:rsidRDefault="00F92ABD" w:rsidP="00F92ABD">
      <w:r>
        <w:br w:type="page"/>
      </w:r>
      <w:bookmarkStart w:id="4" w:name="_Toc420995911"/>
      <w:bookmarkStart w:id="5" w:name="_Toc422997498"/>
    </w:p>
    <w:p w:rsidR="00236E6D" w:rsidRDefault="00236E6D" w:rsidP="00211D51">
      <w:pPr>
        <w:pStyle w:val="AltHeading1"/>
      </w:pPr>
      <w:bookmarkStart w:id="6" w:name="_Toc427156483"/>
      <w:bookmarkStart w:id="7" w:name="_Toc428278488"/>
      <w:r w:rsidRPr="00311F1A">
        <w:t>L</w:t>
      </w:r>
      <w:r w:rsidR="00E91931">
        <w:t>ist of References</w:t>
      </w:r>
      <w:bookmarkEnd w:id="4"/>
      <w:bookmarkEnd w:id="5"/>
      <w:bookmarkEnd w:id="6"/>
      <w:bookmarkEnd w:id="7"/>
    </w:p>
    <w:p w:rsidR="00F92ABD" w:rsidRDefault="00F92ABD">
      <w:pPr>
        <w:rPr>
          <w:sz w:val="28"/>
          <w:szCs w:val="28"/>
        </w:rPr>
      </w:pPr>
      <w:r>
        <w:rPr>
          <w:sz w:val="28"/>
          <w:szCs w:val="28"/>
        </w:rPr>
        <w:br w:type="page"/>
      </w:r>
    </w:p>
    <w:p w:rsidR="00F92ABD" w:rsidRDefault="00F92ABD" w:rsidP="00F92ABD">
      <w:pPr>
        <w:spacing w:line="480" w:lineRule="auto"/>
        <w:rPr>
          <w:rFonts w:eastAsia="Cambria"/>
          <w:i/>
          <w:szCs w:val="22"/>
        </w:rPr>
      </w:pPr>
      <w:r w:rsidRPr="00F92ABD">
        <w:rPr>
          <w:rFonts w:eastAsia="Cambria"/>
          <w:szCs w:val="22"/>
        </w:rPr>
        <w:t xml:space="preserve">ACT, Inc. (2008). </w:t>
      </w:r>
      <w:r w:rsidRPr="00F92ABD">
        <w:rPr>
          <w:rFonts w:eastAsia="Cambria"/>
          <w:i/>
          <w:szCs w:val="22"/>
        </w:rPr>
        <w:t xml:space="preserve">The relative predictive validity of ACT scores and high school </w:t>
      </w:r>
    </w:p>
    <w:p w:rsidR="00F92ABD" w:rsidRPr="00F92ABD" w:rsidRDefault="00F92ABD" w:rsidP="00F92ABD">
      <w:pPr>
        <w:spacing w:line="480" w:lineRule="auto"/>
        <w:rPr>
          <w:rFonts w:eastAsia="Cambria"/>
          <w:i/>
          <w:szCs w:val="22"/>
        </w:rPr>
      </w:pPr>
      <w:r>
        <w:rPr>
          <w:rFonts w:eastAsia="Cambria"/>
          <w:i/>
          <w:szCs w:val="22"/>
        </w:rPr>
        <w:t xml:space="preserve">     </w:t>
      </w:r>
      <w:r w:rsidRPr="00F92ABD">
        <w:rPr>
          <w:rFonts w:eastAsia="Cambria"/>
          <w:i/>
          <w:szCs w:val="22"/>
        </w:rPr>
        <w:t xml:space="preserve">grades in making college admission decisions. </w:t>
      </w:r>
      <w:r w:rsidRPr="00F92ABD">
        <w:rPr>
          <w:rFonts w:eastAsia="Cambria"/>
          <w:szCs w:val="22"/>
        </w:rPr>
        <w:t xml:space="preserve">Iowa City, IA: ACT, Inc. </w:t>
      </w:r>
    </w:p>
    <w:p w:rsidR="00F92ABD" w:rsidRDefault="00F92ABD" w:rsidP="00F92ABD">
      <w:pPr>
        <w:spacing w:line="480" w:lineRule="auto"/>
        <w:rPr>
          <w:rFonts w:eastAsia="Cambria"/>
          <w:szCs w:val="22"/>
        </w:rPr>
      </w:pPr>
      <w:r w:rsidRPr="00F92ABD">
        <w:rPr>
          <w:rFonts w:eastAsia="Cambria"/>
          <w:szCs w:val="22"/>
        </w:rPr>
        <w:t xml:space="preserve">Allen, J., &amp; Robbins, S.B. (2008). Prediction of college major persistence based </w:t>
      </w:r>
    </w:p>
    <w:p w:rsid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on vocational interests, academic preparation, and first-year academic </w:t>
      </w:r>
    </w:p>
    <w:p w:rsidR="00F92ABD" w:rsidRPr="00F92ABD" w:rsidRDefault="00F92ABD" w:rsidP="00F92ABD">
      <w:pPr>
        <w:spacing w:line="480" w:lineRule="auto"/>
        <w:rPr>
          <w:rFonts w:eastAsia="Cambria"/>
          <w:i/>
          <w:szCs w:val="22"/>
        </w:rPr>
      </w:pPr>
      <w:r>
        <w:rPr>
          <w:rFonts w:eastAsia="Cambria"/>
          <w:szCs w:val="22"/>
        </w:rPr>
        <w:t xml:space="preserve">     </w:t>
      </w:r>
      <w:r w:rsidRPr="00F92ABD">
        <w:rPr>
          <w:rFonts w:eastAsia="Cambria"/>
          <w:szCs w:val="22"/>
        </w:rPr>
        <w:t xml:space="preserve">performance. </w:t>
      </w:r>
      <w:r w:rsidRPr="00F92ABD">
        <w:rPr>
          <w:rFonts w:eastAsia="Cambria"/>
          <w:i/>
          <w:szCs w:val="22"/>
        </w:rPr>
        <w:t>Research in Higher Education, 49</w:t>
      </w:r>
      <w:r w:rsidRPr="00F92ABD">
        <w:rPr>
          <w:rFonts w:eastAsia="Cambria"/>
          <w:szCs w:val="22"/>
        </w:rPr>
        <w:t>(1), 62-79.</w:t>
      </w:r>
    </w:p>
    <w:p w:rsidR="00F92ABD" w:rsidRDefault="00F92ABD" w:rsidP="00F92ABD">
      <w:pPr>
        <w:spacing w:line="480" w:lineRule="auto"/>
        <w:rPr>
          <w:rFonts w:eastAsia="Cambria"/>
          <w:i/>
          <w:iCs/>
          <w:szCs w:val="22"/>
        </w:rPr>
      </w:pPr>
      <w:r w:rsidRPr="00F92ABD">
        <w:rPr>
          <w:rFonts w:eastAsia="Cambria"/>
          <w:szCs w:val="22"/>
        </w:rPr>
        <w:t xml:space="preserve">American Psychiatric Association. (2013). </w:t>
      </w:r>
      <w:r w:rsidRPr="00F92ABD">
        <w:rPr>
          <w:rFonts w:eastAsia="Cambria"/>
          <w:i/>
          <w:iCs/>
          <w:szCs w:val="22"/>
        </w:rPr>
        <w:t xml:space="preserve">Diagnostic and Statistical Manual of </w:t>
      </w:r>
    </w:p>
    <w:p w:rsidR="00F92ABD" w:rsidRPr="00F92ABD" w:rsidRDefault="00F92ABD" w:rsidP="00F92ABD">
      <w:pPr>
        <w:spacing w:line="480" w:lineRule="auto"/>
        <w:rPr>
          <w:rFonts w:eastAsia="Cambria"/>
          <w:i/>
          <w:iCs/>
          <w:szCs w:val="22"/>
        </w:rPr>
      </w:pPr>
      <w:r>
        <w:rPr>
          <w:rFonts w:eastAsia="Cambria"/>
          <w:i/>
          <w:iCs/>
          <w:szCs w:val="22"/>
        </w:rPr>
        <w:t xml:space="preserve">     </w:t>
      </w:r>
      <w:r w:rsidRPr="00F92ABD">
        <w:rPr>
          <w:rFonts w:eastAsia="Cambria"/>
          <w:i/>
          <w:iCs/>
          <w:szCs w:val="22"/>
        </w:rPr>
        <w:t>Mental Disorders (DSM-5®)</w:t>
      </w:r>
      <w:r w:rsidRPr="00F92ABD">
        <w:rPr>
          <w:rFonts w:eastAsia="Cambria"/>
          <w:szCs w:val="22"/>
        </w:rPr>
        <w:t>. American Psychiatric Pub.</w:t>
      </w:r>
    </w:p>
    <w:p w:rsidR="00F92ABD" w:rsidRDefault="00F92ABD" w:rsidP="00F92ABD">
      <w:pPr>
        <w:spacing w:line="480" w:lineRule="auto"/>
        <w:rPr>
          <w:rFonts w:eastAsia="Cambria"/>
          <w:szCs w:val="22"/>
        </w:rPr>
      </w:pPr>
      <w:r w:rsidRPr="00F92ABD">
        <w:rPr>
          <w:rFonts w:eastAsia="Cambria"/>
          <w:szCs w:val="22"/>
        </w:rPr>
        <w:t xml:space="preserve">Assouline, S.G., Foley-Nicpon, M, &amp; Huber, D. H. (2006). The impact of </w:t>
      </w:r>
    </w:p>
    <w:p w:rsid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vulnerabilities and strengths on the academic experiences of twice-</w:t>
      </w:r>
    </w:p>
    <w:p w:rsidR="00F92ABD" w:rsidRDefault="00F92ABD" w:rsidP="00F92ABD">
      <w:pPr>
        <w:spacing w:line="480" w:lineRule="auto"/>
        <w:rPr>
          <w:rFonts w:eastAsia="Cambria"/>
          <w:i/>
          <w:szCs w:val="22"/>
        </w:rPr>
      </w:pPr>
      <w:r>
        <w:rPr>
          <w:rFonts w:eastAsia="Cambria"/>
          <w:szCs w:val="22"/>
        </w:rPr>
        <w:t xml:space="preserve">     </w:t>
      </w:r>
      <w:r w:rsidRPr="00F92ABD">
        <w:rPr>
          <w:rFonts w:eastAsia="Cambria"/>
          <w:szCs w:val="22"/>
        </w:rPr>
        <w:t xml:space="preserve">exceptional students: A message to school counselors. </w:t>
      </w:r>
      <w:r w:rsidRPr="00F92ABD">
        <w:rPr>
          <w:rFonts w:eastAsia="Cambria"/>
          <w:i/>
          <w:szCs w:val="22"/>
        </w:rPr>
        <w:t xml:space="preserve">Professional School </w:t>
      </w:r>
    </w:p>
    <w:p w:rsidR="00F92ABD" w:rsidRPr="00F92ABD" w:rsidRDefault="00F92ABD" w:rsidP="00F92ABD">
      <w:pPr>
        <w:spacing w:line="480" w:lineRule="auto"/>
        <w:rPr>
          <w:rFonts w:eastAsia="Cambria"/>
          <w:szCs w:val="22"/>
        </w:rPr>
      </w:pPr>
      <w:r>
        <w:rPr>
          <w:rFonts w:eastAsia="Cambria"/>
          <w:i/>
          <w:szCs w:val="22"/>
        </w:rPr>
        <w:t xml:space="preserve">     </w:t>
      </w:r>
      <w:r w:rsidRPr="00F92ABD">
        <w:rPr>
          <w:rFonts w:eastAsia="Cambria"/>
          <w:i/>
          <w:szCs w:val="22"/>
        </w:rPr>
        <w:t>Counseling, 10</w:t>
      </w:r>
      <w:r w:rsidRPr="00F92ABD">
        <w:rPr>
          <w:rFonts w:eastAsia="Cambria"/>
          <w:szCs w:val="22"/>
        </w:rPr>
        <w:t>(1), 14-24.</w:t>
      </w:r>
    </w:p>
    <w:p w:rsidR="00F92ABD" w:rsidRDefault="00F92ABD" w:rsidP="00F92ABD">
      <w:pPr>
        <w:spacing w:line="480" w:lineRule="auto"/>
        <w:rPr>
          <w:rFonts w:eastAsia="Cambria"/>
          <w:szCs w:val="22"/>
        </w:rPr>
      </w:pPr>
      <w:r w:rsidRPr="00F92ABD">
        <w:rPr>
          <w:rFonts w:eastAsia="Cambria"/>
          <w:szCs w:val="22"/>
        </w:rPr>
        <w:t xml:space="preserve">Assouline, S.G. &amp; Whiteman, C.S. (2011). Twice-exceptionality: Implications for </w:t>
      </w:r>
    </w:p>
    <w:p w:rsidR="00F92ABD" w:rsidRDefault="00F92ABD" w:rsidP="00F92ABD">
      <w:pPr>
        <w:spacing w:line="480" w:lineRule="auto"/>
        <w:rPr>
          <w:rFonts w:eastAsia="Cambria"/>
          <w:i/>
          <w:szCs w:val="22"/>
        </w:rPr>
      </w:pPr>
      <w:r>
        <w:rPr>
          <w:rFonts w:eastAsia="Cambria"/>
          <w:szCs w:val="22"/>
        </w:rPr>
        <w:t xml:space="preserve">     </w:t>
      </w:r>
      <w:r w:rsidRPr="00F92ABD">
        <w:rPr>
          <w:rFonts w:eastAsia="Cambria"/>
          <w:szCs w:val="22"/>
        </w:rPr>
        <w:t xml:space="preserve">school psychologists in the post-IDEA 2004 era. </w:t>
      </w:r>
      <w:r w:rsidRPr="00F92ABD">
        <w:rPr>
          <w:rFonts w:eastAsia="Cambria"/>
          <w:i/>
          <w:szCs w:val="22"/>
        </w:rPr>
        <w:t xml:space="preserve">Journal of Applied School </w:t>
      </w:r>
    </w:p>
    <w:p w:rsidR="00F92ABD" w:rsidRDefault="00F92ABD" w:rsidP="00F92ABD">
      <w:pPr>
        <w:spacing w:line="480" w:lineRule="auto"/>
        <w:rPr>
          <w:rFonts w:eastAsia="Cambria"/>
          <w:szCs w:val="22"/>
        </w:rPr>
      </w:pPr>
      <w:r>
        <w:rPr>
          <w:rFonts w:eastAsia="Cambria"/>
          <w:i/>
          <w:szCs w:val="22"/>
        </w:rPr>
        <w:t xml:space="preserve">     </w:t>
      </w:r>
      <w:r w:rsidRPr="00F92ABD">
        <w:rPr>
          <w:rFonts w:eastAsia="Cambria"/>
          <w:i/>
          <w:szCs w:val="22"/>
        </w:rPr>
        <w:t>Psychology, 27</w:t>
      </w:r>
      <w:r w:rsidRPr="00F92ABD">
        <w:rPr>
          <w:rFonts w:eastAsia="Cambria"/>
          <w:szCs w:val="22"/>
        </w:rPr>
        <w:t>(4), 380-402.</w:t>
      </w:r>
      <w:r w:rsidRPr="00F92ABD">
        <w:rPr>
          <w:rFonts w:eastAsia="Cambria"/>
          <w:sz w:val="22"/>
          <w:szCs w:val="22"/>
        </w:rPr>
        <w:br/>
      </w:r>
      <w:r w:rsidRPr="00F92ABD">
        <w:rPr>
          <w:rFonts w:eastAsia="Cambria"/>
          <w:szCs w:val="22"/>
        </w:rPr>
        <w:t xml:space="preserve">Astin, A.W. (1993) </w:t>
      </w:r>
      <w:r w:rsidRPr="00F92ABD">
        <w:rPr>
          <w:rFonts w:eastAsia="Cambria"/>
          <w:i/>
          <w:szCs w:val="22"/>
        </w:rPr>
        <w:t xml:space="preserve">What matter in college: Four critical years revisited. </w:t>
      </w:r>
      <w:r w:rsidRPr="00F92ABD">
        <w:rPr>
          <w:rFonts w:eastAsia="Cambria"/>
          <w:szCs w:val="22"/>
        </w:rPr>
        <w:t xml:space="preserve">San </w:t>
      </w:r>
    </w:p>
    <w:p w:rsidR="00F92ABD" w:rsidRP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Francisco, CA: Jossey-Bass. </w:t>
      </w:r>
    </w:p>
    <w:p w:rsidR="00F92ABD" w:rsidRDefault="00F92ABD" w:rsidP="00F92ABD">
      <w:pPr>
        <w:spacing w:line="480" w:lineRule="auto"/>
        <w:rPr>
          <w:rFonts w:eastAsia="Cambria"/>
          <w:i/>
          <w:iCs/>
          <w:szCs w:val="22"/>
        </w:rPr>
      </w:pPr>
      <w:r w:rsidRPr="00F92ABD">
        <w:rPr>
          <w:rFonts w:eastAsia="Cambria"/>
          <w:szCs w:val="22"/>
        </w:rPr>
        <w:t xml:space="preserve">Baum, S. M., &amp; Owen, S. V. (2004). </w:t>
      </w:r>
      <w:r w:rsidRPr="00F92ABD">
        <w:rPr>
          <w:rFonts w:eastAsia="Cambria"/>
          <w:i/>
          <w:iCs/>
          <w:szCs w:val="22"/>
        </w:rPr>
        <w:t xml:space="preserve">To be gifted and learning disabled: Meeting </w:t>
      </w:r>
    </w:p>
    <w:p w:rsidR="00F92ABD" w:rsidRDefault="00F92ABD" w:rsidP="00F92ABD">
      <w:pPr>
        <w:spacing w:line="480" w:lineRule="auto"/>
        <w:rPr>
          <w:rFonts w:eastAsia="Cambria"/>
          <w:szCs w:val="22"/>
        </w:rPr>
      </w:pPr>
      <w:r>
        <w:rPr>
          <w:rFonts w:eastAsia="Cambria"/>
          <w:i/>
          <w:iCs/>
          <w:szCs w:val="22"/>
        </w:rPr>
        <w:t xml:space="preserve">     </w:t>
      </w:r>
      <w:r w:rsidRPr="00F92ABD">
        <w:rPr>
          <w:rFonts w:eastAsia="Cambria"/>
          <w:i/>
          <w:iCs/>
          <w:szCs w:val="22"/>
        </w:rPr>
        <w:t>the needs of gifted students with LD, ADHD, and more</w:t>
      </w:r>
      <w:r w:rsidRPr="00F92ABD">
        <w:rPr>
          <w:rFonts w:eastAsia="Cambria"/>
          <w:szCs w:val="22"/>
        </w:rPr>
        <w:t xml:space="preserve">. Mansfield Center, CT: </w:t>
      </w:r>
    </w:p>
    <w:p w:rsidR="00F92ABD" w:rsidRPr="00F92ABD" w:rsidRDefault="00F92ABD" w:rsidP="00F92ABD">
      <w:pPr>
        <w:spacing w:line="480" w:lineRule="auto"/>
        <w:rPr>
          <w:rFonts w:eastAsia="Cambria"/>
          <w:i/>
          <w:iCs/>
          <w:szCs w:val="22"/>
        </w:rPr>
      </w:pPr>
      <w:r>
        <w:rPr>
          <w:rFonts w:eastAsia="Cambria"/>
          <w:szCs w:val="22"/>
        </w:rPr>
        <w:t xml:space="preserve">     </w:t>
      </w:r>
      <w:r w:rsidRPr="00F92ABD">
        <w:rPr>
          <w:rFonts w:eastAsia="Cambria"/>
          <w:szCs w:val="22"/>
        </w:rPr>
        <w:t xml:space="preserve">Creative Learning Press. </w:t>
      </w:r>
    </w:p>
    <w:p w:rsidR="00F92ABD" w:rsidRDefault="00F92ABD" w:rsidP="00F92ABD">
      <w:pPr>
        <w:spacing w:line="480" w:lineRule="auto"/>
        <w:rPr>
          <w:rFonts w:eastAsia="Cambria"/>
          <w:i/>
          <w:iCs/>
          <w:szCs w:val="22"/>
        </w:rPr>
      </w:pPr>
      <w:r w:rsidRPr="00F92ABD">
        <w:rPr>
          <w:rFonts w:eastAsia="Cambria"/>
          <w:szCs w:val="22"/>
        </w:rPr>
        <w:t xml:space="preserve">Berkner, L., &amp; Chavez, L. (1997). </w:t>
      </w:r>
      <w:r w:rsidRPr="00F92ABD">
        <w:rPr>
          <w:rFonts w:eastAsia="Cambria"/>
          <w:i/>
          <w:iCs/>
          <w:szCs w:val="22"/>
        </w:rPr>
        <w:t xml:space="preserve">Access to Postsecondary Education for the </w:t>
      </w:r>
    </w:p>
    <w:p w:rsidR="00F92ABD" w:rsidRDefault="00F92ABD" w:rsidP="00F92ABD">
      <w:pPr>
        <w:spacing w:line="480" w:lineRule="auto"/>
        <w:rPr>
          <w:rFonts w:eastAsia="Cambria"/>
          <w:szCs w:val="22"/>
        </w:rPr>
      </w:pPr>
      <w:r>
        <w:rPr>
          <w:rFonts w:eastAsia="Cambria"/>
          <w:i/>
          <w:iCs/>
          <w:szCs w:val="22"/>
        </w:rPr>
        <w:t xml:space="preserve">     </w:t>
      </w:r>
      <w:r w:rsidRPr="00F92ABD">
        <w:rPr>
          <w:rFonts w:eastAsia="Cambria"/>
          <w:i/>
          <w:iCs/>
          <w:szCs w:val="22"/>
        </w:rPr>
        <w:t xml:space="preserve">1992 High School Graduates. </w:t>
      </w:r>
      <w:r w:rsidRPr="00F92ABD">
        <w:rPr>
          <w:rFonts w:eastAsia="Cambria"/>
          <w:szCs w:val="22"/>
        </w:rPr>
        <w:t xml:space="preserve">(NCES 98-105). Washington, DC: U.S. </w:t>
      </w:r>
    </w:p>
    <w:p w:rsidR="00F92ABD" w:rsidRPr="00F92ABD" w:rsidRDefault="00F92ABD" w:rsidP="00F92ABD">
      <w:pPr>
        <w:spacing w:line="480" w:lineRule="auto"/>
        <w:rPr>
          <w:rFonts w:eastAsia="Cambria"/>
          <w:i/>
          <w:iCs/>
          <w:szCs w:val="22"/>
        </w:rPr>
      </w:pPr>
      <w:r>
        <w:rPr>
          <w:rFonts w:eastAsia="Cambria"/>
          <w:szCs w:val="22"/>
        </w:rPr>
        <w:t xml:space="preserve">     </w:t>
      </w:r>
      <w:r w:rsidRPr="00F92ABD">
        <w:rPr>
          <w:rFonts w:eastAsia="Cambria"/>
          <w:szCs w:val="22"/>
        </w:rPr>
        <w:t xml:space="preserve">Department of Education, National </w:t>
      </w:r>
      <w:r>
        <w:rPr>
          <w:rFonts w:eastAsia="Cambria"/>
          <w:szCs w:val="22"/>
        </w:rPr>
        <w:t>C</w:t>
      </w:r>
      <w:r w:rsidRPr="00F92ABD">
        <w:rPr>
          <w:rFonts w:eastAsia="Cambria"/>
          <w:szCs w:val="22"/>
        </w:rPr>
        <w:t xml:space="preserve">enter for Education Statistics. </w:t>
      </w:r>
    </w:p>
    <w:p w:rsidR="00F92ABD" w:rsidRDefault="00F92ABD" w:rsidP="00F92ABD">
      <w:pPr>
        <w:spacing w:line="480" w:lineRule="auto"/>
        <w:rPr>
          <w:rFonts w:eastAsia="Cambria"/>
          <w:i/>
          <w:szCs w:val="22"/>
        </w:rPr>
      </w:pPr>
      <w:r w:rsidRPr="00F92ABD">
        <w:rPr>
          <w:rFonts w:eastAsia="Cambria"/>
          <w:szCs w:val="22"/>
        </w:rPr>
        <w:t xml:space="preserve">Bowles, S., &amp; Gintis, H. (1976). </w:t>
      </w:r>
      <w:r w:rsidRPr="00F92ABD">
        <w:rPr>
          <w:rFonts w:eastAsia="Cambria"/>
          <w:i/>
          <w:szCs w:val="22"/>
        </w:rPr>
        <w:t xml:space="preserve">Schooling in capitalist America: Educational </w:t>
      </w:r>
    </w:p>
    <w:p w:rsidR="00F92ABD" w:rsidRPr="00F92ABD" w:rsidRDefault="00F92ABD" w:rsidP="00F92ABD">
      <w:pPr>
        <w:spacing w:line="480" w:lineRule="auto"/>
        <w:rPr>
          <w:rFonts w:eastAsia="Cambria"/>
          <w:i/>
          <w:szCs w:val="22"/>
        </w:rPr>
      </w:pPr>
      <w:r>
        <w:rPr>
          <w:rFonts w:eastAsia="Cambria"/>
          <w:i/>
          <w:szCs w:val="22"/>
        </w:rPr>
        <w:t xml:space="preserve">     </w:t>
      </w:r>
      <w:r w:rsidRPr="00F92ABD">
        <w:rPr>
          <w:rFonts w:eastAsia="Cambria"/>
          <w:i/>
          <w:szCs w:val="22"/>
        </w:rPr>
        <w:t xml:space="preserve">reform and the contradiction of economic life. </w:t>
      </w:r>
      <w:r w:rsidRPr="00F92ABD">
        <w:rPr>
          <w:rFonts w:eastAsia="Cambria"/>
          <w:szCs w:val="22"/>
        </w:rPr>
        <w:t xml:space="preserve">New York: Basic Books, Inc. </w:t>
      </w:r>
    </w:p>
    <w:p w:rsidR="00F92ABD" w:rsidRDefault="00F92ABD" w:rsidP="00F92ABD">
      <w:pPr>
        <w:spacing w:line="480" w:lineRule="auto"/>
        <w:rPr>
          <w:rFonts w:eastAsia="Cambria"/>
          <w:szCs w:val="22"/>
        </w:rPr>
      </w:pPr>
      <w:r w:rsidRPr="00F92ABD">
        <w:rPr>
          <w:rFonts w:eastAsia="Cambria"/>
          <w:szCs w:val="22"/>
        </w:rPr>
        <w:t xml:space="preserve">Bracken, B.A. &amp; Brown, E.F. (2006). Behavioral identification and assessment of </w:t>
      </w:r>
    </w:p>
    <w:p w:rsidR="00F92ABD" w:rsidRDefault="00F92ABD" w:rsidP="00F92ABD">
      <w:pPr>
        <w:spacing w:line="480" w:lineRule="auto"/>
        <w:rPr>
          <w:rFonts w:eastAsia="Cambria"/>
          <w:i/>
          <w:szCs w:val="22"/>
        </w:rPr>
      </w:pPr>
      <w:r>
        <w:rPr>
          <w:rFonts w:eastAsia="Cambria"/>
          <w:szCs w:val="22"/>
        </w:rPr>
        <w:t xml:space="preserve">     </w:t>
      </w:r>
      <w:r w:rsidRPr="00F92ABD">
        <w:rPr>
          <w:rFonts w:eastAsia="Cambria"/>
          <w:szCs w:val="22"/>
        </w:rPr>
        <w:t xml:space="preserve">gifted and talented students. </w:t>
      </w:r>
      <w:r w:rsidRPr="00F92ABD">
        <w:rPr>
          <w:rFonts w:eastAsia="Cambria"/>
          <w:i/>
          <w:szCs w:val="22"/>
        </w:rPr>
        <w:t xml:space="preserve">Journal of Psychoeducational Assessment, </w:t>
      </w:r>
    </w:p>
    <w:p w:rsidR="00F92ABD" w:rsidRPr="00F92ABD" w:rsidRDefault="00F92ABD" w:rsidP="00F92ABD">
      <w:pPr>
        <w:spacing w:line="480" w:lineRule="auto"/>
        <w:rPr>
          <w:rFonts w:eastAsia="Cambria"/>
          <w:szCs w:val="22"/>
        </w:rPr>
      </w:pPr>
      <w:r>
        <w:rPr>
          <w:rFonts w:eastAsia="Cambria"/>
          <w:i/>
          <w:szCs w:val="22"/>
        </w:rPr>
        <w:t xml:space="preserve">     </w:t>
      </w:r>
      <w:r w:rsidRPr="00F92ABD">
        <w:rPr>
          <w:rFonts w:eastAsia="Cambria"/>
          <w:i/>
          <w:szCs w:val="22"/>
        </w:rPr>
        <w:t>24</w:t>
      </w:r>
      <w:r w:rsidRPr="00F92ABD">
        <w:rPr>
          <w:rFonts w:eastAsia="Cambria"/>
          <w:szCs w:val="22"/>
        </w:rPr>
        <w:t xml:space="preserve">(2), 112-122. </w:t>
      </w:r>
    </w:p>
    <w:p w:rsidR="00F92ABD" w:rsidRDefault="00F92ABD" w:rsidP="00F92ABD">
      <w:pPr>
        <w:spacing w:line="480" w:lineRule="auto"/>
        <w:rPr>
          <w:rFonts w:eastAsia="Cambria"/>
          <w:szCs w:val="22"/>
        </w:rPr>
      </w:pPr>
      <w:r w:rsidRPr="00F92ABD">
        <w:rPr>
          <w:rFonts w:eastAsia="Cambria"/>
          <w:szCs w:val="22"/>
        </w:rPr>
        <w:t xml:space="preserve">Brody, L. E., &amp; Mills, C. J. (1997). Gifted children with learning disabilities: A </w:t>
      </w:r>
    </w:p>
    <w:p w:rsidR="00F92ABD" w:rsidRP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review of the issues. </w:t>
      </w:r>
      <w:r w:rsidRPr="00F92ABD">
        <w:rPr>
          <w:rFonts w:eastAsia="Cambria"/>
          <w:i/>
          <w:iCs/>
          <w:szCs w:val="22"/>
        </w:rPr>
        <w:t>Journal of Learning Disabilities</w:t>
      </w:r>
      <w:r w:rsidRPr="00F92ABD">
        <w:rPr>
          <w:rFonts w:eastAsia="Cambria"/>
          <w:szCs w:val="22"/>
        </w:rPr>
        <w:t xml:space="preserve">, </w:t>
      </w:r>
      <w:r w:rsidRPr="00F92ABD">
        <w:rPr>
          <w:rFonts w:eastAsia="Cambria"/>
          <w:i/>
          <w:iCs/>
          <w:szCs w:val="22"/>
        </w:rPr>
        <w:t>30</w:t>
      </w:r>
      <w:r w:rsidRPr="00F92ABD">
        <w:rPr>
          <w:rFonts w:eastAsia="Cambria"/>
          <w:szCs w:val="22"/>
        </w:rPr>
        <w:t xml:space="preserve">, 282-296. </w:t>
      </w:r>
    </w:p>
    <w:p w:rsidR="00F92ABD" w:rsidRDefault="00F92ABD" w:rsidP="00F92ABD">
      <w:pPr>
        <w:spacing w:line="480" w:lineRule="auto"/>
        <w:rPr>
          <w:rFonts w:eastAsia="Cambria"/>
          <w:szCs w:val="22"/>
        </w:rPr>
      </w:pPr>
      <w:r w:rsidRPr="00F92ABD">
        <w:rPr>
          <w:rFonts w:eastAsia="Cambria"/>
          <w:szCs w:val="22"/>
        </w:rPr>
        <w:t xml:space="preserve">Calkins, L.N., &amp; Welki, A (2006). Factors that influence choice of major: Why </w:t>
      </w:r>
    </w:p>
    <w:p w:rsidR="00F92ABD" w:rsidRDefault="00F92ABD" w:rsidP="00F92ABD">
      <w:pPr>
        <w:spacing w:line="480" w:lineRule="auto"/>
        <w:rPr>
          <w:rFonts w:eastAsia="Cambria"/>
          <w:i/>
          <w:szCs w:val="22"/>
        </w:rPr>
      </w:pPr>
      <w:r>
        <w:rPr>
          <w:rFonts w:eastAsia="Cambria"/>
          <w:szCs w:val="22"/>
        </w:rPr>
        <w:t xml:space="preserve">     </w:t>
      </w:r>
      <w:r w:rsidRPr="00F92ABD">
        <w:rPr>
          <w:rFonts w:eastAsia="Cambria"/>
          <w:szCs w:val="22"/>
        </w:rPr>
        <w:t xml:space="preserve">some students never consider economics. </w:t>
      </w:r>
      <w:r w:rsidRPr="00F92ABD">
        <w:rPr>
          <w:rFonts w:eastAsia="Cambria"/>
          <w:i/>
          <w:szCs w:val="22"/>
        </w:rPr>
        <w:t xml:space="preserve">International Journal of Social </w:t>
      </w:r>
    </w:p>
    <w:p w:rsidR="00F92ABD" w:rsidRPr="00F92ABD" w:rsidRDefault="00F92ABD" w:rsidP="00F92ABD">
      <w:pPr>
        <w:spacing w:line="480" w:lineRule="auto"/>
        <w:rPr>
          <w:rFonts w:eastAsia="Cambria"/>
          <w:szCs w:val="22"/>
        </w:rPr>
      </w:pPr>
      <w:r>
        <w:rPr>
          <w:rFonts w:eastAsia="Cambria"/>
          <w:i/>
          <w:szCs w:val="22"/>
        </w:rPr>
        <w:t xml:space="preserve">     </w:t>
      </w:r>
      <w:r w:rsidRPr="00F92ABD">
        <w:rPr>
          <w:rFonts w:eastAsia="Cambria"/>
          <w:i/>
          <w:szCs w:val="22"/>
        </w:rPr>
        <w:t>Economics, 33</w:t>
      </w:r>
      <w:r w:rsidRPr="00F92ABD">
        <w:rPr>
          <w:rFonts w:eastAsia="Cambria"/>
          <w:szCs w:val="22"/>
        </w:rPr>
        <w:t xml:space="preserve">(8), 547-564. </w:t>
      </w:r>
    </w:p>
    <w:p w:rsidR="00F92ABD" w:rsidRDefault="00F92ABD" w:rsidP="00F92ABD">
      <w:pPr>
        <w:spacing w:line="480" w:lineRule="auto"/>
        <w:rPr>
          <w:rFonts w:eastAsia="Cambria"/>
          <w:i/>
          <w:szCs w:val="22"/>
        </w:rPr>
      </w:pPr>
      <w:r w:rsidRPr="00F92ABD">
        <w:rPr>
          <w:rFonts w:eastAsia="Cambria"/>
          <w:szCs w:val="22"/>
        </w:rPr>
        <w:t xml:space="preserve">Conley, D. (2007). </w:t>
      </w:r>
      <w:r w:rsidRPr="00F92ABD">
        <w:rPr>
          <w:rFonts w:eastAsia="Cambria"/>
          <w:i/>
          <w:szCs w:val="22"/>
        </w:rPr>
        <w:t xml:space="preserve">Toward a more comprehensive conception of college </w:t>
      </w:r>
    </w:p>
    <w:p w:rsidR="00F92ABD" w:rsidRPr="00F92ABD" w:rsidRDefault="00F92ABD" w:rsidP="00F92ABD">
      <w:pPr>
        <w:spacing w:line="480" w:lineRule="auto"/>
        <w:rPr>
          <w:rFonts w:eastAsia="Cambria"/>
          <w:szCs w:val="22"/>
        </w:rPr>
      </w:pPr>
      <w:r>
        <w:rPr>
          <w:rFonts w:eastAsia="Cambria"/>
          <w:i/>
          <w:szCs w:val="22"/>
        </w:rPr>
        <w:t xml:space="preserve">     </w:t>
      </w:r>
      <w:r w:rsidRPr="00F92ABD">
        <w:rPr>
          <w:rFonts w:eastAsia="Cambria"/>
          <w:i/>
          <w:szCs w:val="22"/>
        </w:rPr>
        <w:t xml:space="preserve">readiness. </w:t>
      </w:r>
      <w:r w:rsidRPr="00F92ABD">
        <w:rPr>
          <w:rFonts w:eastAsia="Cambria"/>
          <w:szCs w:val="22"/>
        </w:rPr>
        <w:t xml:space="preserve"> Eugene, OR: Educational Policy Improvement Center. </w:t>
      </w:r>
    </w:p>
    <w:p w:rsidR="00F92ABD" w:rsidRDefault="00F92ABD" w:rsidP="00F92ABD">
      <w:pPr>
        <w:spacing w:line="480" w:lineRule="auto"/>
        <w:rPr>
          <w:rFonts w:eastAsia="Cambria"/>
          <w:szCs w:val="22"/>
        </w:rPr>
      </w:pPr>
      <w:r w:rsidRPr="00F92ABD">
        <w:rPr>
          <w:rFonts w:eastAsia="Cambria"/>
          <w:szCs w:val="22"/>
        </w:rPr>
        <w:t xml:space="preserve">DeBerard, M. S., Spielmans, G. I., &amp; Julka, D. L. (2004). Predictors of academic </w:t>
      </w:r>
    </w:p>
    <w:p w:rsid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achievement and retention among college freshmen: A longitudinal study. </w:t>
      </w:r>
    </w:p>
    <w:p w:rsidR="00F92ABD" w:rsidRPr="00F92ABD" w:rsidRDefault="00F92ABD" w:rsidP="00F92ABD">
      <w:pPr>
        <w:spacing w:line="480" w:lineRule="auto"/>
        <w:rPr>
          <w:rFonts w:eastAsia="Cambria"/>
          <w:szCs w:val="22"/>
        </w:rPr>
      </w:pPr>
      <w:r>
        <w:rPr>
          <w:rFonts w:eastAsia="Cambria"/>
          <w:szCs w:val="22"/>
        </w:rPr>
        <w:t xml:space="preserve">     </w:t>
      </w:r>
      <w:r w:rsidRPr="00F92ABD">
        <w:rPr>
          <w:rFonts w:eastAsia="Cambria"/>
          <w:i/>
          <w:iCs/>
          <w:szCs w:val="22"/>
        </w:rPr>
        <w:t xml:space="preserve">College Student Journal, 38, </w:t>
      </w:r>
      <w:r w:rsidRPr="00F92ABD">
        <w:rPr>
          <w:rFonts w:eastAsia="Cambria"/>
          <w:szCs w:val="22"/>
        </w:rPr>
        <w:t xml:space="preserve">66–80. </w:t>
      </w:r>
    </w:p>
    <w:p w:rsidR="00F92ABD" w:rsidRDefault="00F92ABD" w:rsidP="00F92ABD">
      <w:pPr>
        <w:spacing w:line="480" w:lineRule="auto"/>
        <w:rPr>
          <w:rFonts w:eastAsia="Cambria"/>
          <w:szCs w:val="22"/>
        </w:rPr>
      </w:pPr>
      <w:r w:rsidRPr="00F92ABD">
        <w:rPr>
          <w:rFonts w:eastAsia="Cambria"/>
          <w:szCs w:val="22"/>
        </w:rPr>
        <w:t xml:space="preserve">Downey, J.P., McGaughey, R., &amp; Roach, D. (2011). Attitudes and influences </w:t>
      </w:r>
    </w:p>
    <w:p w:rsidR="00F92ABD" w:rsidRDefault="00F92ABD" w:rsidP="00F92ABD">
      <w:pPr>
        <w:spacing w:line="480" w:lineRule="auto"/>
        <w:rPr>
          <w:rFonts w:eastAsia="Cambria"/>
          <w:i/>
          <w:szCs w:val="22"/>
        </w:rPr>
      </w:pPr>
      <w:r>
        <w:rPr>
          <w:rFonts w:eastAsia="Cambria"/>
          <w:szCs w:val="22"/>
        </w:rPr>
        <w:t xml:space="preserve">     </w:t>
      </w:r>
      <w:r w:rsidRPr="00F92ABD">
        <w:rPr>
          <w:rFonts w:eastAsia="Cambria"/>
          <w:szCs w:val="22"/>
        </w:rPr>
        <w:t xml:space="preserve">toward choosing a business major: The case of information systems. </w:t>
      </w:r>
      <w:r w:rsidRPr="00F92ABD">
        <w:rPr>
          <w:rFonts w:eastAsia="Cambria"/>
          <w:i/>
          <w:szCs w:val="22"/>
        </w:rPr>
        <w:t xml:space="preserve">Journal </w:t>
      </w:r>
    </w:p>
    <w:p w:rsidR="00F92ABD" w:rsidRPr="00F92ABD" w:rsidRDefault="00F92ABD" w:rsidP="00F92ABD">
      <w:pPr>
        <w:spacing w:line="480" w:lineRule="auto"/>
        <w:rPr>
          <w:rFonts w:eastAsia="Cambria"/>
          <w:szCs w:val="22"/>
        </w:rPr>
      </w:pPr>
      <w:r>
        <w:rPr>
          <w:rFonts w:eastAsia="Cambria"/>
          <w:i/>
          <w:szCs w:val="22"/>
        </w:rPr>
        <w:t xml:space="preserve">     </w:t>
      </w:r>
      <w:r w:rsidRPr="00F92ABD">
        <w:rPr>
          <w:rFonts w:eastAsia="Cambria"/>
          <w:i/>
          <w:szCs w:val="22"/>
        </w:rPr>
        <w:t>of Information Technology Education, 10</w:t>
      </w:r>
      <w:r w:rsidRPr="00F92ABD">
        <w:rPr>
          <w:rFonts w:eastAsia="Cambria"/>
          <w:szCs w:val="22"/>
        </w:rPr>
        <w:t>, 231- 251.</w:t>
      </w:r>
    </w:p>
    <w:p w:rsidR="00F92ABD" w:rsidRDefault="00F92ABD" w:rsidP="00F92ABD">
      <w:pPr>
        <w:spacing w:line="480" w:lineRule="auto"/>
        <w:rPr>
          <w:rFonts w:eastAsia="Cambria"/>
          <w:i/>
          <w:szCs w:val="22"/>
        </w:rPr>
      </w:pPr>
      <w:r w:rsidRPr="00F92ABD">
        <w:rPr>
          <w:rFonts w:eastAsia="Cambria"/>
          <w:szCs w:val="22"/>
        </w:rPr>
        <w:t xml:space="preserve">Education Commission of the States. (2000). </w:t>
      </w:r>
      <w:r w:rsidRPr="00F92ABD">
        <w:rPr>
          <w:rFonts w:eastAsia="Cambria"/>
          <w:i/>
          <w:szCs w:val="22"/>
        </w:rPr>
        <w:t xml:space="preserve">Advanced placement courses and </w:t>
      </w:r>
    </w:p>
    <w:p w:rsidR="00F92ABD" w:rsidRPr="00F92ABD" w:rsidRDefault="00F92ABD" w:rsidP="00F92ABD">
      <w:pPr>
        <w:spacing w:line="480" w:lineRule="auto"/>
        <w:rPr>
          <w:rFonts w:eastAsia="Cambria"/>
          <w:i/>
          <w:szCs w:val="22"/>
        </w:rPr>
      </w:pPr>
      <w:r>
        <w:rPr>
          <w:rFonts w:eastAsia="Cambria"/>
          <w:i/>
          <w:szCs w:val="22"/>
        </w:rPr>
        <w:t xml:space="preserve">     </w:t>
      </w:r>
      <w:r w:rsidRPr="00F92ABD">
        <w:rPr>
          <w:rFonts w:eastAsia="Cambria"/>
          <w:i/>
          <w:szCs w:val="22"/>
        </w:rPr>
        <w:t xml:space="preserve">examinations – State level policies. </w:t>
      </w:r>
      <w:r w:rsidRPr="00F92ABD">
        <w:rPr>
          <w:rFonts w:eastAsia="Cambria"/>
          <w:szCs w:val="22"/>
        </w:rPr>
        <w:t xml:space="preserve">Denver, CO. </w:t>
      </w:r>
    </w:p>
    <w:p w:rsidR="00F92ABD" w:rsidRDefault="00F92ABD" w:rsidP="00F92ABD">
      <w:pPr>
        <w:spacing w:line="480" w:lineRule="auto"/>
        <w:rPr>
          <w:rFonts w:eastAsia="Cambria"/>
          <w:szCs w:val="22"/>
        </w:rPr>
      </w:pPr>
      <w:r w:rsidRPr="00F92ABD">
        <w:rPr>
          <w:rFonts w:eastAsia="Cambria"/>
          <w:szCs w:val="22"/>
        </w:rPr>
        <w:t xml:space="preserve">Farley, J., &amp; Staniec, O. (2004). The effects of race, sex, and expected returns </w:t>
      </w:r>
    </w:p>
    <w:p w:rsidR="00F92ABD" w:rsidRP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on the choice of college major. </w:t>
      </w:r>
      <w:r w:rsidRPr="00F92ABD">
        <w:rPr>
          <w:rFonts w:eastAsia="Cambria"/>
          <w:i/>
          <w:szCs w:val="22"/>
        </w:rPr>
        <w:t>Eastern Economic Journal, 30</w:t>
      </w:r>
      <w:r w:rsidRPr="00F92ABD">
        <w:rPr>
          <w:rFonts w:eastAsia="Cambria"/>
          <w:szCs w:val="22"/>
        </w:rPr>
        <w:t xml:space="preserve">(4), 549-563. </w:t>
      </w:r>
    </w:p>
    <w:p w:rsidR="00F92ABD" w:rsidRDefault="00F92ABD" w:rsidP="00F92ABD">
      <w:pPr>
        <w:spacing w:line="480" w:lineRule="auto"/>
        <w:rPr>
          <w:rFonts w:eastAsia="Cambria"/>
          <w:szCs w:val="22"/>
        </w:rPr>
      </w:pPr>
      <w:r w:rsidRPr="00F92ABD">
        <w:rPr>
          <w:rFonts w:eastAsia="Cambria"/>
          <w:szCs w:val="22"/>
        </w:rPr>
        <w:t xml:space="preserve">Fike, D. S., &amp; Fike, R. (2008). Predictors of first-year student retention in the </w:t>
      </w:r>
      <w:r>
        <w:rPr>
          <w:rFonts w:eastAsia="Cambria"/>
          <w:szCs w:val="22"/>
        </w:rPr>
        <w:t>\</w:t>
      </w:r>
    </w:p>
    <w:p w:rsidR="00F92ABD" w:rsidRP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community college. </w:t>
      </w:r>
      <w:r w:rsidRPr="00F92ABD">
        <w:rPr>
          <w:rFonts w:eastAsia="Cambria"/>
          <w:i/>
          <w:iCs/>
          <w:szCs w:val="22"/>
        </w:rPr>
        <w:t>Community College Review</w:t>
      </w:r>
      <w:r w:rsidRPr="00F92ABD">
        <w:rPr>
          <w:rFonts w:eastAsia="Cambria"/>
          <w:szCs w:val="22"/>
        </w:rPr>
        <w:t xml:space="preserve">, </w:t>
      </w:r>
      <w:r w:rsidRPr="00F92ABD">
        <w:rPr>
          <w:rFonts w:eastAsia="Cambria"/>
          <w:i/>
          <w:iCs/>
          <w:szCs w:val="22"/>
        </w:rPr>
        <w:t>36</w:t>
      </w:r>
      <w:r w:rsidRPr="00F92ABD">
        <w:rPr>
          <w:rFonts w:eastAsia="Cambria"/>
          <w:szCs w:val="22"/>
        </w:rPr>
        <w:t>(2), 68-88.</w:t>
      </w:r>
    </w:p>
    <w:p w:rsidR="00F92ABD" w:rsidRDefault="00F92ABD" w:rsidP="00F92ABD">
      <w:pPr>
        <w:spacing w:line="480" w:lineRule="auto"/>
        <w:rPr>
          <w:rFonts w:eastAsia="Cambria"/>
          <w:szCs w:val="22"/>
        </w:rPr>
      </w:pPr>
      <w:r w:rsidRPr="00F92ABD">
        <w:rPr>
          <w:rFonts w:eastAsia="Cambria"/>
          <w:szCs w:val="22"/>
        </w:rPr>
        <w:t>Foley Nicpon, M., Allmon, A., Sieck, R., &amp; S</w:t>
      </w:r>
      <w:r>
        <w:rPr>
          <w:rFonts w:eastAsia="Cambria"/>
          <w:szCs w:val="22"/>
        </w:rPr>
        <w:t xml:space="preserve">tinson, R. D. (2011). Empirical </w:t>
      </w:r>
    </w:p>
    <w:p w:rsid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investigation of twice-exceptionality: Where have we been and where are we </w:t>
      </w:r>
    </w:p>
    <w:p w:rsidR="00F92ABD" w:rsidRP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going? </w:t>
      </w:r>
      <w:r w:rsidRPr="00F92ABD">
        <w:rPr>
          <w:rFonts w:eastAsia="Cambria"/>
          <w:i/>
          <w:iCs/>
          <w:szCs w:val="22"/>
        </w:rPr>
        <w:t>Gifted Child Quarterly</w:t>
      </w:r>
      <w:r w:rsidRPr="00F92ABD">
        <w:rPr>
          <w:rFonts w:eastAsia="Cambria"/>
          <w:szCs w:val="22"/>
        </w:rPr>
        <w:t xml:space="preserve">, </w:t>
      </w:r>
      <w:r w:rsidRPr="00F92ABD">
        <w:rPr>
          <w:rFonts w:eastAsia="Cambria"/>
          <w:i/>
          <w:iCs/>
          <w:szCs w:val="22"/>
        </w:rPr>
        <w:t>55</w:t>
      </w:r>
      <w:r w:rsidRPr="00F92ABD">
        <w:rPr>
          <w:rFonts w:eastAsia="Cambria"/>
          <w:szCs w:val="22"/>
        </w:rPr>
        <w:t xml:space="preserve">, 3-17. </w:t>
      </w:r>
    </w:p>
    <w:p w:rsidR="00F92ABD" w:rsidRDefault="00F92ABD" w:rsidP="00F92ABD">
      <w:pPr>
        <w:spacing w:line="480" w:lineRule="auto"/>
        <w:rPr>
          <w:rFonts w:eastAsia="Cambria"/>
          <w:szCs w:val="22"/>
        </w:rPr>
      </w:pPr>
      <w:r w:rsidRPr="00F92ABD">
        <w:rPr>
          <w:rFonts w:eastAsia="Cambria"/>
          <w:szCs w:val="22"/>
        </w:rPr>
        <w:t xml:space="preserve">Galotti, K. M. (1999). Making a “major” real-life decision: College students </w:t>
      </w:r>
    </w:p>
    <w:p w:rsid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choosing an academic major. </w:t>
      </w:r>
      <w:r w:rsidRPr="00F92ABD">
        <w:rPr>
          <w:rFonts w:eastAsia="Cambria"/>
          <w:i/>
          <w:szCs w:val="22"/>
        </w:rPr>
        <w:t>Journal of Educational Psychology, 91</w:t>
      </w:r>
      <w:r w:rsidRPr="00F92ABD">
        <w:rPr>
          <w:rFonts w:eastAsia="Cambria"/>
          <w:szCs w:val="22"/>
        </w:rPr>
        <w:t>(2), 379-</w:t>
      </w:r>
    </w:p>
    <w:p w:rsidR="00F92ABD" w:rsidRP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387. </w:t>
      </w:r>
    </w:p>
    <w:p w:rsidR="00F92ABD" w:rsidRDefault="00F92ABD" w:rsidP="00F92ABD">
      <w:pPr>
        <w:spacing w:line="480" w:lineRule="auto"/>
        <w:rPr>
          <w:rFonts w:eastAsia="Cambria"/>
          <w:szCs w:val="22"/>
        </w:rPr>
      </w:pPr>
      <w:r w:rsidRPr="00F92ABD">
        <w:rPr>
          <w:rFonts w:eastAsia="Cambria"/>
          <w:szCs w:val="22"/>
        </w:rPr>
        <w:t xml:space="preserve">Geiser, S., &amp; Santelices, M. V. (2007). Validity of High-School Grades in </w:t>
      </w:r>
    </w:p>
    <w:p w:rsidR="00F92ABD"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Predicting Student Success beyond the Freshman Year: High-School Record </w:t>
      </w:r>
    </w:p>
    <w:p w:rsidR="00211D51" w:rsidRDefault="00F92ABD" w:rsidP="00F92ABD">
      <w:pPr>
        <w:spacing w:line="480" w:lineRule="auto"/>
        <w:rPr>
          <w:rFonts w:eastAsia="Cambria"/>
          <w:szCs w:val="22"/>
        </w:rPr>
      </w:pPr>
      <w:r>
        <w:rPr>
          <w:rFonts w:eastAsia="Cambria"/>
          <w:szCs w:val="22"/>
        </w:rPr>
        <w:t xml:space="preserve">     </w:t>
      </w:r>
      <w:r w:rsidRPr="00F92ABD">
        <w:rPr>
          <w:rFonts w:eastAsia="Cambria"/>
          <w:szCs w:val="22"/>
        </w:rPr>
        <w:t xml:space="preserve">vs. Standardized Tests as Indicators of Four-Year College Outcomes. </w:t>
      </w:r>
    </w:p>
    <w:p w:rsidR="00211D51" w:rsidRDefault="00211D51" w:rsidP="00F92ABD">
      <w:pPr>
        <w:spacing w:line="480" w:lineRule="auto"/>
        <w:rPr>
          <w:rFonts w:eastAsia="Cambria"/>
          <w:i/>
          <w:iCs/>
          <w:szCs w:val="22"/>
        </w:rPr>
      </w:pPr>
      <w:r>
        <w:rPr>
          <w:rFonts w:eastAsia="Cambria"/>
          <w:szCs w:val="22"/>
        </w:rPr>
        <w:t xml:space="preserve">     </w:t>
      </w:r>
      <w:r w:rsidR="00F92ABD" w:rsidRPr="00F92ABD">
        <w:rPr>
          <w:rFonts w:eastAsia="Cambria"/>
          <w:szCs w:val="22"/>
        </w:rPr>
        <w:t xml:space="preserve">Research &amp; Occasional Paper Series: CSHE. 6.07. </w:t>
      </w:r>
      <w:r w:rsidR="00F92ABD" w:rsidRPr="00F92ABD">
        <w:rPr>
          <w:rFonts w:eastAsia="Cambria"/>
          <w:i/>
          <w:iCs/>
          <w:szCs w:val="22"/>
        </w:rPr>
        <w:t xml:space="preserve">Center for Studies in </w:t>
      </w:r>
    </w:p>
    <w:p w:rsidR="00F92ABD" w:rsidRPr="00F92ABD" w:rsidRDefault="00211D51" w:rsidP="00F92ABD">
      <w:pPr>
        <w:spacing w:line="480" w:lineRule="auto"/>
        <w:rPr>
          <w:rFonts w:eastAsia="Cambria"/>
          <w:szCs w:val="22"/>
        </w:rPr>
      </w:pPr>
      <w:r>
        <w:rPr>
          <w:rFonts w:eastAsia="Cambria"/>
          <w:i/>
          <w:iCs/>
          <w:szCs w:val="22"/>
        </w:rPr>
        <w:t xml:space="preserve">     </w:t>
      </w:r>
      <w:r w:rsidR="00F92ABD" w:rsidRPr="00F92ABD">
        <w:rPr>
          <w:rFonts w:eastAsia="Cambria"/>
          <w:i/>
          <w:iCs/>
          <w:szCs w:val="22"/>
        </w:rPr>
        <w:t>Higher Education</w:t>
      </w:r>
      <w:r w:rsidR="00F92ABD" w:rsidRPr="00F92ABD">
        <w:rPr>
          <w:rFonts w:eastAsia="Cambria"/>
          <w:szCs w:val="22"/>
        </w:rPr>
        <w:t>.</w:t>
      </w:r>
    </w:p>
    <w:p w:rsidR="00211D51" w:rsidRDefault="00F92ABD" w:rsidP="00F92ABD">
      <w:pPr>
        <w:spacing w:line="480" w:lineRule="auto"/>
        <w:rPr>
          <w:rFonts w:eastAsia="Cambria"/>
          <w:bCs/>
          <w:szCs w:val="22"/>
        </w:rPr>
      </w:pPr>
      <w:r w:rsidRPr="00F92ABD">
        <w:rPr>
          <w:rFonts w:eastAsia="Cambria"/>
          <w:bCs/>
          <w:szCs w:val="22"/>
        </w:rPr>
        <w:t xml:space="preserve">Giacomino, D., &amp; Akers, M. (1998). An examination of the differences between </w:t>
      </w:r>
    </w:p>
    <w:p w:rsidR="00211D51" w:rsidRDefault="00211D51" w:rsidP="00F92ABD">
      <w:pPr>
        <w:spacing w:line="480" w:lineRule="auto"/>
        <w:rPr>
          <w:rFonts w:eastAsia="Cambria"/>
          <w:bCs/>
          <w:szCs w:val="22"/>
        </w:rPr>
      </w:pPr>
      <w:r>
        <w:rPr>
          <w:rFonts w:eastAsia="Cambria"/>
          <w:bCs/>
          <w:szCs w:val="22"/>
        </w:rPr>
        <w:t xml:space="preserve">     </w:t>
      </w:r>
      <w:r w:rsidR="00F92ABD" w:rsidRPr="00F92ABD">
        <w:rPr>
          <w:rFonts w:eastAsia="Cambria"/>
          <w:bCs/>
          <w:szCs w:val="22"/>
        </w:rPr>
        <w:t xml:space="preserve">personal values and value types of female and male accounting and </w:t>
      </w:r>
    </w:p>
    <w:p w:rsidR="00F92ABD" w:rsidRPr="00F92ABD" w:rsidRDefault="00211D51" w:rsidP="00F92ABD">
      <w:pPr>
        <w:spacing w:line="480" w:lineRule="auto"/>
        <w:rPr>
          <w:rFonts w:eastAsia="Cambria"/>
          <w:bCs/>
          <w:szCs w:val="22"/>
        </w:rPr>
      </w:pPr>
      <w:r>
        <w:rPr>
          <w:rFonts w:eastAsia="Cambria"/>
          <w:bCs/>
          <w:szCs w:val="22"/>
        </w:rPr>
        <w:t xml:space="preserve">     </w:t>
      </w:r>
      <w:r w:rsidR="00F92ABD" w:rsidRPr="00F92ABD">
        <w:rPr>
          <w:rFonts w:eastAsia="Cambria"/>
          <w:bCs/>
          <w:szCs w:val="22"/>
        </w:rPr>
        <w:t xml:space="preserve">nonaccounting majors. </w:t>
      </w:r>
      <w:r w:rsidR="00F92ABD" w:rsidRPr="00F92ABD">
        <w:rPr>
          <w:rFonts w:eastAsia="Cambria"/>
          <w:bCs/>
          <w:i/>
          <w:iCs/>
          <w:szCs w:val="22"/>
        </w:rPr>
        <w:t>Issues in Accounting Education, 13</w:t>
      </w:r>
      <w:r w:rsidR="00F92ABD" w:rsidRPr="00F92ABD">
        <w:rPr>
          <w:rFonts w:eastAsia="Cambria"/>
          <w:bCs/>
          <w:szCs w:val="22"/>
        </w:rPr>
        <w:t xml:space="preserve">(3), 565–585. </w:t>
      </w:r>
    </w:p>
    <w:p w:rsidR="00211D51" w:rsidRDefault="00F92ABD" w:rsidP="00F92ABD">
      <w:pPr>
        <w:spacing w:line="480" w:lineRule="auto"/>
        <w:rPr>
          <w:rFonts w:eastAsia="Cambria"/>
          <w:bCs/>
          <w:i/>
          <w:szCs w:val="22"/>
        </w:rPr>
      </w:pPr>
      <w:r w:rsidRPr="00F92ABD">
        <w:rPr>
          <w:rFonts w:eastAsia="Cambria"/>
          <w:bCs/>
          <w:szCs w:val="22"/>
        </w:rPr>
        <w:t xml:space="preserve">Greene, J.P., &amp; Forster, G. (2003). </w:t>
      </w:r>
      <w:r w:rsidRPr="00F92ABD">
        <w:rPr>
          <w:rFonts w:eastAsia="Cambria"/>
          <w:bCs/>
          <w:i/>
          <w:szCs w:val="22"/>
        </w:rPr>
        <w:t xml:space="preserve">Public high school graduation and college </w:t>
      </w:r>
    </w:p>
    <w:p w:rsidR="00211D51" w:rsidRDefault="00211D51" w:rsidP="00F92ABD">
      <w:pPr>
        <w:spacing w:line="480" w:lineRule="auto"/>
        <w:rPr>
          <w:rFonts w:eastAsia="Cambria"/>
          <w:bCs/>
          <w:szCs w:val="22"/>
        </w:rPr>
      </w:pPr>
      <w:r>
        <w:rPr>
          <w:rFonts w:eastAsia="Cambria"/>
          <w:bCs/>
          <w:i/>
          <w:szCs w:val="22"/>
        </w:rPr>
        <w:t xml:space="preserve">      </w:t>
      </w:r>
      <w:r w:rsidR="00F92ABD" w:rsidRPr="00F92ABD">
        <w:rPr>
          <w:rFonts w:eastAsia="Cambria"/>
          <w:bCs/>
          <w:i/>
          <w:szCs w:val="22"/>
        </w:rPr>
        <w:t xml:space="preserve">readiness rates in the United States. </w:t>
      </w:r>
      <w:r w:rsidR="00F92ABD" w:rsidRPr="00F92ABD">
        <w:rPr>
          <w:rFonts w:eastAsia="Cambria"/>
          <w:bCs/>
          <w:szCs w:val="22"/>
        </w:rPr>
        <w:t xml:space="preserve">New York: MAnhatten Institute for Policy </w:t>
      </w:r>
    </w:p>
    <w:p w:rsidR="00F92ABD" w:rsidRPr="00F92ABD" w:rsidRDefault="00211D51" w:rsidP="00F92ABD">
      <w:pPr>
        <w:spacing w:line="480" w:lineRule="auto"/>
        <w:rPr>
          <w:rFonts w:eastAsia="Cambria"/>
          <w:bCs/>
          <w:i/>
          <w:szCs w:val="22"/>
        </w:rPr>
      </w:pPr>
      <w:r>
        <w:rPr>
          <w:rFonts w:eastAsia="Cambria"/>
          <w:bCs/>
          <w:szCs w:val="22"/>
        </w:rPr>
        <w:t xml:space="preserve">     </w:t>
      </w:r>
      <w:r w:rsidR="00F92ABD" w:rsidRPr="00F92ABD">
        <w:rPr>
          <w:rFonts w:eastAsia="Cambria"/>
          <w:bCs/>
          <w:szCs w:val="22"/>
        </w:rPr>
        <w:t xml:space="preserve">Research. </w:t>
      </w:r>
    </w:p>
    <w:p w:rsidR="00211D51" w:rsidRDefault="00F92ABD" w:rsidP="00F92ABD">
      <w:pPr>
        <w:spacing w:line="480" w:lineRule="auto"/>
        <w:rPr>
          <w:rFonts w:eastAsia="Cambria"/>
          <w:bCs/>
          <w:szCs w:val="22"/>
        </w:rPr>
      </w:pPr>
      <w:r w:rsidRPr="00F92ABD">
        <w:rPr>
          <w:rFonts w:eastAsia="Cambria"/>
          <w:bCs/>
          <w:szCs w:val="22"/>
        </w:rPr>
        <w:t xml:space="preserve">Greene, J. P., &amp; Winters, M. A. (2005). Public High School Graduation and </w:t>
      </w:r>
    </w:p>
    <w:p w:rsidR="00211D51" w:rsidRDefault="00211D51" w:rsidP="00F92ABD">
      <w:pPr>
        <w:spacing w:line="480" w:lineRule="auto"/>
        <w:rPr>
          <w:rFonts w:eastAsia="Cambria"/>
          <w:bCs/>
          <w:szCs w:val="22"/>
        </w:rPr>
      </w:pPr>
      <w:r>
        <w:rPr>
          <w:rFonts w:eastAsia="Cambria"/>
          <w:bCs/>
          <w:szCs w:val="22"/>
        </w:rPr>
        <w:t xml:space="preserve">      </w:t>
      </w:r>
      <w:r w:rsidR="00F92ABD" w:rsidRPr="00F92ABD">
        <w:rPr>
          <w:rFonts w:eastAsia="Cambria"/>
          <w:bCs/>
          <w:szCs w:val="22"/>
        </w:rPr>
        <w:t xml:space="preserve">College-Readiness Rates: 1991-2002. Education Working Paper No. 8. </w:t>
      </w:r>
    </w:p>
    <w:p w:rsidR="00F92ABD" w:rsidRPr="00F92ABD" w:rsidRDefault="00211D51" w:rsidP="00F92ABD">
      <w:pPr>
        <w:spacing w:line="480" w:lineRule="auto"/>
        <w:rPr>
          <w:rFonts w:eastAsia="Cambria"/>
          <w:bCs/>
          <w:szCs w:val="22"/>
        </w:rPr>
      </w:pPr>
      <w:r>
        <w:rPr>
          <w:rFonts w:eastAsia="Cambria"/>
          <w:bCs/>
          <w:szCs w:val="22"/>
        </w:rPr>
        <w:t xml:space="preserve">      </w:t>
      </w:r>
      <w:r w:rsidR="00F92ABD" w:rsidRPr="00F92ABD">
        <w:rPr>
          <w:rFonts w:eastAsia="Cambria"/>
          <w:bCs/>
          <w:i/>
          <w:iCs/>
          <w:szCs w:val="22"/>
        </w:rPr>
        <w:t>Center for Civic Innovation</w:t>
      </w:r>
      <w:r w:rsidR="00F92ABD" w:rsidRPr="00F92ABD">
        <w:rPr>
          <w:rFonts w:eastAsia="Cambria"/>
          <w:bCs/>
          <w:szCs w:val="22"/>
        </w:rPr>
        <w:t>.</w:t>
      </w:r>
    </w:p>
    <w:p w:rsidR="00211D51" w:rsidRDefault="00F92ABD" w:rsidP="00F92ABD">
      <w:pPr>
        <w:spacing w:line="480" w:lineRule="auto"/>
        <w:rPr>
          <w:rFonts w:eastAsia="Cambria"/>
          <w:szCs w:val="22"/>
        </w:rPr>
      </w:pPr>
      <w:r w:rsidRPr="00F92ABD">
        <w:rPr>
          <w:rFonts w:eastAsia="Cambria"/>
          <w:szCs w:val="22"/>
        </w:rPr>
        <w:t xml:space="preserve">Hoffman, J.L., &amp; Lowitzki, K.E. (2005). Predicting college success with high test </w:t>
      </w:r>
    </w:p>
    <w:p w:rsidR="00211D51"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scores: Limitations for minority students. Retrieved from</w:t>
      </w:r>
      <w:r>
        <w:rPr>
          <w:rFonts w:eastAsia="Cambria"/>
          <w:szCs w:val="22"/>
        </w:rPr>
        <w:t xml:space="preserve"> </w:t>
      </w:r>
    </w:p>
    <w:p w:rsidR="00F92ABD" w:rsidRPr="00F92ABD" w:rsidRDefault="00211D51" w:rsidP="00F92ABD">
      <w:pPr>
        <w:spacing w:line="480" w:lineRule="auto"/>
        <w:rPr>
          <w:rFonts w:eastAsia="Cambria"/>
          <w:szCs w:val="22"/>
        </w:rPr>
      </w:pPr>
      <w:r>
        <w:rPr>
          <w:rFonts w:eastAsia="Cambria"/>
          <w:szCs w:val="22"/>
        </w:rPr>
        <w:t xml:space="preserve"> </w:t>
      </w:r>
      <w:hyperlink r:id="rId12" w:history="1">
        <w:r w:rsidR="00F92ABD" w:rsidRPr="00F92ABD">
          <w:rPr>
            <w:rFonts w:eastAsia="Cambria"/>
            <w:color w:val="0000FF"/>
            <w:szCs w:val="22"/>
            <w:u w:val="single"/>
          </w:rPr>
          <w:t>http://muse.jhu.edu/journals/review_of_higher_education/v028/28.4hoffman.html</w:t>
        </w:r>
      </w:hyperlink>
      <w:r w:rsidR="00F92ABD" w:rsidRPr="00F92ABD">
        <w:rPr>
          <w:rFonts w:eastAsia="Cambria"/>
          <w:szCs w:val="22"/>
        </w:rPr>
        <w:t xml:space="preserve"> </w:t>
      </w:r>
    </w:p>
    <w:p w:rsidR="00211D51" w:rsidRDefault="00F92ABD" w:rsidP="00F92ABD">
      <w:pPr>
        <w:spacing w:line="480" w:lineRule="auto"/>
        <w:rPr>
          <w:rFonts w:eastAsia="Cambria"/>
          <w:szCs w:val="22"/>
        </w:rPr>
      </w:pPr>
      <w:r w:rsidRPr="00F92ABD">
        <w:rPr>
          <w:rFonts w:eastAsia="Cambria"/>
          <w:szCs w:val="22"/>
        </w:rPr>
        <w:t xml:space="preserve">Kramer, G.L., Higley, H., &amp; Olsen, D. (1994). Changes in academic major among </w:t>
      </w:r>
    </w:p>
    <w:p w:rsidR="00F92ABD" w:rsidRPr="00F92ABD"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 xml:space="preserve">undergraduate students. </w:t>
      </w:r>
      <w:r w:rsidR="00F92ABD" w:rsidRPr="00F92ABD">
        <w:rPr>
          <w:rFonts w:eastAsia="Cambria"/>
          <w:i/>
          <w:szCs w:val="22"/>
        </w:rPr>
        <w:t>College &amp; University, 69</w:t>
      </w:r>
      <w:r w:rsidR="00F92ABD" w:rsidRPr="00F92ABD">
        <w:rPr>
          <w:rFonts w:eastAsia="Cambria"/>
          <w:szCs w:val="22"/>
        </w:rPr>
        <w:t>, 88-90.</w:t>
      </w:r>
    </w:p>
    <w:p w:rsidR="00211D51" w:rsidRDefault="00F92ABD" w:rsidP="00F92ABD">
      <w:pPr>
        <w:spacing w:line="480" w:lineRule="auto"/>
        <w:rPr>
          <w:rFonts w:eastAsia="Cambria"/>
          <w:szCs w:val="22"/>
        </w:rPr>
      </w:pPr>
      <w:r w:rsidRPr="00F92ABD">
        <w:rPr>
          <w:rFonts w:eastAsia="Cambria"/>
          <w:szCs w:val="22"/>
        </w:rPr>
        <w:t xml:space="preserve">Maker,C.J. (1977). </w:t>
      </w:r>
      <w:r w:rsidRPr="00F92ABD">
        <w:rPr>
          <w:rFonts w:eastAsia="Cambria"/>
          <w:i/>
          <w:szCs w:val="22"/>
        </w:rPr>
        <w:t>Providing programs for the handicapped gifted</w:t>
      </w:r>
      <w:r w:rsidRPr="00F92ABD">
        <w:rPr>
          <w:rFonts w:eastAsia="Cambria"/>
          <w:szCs w:val="22"/>
        </w:rPr>
        <w:t xml:space="preserve">. Reston, VA: </w:t>
      </w:r>
    </w:p>
    <w:p w:rsidR="00F92ABD" w:rsidRPr="00F92ABD"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Council for Exceptional Children.</w:t>
      </w:r>
    </w:p>
    <w:p w:rsidR="00211D51" w:rsidRDefault="00F92ABD" w:rsidP="00F92ABD">
      <w:pPr>
        <w:spacing w:line="480" w:lineRule="auto"/>
        <w:rPr>
          <w:rFonts w:eastAsia="Cambria"/>
          <w:szCs w:val="22"/>
        </w:rPr>
      </w:pPr>
      <w:r w:rsidRPr="00F92ABD">
        <w:rPr>
          <w:rFonts w:eastAsia="Cambria"/>
          <w:szCs w:val="22"/>
        </w:rPr>
        <w:t xml:space="preserve">Malgwi, C., Howe, M., &amp; Burnaby, P. (2005). Influences on students’ choice of </w:t>
      </w:r>
    </w:p>
    <w:p w:rsidR="00F92ABD" w:rsidRPr="00F92ABD"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 xml:space="preserve">college major. </w:t>
      </w:r>
      <w:r w:rsidR="00F92ABD" w:rsidRPr="00F92ABD">
        <w:rPr>
          <w:rFonts w:eastAsia="Cambria"/>
          <w:i/>
          <w:szCs w:val="22"/>
        </w:rPr>
        <w:t>Journal of Education for Business, 80</w:t>
      </w:r>
      <w:r w:rsidR="00F92ABD" w:rsidRPr="00F92ABD">
        <w:rPr>
          <w:rFonts w:eastAsia="Cambria"/>
          <w:szCs w:val="22"/>
        </w:rPr>
        <w:t>(5), 275-282.</w:t>
      </w:r>
      <w:r w:rsidR="00F92ABD" w:rsidRPr="00F92ABD">
        <w:rPr>
          <w:rFonts w:ascii="MS Gothic" w:eastAsia="MS Gothic" w:hAnsi="MS Gothic" w:cs="MS Gothic" w:hint="eastAsia"/>
          <w:szCs w:val="22"/>
        </w:rPr>
        <w:t> </w:t>
      </w:r>
    </w:p>
    <w:p w:rsidR="00211D51" w:rsidRDefault="00F92ABD" w:rsidP="00F92ABD">
      <w:pPr>
        <w:spacing w:line="480" w:lineRule="auto"/>
        <w:rPr>
          <w:rFonts w:eastAsia="Cambria"/>
          <w:szCs w:val="22"/>
        </w:rPr>
      </w:pPr>
      <w:r w:rsidRPr="00F92ABD">
        <w:rPr>
          <w:rFonts w:eastAsia="Cambria"/>
          <w:szCs w:val="22"/>
        </w:rPr>
        <w:t xml:space="preserve">McCoach, D. B., Kehle, T. J., Bray, M. A., &amp; Siegle, D. (2001). Best practices in </w:t>
      </w:r>
    </w:p>
    <w:p w:rsidR="00211D51" w:rsidRDefault="00211D51" w:rsidP="00F92ABD">
      <w:pPr>
        <w:spacing w:line="480" w:lineRule="auto"/>
        <w:rPr>
          <w:rFonts w:eastAsia="Cambria"/>
          <w:i/>
          <w:iCs/>
          <w:szCs w:val="22"/>
        </w:rPr>
      </w:pPr>
      <w:r>
        <w:rPr>
          <w:rFonts w:eastAsia="Cambria"/>
          <w:szCs w:val="22"/>
        </w:rPr>
        <w:t xml:space="preserve">      </w:t>
      </w:r>
      <w:r w:rsidR="00F92ABD" w:rsidRPr="00F92ABD">
        <w:rPr>
          <w:rFonts w:eastAsia="Cambria"/>
          <w:szCs w:val="22"/>
        </w:rPr>
        <w:t xml:space="preserve">the identification of gifted students with learning disabilities. </w:t>
      </w:r>
      <w:r w:rsidR="00F92ABD" w:rsidRPr="00F92ABD">
        <w:rPr>
          <w:rFonts w:eastAsia="Cambria"/>
          <w:i/>
          <w:iCs/>
          <w:szCs w:val="22"/>
        </w:rPr>
        <w:t xml:space="preserve">Psychology in the </w:t>
      </w:r>
    </w:p>
    <w:p w:rsidR="00F92ABD" w:rsidRPr="00F92ABD" w:rsidRDefault="00211D51" w:rsidP="00F92ABD">
      <w:pPr>
        <w:spacing w:line="480" w:lineRule="auto"/>
        <w:rPr>
          <w:rFonts w:eastAsia="Cambria"/>
          <w:szCs w:val="22"/>
        </w:rPr>
      </w:pPr>
      <w:r>
        <w:rPr>
          <w:rFonts w:eastAsia="Cambria"/>
          <w:i/>
          <w:iCs/>
          <w:szCs w:val="22"/>
        </w:rPr>
        <w:t xml:space="preserve">     </w:t>
      </w:r>
      <w:r w:rsidR="00F92ABD" w:rsidRPr="00F92ABD">
        <w:rPr>
          <w:rFonts w:eastAsia="Cambria"/>
          <w:i/>
          <w:iCs/>
          <w:szCs w:val="22"/>
        </w:rPr>
        <w:t>Schools</w:t>
      </w:r>
      <w:r w:rsidR="00F92ABD" w:rsidRPr="00F92ABD">
        <w:rPr>
          <w:rFonts w:eastAsia="Cambria"/>
          <w:szCs w:val="22"/>
        </w:rPr>
        <w:t xml:space="preserve">, </w:t>
      </w:r>
      <w:r w:rsidR="00F92ABD" w:rsidRPr="00F92ABD">
        <w:rPr>
          <w:rFonts w:eastAsia="Cambria"/>
          <w:i/>
          <w:iCs/>
          <w:szCs w:val="22"/>
        </w:rPr>
        <w:t>38</w:t>
      </w:r>
      <w:r w:rsidR="00F92ABD" w:rsidRPr="00F92ABD">
        <w:rPr>
          <w:rFonts w:eastAsia="Cambria"/>
          <w:szCs w:val="22"/>
        </w:rPr>
        <w:t xml:space="preserve">, 403-411. </w:t>
      </w:r>
    </w:p>
    <w:p w:rsidR="00211D51" w:rsidRDefault="00F92ABD" w:rsidP="00F92ABD">
      <w:pPr>
        <w:spacing w:line="480" w:lineRule="auto"/>
        <w:rPr>
          <w:rFonts w:eastAsia="Cambria"/>
          <w:szCs w:val="22"/>
        </w:rPr>
      </w:pPr>
      <w:r w:rsidRPr="00F92ABD">
        <w:rPr>
          <w:rFonts w:eastAsia="Cambria"/>
          <w:szCs w:val="22"/>
        </w:rPr>
        <w:t xml:space="preserve">National Center for Higher Education Management Systems (NCHEMS). (2007). </w:t>
      </w:r>
    </w:p>
    <w:p w:rsidR="00211D51" w:rsidRDefault="00211D51" w:rsidP="00F92ABD">
      <w:pPr>
        <w:spacing w:line="480" w:lineRule="auto"/>
        <w:rPr>
          <w:rFonts w:eastAsia="Cambria"/>
          <w:i/>
          <w:iCs/>
          <w:szCs w:val="22"/>
        </w:rPr>
      </w:pPr>
      <w:r>
        <w:rPr>
          <w:rFonts w:eastAsia="Cambria"/>
          <w:szCs w:val="22"/>
        </w:rPr>
        <w:t xml:space="preserve">     </w:t>
      </w:r>
      <w:r w:rsidR="00F92ABD" w:rsidRPr="00F92ABD">
        <w:rPr>
          <w:rFonts w:eastAsia="Cambria"/>
          <w:i/>
          <w:iCs/>
          <w:szCs w:val="22"/>
        </w:rPr>
        <w:t xml:space="preserve">Retention rates: First-time college freshmen returning their second year </w:t>
      </w:r>
    </w:p>
    <w:p w:rsidR="00211D51" w:rsidRDefault="00211D51" w:rsidP="00F92ABD">
      <w:pPr>
        <w:spacing w:line="480" w:lineRule="auto"/>
        <w:rPr>
          <w:rFonts w:eastAsia="Cambria"/>
          <w:szCs w:val="22"/>
        </w:rPr>
      </w:pPr>
      <w:r>
        <w:rPr>
          <w:rFonts w:eastAsia="Cambria"/>
          <w:i/>
          <w:iCs/>
          <w:szCs w:val="22"/>
        </w:rPr>
        <w:t xml:space="preserve">     </w:t>
      </w:r>
      <w:r w:rsidR="00F92ABD" w:rsidRPr="00F92ABD">
        <w:rPr>
          <w:rFonts w:eastAsia="Cambria"/>
          <w:i/>
          <w:iCs/>
          <w:szCs w:val="22"/>
        </w:rPr>
        <w:t xml:space="preserve">(ACT). </w:t>
      </w:r>
      <w:r w:rsidR="00F92ABD" w:rsidRPr="00F92ABD">
        <w:rPr>
          <w:rFonts w:eastAsia="Cambria"/>
          <w:szCs w:val="22"/>
        </w:rPr>
        <w:t xml:space="preserve">Retrieved October 4, 2015, from </w:t>
      </w:r>
    </w:p>
    <w:p w:rsidR="00211D51" w:rsidRDefault="00211D51" w:rsidP="00F92ABD">
      <w:pPr>
        <w:spacing w:line="480" w:lineRule="auto"/>
        <w:rPr>
          <w:rFonts w:eastAsia="Cambria"/>
          <w:szCs w:val="22"/>
        </w:rPr>
      </w:pPr>
      <w:r>
        <w:rPr>
          <w:rFonts w:eastAsia="Cambria"/>
          <w:szCs w:val="22"/>
        </w:rPr>
        <w:t xml:space="preserve">     </w:t>
      </w:r>
      <w:hyperlink r:id="rId13" w:history="1">
        <w:r w:rsidRPr="0075106D">
          <w:rPr>
            <w:rStyle w:val="Hyperlink"/>
            <w:rFonts w:eastAsia="Cambria"/>
            <w:szCs w:val="22"/>
          </w:rPr>
          <w:t>http://www.higheredinfo.org/dbrowser/index.php?measure=67</w:t>
        </w:r>
      </w:hyperlink>
    </w:p>
    <w:p w:rsidR="00211D51" w:rsidRDefault="00F92ABD" w:rsidP="00F92ABD">
      <w:pPr>
        <w:spacing w:line="480" w:lineRule="auto"/>
        <w:rPr>
          <w:rFonts w:eastAsia="Cambria"/>
          <w:szCs w:val="22"/>
        </w:rPr>
      </w:pPr>
      <w:r w:rsidRPr="00F92ABD">
        <w:rPr>
          <w:rFonts w:eastAsia="Cambria"/>
          <w:szCs w:val="22"/>
        </w:rPr>
        <w:t xml:space="preserve">National Education Association. (2006). </w:t>
      </w:r>
      <w:r w:rsidRPr="00F92ABD">
        <w:rPr>
          <w:rFonts w:eastAsia="Cambria"/>
          <w:i/>
          <w:iCs/>
          <w:szCs w:val="22"/>
        </w:rPr>
        <w:t>The twice-exceptional dilemma</w:t>
      </w:r>
      <w:r w:rsidRPr="00F92ABD">
        <w:rPr>
          <w:rFonts w:eastAsia="Cambria"/>
          <w:szCs w:val="22"/>
        </w:rPr>
        <w:t xml:space="preserve">. </w:t>
      </w:r>
    </w:p>
    <w:p w:rsidR="00F92ABD" w:rsidRPr="00F92ABD"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Washington, DC: Author.</w:t>
      </w:r>
      <w:r w:rsidR="00F92ABD" w:rsidRPr="00F92ABD">
        <w:rPr>
          <w:rFonts w:ascii="MS Gothic" w:eastAsia="MS Gothic" w:hAnsi="MS Gothic" w:cs="MS Gothic" w:hint="eastAsia"/>
          <w:szCs w:val="22"/>
        </w:rPr>
        <w:t> </w:t>
      </w:r>
    </w:p>
    <w:p w:rsidR="00211D51" w:rsidRDefault="00F92ABD" w:rsidP="00F92ABD">
      <w:pPr>
        <w:spacing w:line="480" w:lineRule="auto"/>
        <w:rPr>
          <w:rFonts w:eastAsia="Cambria"/>
          <w:i/>
          <w:szCs w:val="22"/>
        </w:rPr>
      </w:pPr>
      <w:r w:rsidRPr="00F92ABD">
        <w:rPr>
          <w:rFonts w:eastAsia="Cambria"/>
          <w:szCs w:val="22"/>
        </w:rPr>
        <w:t xml:space="preserve">Noble, J., &amp; Sawyer, R. (2002). </w:t>
      </w:r>
      <w:r w:rsidRPr="00F92ABD">
        <w:rPr>
          <w:rFonts w:eastAsia="Cambria"/>
          <w:i/>
          <w:szCs w:val="22"/>
        </w:rPr>
        <w:t>Prediticing different levels of academic succes</w:t>
      </w:r>
      <w:r w:rsidR="00211D51">
        <w:rPr>
          <w:rFonts w:eastAsia="Cambria"/>
          <w:i/>
          <w:szCs w:val="22"/>
        </w:rPr>
        <w:t xml:space="preserve">s </w:t>
      </w:r>
    </w:p>
    <w:p w:rsidR="00211D51" w:rsidRDefault="00211D51" w:rsidP="00F92ABD">
      <w:pPr>
        <w:spacing w:line="480" w:lineRule="auto"/>
        <w:rPr>
          <w:rFonts w:eastAsia="Cambria"/>
          <w:szCs w:val="22"/>
        </w:rPr>
      </w:pPr>
      <w:r>
        <w:rPr>
          <w:rFonts w:eastAsia="Cambria"/>
          <w:i/>
          <w:szCs w:val="22"/>
        </w:rPr>
        <w:t xml:space="preserve">     in college using </w:t>
      </w:r>
      <w:r w:rsidR="00F92ABD" w:rsidRPr="00F92ABD">
        <w:rPr>
          <w:rFonts w:eastAsia="Cambria"/>
          <w:i/>
          <w:szCs w:val="22"/>
        </w:rPr>
        <w:t xml:space="preserve">high school GPA and ACT composite score. </w:t>
      </w:r>
      <w:r w:rsidR="00F92ABD" w:rsidRPr="00F92ABD">
        <w:rPr>
          <w:rFonts w:eastAsia="Cambria"/>
          <w:szCs w:val="22"/>
        </w:rPr>
        <w:t xml:space="preserve">Iowa City, IA: </w:t>
      </w:r>
    </w:p>
    <w:p w:rsidR="00F92ABD" w:rsidRPr="00F92ABD" w:rsidRDefault="00211D51" w:rsidP="00F92ABD">
      <w:pPr>
        <w:spacing w:line="480" w:lineRule="auto"/>
        <w:rPr>
          <w:rFonts w:eastAsia="Cambria"/>
          <w:i/>
          <w:szCs w:val="22"/>
        </w:rPr>
      </w:pPr>
      <w:r>
        <w:rPr>
          <w:rFonts w:eastAsia="Cambria"/>
          <w:szCs w:val="22"/>
        </w:rPr>
        <w:t xml:space="preserve">     </w:t>
      </w:r>
      <w:r w:rsidR="00F92ABD" w:rsidRPr="00F92ABD">
        <w:rPr>
          <w:rFonts w:eastAsia="Cambria"/>
          <w:szCs w:val="22"/>
        </w:rPr>
        <w:t xml:space="preserve">ACT, Inc. </w:t>
      </w:r>
    </w:p>
    <w:p w:rsidR="00211D51" w:rsidRDefault="00F92ABD" w:rsidP="00F92ABD">
      <w:pPr>
        <w:spacing w:line="480" w:lineRule="auto"/>
        <w:rPr>
          <w:rFonts w:eastAsia="Cambria"/>
          <w:szCs w:val="22"/>
        </w:rPr>
      </w:pPr>
      <w:r w:rsidRPr="00F92ABD">
        <w:rPr>
          <w:rFonts w:eastAsia="Cambria"/>
          <w:szCs w:val="22"/>
        </w:rPr>
        <w:t xml:space="preserve">Noel, M., Michaels, C., &amp; Levas, M. (2003). The relationship of personality traits </w:t>
      </w:r>
    </w:p>
    <w:p w:rsidR="00211D51" w:rsidRDefault="00211D51" w:rsidP="00F92ABD">
      <w:pPr>
        <w:spacing w:line="480" w:lineRule="auto"/>
        <w:rPr>
          <w:rFonts w:eastAsia="Cambria"/>
          <w:i/>
          <w:iCs/>
          <w:szCs w:val="22"/>
        </w:rPr>
      </w:pPr>
      <w:r>
        <w:rPr>
          <w:rFonts w:eastAsia="Cambria"/>
          <w:szCs w:val="22"/>
        </w:rPr>
        <w:t xml:space="preserve">     </w:t>
      </w:r>
      <w:r w:rsidR="00F92ABD" w:rsidRPr="00F92ABD">
        <w:rPr>
          <w:rFonts w:eastAsia="Cambria"/>
          <w:szCs w:val="22"/>
        </w:rPr>
        <w:t xml:space="preserve">and self-monitoring behavior to choice of business major. </w:t>
      </w:r>
      <w:r w:rsidR="00F92ABD" w:rsidRPr="00F92ABD">
        <w:rPr>
          <w:rFonts w:eastAsia="Cambria"/>
          <w:i/>
          <w:iCs/>
          <w:szCs w:val="22"/>
        </w:rPr>
        <w:t xml:space="preserve">Journal of </w:t>
      </w:r>
    </w:p>
    <w:p w:rsidR="00F92ABD" w:rsidRPr="00F92ABD" w:rsidRDefault="00211D51" w:rsidP="00F92ABD">
      <w:pPr>
        <w:spacing w:line="480" w:lineRule="auto"/>
        <w:rPr>
          <w:rFonts w:eastAsia="Cambria"/>
          <w:szCs w:val="22"/>
        </w:rPr>
      </w:pPr>
      <w:r>
        <w:rPr>
          <w:rFonts w:eastAsia="Cambria"/>
          <w:i/>
          <w:iCs/>
          <w:szCs w:val="22"/>
        </w:rPr>
        <w:t xml:space="preserve">     </w:t>
      </w:r>
      <w:r w:rsidR="00F92ABD" w:rsidRPr="00F92ABD">
        <w:rPr>
          <w:rFonts w:eastAsia="Cambria"/>
          <w:i/>
          <w:iCs/>
          <w:szCs w:val="22"/>
        </w:rPr>
        <w:t xml:space="preserve">Education for Business, 78, </w:t>
      </w:r>
      <w:r w:rsidR="00F92ABD" w:rsidRPr="00F92ABD">
        <w:rPr>
          <w:rFonts w:eastAsia="Cambria"/>
          <w:szCs w:val="22"/>
        </w:rPr>
        <w:t xml:space="preserve">153–157. </w:t>
      </w:r>
    </w:p>
    <w:p w:rsidR="00211D51" w:rsidRDefault="00F92ABD" w:rsidP="00F92ABD">
      <w:pPr>
        <w:spacing w:line="480" w:lineRule="auto"/>
        <w:rPr>
          <w:rFonts w:eastAsia="Cambria"/>
          <w:szCs w:val="22"/>
        </w:rPr>
      </w:pPr>
      <w:r w:rsidRPr="00F92ABD">
        <w:rPr>
          <w:rFonts w:eastAsia="Cambria"/>
          <w:szCs w:val="22"/>
        </w:rPr>
        <w:t xml:space="preserve">Porter S.R., &amp; Umbach, P.D. (2006). College major choice: An analysis of </w:t>
      </w:r>
    </w:p>
    <w:p w:rsidR="00F92ABD" w:rsidRPr="00F92ABD"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 xml:space="preserve">person-environment fit. </w:t>
      </w:r>
      <w:r w:rsidR="00F92ABD" w:rsidRPr="00F92ABD">
        <w:rPr>
          <w:rFonts w:eastAsia="Cambria"/>
          <w:i/>
          <w:szCs w:val="22"/>
        </w:rPr>
        <w:t>Research in High Educaiton, 47</w:t>
      </w:r>
      <w:r w:rsidR="00F92ABD" w:rsidRPr="00F92ABD">
        <w:rPr>
          <w:rFonts w:eastAsia="Cambria"/>
          <w:szCs w:val="22"/>
        </w:rPr>
        <w:t xml:space="preserve">, 429-449. </w:t>
      </w:r>
    </w:p>
    <w:p w:rsidR="00211D51" w:rsidRDefault="00F92ABD" w:rsidP="00F92ABD">
      <w:pPr>
        <w:spacing w:line="480" w:lineRule="auto"/>
        <w:rPr>
          <w:rFonts w:eastAsia="Cambria"/>
          <w:szCs w:val="22"/>
        </w:rPr>
      </w:pPr>
      <w:r w:rsidRPr="00F92ABD">
        <w:rPr>
          <w:rFonts w:eastAsia="Cambria"/>
          <w:szCs w:val="22"/>
        </w:rPr>
        <w:t>Reis, S.M., Baum, S.M., &amp; Burke, E. (2014). An operational definition of twice-</w:t>
      </w:r>
    </w:p>
    <w:p w:rsidR="00211D51" w:rsidRDefault="00211D51" w:rsidP="00F92ABD">
      <w:pPr>
        <w:spacing w:line="480" w:lineRule="auto"/>
        <w:rPr>
          <w:rFonts w:eastAsia="Cambria"/>
          <w:i/>
          <w:szCs w:val="22"/>
        </w:rPr>
      </w:pPr>
      <w:r>
        <w:rPr>
          <w:rFonts w:eastAsia="Cambria"/>
          <w:szCs w:val="22"/>
        </w:rPr>
        <w:t xml:space="preserve">     </w:t>
      </w:r>
      <w:r w:rsidR="00F92ABD" w:rsidRPr="00F92ABD">
        <w:rPr>
          <w:rFonts w:eastAsia="Cambria"/>
          <w:szCs w:val="22"/>
        </w:rPr>
        <w:t xml:space="preserve">exceptional learners: Implications and applications. </w:t>
      </w:r>
      <w:r w:rsidR="00F92ABD" w:rsidRPr="00F92ABD">
        <w:rPr>
          <w:rFonts w:eastAsia="Cambria"/>
          <w:i/>
          <w:szCs w:val="22"/>
        </w:rPr>
        <w:t xml:space="preserve">Gifted Child Quarterly, </w:t>
      </w:r>
    </w:p>
    <w:p w:rsidR="00F92ABD" w:rsidRPr="00F92ABD" w:rsidRDefault="00211D51" w:rsidP="00F92ABD">
      <w:pPr>
        <w:spacing w:line="480" w:lineRule="auto"/>
        <w:rPr>
          <w:rFonts w:eastAsia="Cambria"/>
          <w:szCs w:val="22"/>
        </w:rPr>
      </w:pPr>
      <w:r>
        <w:rPr>
          <w:rFonts w:eastAsia="Cambria"/>
          <w:i/>
          <w:szCs w:val="22"/>
        </w:rPr>
        <w:t xml:space="preserve">     </w:t>
      </w:r>
      <w:r w:rsidR="00F92ABD" w:rsidRPr="00F92ABD">
        <w:rPr>
          <w:rFonts w:eastAsia="Cambria"/>
          <w:i/>
          <w:szCs w:val="22"/>
        </w:rPr>
        <w:t>58</w:t>
      </w:r>
      <w:r w:rsidR="00F92ABD" w:rsidRPr="00F92ABD">
        <w:rPr>
          <w:rFonts w:eastAsia="Cambria"/>
          <w:szCs w:val="22"/>
        </w:rPr>
        <w:t xml:space="preserve">(3), 217-230. </w:t>
      </w:r>
    </w:p>
    <w:p w:rsidR="00211D51" w:rsidRDefault="00F92ABD" w:rsidP="00F92ABD">
      <w:pPr>
        <w:spacing w:line="480" w:lineRule="auto"/>
        <w:rPr>
          <w:rFonts w:eastAsia="Cambria"/>
          <w:szCs w:val="22"/>
        </w:rPr>
      </w:pPr>
      <w:r w:rsidRPr="00F92ABD">
        <w:rPr>
          <w:rFonts w:eastAsia="Cambria"/>
          <w:szCs w:val="22"/>
        </w:rPr>
        <w:t xml:space="preserve">Roderick, M., Nagaoka, J., &amp; Coca, V. (2009). College readiness for all: The </w:t>
      </w:r>
    </w:p>
    <w:p w:rsidR="00F92ABD" w:rsidRPr="00F92ABD"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 xml:space="preserve">challenge for urban schools. </w:t>
      </w:r>
      <w:r w:rsidR="00F92ABD" w:rsidRPr="00F92ABD">
        <w:rPr>
          <w:rFonts w:eastAsia="Cambria"/>
          <w:i/>
          <w:szCs w:val="22"/>
        </w:rPr>
        <w:t>The Future of Children, 19</w:t>
      </w:r>
      <w:r w:rsidR="00F92ABD" w:rsidRPr="00F92ABD">
        <w:rPr>
          <w:rFonts w:eastAsia="Cambria"/>
          <w:szCs w:val="22"/>
        </w:rPr>
        <w:t>(1), 185-210.</w:t>
      </w:r>
    </w:p>
    <w:p w:rsidR="00211D51" w:rsidRDefault="00F92ABD" w:rsidP="00F92ABD">
      <w:pPr>
        <w:spacing w:line="480" w:lineRule="auto"/>
        <w:rPr>
          <w:rFonts w:eastAsia="Cambria"/>
          <w:szCs w:val="22"/>
        </w:rPr>
      </w:pPr>
      <w:r w:rsidRPr="00F92ABD">
        <w:rPr>
          <w:rFonts w:eastAsia="Cambria"/>
          <w:szCs w:val="22"/>
        </w:rPr>
        <w:t xml:space="preserve">Ruban, L.M., &amp; Reis, S.M. (2005). Identification and assessment of gifted </w:t>
      </w:r>
    </w:p>
    <w:p w:rsidR="00F92ABD" w:rsidRPr="00F92ABD"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 xml:space="preserve">students with learning disabilities. </w:t>
      </w:r>
      <w:r w:rsidR="00F92ABD" w:rsidRPr="00F92ABD">
        <w:rPr>
          <w:rFonts w:eastAsia="Cambria"/>
          <w:i/>
          <w:szCs w:val="22"/>
        </w:rPr>
        <w:t>Theory into Practice, 44</w:t>
      </w:r>
      <w:r w:rsidR="00F92ABD" w:rsidRPr="00F92ABD">
        <w:rPr>
          <w:rFonts w:eastAsia="Cambria"/>
          <w:szCs w:val="22"/>
        </w:rPr>
        <w:t>(2), 115-124.</w:t>
      </w:r>
    </w:p>
    <w:p w:rsidR="00211D51" w:rsidRDefault="00F92ABD" w:rsidP="00F92ABD">
      <w:pPr>
        <w:spacing w:line="480" w:lineRule="auto"/>
        <w:rPr>
          <w:rFonts w:eastAsia="Cambria"/>
          <w:i/>
          <w:iCs/>
          <w:szCs w:val="22"/>
        </w:rPr>
      </w:pPr>
      <w:r w:rsidRPr="00F92ABD">
        <w:rPr>
          <w:rFonts w:eastAsia="Cambria"/>
          <w:szCs w:val="22"/>
        </w:rPr>
        <w:t xml:space="preserve">Schultz, J. (2012). </w:t>
      </w:r>
      <w:r w:rsidRPr="00F92ABD">
        <w:rPr>
          <w:rFonts w:eastAsia="Cambria"/>
          <w:i/>
          <w:iCs/>
          <w:szCs w:val="22"/>
        </w:rPr>
        <w:t xml:space="preserve">Nowhere to hide: Why kids with ADHD and LD hate school </w:t>
      </w:r>
    </w:p>
    <w:p w:rsidR="00F92ABD" w:rsidRPr="00F92ABD" w:rsidRDefault="00211D51" w:rsidP="00F92ABD">
      <w:pPr>
        <w:spacing w:line="480" w:lineRule="auto"/>
        <w:rPr>
          <w:rFonts w:eastAsia="Cambria"/>
          <w:i/>
          <w:iCs/>
          <w:szCs w:val="22"/>
        </w:rPr>
      </w:pPr>
      <w:r>
        <w:rPr>
          <w:rFonts w:eastAsia="Cambria"/>
          <w:i/>
          <w:iCs/>
          <w:szCs w:val="22"/>
        </w:rPr>
        <w:t xml:space="preserve">     </w:t>
      </w:r>
      <w:r w:rsidR="00F92ABD" w:rsidRPr="00F92ABD">
        <w:rPr>
          <w:rFonts w:eastAsia="Cambria"/>
          <w:i/>
          <w:iCs/>
          <w:szCs w:val="22"/>
        </w:rPr>
        <w:t>and what we can do about it</w:t>
      </w:r>
      <w:r w:rsidR="00F92ABD" w:rsidRPr="00F92ABD">
        <w:rPr>
          <w:rFonts w:eastAsia="Cambria"/>
          <w:szCs w:val="22"/>
        </w:rPr>
        <w:t xml:space="preserve">. New York, NY: Wiley. </w:t>
      </w:r>
    </w:p>
    <w:p w:rsidR="00211D51" w:rsidRDefault="00F92ABD" w:rsidP="00F92ABD">
      <w:pPr>
        <w:spacing w:line="480" w:lineRule="auto"/>
        <w:rPr>
          <w:rFonts w:eastAsia="Cambria"/>
          <w:i/>
          <w:szCs w:val="22"/>
        </w:rPr>
      </w:pPr>
      <w:r w:rsidRPr="00F92ABD">
        <w:rPr>
          <w:rFonts w:eastAsia="Cambria"/>
          <w:szCs w:val="22"/>
        </w:rPr>
        <w:t xml:space="preserve">Smart, J.C., Feldman, K.A., &amp; Ethington, C.A. (2000). </w:t>
      </w:r>
      <w:r w:rsidRPr="00F92ABD">
        <w:rPr>
          <w:rFonts w:eastAsia="Cambria"/>
          <w:i/>
          <w:szCs w:val="22"/>
        </w:rPr>
        <w:t xml:space="preserve">Academic disciplines: </w:t>
      </w:r>
    </w:p>
    <w:p w:rsidR="00211D51" w:rsidRDefault="00211D51" w:rsidP="00F92ABD">
      <w:pPr>
        <w:spacing w:line="480" w:lineRule="auto"/>
        <w:rPr>
          <w:rFonts w:eastAsia="Cambria"/>
          <w:szCs w:val="22"/>
        </w:rPr>
      </w:pPr>
      <w:r>
        <w:rPr>
          <w:rFonts w:eastAsia="Cambria"/>
          <w:i/>
          <w:szCs w:val="22"/>
        </w:rPr>
        <w:t xml:space="preserve">     </w:t>
      </w:r>
      <w:r w:rsidR="00F92ABD" w:rsidRPr="00F92ABD">
        <w:rPr>
          <w:rFonts w:eastAsia="Cambria"/>
          <w:i/>
          <w:szCs w:val="22"/>
        </w:rPr>
        <w:t xml:space="preserve">Holland’s theory and the study of college students and faculty. </w:t>
      </w:r>
      <w:r w:rsidR="00F92ABD" w:rsidRPr="00F92ABD">
        <w:rPr>
          <w:rFonts w:eastAsia="Cambria"/>
          <w:szCs w:val="22"/>
        </w:rPr>
        <w:t xml:space="preserve">Nashville, TN: </w:t>
      </w:r>
    </w:p>
    <w:p w:rsidR="00F92ABD" w:rsidRPr="00F92ABD" w:rsidRDefault="00211D51" w:rsidP="00F92ABD">
      <w:pPr>
        <w:spacing w:line="480" w:lineRule="auto"/>
        <w:rPr>
          <w:rFonts w:eastAsia="Cambria"/>
          <w:i/>
          <w:szCs w:val="22"/>
        </w:rPr>
      </w:pPr>
      <w:r>
        <w:rPr>
          <w:rFonts w:eastAsia="Cambria"/>
          <w:szCs w:val="22"/>
        </w:rPr>
        <w:t xml:space="preserve">     </w:t>
      </w:r>
      <w:r w:rsidR="00F92ABD" w:rsidRPr="00F92ABD">
        <w:rPr>
          <w:rFonts w:eastAsia="Cambria"/>
          <w:szCs w:val="22"/>
        </w:rPr>
        <w:t xml:space="preserve">Vanderbilt University Press. </w:t>
      </w:r>
    </w:p>
    <w:p w:rsidR="00211D51" w:rsidRDefault="00F92ABD" w:rsidP="00F92ABD">
      <w:pPr>
        <w:spacing w:line="480" w:lineRule="auto"/>
        <w:rPr>
          <w:rFonts w:eastAsia="Cambria"/>
          <w:szCs w:val="22"/>
        </w:rPr>
      </w:pPr>
      <w:r w:rsidRPr="00F92ABD">
        <w:rPr>
          <w:rFonts w:eastAsia="Cambria"/>
          <w:szCs w:val="22"/>
        </w:rPr>
        <w:t xml:space="preserve">Stumpf, H., &amp; Stanley, J. C. (2002). Group data on high school grade point </w:t>
      </w:r>
    </w:p>
    <w:p w:rsidR="00211D51"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 xml:space="preserve">averages and scores on academic aptitude tests as predic- tors of institutional </w:t>
      </w:r>
    </w:p>
    <w:p w:rsidR="00211D51"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 xml:space="preserve">graduation rates. </w:t>
      </w:r>
      <w:r w:rsidR="00F92ABD" w:rsidRPr="00F92ABD">
        <w:rPr>
          <w:rFonts w:eastAsia="Cambria"/>
          <w:i/>
          <w:iCs/>
          <w:szCs w:val="22"/>
        </w:rPr>
        <w:t xml:space="preserve">Educational and Psychological Measurement, 62, </w:t>
      </w:r>
      <w:r w:rsidR="00F92ABD" w:rsidRPr="00F92ABD">
        <w:rPr>
          <w:rFonts w:eastAsia="Cambria"/>
          <w:szCs w:val="22"/>
        </w:rPr>
        <w:t>1042–</w:t>
      </w:r>
    </w:p>
    <w:p w:rsidR="00F92ABD" w:rsidRPr="00F92ABD"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 xml:space="preserve">1052. </w:t>
      </w:r>
    </w:p>
    <w:p w:rsidR="00211D51" w:rsidRDefault="00F92ABD" w:rsidP="00F92ABD">
      <w:pPr>
        <w:spacing w:line="480" w:lineRule="auto"/>
        <w:rPr>
          <w:rFonts w:eastAsia="Cambria"/>
          <w:szCs w:val="22"/>
        </w:rPr>
      </w:pPr>
      <w:r w:rsidRPr="00F92ABD">
        <w:rPr>
          <w:rFonts w:eastAsia="Cambria"/>
          <w:szCs w:val="22"/>
        </w:rPr>
        <w:t xml:space="preserve">Thomas, T., &amp; Allen, A. (2006). Gender differences in students’ perceptions of </w:t>
      </w:r>
    </w:p>
    <w:p w:rsidR="00211D51" w:rsidRDefault="00211D51" w:rsidP="00F92ABD">
      <w:pPr>
        <w:spacing w:line="480" w:lineRule="auto"/>
        <w:rPr>
          <w:rFonts w:eastAsia="Cambria"/>
          <w:i/>
          <w:szCs w:val="22"/>
        </w:rPr>
      </w:pPr>
      <w:r>
        <w:rPr>
          <w:rFonts w:eastAsia="Cambria"/>
          <w:szCs w:val="22"/>
        </w:rPr>
        <w:t xml:space="preserve">     </w:t>
      </w:r>
      <w:r w:rsidR="00F92ABD" w:rsidRPr="00F92ABD">
        <w:rPr>
          <w:rFonts w:eastAsia="Cambria"/>
          <w:szCs w:val="22"/>
        </w:rPr>
        <w:t xml:space="preserve">information </w:t>
      </w:r>
      <w:r>
        <w:rPr>
          <w:rFonts w:eastAsia="Cambria"/>
          <w:szCs w:val="22"/>
        </w:rPr>
        <w:t>t</w:t>
      </w:r>
      <w:r w:rsidR="00F92ABD" w:rsidRPr="00F92ABD">
        <w:rPr>
          <w:rFonts w:eastAsia="Cambria"/>
          <w:szCs w:val="22"/>
        </w:rPr>
        <w:t xml:space="preserve">echnology as a career. </w:t>
      </w:r>
      <w:r w:rsidR="00F92ABD" w:rsidRPr="00F92ABD">
        <w:rPr>
          <w:rFonts w:eastAsia="Cambria"/>
          <w:i/>
          <w:szCs w:val="22"/>
        </w:rPr>
        <w:t xml:space="preserve">Journal of Information Technology </w:t>
      </w:r>
    </w:p>
    <w:p w:rsidR="00F92ABD" w:rsidRPr="00F92ABD" w:rsidRDefault="00211D51" w:rsidP="00F92ABD">
      <w:pPr>
        <w:spacing w:line="480" w:lineRule="auto"/>
        <w:rPr>
          <w:rFonts w:eastAsia="Cambria"/>
          <w:szCs w:val="22"/>
        </w:rPr>
      </w:pPr>
      <w:r>
        <w:rPr>
          <w:rFonts w:eastAsia="Cambria"/>
          <w:i/>
          <w:szCs w:val="22"/>
        </w:rPr>
        <w:t xml:space="preserve">     </w:t>
      </w:r>
      <w:r w:rsidR="00F92ABD" w:rsidRPr="00F92ABD">
        <w:rPr>
          <w:rFonts w:eastAsia="Cambria"/>
          <w:i/>
          <w:szCs w:val="22"/>
        </w:rPr>
        <w:t>Education, 5</w:t>
      </w:r>
      <w:r w:rsidR="00F92ABD" w:rsidRPr="00F92ABD">
        <w:rPr>
          <w:rFonts w:eastAsia="Cambria"/>
          <w:szCs w:val="22"/>
        </w:rPr>
        <w:t xml:space="preserve">(1), 165-178. </w:t>
      </w:r>
    </w:p>
    <w:p w:rsidR="00211D51" w:rsidRDefault="00F92ABD" w:rsidP="00F92ABD">
      <w:pPr>
        <w:spacing w:line="480" w:lineRule="auto"/>
        <w:rPr>
          <w:rFonts w:eastAsia="Cambria"/>
          <w:szCs w:val="22"/>
        </w:rPr>
      </w:pPr>
      <w:r w:rsidRPr="00F92ABD">
        <w:rPr>
          <w:rFonts w:eastAsia="Cambria"/>
          <w:szCs w:val="22"/>
        </w:rPr>
        <w:t xml:space="preserve">Tracey, T.J.G., &amp; Robbins, S.B. (2005). Stability of interests across ethnicity and </w:t>
      </w:r>
    </w:p>
    <w:p w:rsidR="00211D51" w:rsidRDefault="00211D51" w:rsidP="00F92ABD">
      <w:pPr>
        <w:spacing w:line="480" w:lineRule="auto"/>
        <w:rPr>
          <w:rFonts w:eastAsia="Cambria"/>
          <w:i/>
          <w:szCs w:val="22"/>
        </w:rPr>
      </w:pPr>
      <w:r>
        <w:rPr>
          <w:rFonts w:eastAsia="Cambria"/>
          <w:szCs w:val="22"/>
        </w:rPr>
        <w:t xml:space="preserve">     </w:t>
      </w:r>
      <w:r w:rsidR="00F92ABD" w:rsidRPr="00F92ABD">
        <w:rPr>
          <w:rFonts w:eastAsia="Cambria"/>
          <w:szCs w:val="22"/>
        </w:rPr>
        <w:t xml:space="preserve">gender: A longitudinal examination of grades 8 through 12. </w:t>
      </w:r>
      <w:r w:rsidR="00F92ABD" w:rsidRPr="00F92ABD">
        <w:rPr>
          <w:rFonts w:eastAsia="Cambria"/>
          <w:i/>
          <w:szCs w:val="22"/>
        </w:rPr>
        <w:t xml:space="preserve">Journal of </w:t>
      </w:r>
    </w:p>
    <w:p w:rsidR="00F92ABD" w:rsidRPr="00F92ABD" w:rsidRDefault="00211D51" w:rsidP="00F92ABD">
      <w:pPr>
        <w:spacing w:line="480" w:lineRule="auto"/>
        <w:rPr>
          <w:rFonts w:eastAsia="Cambria"/>
          <w:szCs w:val="22"/>
        </w:rPr>
      </w:pPr>
      <w:r>
        <w:rPr>
          <w:rFonts w:eastAsia="Cambria"/>
          <w:i/>
          <w:szCs w:val="22"/>
        </w:rPr>
        <w:t xml:space="preserve">     </w:t>
      </w:r>
      <w:r w:rsidR="00F92ABD" w:rsidRPr="00F92ABD">
        <w:rPr>
          <w:rFonts w:eastAsia="Cambria"/>
          <w:i/>
          <w:szCs w:val="22"/>
        </w:rPr>
        <w:t>Vocational Behavior, 67,</w:t>
      </w:r>
      <w:r w:rsidR="00F92ABD" w:rsidRPr="00F92ABD">
        <w:rPr>
          <w:rFonts w:eastAsia="Cambria"/>
          <w:szCs w:val="22"/>
        </w:rPr>
        <w:t xml:space="preserve"> 335-364. </w:t>
      </w:r>
    </w:p>
    <w:p w:rsidR="00211D51" w:rsidRDefault="00F92ABD" w:rsidP="00F92ABD">
      <w:pPr>
        <w:spacing w:line="480" w:lineRule="auto"/>
        <w:rPr>
          <w:rFonts w:eastAsia="Cambria"/>
          <w:i/>
          <w:iCs/>
          <w:szCs w:val="22"/>
        </w:rPr>
      </w:pPr>
      <w:r w:rsidRPr="00F92ABD">
        <w:rPr>
          <w:rFonts w:eastAsia="Cambria"/>
          <w:szCs w:val="22"/>
        </w:rPr>
        <w:t xml:space="preserve">Trail, B. (2010). </w:t>
      </w:r>
      <w:r w:rsidRPr="00F92ABD">
        <w:rPr>
          <w:rFonts w:eastAsia="Cambria"/>
          <w:i/>
          <w:iCs/>
          <w:szCs w:val="22"/>
        </w:rPr>
        <w:t xml:space="preserve">Twice exceptional gifted children: Understanding, teaching, and </w:t>
      </w:r>
    </w:p>
    <w:p w:rsidR="00F92ABD" w:rsidRPr="00F92ABD" w:rsidRDefault="00211D51" w:rsidP="00F92ABD">
      <w:pPr>
        <w:spacing w:line="480" w:lineRule="auto"/>
        <w:rPr>
          <w:rFonts w:eastAsia="Cambria"/>
          <w:i/>
          <w:iCs/>
          <w:szCs w:val="22"/>
        </w:rPr>
      </w:pPr>
      <w:r>
        <w:rPr>
          <w:rFonts w:eastAsia="Cambria"/>
          <w:i/>
          <w:iCs/>
          <w:szCs w:val="22"/>
        </w:rPr>
        <w:t xml:space="preserve">     </w:t>
      </w:r>
      <w:r w:rsidR="00F92ABD" w:rsidRPr="00F92ABD">
        <w:rPr>
          <w:rFonts w:eastAsia="Cambria"/>
          <w:i/>
          <w:iCs/>
          <w:szCs w:val="22"/>
        </w:rPr>
        <w:t>counseling gifted students</w:t>
      </w:r>
      <w:r w:rsidR="00F92ABD" w:rsidRPr="00F92ABD">
        <w:rPr>
          <w:rFonts w:eastAsia="Cambria"/>
          <w:szCs w:val="22"/>
        </w:rPr>
        <w:t xml:space="preserve">. Waco, TX: Prufrock Press. </w:t>
      </w:r>
    </w:p>
    <w:p w:rsidR="00211D51" w:rsidRDefault="00F92ABD" w:rsidP="00F92ABD">
      <w:pPr>
        <w:spacing w:line="480" w:lineRule="auto"/>
        <w:rPr>
          <w:rFonts w:eastAsia="Cambria"/>
          <w:szCs w:val="22"/>
        </w:rPr>
      </w:pPr>
      <w:r w:rsidRPr="00F92ABD">
        <w:rPr>
          <w:rFonts w:eastAsia="Cambria"/>
          <w:szCs w:val="22"/>
        </w:rPr>
        <w:t xml:space="preserve">Walstrom, K.A., Schambach, T.P., Jones, K.T., &amp; Crampton, W.J. (2008). Why </w:t>
      </w:r>
    </w:p>
    <w:p w:rsidR="00211D51" w:rsidRDefault="00211D51" w:rsidP="00F92ABD">
      <w:pPr>
        <w:spacing w:line="480" w:lineRule="auto"/>
        <w:rPr>
          <w:rFonts w:eastAsia="Cambria"/>
          <w:i/>
          <w:szCs w:val="22"/>
        </w:rPr>
      </w:pPr>
      <w:r>
        <w:rPr>
          <w:rFonts w:eastAsia="Cambria"/>
          <w:szCs w:val="22"/>
        </w:rPr>
        <w:t xml:space="preserve">      </w:t>
      </w:r>
      <w:r w:rsidR="00F92ABD" w:rsidRPr="00F92ABD">
        <w:rPr>
          <w:rFonts w:eastAsia="Cambria"/>
          <w:szCs w:val="22"/>
        </w:rPr>
        <w:t xml:space="preserve">are students not majoring in information sciences? </w:t>
      </w:r>
      <w:r w:rsidR="00F92ABD" w:rsidRPr="00F92ABD">
        <w:rPr>
          <w:rFonts w:eastAsia="Cambria"/>
          <w:i/>
          <w:szCs w:val="22"/>
        </w:rPr>
        <w:t xml:space="preserve">Journal of Information </w:t>
      </w:r>
    </w:p>
    <w:p w:rsidR="00F92ABD" w:rsidRPr="00F92ABD" w:rsidRDefault="00211D51" w:rsidP="00F92ABD">
      <w:pPr>
        <w:spacing w:line="480" w:lineRule="auto"/>
        <w:rPr>
          <w:rFonts w:eastAsia="Cambria"/>
          <w:szCs w:val="22"/>
        </w:rPr>
      </w:pPr>
      <w:r>
        <w:rPr>
          <w:rFonts w:eastAsia="Cambria"/>
          <w:i/>
          <w:szCs w:val="22"/>
        </w:rPr>
        <w:t xml:space="preserve">     </w:t>
      </w:r>
      <w:r w:rsidR="00F92ABD" w:rsidRPr="00F92ABD">
        <w:rPr>
          <w:rFonts w:eastAsia="Cambria"/>
          <w:i/>
          <w:szCs w:val="22"/>
        </w:rPr>
        <w:t>Systems Education, 19</w:t>
      </w:r>
      <w:r w:rsidR="00F92ABD" w:rsidRPr="00F92ABD">
        <w:rPr>
          <w:rFonts w:eastAsia="Cambria"/>
          <w:szCs w:val="22"/>
        </w:rPr>
        <w:t>(1), 43-54.</w:t>
      </w:r>
    </w:p>
    <w:p w:rsidR="00211D51" w:rsidRDefault="00F92ABD" w:rsidP="00F92ABD">
      <w:pPr>
        <w:spacing w:line="480" w:lineRule="auto"/>
        <w:rPr>
          <w:rFonts w:eastAsia="Cambria"/>
          <w:szCs w:val="22"/>
        </w:rPr>
      </w:pPr>
      <w:r w:rsidRPr="00F92ABD">
        <w:rPr>
          <w:rFonts w:eastAsia="Cambria"/>
          <w:szCs w:val="22"/>
        </w:rPr>
        <w:t xml:space="preserve">Yewchuk, C., &amp; Lupart, J. (2002). Inclusive education for gifted students with </w:t>
      </w:r>
    </w:p>
    <w:p w:rsidR="00211D51"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 xml:space="preserve">disabilities. In K.A. Heller, F. J. Monks, R. Sternberg, &amp; R. Subotnik (Eds.), </w:t>
      </w:r>
    </w:p>
    <w:p w:rsidR="00211D51" w:rsidRDefault="00211D51" w:rsidP="00F92ABD">
      <w:pPr>
        <w:spacing w:line="480" w:lineRule="auto"/>
        <w:rPr>
          <w:rFonts w:eastAsia="Cambria"/>
          <w:szCs w:val="22"/>
        </w:rPr>
      </w:pPr>
      <w:r>
        <w:rPr>
          <w:rFonts w:eastAsia="Cambria"/>
          <w:szCs w:val="22"/>
        </w:rPr>
        <w:t xml:space="preserve">     </w:t>
      </w:r>
      <w:r>
        <w:rPr>
          <w:rFonts w:eastAsia="Cambria"/>
          <w:i/>
          <w:iCs/>
          <w:szCs w:val="22"/>
        </w:rPr>
        <w:t xml:space="preserve">International handbook of </w:t>
      </w:r>
      <w:r w:rsidR="00F92ABD" w:rsidRPr="00F92ABD">
        <w:rPr>
          <w:rFonts w:eastAsia="Cambria"/>
          <w:i/>
          <w:iCs/>
          <w:szCs w:val="22"/>
        </w:rPr>
        <w:t xml:space="preserve">giftedness and talent </w:t>
      </w:r>
      <w:r w:rsidR="00F92ABD" w:rsidRPr="00F92ABD">
        <w:rPr>
          <w:rFonts w:eastAsia="Cambria"/>
          <w:szCs w:val="22"/>
        </w:rPr>
        <w:t xml:space="preserve">(2nd ed., pp. 659-670). </w:t>
      </w:r>
    </w:p>
    <w:p w:rsidR="00F92ABD" w:rsidRPr="00F92ABD" w:rsidRDefault="00211D51" w:rsidP="00F92ABD">
      <w:pPr>
        <w:spacing w:line="480" w:lineRule="auto"/>
        <w:rPr>
          <w:rFonts w:eastAsia="Cambria"/>
          <w:szCs w:val="22"/>
        </w:rPr>
      </w:pPr>
      <w:r>
        <w:rPr>
          <w:rFonts w:eastAsia="Cambria"/>
          <w:szCs w:val="22"/>
        </w:rPr>
        <w:t xml:space="preserve">     </w:t>
      </w:r>
      <w:r w:rsidR="00F92ABD" w:rsidRPr="00F92ABD">
        <w:rPr>
          <w:rFonts w:eastAsia="Cambria"/>
          <w:szCs w:val="22"/>
        </w:rPr>
        <w:t>Oxford, England: Pergamon.</w:t>
      </w:r>
    </w:p>
    <w:p w:rsidR="00211D51" w:rsidRDefault="00F92ABD" w:rsidP="00211D51">
      <w:pPr>
        <w:spacing w:line="480" w:lineRule="auto"/>
        <w:rPr>
          <w:rFonts w:eastAsia="Cambria"/>
          <w:i/>
          <w:iCs/>
          <w:szCs w:val="22"/>
        </w:rPr>
      </w:pPr>
      <w:r w:rsidRPr="00F92ABD">
        <w:rPr>
          <w:rFonts w:eastAsia="Cambria"/>
          <w:szCs w:val="22"/>
        </w:rPr>
        <w:t xml:space="preserve">Zwick, R. (2007). College admission testing. </w:t>
      </w:r>
      <w:r w:rsidRPr="00F92ABD">
        <w:rPr>
          <w:rFonts w:eastAsia="Cambria"/>
          <w:i/>
          <w:iCs/>
          <w:szCs w:val="22"/>
        </w:rPr>
        <w:t xml:space="preserve">National Association for College </w:t>
      </w:r>
    </w:p>
    <w:p w:rsidR="008F2A6C" w:rsidRPr="00211D51" w:rsidRDefault="00211D51" w:rsidP="00211D51">
      <w:pPr>
        <w:spacing w:line="480" w:lineRule="auto"/>
        <w:rPr>
          <w:rFonts w:eastAsia="Cambria"/>
          <w:i/>
          <w:iCs/>
          <w:szCs w:val="22"/>
        </w:rPr>
      </w:pPr>
      <w:r>
        <w:rPr>
          <w:rFonts w:eastAsia="Cambria"/>
          <w:i/>
          <w:iCs/>
          <w:szCs w:val="22"/>
        </w:rPr>
        <w:t xml:space="preserve">     </w:t>
      </w:r>
      <w:r w:rsidR="00F92ABD" w:rsidRPr="00F92ABD">
        <w:rPr>
          <w:rFonts w:eastAsia="Cambria"/>
          <w:i/>
          <w:iCs/>
          <w:szCs w:val="22"/>
        </w:rPr>
        <w:t xml:space="preserve">Admission </w:t>
      </w:r>
      <w:r w:rsidR="00F92ABD" w:rsidRPr="00F92ABD">
        <w:rPr>
          <w:rFonts w:eastAsia="MS Mincho"/>
          <w:i/>
          <w:iCs/>
        </w:rPr>
        <w:t>Counseling</w:t>
      </w:r>
      <w:r w:rsidR="00F92ABD" w:rsidRPr="00F92ABD">
        <w:rPr>
          <w:rFonts w:eastAsia="MS Mincho"/>
        </w:rPr>
        <w:t>.</w:t>
      </w:r>
      <w:r w:rsidR="00236E6D">
        <w:br w:type="page"/>
      </w:r>
      <w:bookmarkStart w:id="8" w:name="_Toc420995912"/>
      <w:bookmarkStart w:id="9" w:name="_Toc422997499"/>
    </w:p>
    <w:p w:rsidR="00236E6D" w:rsidRPr="00790B6C" w:rsidRDefault="00236E6D" w:rsidP="00211D51">
      <w:pPr>
        <w:pStyle w:val="AltHeading1"/>
      </w:pPr>
      <w:bookmarkStart w:id="10" w:name="_Toc427156484"/>
      <w:bookmarkStart w:id="11" w:name="_Toc428278489"/>
      <w:r w:rsidRPr="00790B6C">
        <w:t>A</w:t>
      </w:r>
      <w:r w:rsidR="00E91931">
        <w:t>ppendix</w:t>
      </w:r>
      <w:bookmarkEnd w:id="8"/>
      <w:bookmarkEnd w:id="9"/>
      <w:bookmarkEnd w:id="10"/>
      <w:bookmarkEnd w:id="11"/>
    </w:p>
    <w:p w:rsidR="000B0A40" w:rsidRDefault="000B0A40" w:rsidP="00513BB6">
      <w:r>
        <w:t xml:space="preserve">[Remove this note, but DO NOT REMOVE THIS PAGE, AND/OR DO NOT PUT APPENDIX MATERIAL ON THIS PAGE – you can change “Appendix” to “Appendices” if you would like, but this is the ONLY text that should be on this page.  The </w:t>
      </w:r>
      <w:r w:rsidR="00CB77EA">
        <w:t xml:space="preserve">actual appendix material </w:t>
      </w:r>
      <w:r>
        <w:t>should start at the top of the NEXT page.</w:t>
      </w:r>
      <w:r w:rsidR="00FB3EF0">
        <w:t xml:space="preserve">  Please note that you should remove both this page and the next one if you are not including an appendix at all – “do not remove this page” refers only to students who ARE including an appendix</w:t>
      </w:r>
      <w:r>
        <w:t>]</w:t>
      </w:r>
      <w:r>
        <w:br w:type="page"/>
        <w:t xml:space="preserve"> </w:t>
      </w:r>
    </w:p>
    <w:p w:rsidR="003C1575" w:rsidRDefault="003C157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 xml:space="preserve">You’ll put appendix material here. </w:t>
      </w:r>
      <w:r w:rsidR="006E1E6D">
        <w:t>This section is optional</w:t>
      </w:r>
      <w:r w:rsidR="001D6904">
        <w:t>. You can place tables and figures in the appendix if you like. If you choose this option, you should indicate that tables and figures are in the appendix after the first mention in the text. You can place some tables/figures in the text and others in the appendix</w:t>
      </w:r>
      <w:r w:rsidR="00FB3EF0">
        <w:t>, or all tables/figures in the appendix</w:t>
      </w:r>
      <w:r w:rsidR="001D6904">
        <w:t>.</w:t>
      </w:r>
    </w:p>
    <w:p w:rsidR="00236E6D" w:rsidRPr="00790B6C" w:rsidRDefault="003D63DF" w:rsidP="00211D51">
      <w:pPr>
        <w:pStyle w:val="AltHeading1"/>
      </w:pPr>
      <w:r>
        <w:rPr>
          <w:noProof/>
        </w:rPr>
        <w:br w:type="page"/>
      </w:r>
      <w:bookmarkStart w:id="12" w:name="_Toc420995913"/>
      <w:bookmarkStart w:id="13" w:name="_Toc422997500"/>
      <w:bookmarkStart w:id="14" w:name="_Toc427156485"/>
      <w:bookmarkStart w:id="15" w:name="_Toc428278490"/>
      <w:r w:rsidR="007D538B" w:rsidRPr="00790B6C">
        <w:t>V</w:t>
      </w:r>
      <w:r w:rsidR="00E91931">
        <w:t>ita</w:t>
      </w:r>
      <w:bookmarkEnd w:id="12"/>
      <w:bookmarkEnd w:id="13"/>
      <w:bookmarkEnd w:id="14"/>
      <w:bookmarkEnd w:id="15"/>
    </w:p>
    <w:p w:rsidR="003D63DF" w:rsidRDefault="003D63DF" w:rsidP="003D63DF"/>
    <w:p w:rsidR="00AE125E" w:rsidRPr="003D63DF" w:rsidRDefault="003D63DF" w:rsidP="003D63DF">
      <w:r>
        <w:tab/>
      </w:r>
      <w:r w:rsidR="00C95581" w:rsidRPr="00211D51">
        <w:rPr>
          <w:highlight w:val="yellow"/>
        </w:rPr>
        <w:t xml:space="preserve">Jane </w:t>
      </w:r>
      <w:r w:rsidR="003D07F7" w:rsidRPr="00211D51">
        <w:rPr>
          <w:highlight w:val="yellow"/>
        </w:rPr>
        <w:t>X. Doe</w:t>
      </w:r>
      <w:r w:rsidRPr="00211D51">
        <w:rPr>
          <w:highlight w:val="yellow"/>
        </w:rPr>
        <w:t xml:space="preserve"> was born</w:t>
      </w:r>
      <w:r w:rsidR="003D07F7" w:rsidRPr="00211D51">
        <w:rPr>
          <w:highlight w:val="yellow"/>
        </w:rPr>
        <w:t xml:space="preserve">. </w:t>
      </w:r>
      <w:r w:rsidR="00C95581" w:rsidRPr="00211D51">
        <w:rPr>
          <w:highlight w:val="yellow"/>
        </w:rPr>
        <w:t>Sh</w:t>
      </w:r>
      <w:r w:rsidR="003D07F7" w:rsidRPr="00211D51">
        <w:rPr>
          <w:highlight w:val="yellow"/>
        </w:rPr>
        <w:t xml:space="preserve">e wrote a thesis. </w:t>
      </w:r>
      <w:r w:rsidR="00C95581" w:rsidRPr="00211D51">
        <w:rPr>
          <w:highlight w:val="yellow"/>
        </w:rPr>
        <w:t>Sh</w:t>
      </w:r>
      <w:r w:rsidRPr="00211D51">
        <w:rPr>
          <w:highlight w:val="yellow"/>
        </w:rPr>
        <w:t>e graduated.</w:t>
      </w:r>
      <w:r w:rsidR="0075558C" w:rsidRPr="00211D51">
        <w:rPr>
          <w:highlight w:val="yellow"/>
        </w:rPr>
        <w:t xml:space="preserve"> </w:t>
      </w:r>
      <w:r w:rsidR="00C95581" w:rsidRPr="00211D51">
        <w:rPr>
          <w:highlight w:val="yellow"/>
        </w:rPr>
        <w:t>Sh</w:t>
      </w:r>
      <w:r w:rsidR="009E4F4C" w:rsidRPr="00211D51">
        <w:rPr>
          <w:highlight w:val="yellow"/>
        </w:rPr>
        <w:t xml:space="preserve">e followed instructions and wrote </w:t>
      </w:r>
      <w:r w:rsidR="00C95581" w:rsidRPr="00211D51">
        <w:rPr>
          <w:highlight w:val="yellow"/>
        </w:rPr>
        <w:t xml:space="preserve">her </w:t>
      </w:r>
      <w:r w:rsidR="009E4F4C" w:rsidRPr="00211D51">
        <w:rPr>
          <w:highlight w:val="yellow"/>
        </w:rPr>
        <w:t>vita in third person and paragraph form (as opposed to a resume or CV)</w:t>
      </w:r>
      <w:r w:rsidR="00112F00" w:rsidRPr="00211D51">
        <w:rPr>
          <w:highlight w:val="yellow"/>
        </w:rPr>
        <w:t xml:space="preserve">, which made </w:t>
      </w:r>
      <w:r w:rsidR="00C95581" w:rsidRPr="00211D51">
        <w:rPr>
          <w:highlight w:val="yellow"/>
        </w:rPr>
        <w:t xml:space="preserve">her </w:t>
      </w:r>
      <w:r w:rsidR="009E4F4C" w:rsidRPr="00211D51">
        <w:rPr>
          <w:highlight w:val="yellow"/>
        </w:rPr>
        <w:t>thesis consultant very happy.</w:t>
      </w:r>
      <w:r w:rsidR="00AE125E" w:rsidRPr="00211D51">
        <w:rPr>
          <w:highlight w:val="yellow"/>
        </w:rPr>
        <w:t xml:space="preserve">  This page is required.</w:t>
      </w:r>
      <w:bookmarkStart w:id="16" w:name="_GoBack"/>
      <w:bookmarkEnd w:id="16"/>
    </w:p>
    <w:sectPr w:rsidR="00AE125E"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F1B" w:rsidRDefault="00981F1B">
      <w:r>
        <w:separator/>
      </w:r>
    </w:p>
  </w:endnote>
  <w:endnote w:type="continuationSeparator" w:id="0">
    <w:p w:rsidR="00981F1B" w:rsidRDefault="00981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986760"/>
      <w:docPartObj>
        <w:docPartGallery w:val="Page Numbers (Bottom of Page)"/>
        <w:docPartUnique/>
      </w:docPartObj>
    </w:sdtPr>
    <w:sdtEndPr>
      <w:rPr>
        <w:noProof/>
      </w:rPr>
    </w:sdtEndPr>
    <w:sdtContent>
      <w:p w:rsidR="00981F1B" w:rsidRDefault="00981F1B">
        <w:pPr>
          <w:pStyle w:val="Footer"/>
          <w:jc w:val="center"/>
        </w:pPr>
        <w:r>
          <w:fldChar w:fldCharType="begin"/>
        </w:r>
        <w:r>
          <w:instrText xml:space="preserve"> PAGE   \* MERGEFORMAT </w:instrText>
        </w:r>
        <w:r>
          <w:fldChar w:fldCharType="separate"/>
        </w:r>
        <w:r w:rsidR="00211D51">
          <w:rPr>
            <w:noProof/>
          </w:rPr>
          <w:t>39</w:t>
        </w:r>
        <w:r>
          <w:rPr>
            <w:noProof/>
          </w:rPr>
          <w:fldChar w:fldCharType="end"/>
        </w:r>
      </w:p>
    </w:sdtContent>
  </w:sdt>
  <w:p w:rsidR="00981F1B" w:rsidRDefault="00981F1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F1B" w:rsidRDefault="00981F1B">
      <w:r>
        <w:separator/>
      </w:r>
    </w:p>
  </w:footnote>
  <w:footnote w:type="continuationSeparator" w:id="0">
    <w:p w:rsidR="00981F1B" w:rsidRDefault="00981F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F1B" w:rsidRDefault="00981F1B">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F1B" w:rsidRDefault="00981F1B">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DCA33DC"/>
    <w:multiLevelType w:val="hybridMultilevel"/>
    <w:tmpl w:val="C4C8C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8"/>
  </w:num>
  <w:num w:numId="3">
    <w:abstractNumId w:val="3"/>
  </w:num>
  <w:num w:numId="4">
    <w:abstractNumId w:val="14"/>
  </w:num>
  <w:num w:numId="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5A8"/>
    <w:rsid w:val="00014A3E"/>
    <w:rsid w:val="000166A9"/>
    <w:rsid w:val="0002037F"/>
    <w:rsid w:val="00057004"/>
    <w:rsid w:val="00071FB8"/>
    <w:rsid w:val="00076A95"/>
    <w:rsid w:val="000957C1"/>
    <w:rsid w:val="000B0A40"/>
    <w:rsid w:val="000B5C42"/>
    <w:rsid w:val="0010217F"/>
    <w:rsid w:val="00112F00"/>
    <w:rsid w:val="001669A7"/>
    <w:rsid w:val="00173751"/>
    <w:rsid w:val="00177D09"/>
    <w:rsid w:val="001854FB"/>
    <w:rsid w:val="00193642"/>
    <w:rsid w:val="001C39F6"/>
    <w:rsid w:val="001C66FE"/>
    <w:rsid w:val="001D4908"/>
    <w:rsid w:val="001D6904"/>
    <w:rsid w:val="001F522F"/>
    <w:rsid w:val="00207219"/>
    <w:rsid w:val="00211D51"/>
    <w:rsid w:val="00236E6D"/>
    <w:rsid w:val="002429E5"/>
    <w:rsid w:val="00280CEF"/>
    <w:rsid w:val="00284FAE"/>
    <w:rsid w:val="0028757A"/>
    <w:rsid w:val="002B15A8"/>
    <w:rsid w:val="002D1FE4"/>
    <w:rsid w:val="002D470F"/>
    <w:rsid w:val="002E2492"/>
    <w:rsid w:val="002F15D8"/>
    <w:rsid w:val="00304BD0"/>
    <w:rsid w:val="00307D77"/>
    <w:rsid w:val="00311F1A"/>
    <w:rsid w:val="00313E9E"/>
    <w:rsid w:val="003150D5"/>
    <w:rsid w:val="00320F78"/>
    <w:rsid w:val="0035768F"/>
    <w:rsid w:val="00360CC8"/>
    <w:rsid w:val="0038177C"/>
    <w:rsid w:val="003836EB"/>
    <w:rsid w:val="00387024"/>
    <w:rsid w:val="0039365D"/>
    <w:rsid w:val="003963D3"/>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74210"/>
    <w:rsid w:val="00480B96"/>
    <w:rsid w:val="0048303E"/>
    <w:rsid w:val="004920F6"/>
    <w:rsid w:val="004A1B3F"/>
    <w:rsid w:val="004A67E8"/>
    <w:rsid w:val="004C3D65"/>
    <w:rsid w:val="004D05F5"/>
    <w:rsid w:val="004D6472"/>
    <w:rsid w:val="00513BB6"/>
    <w:rsid w:val="005262C6"/>
    <w:rsid w:val="00562EB1"/>
    <w:rsid w:val="00593CBB"/>
    <w:rsid w:val="00597D3F"/>
    <w:rsid w:val="005A0EB0"/>
    <w:rsid w:val="005B79E9"/>
    <w:rsid w:val="005E4912"/>
    <w:rsid w:val="005E6F1F"/>
    <w:rsid w:val="005F2B0B"/>
    <w:rsid w:val="005F44D1"/>
    <w:rsid w:val="00621129"/>
    <w:rsid w:val="00633916"/>
    <w:rsid w:val="00641D2B"/>
    <w:rsid w:val="0065123B"/>
    <w:rsid w:val="00662D3E"/>
    <w:rsid w:val="00665C7E"/>
    <w:rsid w:val="00672DDD"/>
    <w:rsid w:val="00676C91"/>
    <w:rsid w:val="00683F5B"/>
    <w:rsid w:val="00690B77"/>
    <w:rsid w:val="00693334"/>
    <w:rsid w:val="006C4000"/>
    <w:rsid w:val="006D474B"/>
    <w:rsid w:val="006E1E6D"/>
    <w:rsid w:val="006E4BDD"/>
    <w:rsid w:val="006E56E8"/>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90B6C"/>
    <w:rsid w:val="00795D03"/>
    <w:rsid w:val="00796693"/>
    <w:rsid w:val="007C7591"/>
    <w:rsid w:val="007D538B"/>
    <w:rsid w:val="007D5CD5"/>
    <w:rsid w:val="007F6AE9"/>
    <w:rsid w:val="00826D54"/>
    <w:rsid w:val="00834CBF"/>
    <w:rsid w:val="00836F89"/>
    <w:rsid w:val="00846459"/>
    <w:rsid w:val="00852266"/>
    <w:rsid w:val="00861CAB"/>
    <w:rsid w:val="00863435"/>
    <w:rsid w:val="00872827"/>
    <w:rsid w:val="0087349A"/>
    <w:rsid w:val="008865B6"/>
    <w:rsid w:val="00895DF4"/>
    <w:rsid w:val="008A4E30"/>
    <w:rsid w:val="008B1A4D"/>
    <w:rsid w:val="008D589C"/>
    <w:rsid w:val="008E7085"/>
    <w:rsid w:val="008F2A6C"/>
    <w:rsid w:val="008F60C3"/>
    <w:rsid w:val="009254D6"/>
    <w:rsid w:val="0092669B"/>
    <w:rsid w:val="0093163E"/>
    <w:rsid w:val="00936436"/>
    <w:rsid w:val="0094721A"/>
    <w:rsid w:val="00965FBD"/>
    <w:rsid w:val="00966BAC"/>
    <w:rsid w:val="009673CF"/>
    <w:rsid w:val="00981F1B"/>
    <w:rsid w:val="009A2ABE"/>
    <w:rsid w:val="009A6A2F"/>
    <w:rsid w:val="009C755C"/>
    <w:rsid w:val="009C780F"/>
    <w:rsid w:val="009D2408"/>
    <w:rsid w:val="009E4F4C"/>
    <w:rsid w:val="00A25353"/>
    <w:rsid w:val="00A34ABE"/>
    <w:rsid w:val="00A34F5F"/>
    <w:rsid w:val="00A46A68"/>
    <w:rsid w:val="00A50EE9"/>
    <w:rsid w:val="00A5188E"/>
    <w:rsid w:val="00A56B44"/>
    <w:rsid w:val="00A86F48"/>
    <w:rsid w:val="00AD0A33"/>
    <w:rsid w:val="00AE0982"/>
    <w:rsid w:val="00AE125E"/>
    <w:rsid w:val="00B07524"/>
    <w:rsid w:val="00B113E7"/>
    <w:rsid w:val="00B31D9B"/>
    <w:rsid w:val="00B3272F"/>
    <w:rsid w:val="00B35B7C"/>
    <w:rsid w:val="00B53C15"/>
    <w:rsid w:val="00B76E7C"/>
    <w:rsid w:val="00B90095"/>
    <w:rsid w:val="00B955BD"/>
    <w:rsid w:val="00BD3522"/>
    <w:rsid w:val="00BD43E6"/>
    <w:rsid w:val="00C067FC"/>
    <w:rsid w:val="00C0799A"/>
    <w:rsid w:val="00C11D0D"/>
    <w:rsid w:val="00C509C3"/>
    <w:rsid w:val="00C50A17"/>
    <w:rsid w:val="00C65186"/>
    <w:rsid w:val="00C70EAE"/>
    <w:rsid w:val="00C72D98"/>
    <w:rsid w:val="00C83B65"/>
    <w:rsid w:val="00C95581"/>
    <w:rsid w:val="00CB77EA"/>
    <w:rsid w:val="00CD50B5"/>
    <w:rsid w:val="00CD73A9"/>
    <w:rsid w:val="00D06F12"/>
    <w:rsid w:val="00D21EF3"/>
    <w:rsid w:val="00D46790"/>
    <w:rsid w:val="00D81B0C"/>
    <w:rsid w:val="00D83B30"/>
    <w:rsid w:val="00D91C27"/>
    <w:rsid w:val="00DB3CF8"/>
    <w:rsid w:val="00DC5925"/>
    <w:rsid w:val="00DC60FA"/>
    <w:rsid w:val="00DE23AF"/>
    <w:rsid w:val="00DF3B9A"/>
    <w:rsid w:val="00E11089"/>
    <w:rsid w:val="00E17598"/>
    <w:rsid w:val="00E91931"/>
    <w:rsid w:val="00E97FDB"/>
    <w:rsid w:val="00EA5199"/>
    <w:rsid w:val="00EA5479"/>
    <w:rsid w:val="00ED7A05"/>
    <w:rsid w:val="00EE334C"/>
    <w:rsid w:val="00EF11A4"/>
    <w:rsid w:val="00F02153"/>
    <w:rsid w:val="00F058DF"/>
    <w:rsid w:val="00F15675"/>
    <w:rsid w:val="00F21250"/>
    <w:rsid w:val="00F2398D"/>
    <w:rsid w:val="00F634A3"/>
    <w:rsid w:val="00F710F9"/>
    <w:rsid w:val="00F7620F"/>
    <w:rsid w:val="00F83A5F"/>
    <w:rsid w:val="00F8462C"/>
    <w:rsid w:val="00F87F40"/>
    <w:rsid w:val="00F92ABD"/>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customStyle="1"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211D51"/>
    <w:pPr>
      <w:numPr>
        <w:ilvl w:val="12"/>
        <w:numId w:val="0"/>
      </w:numPr>
    </w:pPr>
    <w:rPr>
      <w:bCs w:val="0"/>
      <w:szCs w:val="28"/>
    </w:rPr>
  </w:style>
  <w:style w:type="paragraph" w:styleId="BalloonText">
    <w:name w:val="Balloon Text"/>
    <w:basedOn w:val="Normal"/>
    <w:link w:val="BalloonTextChar"/>
    <w:semiHidden/>
    <w:unhideWhenUsed/>
    <w:rsid w:val="009673CF"/>
    <w:rPr>
      <w:rFonts w:ascii="Tahoma" w:hAnsi="Tahoma" w:cs="Tahoma"/>
      <w:sz w:val="16"/>
      <w:szCs w:val="16"/>
    </w:rPr>
  </w:style>
  <w:style w:type="character" w:customStyle="1" w:styleId="BalloonTextChar">
    <w:name w:val="Balloon Text Char"/>
    <w:basedOn w:val="DefaultParagraphFont"/>
    <w:link w:val="BalloonText"/>
    <w:semiHidden/>
    <w:rsid w:val="009673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customStyle="1"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211D51"/>
    <w:pPr>
      <w:numPr>
        <w:ilvl w:val="12"/>
        <w:numId w:val="0"/>
      </w:numPr>
    </w:pPr>
    <w:rPr>
      <w:bCs w:val="0"/>
      <w:szCs w:val="28"/>
    </w:rPr>
  </w:style>
  <w:style w:type="paragraph" w:styleId="BalloonText">
    <w:name w:val="Balloon Text"/>
    <w:basedOn w:val="Normal"/>
    <w:link w:val="BalloonTextChar"/>
    <w:semiHidden/>
    <w:unhideWhenUsed/>
    <w:rsid w:val="009673CF"/>
    <w:rPr>
      <w:rFonts w:ascii="Tahoma" w:hAnsi="Tahoma" w:cs="Tahoma"/>
      <w:sz w:val="16"/>
      <w:szCs w:val="16"/>
    </w:rPr>
  </w:style>
  <w:style w:type="character" w:customStyle="1" w:styleId="BalloonTextChar">
    <w:name w:val="Balloon Text Char"/>
    <w:basedOn w:val="DefaultParagraphFont"/>
    <w:link w:val="BalloonText"/>
    <w:semiHidden/>
    <w:rsid w:val="009673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igheredinfo.org/dbrowser/index.php?measure=67"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muse.jhu.edu/journals/review_of_higher_education/v028/28.4hoffman.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myth1\Downloads\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AEFCD-AACF-4A19-AAF2-5520FF479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0</TotalTime>
  <Pages>47</Pages>
  <Words>9030</Words>
  <Characters>51477</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60387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cehhs</dc:creator>
  <cp:lastModifiedBy>cehhs</cp:lastModifiedBy>
  <cp:revision>2</cp:revision>
  <cp:lastPrinted>2005-09-22T13:02:00Z</cp:lastPrinted>
  <dcterms:created xsi:type="dcterms:W3CDTF">2016-02-18T17:51:00Z</dcterms:created>
  <dcterms:modified xsi:type="dcterms:W3CDTF">2016-02-18T17:51:00Z</dcterms:modified>
</cp:coreProperties>
</file>