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724F5" w14:textId="5410B9E7" w:rsidR="001A059F" w:rsidRDefault="00A15434" w:rsidP="00841201">
      <w:pPr>
        <w:spacing w:line="480" w:lineRule="auto"/>
        <w:jc w:val="center"/>
        <w:rPr>
          <w:rFonts w:ascii="Arial" w:hAnsi="Arial"/>
          <w:b/>
        </w:rPr>
      </w:pPr>
      <w:r>
        <w:rPr>
          <w:rFonts w:ascii="Arial" w:hAnsi="Arial"/>
          <w:b/>
        </w:rPr>
        <w:t xml:space="preserve">Effects of </w:t>
      </w:r>
      <w:r w:rsidR="00642BB8">
        <w:rPr>
          <w:rFonts w:ascii="Arial" w:hAnsi="Arial"/>
          <w:b/>
        </w:rPr>
        <w:t>ultra-sonication</w:t>
      </w:r>
      <w:r>
        <w:rPr>
          <w:rFonts w:ascii="Arial" w:hAnsi="Arial"/>
          <w:b/>
        </w:rPr>
        <w:t xml:space="preserve"> process on digestibility of </w:t>
      </w:r>
      <w:r w:rsidR="00C46627">
        <w:rPr>
          <w:rFonts w:ascii="Arial" w:hAnsi="Arial"/>
          <w:b/>
        </w:rPr>
        <w:t>kafirin in</w:t>
      </w:r>
      <w:r>
        <w:rPr>
          <w:rFonts w:ascii="Arial" w:hAnsi="Arial"/>
          <w:b/>
        </w:rPr>
        <w:t xml:space="preserve"> </w:t>
      </w:r>
      <w:r w:rsidR="00C46627">
        <w:rPr>
          <w:rFonts w:ascii="Arial" w:hAnsi="Arial"/>
          <w:b/>
        </w:rPr>
        <w:t>sorghum</w:t>
      </w:r>
    </w:p>
    <w:p w14:paraId="09E510D7" w14:textId="06A7C226" w:rsidR="001A059F" w:rsidRDefault="001A059F" w:rsidP="00841201">
      <w:pPr>
        <w:spacing w:line="480" w:lineRule="auto"/>
        <w:jc w:val="center"/>
        <w:rPr>
          <w:rFonts w:ascii="Arial" w:hAnsi="Arial"/>
        </w:rPr>
      </w:pPr>
      <w:r>
        <w:rPr>
          <w:rFonts w:ascii="Arial" w:hAnsi="Arial"/>
        </w:rPr>
        <w:t>Sarah F. Beazley, Andrew C. Sullivan, Vermont P. Dia</w:t>
      </w:r>
    </w:p>
    <w:p w14:paraId="1197C686" w14:textId="7CD848C8" w:rsidR="001A059F" w:rsidRDefault="001A059F" w:rsidP="00841201">
      <w:pPr>
        <w:spacing w:line="480" w:lineRule="auto"/>
        <w:jc w:val="center"/>
        <w:rPr>
          <w:rFonts w:ascii="Arial" w:hAnsi="Arial"/>
        </w:rPr>
      </w:pPr>
      <w:r>
        <w:rPr>
          <w:rFonts w:ascii="Arial" w:hAnsi="Arial"/>
        </w:rPr>
        <w:t>Department of Food Science and Technology</w:t>
      </w:r>
    </w:p>
    <w:p w14:paraId="6CCFD982" w14:textId="47139857" w:rsidR="001A059F" w:rsidRDefault="001A059F" w:rsidP="00841201">
      <w:pPr>
        <w:spacing w:line="480" w:lineRule="auto"/>
        <w:jc w:val="center"/>
        <w:rPr>
          <w:rFonts w:ascii="Arial" w:hAnsi="Arial"/>
        </w:rPr>
      </w:pPr>
      <w:r>
        <w:rPr>
          <w:rFonts w:ascii="Arial" w:hAnsi="Arial"/>
        </w:rPr>
        <w:t>College of Agricultural Sciences and Natural Resources</w:t>
      </w:r>
    </w:p>
    <w:p w14:paraId="106D2AE7" w14:textId="55C812D4" w:rsidR="001A059F" w:rsidRPr="001A059F" w:rsidRDefault="001A059F" w:rsidP="00841201">
      <w:pPr>
        <w:spacing w:line="480" w:lineRule="auto"/>
        <w:jc w:val="center"/>
        <w:rPr>
          <w:rFonts w:ascii="Arial" w:hAnsi="Arial"/>
        </w:rPr>
      </w:pPr>
      <w:r>
        <w:rPr>
          <w:rFonts w:ascii="Arial" w:hAnsi="Arial"/>
        </w:rPr>
        <w:t>University of Tennessee, Knoxville</w:t>
      </w:r>
    </w:p>
    <w:p w14:paraId="7A1A9C94" w14:textId="77777777" w:rsidR="001A059F" w:rsidRDefault="001A059F" w:rsidP="00841201">
      <w:pPr>
        <w:spacing w:line="480" w:lineRule="auto"/>
        <w:rPr>
          <w:rFonts w:ascii="Arial" w:hAnsi="Arial"/>
          <w:b/>
        </w:rPr>
      </w:pPr>
    </w:p>
    <w:p w14:paraId="69F5C762" w14:textId="77777777" w:rsidR="001A059F" w:rsidRDefault="001A059F" w:rsidP="00841201">
      <w:pPr>
        <w:spacing w:line="480" w:lineRule="auto"/>
        <w:rPr>
          <w:rFonts w:ascii="Arial" w:hAnsi="Arial"/>
          <w:b/>
        </w:rPr>
      </w:pPr>
    </w:p>
    <w:p w14:paraId="14EEF0EB" w14:textId="77777777" w:rsidR="001A059F" w:rsidRDefault="001A059F" w:rsidP="00841201">
      <w:pPr>
        <w:spacing w:line="480" w:lineRule="auto"/>
        <w:rPr>
          <w:rFonts w:ascii="Arial" w:hAnsi="Arial"/>
          <w:b/>
        </w:rPr>
      </w:pPr>
    </w:p>
    <w:p w14:paraId="2D9D1395" w14:textId="77777777" w:rsidR="001A059F" w:rsidRDefault="001A059F" w:rsidP="00841201">
      <w:pPr>
        <w:spacing w:line="480" w:lineRule="auto"/>
        <w:rPr>
          <w:rFonts w:ascii="Arial" w:hAnsi="Arial"/>
          <w:b/>
        </w:rPr>
      </w:pPr>
    </w:p>
    <w:p w14:paraId="7E04F50C" w14:textId="77777777" w:rsidR="001A059F" w:rsidRDefault="001A059F" w:rsidP="00841201">
      <w:pPr>
        <w:spacing w:line="480" w:lineRule="auto"/>
        <w:rPr>
          <w:rFonts w:ascii="Arial" w:hAnsi="Arial"/>
          <w:b/>
        </w:rPr>
      </w:pPr>
    </w:p>
    <w:p w14:paraId="1F39B6DC" w14:textId="77777777" w:rsidR="001A059F" w:rsidRDefault="001A059F" w:rsidP="00841201">
      <w:pPr>
        <w:spacing w:line="480" w:lineRule="auto"/>
        <w:rPr>
          <w:rFonts w:ascii="Arial" w:hAnsi="Arial"/>
          <w:b/>
        </w:rPr>
      </w:pPr>
    </w:p>
    <w:p w14:paraId="0428E62D" w14:textId="77777777" w:rsidR="001A059F" w:rsidRDefault="001A059F" w:rsidP="00841201">
      <w:pPr>
        <w:spacing w:line="480" w:lineRule="auto"/>
        <w:rPr>
          <w:rFonts w:ascii="Arial" w:hAnsi="Arial"/>
          <w:b/>
        </w:rPr>
      </w:pPr>
    </w:p>
    <w:p w14:paraId="3012EE11" w14:textId="77777777" w:rsidR="001A059F" w:rsidRDefault="001A059F" w:rsidP="00841201">
      <w:pPr>
        <w:spacing w:line="480" w:lineRule="auto"/>
        <w:rPr>
          <w:rFonts w:ascii="Arial" w:hAnsi="Arial"/>
          <w:b/>
        </w:rPr>
      </w:pPr>
    </w:p>
    <w:p w14:paraId="6143D1F9" w14:textId="77777777" w:rsidR="001A059F" w:rsidRDefault="001A059F" w:rsidP="00841201">
      <w:pPr>
        <w:spacing w:line="480" w:lineRule="auto"/>
        <w:rPr>
          <w:rFonts w:ascii="Arial" w:hAnsi="Arial"/>
          <w:b/>
        </w:rPr>
      </w:pPr>
    </w:p>
    <w:p w14:paraId="01DB2875" w14:textId="77777777" w:rsidR="001A059F" w:rsidRDefault="001A059F" w:rsidP="00841201">
      <w:pPr>
        <w:spacing w:line="480" w:lineRule="auto"/>
        <w:rPr>
          <w:rFonts w:ascii="Arial" w:hAnsi="Arial"/>
          <w:b/>
        </w:rPr>
      </w:pPr>
    </w:p>
    <w:p w14:paraId="4FABD2AA" w14:textId="77777777" w:rsidR="001A059F" w:rsidRDefault="001A059F" w:rsidP="00841201">
      <w:pPr>
        <w:spacing w:line="480" w:lineRule="auto"/>
        <w:rPr>
          <w:rFonts w:ascii="Arial" w:hAnsi="Arial"/>
          <w:b/>
        </w:rPr>
      </w:pPr>
    </w:p>
    <w:p w14:paraId="0DBDAC83" w14:textId="77777777" w:rsidR="001A059F" w:rsidRDefault="001A059F" w:rsidP="00841201">
      <w:pPr>
        <w:spacing w:line="480" w:lineRule="auto"/>
        <w:rPr>
          <w:rFonts w:ascii="Arial" w:hAnsi="Arial"/>
          <w:b/>
        </w:rPr>
      </w:pPr>
    </w:p>
    <w:p w14:paraId="408FE585" w14:textId="77777777" w:rsidR="001A059F" w:rsidRDefault="001A059F" w:rsidP="00841201">
      <w:pPr>
        <w:spacing w:line="480" w:lineRule="auto"/>
        <w:rPr>
          <w:rFonts w:ascii="Arial" w:hAnsi="Arial"/>
          <w:b/>
        </w:rPr>
      </w:pPr>
    </w:p>
    <w:p w14:paraId="6B65078A" w14:textId="77777777" w:rsidR="001A059F" w:rsidRDefault="001A059F" w:rsidP="00841201">
      <w:pPr>
        <w:spacing w:line="480" w:lineRule="auto"/>
        <w:rPr>
          <w:rFonts w:ascii="Arial" w:hAnsi="Arial"/>
          <w:b/>
        </w:rPr>
      </w:pPr>
    </w:p>
    <w:p w14:paraId="1DDF2C60" w14:textId="77777777" w:rsidR="001A059F" w:rsidRDefault="001A059F" w:rsidP="00841201">
      <w:pPr>
        <w:spacing w:line="480" w:lineRule="auto"/>
        <w:rPr>
          <w:rFonts w:ascii="Arial" w:hAnsi="Arial"/>
          <w:b/>
        </w:rPr>
      </w:pPr>
    </w:p>
    <w:p w14:paraId="15B62071" w14:textId="77777777" w:rsidR="001A059F" w:rsidRDefault="001A059F" w:rsidP="00841201">
      <w:pPr>
        <w:spacing w:line="480" w:lineRule="auto"/>
        <w:rPr>
          <w:rFonts w:ascii="Arial" w:hAnsi="Arial"/>
          <w:b/>
        </w:rPr>
      </w:pPr>
    </w:p>
    <w:p w14:paraId="58E34412" w14:textId="77777777" w:rsidR="00841201" w:rsidRDefault="00841201" w:rsidP="00841201">
      <w:pPr>
        <w:spacing w:line="480" w:lineRule="auto"/>
        <w:rPr>
          <w:rFonts w:ascii="Arial" w:hAnsi="Arial"/>
          <w:b/>
        </w:rPr>
      </w:pPr>
    </w:p>
    <w:p w14:paraId="5079BFB9" w14:textId="77777777" w:rsidR="00985987" w:rsidRDefault="00985987" w:rsidP="00841201">
      <w:pPr>
        <w:spacing w:line="480" w:lineRule="auto"/>
        <w:rPr>
          <w:rFonts w:ascii="Arial" w:hAnsi="Arial"/>
          <w:b/>
        </w:rPr>
      </w:pPr>
    </w:p>
    <w:p w14:paraId="201D8061" w14:textId="77777777" w:rsidR="00D44026" w:rsidRPr="00E731A6" w:rsidRDefault="00E731A6" w:rsidP="00841201">
      <w:pPr>
        <w:spacing w:line="480" w:lineRule="auto"/>
        <w:rPr>
          <w:rFonts w:ascii="Arial" w:hAnsi="Arial"/>
          <w:b/>
        </w:rPr>
      </w:pPr>
      <w:r w:rsidRPr="00E731A6">
        <w:rPr>
          <w:rFonts w:ascii="Arial" w:hAnsi="Arial"/>
          <w:b/>
        </w:rPr>
        <w:lastRenderedPageBreak/>
        <w:t>Abstract</w:t>
      </w:r>
    </w:p>
    <w:p w14:paraId="26D2CF99" w14:textId="1AD87F53" w:rsidR="00E731A6" w:rsidRPr="00E731A6" w:rsidRDefault="008714E3" w:rsidP="007C3B29">
      <w:pPr>
        <w:spacing w:after="240" w:line="480" w:lineRule="auto"/>
        <w:rPr>
          <w:rFonts w:ascii="Arial" w:hAnsi="Arial"/>
        </w:rPr>
      </w:pPr>
      <w:r>
        <w:rPr>
          <w:rFonts w:ascii="Arial" w:hAnsi="Arial"/>
        </w:rPr>
        <w:t>The sorghum cereal crop has been noted for its ability to provide unique health benefits to the human species. It</w:t>
      </w:r>
      <w:r w:rsidR="00A36A69">
        <w:rPr>
          <w:rFonts w:ascii="Arial" w:hAnsi="Arial"/>
        </w:rPr>
        <w:t xml:space="preserve"> is the 5</w:t>
      </w:r>
      <w:r w:rsidR="00A36A69" w:rsidRPr="009510D1">
        <w:rPr>
          <w:rFonts w:ascii="Arial" w:hAnsi="Arial"/>
          <w:vertAlign w:val="superscript"/>
        </w:rPr>
        <w:t>t</w:t>
      </w:r>
      <w:r w:rsidR="00A36A69" w:rsidRPr="00A36A69">
        <w:rPr>
          <w:rFonts w:ascii="Arial" w:hAnsi="Arial"/>
          <w:vertAlign w:val="superscript"/>
        </w:rPr>
        <w:t xml:space="preserve">h </w:t>
      </w:r>
      <w:r w:rsidR="00A36A69">
        <w:rPr>
          <w:rFonts w:ascii="Arial" w:hAnsi="Arial"/>
        </w:rPr>
        <w:t>most produced cereal</w:t>
      </w:r>
      <w:r w:rsidR="00561E23">
        <w:rPr>
          <w:rFonts w:ascii="Arial" w:hAnsi="Arial"/>
        </w:rPr>
        <w:t xml:space="preserve"> </w:t>
      </w:r>
      <w:r>
        <w:rPr>
          <w:rFonts w:ascii="Arial" w:hAnsi="Arial"/>
        </w:rPr>
        <w:t>in the world, and the United States is its top producer</w:t>
      </w:r>
      <w:r w:rsidR="00850B23">
        <w:rPr>
          <w:rFonts w:ascii="Arial" w:hAnsi="Arial"/>
        </w:rPr>
        <w:t xml:space="preserve">. The main </w:t>
      </w:r>
      <w:r w:rsidR="002D3B07">
        <w:rPr>
          <w:rFonts w:ascii="Arial" w:hAnsi="Arial"/>
        </w:rPr>
        <w:t>shortcoming</w:t>
      </w:r>
      <w:r w:rsidR="00850B23">
        <w:rPr>
          <w:rFonts w:ascii="Arial" w:hAnsi="Arial"/>
        </w:rPr>
        <w:t xml:space="preserve"> of this product is its </w:t>
      </w:r>
      <w:r w:rsidR="00183871">
        <w:rPr>
          <w:rFonts w:ascii="Arial" w:hAnsi="Arial"/>
        </w:rPr>
        <w:t>low digestibility</w:t>
      </w:r>
      <w:r w:rsidR="00850B23">
        <w:rPr>
          <w:rFonts w:ascii="Arial" w:hAnsi="Arial"/>
        </w:rPr>
        <w:t xml:space="preserve"> through the human digestive system. This study </w:t>
      </w:r>
      <w:r w:rsidR="002D3B07">
        <w:rPr>
          <w:rFonts w:ascii="Arial" w:hAnsi="Arial"/>
        </w:rPr>
        <w:t>investigates a process</w:t>
      </w:r>
      <w:r w:rsidR="00850B23">
        <w:rPr>
          <w:rFonts w:ascii="Arial" w:hAnsi="Arial"/>
        </w:rPr>
        <w:t xml:space="preserve"> to make the most abundant protein within sorghum, kafirin, </w:t>
      </w:r>
      <w:r w:rsidR="00183871">
        <w:rPr>
          <w:rFonts w:ascii="Arial" w:hAnsi="Arial"/>
        </w:rPr>
        <w:t>more digestible</w:t>
      </w:r>
      <w:r w:rsidR="00850B23">
        <w:rPr>
          <w:rFonts w:ascii="Arial" w:hAnsi="Arial"/>
        </w:rPr>
        <w:t xml:space="preserve">. This was done by using a food process known as </w:t>
      </w:r>
      <w:r w:rsidR="00642BB8">
        <w:rPr>
          <w:rFonts w:ascii="Arial" w:hAnsi="Arial"/>
        </w:rPr>
        <w:t>ultra-sonication</w:t>
      </w:r>
      <w:r w:rsidR="00651EDD">
        <w:rPr>
          <w:rFonts w:ascii="Arial" w:hAnsi="Arial"/>
        </w:rPr>
        <w:t>, which introduces sound waves into a substance to promote agitation of particles.</w:t>
      </w:r>
      <w:r w:rsidR="00850B23">
        <w:rPr>
          <w:rFonts w:ascii="Arial" w:hAnsi="Arial"/>
        </w:rPr>
        <w:t xml:space="preserve"> </w:t>
      </w:r>
      <w:r w:rsidR="00096351">
        <w:rPr>
          <w:rFonts w:ascii="Arial" w:hAnsi="Arial"/>
        </w:rPr>
        <w:t xml:space="preserve">Through each analysis, </w:t>
      </w:r>
      <w:r w:rsidR="00642BB8">
        <w:rPr>
          <w:rFonts w:ascii="Arial" w:hAnsi="Arial"/>
        </w:rPr>
        <w:t>ultra-sonication</w:t>
      </w:r>
      <w:r w:rsidR="00096351">
        <w:rPr>
          <w:rFonts w:ascii="Arial" w:hAnsi="Arial"/>
        </w:rPr>
        <w:t xml:space="preserve"> showed to positively affect kafirin’s solubility by shortening protein fragments, improving hydrolysis, and significantly increasing its overall soluble protein content, and thus its digestibility.</w:t>
      </w:r>
      <w:r w:rsidR="00F56177">
        <w:rPr>
          <w:rFonts w:ascii="Arial" w:hAnsi="Arial"/>
        </w:rPr>
        <w:t xml:space="preserve"> </w:t>
      </w:r>
    </w:p>
    <w:p w14:paraId="0072E991" w14:textId="77777777" w:rsidR="00E731A6" w:rsidRPr="003327EF" w:rsidRDefault="00E731A6" w:rsidP="00841201">
      <w:pPr>
        <w:pStyle w:val="ListParagraph"/>
        <w:numPr>
          <w:ilvl w:val="0"/>
          <w:numId w:val="1"/>
        </w:numPr>
        <w:spacing w:line="480" w:lineRule="auto"/>
        <w:rPr>
          <w:rFonts w:ascii="Arial" w:hAnsi="Arial"/>
          <w:b/>
        </w:rPr>
      </w:pPr>
      <w:r w:rsidRPr="003327EF">
        <w:rPr>
          <w:rFonts w:ascii="Arial" w:hAnsi="Arial"/>
          <w:b/>
        </w:rPr>
        <w:t>Introduction</w:t>
      </w:r>
    </w:p>
    <w:p w14:paraId="660FEE03" w14:textId="43B78622" w:rsidR="00790C2C" w:rsidRDefault="001547D0" w:rsidP="007C3B29">
      <w:pPr>
        <w:spacing w:after="240" w:line="480" w:lineRule="auto"/>
        <w:rPr>
          <w:rFonts w:ascii="Arial" w:hAnsi="Arial"/>
        </w:rPr>
      </w:pPr>
      <w:r>
        <w:rPr>
          <w:rFonts w:ascii="Arial" w:hAnsi="Arial"/>
        </w:rPr>
        <w:t>Not</w:t>
      </w:r>
      <w:r w:rsidR="006E253A">
        <w:rPr>
          <w:rFonts w:ascii="Arial" w:hAnsi="Arial"/>
        </w:rPr>
        <w:t xml:space="preserve"> common</w:t>
      </w:r>
      <w:r w:rsidR="00363531">
        <w:rPr>
          <w:rFonts w:ascii="Arial" w:hAnsi="Arial"/>
        </w:rPr>
        <w:t>ly</w:t>
      </w:r>
      <w:r>
        <w:rPr>
          <w:rFonts w:ascii="Arial" w:hAnsi="Arial"/>
        </w:rPr>
        <w:t xml:space="preserve"> considered a leading cereal crop</w:t>
      </w:r>
      <w:r w:rsidR="006E253A">
        <w:rPr>
          <w:rFonts w:ascii="Arial" w:hAnsi="Arial"/>
        </w:rPr>
        <w:t>, sorghum is</w:t>
      </w:r>
      <w:r>
        <w:rPr>
          <w:rFonts w:ascii="Arial" w:hAnsi="Arial"/>
        </w:rPr>
        <w:t xml:space="preserve"> nevertheless</w:t>
      </w:r>
      <w:r w:rsidR="006E253A">
        <w:rPr>
          <w:rFonts w:ascii="Arial" w:hAnsi="Arial"/>
        </w:rPr>
        <w:t xml:space="preserve"> the fifth most produced cereal in the world (</w:t>
      </w:r>
      <w:r w:rsidR="00BC369F">
        <w:rPr>
          <w:rFonts w:ascii="Arial" w:hAnsi="Arial"/>
        </w:rPr>
        <w:t>4</w:t>
      </w:r>
      <w:r w:rsidR="006E253A">
        <w:rPr>
          <w:rFonts w:ascii="Arial" w:hAnsi="Arial"/>
        </w:rPr>
        <w:t>).</w:t>
      </w:r>
      <w:r w:rsidR="00363531">
        <w:rPr>
          <w:rFonts w:ascii="Arial" w:hAnsi="Arial"/>
        </w:rPr>
        <w:t xml:space="preserve"> Sorghum bicolor L. Moench, generally referred to as </w:t>
      </w:r>
      <w:r w:rsidR="00363531" w:rsidRPr="001547D0">
        <w:rPr>
          <w:rFonts w:ascii="Arial" w:hAnsi="Arial"/>
          <w:i/>
        </w:rPr>
        <w:t>sorghum</w:t>
      </w:r>
      <w:r w:rsidR="00363531">
        <w:rPr>
          <w:rFonts w:ascii="Arial" w:hAnsi="Arial"/>
        </w:rPr>
        <w:t>, is native to Africa, where it still play</w:t>
      </w:r>
      <w:r w:rsidR="002D29F6">
        <w:rPr>
          <w:rFonts w:ascii="Arial" w:hAnsi="Arial"/>
        </w:rPr>
        <w:t>s a large role in nourishing that</w:t>
      </w:r>
      <w:r w:rsidR="00363531">
        <w:rPr>
          <w:rFonts w:ascii="Arial" w:hAnsi="Arial"/>
        </w:rPr>
        <w:t xml:space="preserve"> population. In addition, the crop is popular in areas of Asia. </w:t>
      </w:r>
      <w:r w:rsidR="001877B0">
        <w:rPr>
          <w:rFonts w:ascii="Arial" w:hAnsi="Arial"/>
        </w:rPr>
        <w:t>T</w:t>
      </w:r>
      <w:r>
        <w:rPr>
          <w:rFonts w:ascii="Arial" w:hAnsi="Arial"/>
        </w:rPr>
        <w:t>hese steppe climate zones comple</w:t>
      </w:r>
      <w:r w:rsidR="001877B0">
        <w:rPr>
          <w:rFonts w:ascii="Arial" w:hAnsi="Arial"/>
        </w:rPr>
        <w:t xml:space="preserve">ment sorghum </w:t>
      </w:r>
      <w:r>
        <w:rPr>
          <w:rFonts w:ascii="Arial" w:hAnsi="Arial"/>
        </w:rPr>
        <w:t xml:space="preserve">production </w:t>
      </w:r>
      <w:r w:rsidR="001877B0">
        <w:rPr>
          <w:rFonts w:ascii="Arial" w:hAnsi="Arial"/>
        </w:rPr>
        <w:t>well, as it is drought resistant, unlike many other cereal crops</w:t>
      </w:r>
      <w:r w:rsidR="00342E76">
        <w:rPr>
          <w:rFonts w:ascii="Arial" w:hAnsi="Arial"/>
        </w:rPr>
        <w:t xml:space="preserve"> (</w:t>
      </w:r>
      <w:r w:rsidR="00BC369F">
        <w:rPr>
          <w:rFonts w:ascii="Arial" w:hAnsi="Arial"/>
        </w:rPr>
        <w:t>15</w:t>
      </w:r>
      <w:r w:rsidR="00342E76">
        <w:rPr>
          <w:rFonts w:ascii="Arial" w:hAnsi="Arial"/>
        </w:rPr>
        <w:t>)</w:t>
      </w:r>
      <w:r w:rsidR="001877B0">
        <w:rPr>
          <w:rFonts w:ascii="Arial" w:hAnsi="Arial"/>
        </w:rPr>
        <w:t xml:space="preserve">. </w:t>
      </w:r>
      <w:r w:rsidR="00363531">
        <w:rPr>
          <w:rFonts w:ascii="Arial" w:hAnsi="Arial"/>
        </w:rPr>
        <w:t xml:space="preserve">While these regions account for the majority of human </w:t>
      </w:r>
      <w:r>
        <w:rPr>
          <w:rFonts w:ascii="Arial" w:hAnsi="Arial"/>
        </w:rPr>
        <w:t>consumption</w:t>
      </w:r>
      <w:r w:rsidR="009441BE">
        <w:rPr>
          <w:rFonts w:ascii="Arial" w:hAnsi="Arial"/>
        </w:rPr>
        <w:t xml:space="preserve">, the </w:t>
      </w:r>
      <w:r w:rsidR="009441BE" w:rsidRPr="00DC6D76">
        <w:rPr>
          <w:rFonts w:ascii="Arial" w:hAnsi="Arial"/>
        </w:rPr>
        <w:t>United States is currently the largest producer</w:t>
      </w:r>
      <w:r w:rsidR="009441BE">
        <w:rPr>
          <w:rFonts w:ascii="Arial" w:hAnsi="Arial"/>
        </w:rPr>
        <w:t xml:space="preserve"> of sorghum, as it </w:t>
      </w:r>
      <w:r>
        <w:rPr>
          <w:rFonts w:ascii="Arial" w:hAnsi="Arial"/>
        </w:rPr>
        <w:t xml:space="preserve">uses the crop for </w:t>
      </w:r>
      <w:r w:rsidR="0096386E">
        <w:rPr>
          <w:rFonts w:ascii="Arial" w:hAnsi="Arial"/>
        </w:rPr>
        <w:t>livestock</w:t>
      </w:r>
      <w:r>
        <w:rPr>
          <w:rFonts w:ascii="Arial" w:hAnsi="Arial"/>
        </w:rPr>
        <w:t xml:space="preserve"> feed</w:t>
      </w:r>
      <w:r w:rsidR="00D05329">
        <w:rPr>
          <w:rFonts w:ascii="Arial" w:hAnsi="Arial"/>
        </w:rPr>
        <w:t xml:space="preserve"> (</w:t>
      </w:r>
      <w:r w:rsidR="00BC369F">
        <w:rPr>
          <w:rFonts w:ascii="Arial" w:hAnsi="Arial"/>
        </w:rPr>
        <w:t>10, 15</w:t>
      </w:r>
      <w:r w:rsidR="00D05329">
        <w:rPr>
          <w:rFonts w:ascii="Arial" w:hAnsi="Arial"/>
        </w:rPr>
        <w:t>)</w:t>
      </w:r>
      <w:r w:rsidR="009441BE">
        <w:rPr>
          <w:rFonts w:ascii="Arial" w:hAnsi="Arial"/>
        </w:rPr>
        <w:t>. Although not as popular in the U.S., sorghum has high potential for</w:t>
      </w:r>
      <w:r>
        <w:rPr>
          <w:rFonts w:ascii="Arial" w:hAnsi="Arial"/>
        </w:rPr>
        <w:t xml:space="preserve"> human</w:t>
      </w:r>
      <w:r w:rsidR="00D05329">
        <w:rPr>
          <w:rFonts w:ascii="Arial" w:hAnsi="Arial"/>
        </w:rPr>
        <w:t xml:space="preserve"> health benefits. Sorghum products are a </w:t>
      </w:r>
      <w:r w:rsidR="00E66D72">
        <w:rPr>
          <w:rFonts w:ascii="Arial" w:hAnsi="Arial"/>
        </w:rPr>
        <w:t>safe</w:t>
      </w:r>
      <w:r w:rsidR="00D05329">
        <w:rPr>
          <w:rFonts w:ascii="Arial" w:hAnsi="Arial"/>
        </w:rPr>
        <w:t xml:space="preserve"> answer for people with coeliac disease, who are limited to gluten-free products and cannot consume</w:t>
      </w:r>
      <w:r w:rsidR="00BC369F">
        <w:rPr>
          <w:rFonts w:ascii="Arial" w:hAnsi="Arial"/>
        </w:rPr>
        <w:t xml:space="preserve"> wheat, rye, or barley (15</w:t>
      </w:r>
      <w:r w:rsidR="00D05329">
        <w:rPr>
          <w:rFonts w:ascii="Arial" w:hAnsi="Arial"/>
        </w:rPr>
        <w:t xml:space="preserve">). </w:t>
      </w:r>
      <w:r w:rsidR="00E66D72">
        <w:rPr>
          <w:rFonts w:ascii="Arial" w:hAnsi="Arial"/>
        </w:rPr>
        <w:lastRenderedPageBreak/>
        <w:t>S</w:t>
      </w:r>
      <w:r w:rsidR="009441BE">
        <w:rPr>
          <w:rFonts w:ascii="Arial" w:hAnsi="Arial"/>
        </w:rPr>
        <w:t xml:space="preserve">tudies have tested the </w:t>
      </w:r>
      <w:r w:rsidR="00EE731A">
        <w:rPr>
          <w:rFonts w:ascii="Arial" w:hAnsi="Arial"/>
        </w:rPr>
        <w:t xml:space="preserve">positive </w:t>
      </w:r>
      <w:r w:rsidR="009441BE">
        <w:rPr>
          <w:rFonts w:ascii="Arial" w:hAnsi="Arial"/>
        </w:rPr>
        <w:t>effect</w:t>
      </w:r>
      <w:r w:rsidR="00EE731A">
        <w:rPr>
          <w:rFonts w:ascii="Arial" w:hAnsi="Arial"/>
        </w:rPr>
        <w:t>s</w:t>
      </w:r>
      <w:r w:rsidR="009441BE">
        <w:rPr>
          <w:rFonts w:ascii="Arial" w:hAnsi="Arial"/>
        </w:rPr>
        <w:t xml:space="preserve"> of </w:t>
      </w:r>
      <w:r w:rsidR="00EE731A">
        <w:rPr>
          <w:rFonts w:ascii="Arial" w:hAnsi="Arial"/>
        </w:rPr>
        <w:t xml:space="preserve">compounds from </w:t>
      </w:r>
      <w:r w:rsidR="009441BE">
        <w:rPr>
          <w:rFonts w:ascii="Arial" w:hAnsi="Arial"/>
        </w:rPr>
        <w:t>sorghum</w:t>
      </w:r>
      <w:r w:rsidR="00EE731A">
        <w:rPr>
          <w:rFonts w:ascii="Arial" w:hAnsi="Arial"/>
        </w:rPr>
        <w:t xml:space="preserve"> </w:t>
      </w:r>
      <w:r w:rsidR="009441BE">
        <w:rPr>
          <w:rFonts w:ascii="Arial" w:hAnsi="Arial"/>
        </w:rPr>
        <w:t>on common diseases</w:t>
      </w:r>
      <w:r w:rsidR="00EE731A">
        <w:rPr>
          <w:rFonts w:ascii="Arial" w:hAnsi="Arial"/>
        </w:rPr>
        <w:t xml:space="preserve">, </w:t>
      </w:r>
      <w:r w:rsidR="009441BE">
        <w:rPr>
          <w:rFonts w:ascii="Arial" w:hAnsi="Arial"/>
        </w:rPr>
        <w:t xml:space="preserve">including </w:t>
      </w:r>
      <w:r w:rsidR="009441BE" w:rsidRPr="00E2734C">
        <w:rPr>
          <w:rFonts w:ascii="Arial" w:hAnsi="Arial" w:cs="Arial"/>
          <w:color w:val="262626"/>
        </w:rPr>
        <w:t>cancer</w:t>
      </w:r>
      <w:r w:rsidR="00790C2C">
        <w:rPr>
          <w:rFonts w:ascii="Arial" w:hAnsi="Arial" w:cs="Arial"/>
          <w:color w:val="262626"/>
        </w:rPr>
        <w:t xml:space="preserve"> (</w:t>
      </w:r>
      <w:r w:rsidR="00BC369F">
        <w:rPr>
          <w:rFonts w:ascii="Arial" w:hAnsi="Arial" w:cs="Arial"/>
          <w:color w:val="262626"/>
        </w:rPr>
        <w:t>4, 13, 17</w:t>
      </w:r>
      <w:r w:rsidR="00790C2C">
        <w:rPr>
          <w:rFonts w:ascii="Arial" w:hAnsi="Arial" w:cs="Arial"/>
          <w:color w:val="262626"/>
        </w:rPr>
        <w:t>)</w:t>
      </w:r>
      <w:r w:rsidR="009441BE">
        <w:rPr>
          <w:rFonts w:ascii="Arial" w:hAnsi="Arial" w:cs="Arial"/>
          <w:color w:val="262626"/>
        </w:rPr>
        <w:t>.</w:t>
      </w:r>
      <w:r w:rsidR="009441BE">
        <w:rPr>
          <w:rFonts w:ascii="Arial" w:hAnsi="Arial"/>
        </w:rPr>
        <w:t xml:space="preserve"> </w:t>
      </w:r>
      <w:r w:rsidR="00E66D72">
        <w:rPr>
          <w:rFonts w:ascii="Arial" w:hAnsi="Arial"/>
        </w:rPr>
        <w:t>In addition, sorghum has had positive effects on diabetes, obesity,</w:t>
      </w:r>
      <w:r w:rsidR="00F01F12">
        <w:rPr>
          <w:rFonts w:ascii="Arial" w:hAnsi="Arial"/>
        </w:rPr>
        <w:t xml:space="preserve"> </w:t>
      </w:r>
      <w:r w:rsidR="00DC2474">
        <w:rPr>
          <w:rFonts w:ascii="Arial" w:hAnsi="Arial"/>
        </w:rPr>
        <w:t>and other ailments</w:t>
      </w:r>
      <w:r w:rsidR="00F01F12">
        <w:rPr>
          <w:rFonts w:ascii="Arial" w:hAnsi="Arial"/>
        </w:rPr>
        <w:t xml:space="preserve"> (</w:t>
      </w:r>
      <w:r w:rsidR="00BC369F">
        <w:rPr>
          <w:rFonts w:ascii="Arial" w:hAnsi="Arial"/>
        </w:rPr>
        <w:t>7, 9</w:t>
      </w:r>
      <w:r w:rsidR="00F01F12">
        <w:rPr>
          <w:rFonts w:ascii="Arial" w:hAnsi="Arial"/>
        </w:rPr>
        <w:t xml:space="preserve">). </w:t>
      </w:r>
      <w:r w:rsidR="00E66D72">
        <w:rPr>
          <w:rFonts w:ascii="Arial" w:hAnsi="Arial"/>
        </w:rPr>
        <w:t xml:space="preserve"> </w:t>
      </w:r>
      <w:r>
        <w:rPr>
          <w:rFonts w:ascii="Arial" w:hAnsi="Arial"/>
        </w:rPr>
        <w:t>Despite</w:t>
      </w:r>
      <w:r w:rsidR="00EE731A">
        <w:rPr>
          <w:rFonts w:ascii="Arial" w:hAnsi="Arial"/>
        </w:rPr>
        <w:t xml:space="preserve"> research </w:t>
      </w:r>
      <w:r>
        <w:rPr>
          <w:rFonts w:ascii="Arial" w:hAnsi="Arial"/>
        </w:rPr>
        <w:t>highlighting the</w:t>
      </w:r>
      <w:r w:rsidR="00B01A0E">
        <w:rPr>
          <w:rFonts w:ascii="Arial" w:hAnsi="Arial"/>
        </w:rPr>
        <w:t xml:space="preserve"> numerous</w:t>
      </w:r>
      <w:r w:rsidR="00EE731A">
        <w:rPr>
          <w:rFonts w:ascii="Arial" w:hAnsi="Arial"/>
        </w:rPr>
        <w:t xml:space="preserve"> positive effects of sorghum, one factor significantly hinders its success.</w:t>
      </w:r>
    </w:p>
    <w:p w14:paraId="3E2CED87" w14:textId="1725D2F4" w:rsidR="00BF5CFF" w:rsidRDefault="00EE731A" w:rsidP="00BF5CFF">
      <w:pPr>
        <w:spacing w:after="240" w:line="480" w:lineRule="auto"/>
        <w:rPr>
          <w:rFonts w:ascii="Arial" w:hAnsi="Arial"/>
        </w:rPr>
      </w:pPr>
      <w:r>
        <w:rPr>
          <w:rFonts w:ascii="Arial" w:hAnsi="Arial"/>
        </w:rPr>
        <w:t xml:space="preserve">The cereal’s main </w:t>
      </w:r>
      <w:r w:rsidR="001547D0">
        <w:rPr>
          <w:rFonts w:ascii="Arial" w:hAnsi="Arial"/>
        </w:rPr>
        <w:t>disadvantage</w:t>
      </w:r>
      <w:r>
        <w:rPr>
          <w:rFonts w:ascii="Arial" w:hAnsi="Arial"/>
        </w:rPr>
        <w:t xml:space="preserve"> stems from its inability to digest</w:t>
      </w:r>
      <w:r w:rsidR="001547D0">
        <w:rPr>
          <w:rFonts w:ascii="Arial" w:hAnsi="Arial"/>
        </w:rPr>
        <w:t xml:space="preserve"> easily</w:t>
      </w:r>
      <w:r>
        <w:rPr>
          <w:rFonts w:ascii="Arial" w:hAnsi="Arial"/>
        </w:rPr>
        <w:t xml:space="preserve"> in the human gastric system</w:t>
      </w:r>
      <w:r w:rsidR="00BC369F">
        <w:rPr>
          <w:rFonts w:ascii="Arial" w:hAnsi="Arial"/>
        </w:rPr>
        <w:t xml:space="preserve"> (5</w:t>
      </w:r>
      <w:r w:rsidR="00790C2C">
        <w:rPr>
          <w:rFonts w:ascii="Arial" w:hAnsi="Arial"/>
        </w:rPr>
        <w:t>)</w:t>
      </w:r>
      <w:r>
        <w:rPr>
          <w:rFonts w:ascii="Arial" w:hAnsi="Arial"/>
        </w:rPr>
        <w:t xml:space="preserve">. </w:t>
      </w:r>
      <w:r w:rsidR="00790C2C">
        <w:rPr>
          <w:rFonts w:ascii="Arial" w:hAnsi="Arial"/>
        </w:rPr>
        <w:t>The indigestibility is due to sorghum’s morphology</w:t>
      </w:r>
      <w:r w:rsidR="00011088">
        <w:rPr>
          <w:rFonts w:ascii="Arial" w:hAnsi="Arial"/>
        </w:rPr>
        <w:t>,</w:t>
      </w:r>
      <w:r w:rsidR="00724EB4">
        <w:rPr>
          <w:rFonts w:ascii="Arial" w:hAnsi="Arial"/>
        </w:rPr>
        <w:t xml:space="preserve"> </w:t>
      </w:r>
      <w:r w:rsidR="00CD289D">
        <w:rPr>
          <w:rFonts w:ascii="Arial" w:hAnsi="Arial"/>
        </w:rPr>
        <w:t xml:space="preserve">physicochemical </w:t>
      </w:r>
      <w:r w:rsidR="00724EB4">
        <w:rPr>
          <w:rFonts w:ascii="Arial" w:hAnsi="Arial"/>
        </w:rPr>
        <w:t>composition</w:t>
      </w:r>
      <w:r w:rsidR="00011088">
        <w:rPr>
          <w:rFonts w:ascii="Arial" w:hAnsi="Arial"/>
        </w:rPr>
        <w:t>, and protein interactions</w:t>
      </w:r>
      <w:r w:rsidR="00BC369F">
        <w:rPr>
          <w:rFonts w:ascii="Arial" w:hAnsi="Arial"/>
        </w:rPr>
        <w:t xml:space="preserve"> (10</w:t>
      </w:r>
      <w:r w:rsidR="00BF5CFF">
        <w:rPr>
          <w:rFonts w:ascii="Arial" w:hAnsi="Arial"/>
        </w:rPr>
        <w:t>)</w:t>
      </w:r>
      <w:r w:rsidR="00724EB4">
        <w:rPr>
          <w:rFonts w:ascii="Arial" w:hAnsi="Arial"/>
        </w:rPr>
        <w:t xml:space="preserve">. </w:t>
      </w:r>
      <w:r w:rsidR="00CD289D">
        <w:rPr>
          <w:rFonts w:ascii="Arial" w:hAnsi="Arial"/>
        </w:rPr>
        <w:t>In one study, it was found that sorghum had at least 20% less digestibility than rice, maize, and wheat (</w:t>
      </w:r>
      <w:r w:rsidR="00BC369F">
        <w:rPr>
          <w:rFonts w:ascii="Arial" w:hAnsi="Arial"/>
        </w:rPr>
        <w:t>6</w:t>
      </w:r>
      <w:r w:rsidR="00CD289D">
        <w:rPr>
          <w:rFonts w:ascii="Arial" w:hAnsi="Arial"/>
        </w:rPr>
        <w:t>). Further, the proteins within</w:t>
      </w:r>
      <w:r w:rsidR="001877B0">
        <w:rPr>
          <w:rFonts w:ascii="Arial" w:hAnsi="Arial"/>
        </w:rPr>
        <w:t xml:space="preserve"> sorghum also account for this </w:t>
      </w:r>
      <w:r w:rsidR="001547D0">
        <w:rPr>
          <w:rFonts w:ascii="Arial" w:hAnsi="Arial"/>
        </w:rPr>
        <w:t>challenging</w:t>
      </w:r>
      <w:r w:rsidR="001877B0">
        <w:rPr>
          <w:rFonts w:ascii="Arial" w:hAnsi="Arial"/>
        </w:rPr>
        <w:t xml:space="preserve"> feature. </w:t>
      </w:r>
      <w:r w:rsidR="0000378A">
        <w:rPr>
          <w:rFonts w:ascii="Arial" w:hAnsi="Arial"/>
        </w:rPr>
        <w:t>More digestible proteins possess higher nutritional value due to increased amino acid availability (</w:t>
      </w:r>
      <w:r w:rsidR="00BC369F">
        <w:rPr>
          <w:rFonts w:ascii="Arial" w:hAnsi="Arial"/>
        </w:rPr>
        <w:t>5</w:t>
      </w:r>
      <w:r w:rsidR="0000378A">
        <w:rPr>
          <w:rFonts w:ascii="Arial" w:hAnsi="Arial"/>
        </w:rPr>
        <w:t xml:space="preserve">). </w:t>
      </w:r>
      <w:r w:rsidR="001877B0">
        <w:rPr>
          <w:rFonts w:ascii="Arial" w:hAnsi="Arial"/>
        </w:rPr>
        <w:t>Sorghum contains four main proteins: albumin, g</w:t>
      </w:r>
      <w:r w:rsidR="00EA6A68">
        <w:rPr>
          <w:rFonts w:ascii="Arial" w:hAnsi="Arial"/>
        </w:rPr>
        <w:t xml:space="preserve">lobulin, glutelin, and kafirin. </w:t>
      </w:r>
      <w:r w:rsidR="001877B0">
        <w:rPr>
          <w:rFonts w:ascii="Arial" w:hAnsi="Arial"/>
        </w:rPr>
        <w:t>The latter</w:t>
      </w:r>
      <w:r w:rsidR="00EA6A68">
        <w:rPr>
          <w:rFonts w:ascii="Arial" w:hAnsi="Arial"/>
        </w:rPr>
        <w:t>, kafirin, accounts for the maj</w:t>
      </w:r>
      <w:r w:rsidR="00DE667E">
        <w:rPr>
          <w:rFonts w:ascii="Arial" w:hAnsi="Arial"/>
        </w:rPr>
        <w:t>ority of protein within sorghum</w:t>
      </w:r>
      <w:r w:rsidR="00EA6A68">
        <w:rPr>
          <w:rFonts w:ascii="Arial" w:hAnsi="Arial"/>
        </w:rPr>
        <w:t xml:space="preserve"> and</w:t>
      </w:r>
      <w:r w:rsidR="001877B0">
        <w:rPr>
          <w:rFonts w:ascii="Arial" w:hAnsi="Arial"/>
        </w:rPr>
        <w:t xml:space="preserve"> will be the focus of this research</w:t>
      </w:r>
      <w:r w:rsidR="00BC369F">
        <w:rPr>
          <w:rFonts w:ascii="Arial" w:hAnsi="Arial"/>
        </w:rPr>
        <w:t xml:space="preserve"> (3</w:t>
      </w:r>
      <w:r w:rsidR="00EA6A68">
        <w:rPr>
          <w:rFonts w:ascii="Arial" w:hAnsi="Arial"/>
        </w:rPr>
        <w:t>)</w:t>
      </w:r>
      <w:r w:rsidR="001877B0">
        <w:rPr>
          <w:rFonts w:ascii="Arial" w:hAnsi="Arial"/>
        </w:rPr>
        <w:t>.</w:t>
      </w:r>
      <w:r w:rsidR="00F01F12">
        <w:rPr>
          <w:rFonts w:ascii="Arial" w:hAnsi="Arial"/>
        </w:rPr>
        <w:t xml:space="preserve"> </w:t>
      </w:r>
    </w:p>
    <w:p w14:paraId="30E9E75A" w14:textId="69521758" w:rsidR="00EA6A68" w:rsidRDefault="00DF3310" w:rsidP="007C3B29">
      <w:pPr>
        <w:spacing w:after="240" w:line="480" w:lineRule="auto"/>
        <w:rPr>
          <w:rFonts w:ascii="Arial" w:hAnsi="Arial"/>
        </w:rPr>
      </w:pPr>
      <w:r>
        <w:rPr>
          <w:rFonts w:ascii="Arial" w:hAnsi="Arial"/>
        </w:rPr>
        <w:t>Kafirin</w:t>
      </w:r>
      <w:r w:rsidR="00A27198">
        <w:rPr>
          <w:rFonts w:ascii="Arial" w:hAnsi="Arial"/>
        </w:rPr>
        <w:t>’s interactions with other proteins establish complexes</w:t>
      </w:r>
      <w:r w:rsidR="00D6615A">
        <w:rPr>
          <w:rFonts w:ascii="Arial" w:hAnsi="Arial"/>
        </w:rPr>
        <w:t>,</w:t>
      </w:r>
      <w:r w:rsidR="00A27198">
        <w:rPr>
          <w:rFonts w:ascii="Arial" w:hAnsi="Arial"/>
        </w:rPr>
        <w:t xml:space="preserve"> which in turn inhibit its solubility. One </w:t>
      </w:r>
      <w:r w:rsidR="00BC369F">
        <w:rPr>
          <w:rFonts w:ascii="Arial" w:hAnsi="Arial"/>
        </w:rPr>
        <w:t xml:space="preserve">example of </w:t>
      </w:r>
      <w:r w:rsidR="00C46627">
        <w:rPr>
          <w:rFonts w:ascii="Arial" w:hAnsi="Arial"/>
        </w:rPr>
        <w:t xml:space="preserve">a </w:t>
      </w:r>
      <w:r w:rsidR="00A27198">
        <w:rPr>
          <w:rFonts w:ascii="Arial" w:hAnsi="Arial"/>
        </w:rPr>
        <w:t xml:space="preserve">specific </w:t>
      </w:r>
      <w:r w:rsidR="00985987">
        <w:rPr>
          <w:rFonts w:ascii="Arial" w:hAnsi="Arial"/>
        </w:rPr>
        <w:t>inhibition w</w:t>
      </w:r>
      <w:r w:rsidR="00C46627">
        <w:rPr>
          <w:rFonts w:ascii="Arial" w:hAnsi="Arial"/>
        </w:rPr>
        <w:t>ould include</w:t>
      </w:r>
      <w:r w:rsidR="00A27198">
        <w:rPr>
          <w:rFonts w:ascii="Arial" w:hAnsi="Arial"/>
        </w:rPr>
        <w:t xml:space="preserve"> </w:t>
      </w:r>
      <w:r w:rsidR="00985987">
        <w:rPr>
          <w:rFonts w:ascii="Arial" w:hAnsi="Arial"/>
        </w:rPr>
        <w:t>an</w:t>
      </w:r>
      <w:r w:rsidR="00C46627">
        <w:rPr>
          <w:rFonts w:ascii="Arial" w:hAnsi="Arial"/>
        </w:rPr>
        <w:t xml:space="preserve"> interaction with</w:t>
      </w:r>
      <w:r w:rsidR="00A27198">
        <w:rPr>
          <w:rFonts w:ascii="Arial" w:hAnsi="Arial"/>
        </w:rPr>
        <w:t xml:space="preserve"> </w:t>
      </w:r>
      <w:r w:rsidR="00A27198" w:rsidRPr="00C46627">
        <w:rPr>
          <w:rFonts w:ascii="Arial" w:hAnsi="Arial"/>
        </w:rPr>
        <w:t>tannins</w:t>
      </w:r>
      <w:r w:rsidR="00A42662">
        <w:rPr>
          <w:rFonts w:ascii="Arial" w:hAnsi="Arial"/>
        </w:rPr>
        <w:t xml:space="preserve"> (14)</w:t>
      </w:r>
      <w:r w:rsidR="00A27198">
        <w:rPr>
          <w:rFonts w:ascii="Arial" w:hAnsi="Arial"/>
        </w:rPr>
        <w:t xml:space="preserve">. </w:t>
      </w:r>
      <w:r w:rsidR="00F01F12">
        <w:rPr>
          <w:rFonts w:ascii="Arial" w:hAnsi="Arial"/>
        </w:rPr>
        <w:t>Tannins</w:t>
      </w:r>
      <w:r w:rsidR="00F85C12">
        <w:rPr>
          <w:rFonts w:ascii="Arial" w:hAnsi="Arial"/>
        </w:rPr>
        <w:t xml:space="preserve"> </w:t>
      </w:r>
      <w:r>
        <w:rPr>
          <w:rFonts w:ascii="Arial" w:hAnsi="Arial"/>
        </w:rPr>
        <w:t>bind to proteins</w:t>
      </w:r>
      <w:r w:rsidR="00F85C12">
        <w:rPr>
          <w:rFonts w:ascii="Arial" w:hAnsi="Arial"/>
        </w:rPr>
        <w:t xml:space="preserve"> found</w:t>
      </w:r>
      <w:r w:rsidR="00415A2D">
        <w:rPr>
          <w:rFonts w:ascii="Arial" w:hAnsi="Arial"/>
        </w:rPr>
        <w:t xml:space="preserve"> in sorghum</w:t>
      </w:r>
      <w:r w:rsidR="00F01F12">
        <w:rPr>
          <w:rFonts w:ascii="Arial" w:hAnsi="Arial"/>
        </w:rPr>
        <w:t xml:space="preserve">, </w:t>
      </w:r>
      <w:r w:rsidR="00F85C12">
        <w:rPr>
          <w:rFonts w:ascii="Arial" w:hAnsi="Arial"/>
        </w:rPr>
        <w:t>and</w:t>
      </w:r>
      <w:r w:rsidR="00F01F12">
        <w:rPr>
          <w:rFonts w:ascii="Arial" w:hAnsi="Arial"/>
        </w:rPr>
        <w:t xml:space="preserve"> </w:t>
      </w:r>
      <w:r w:rsidR="00415A2D">
        <w:rPr>
          <w:rFonts w:ascii="Arial" w:hAnsi="Arial"/>
        </w:rPr>
        <w:t xml:space="preserve">are suspected </w:t>
      </w:r>
      <w:r w:rsidR="00985987">
        <w:rPr>
          <w:rFonts w:ascii="Arial" w:hAnsi="Arial"/>
        </w:rPr>
        <w:t>to be</w:t>
      </w:r>
      <w:r w:rsidR="00415A2D">
        <w:rPr>
          <w:rFonts w:ascii="Arial" w:hAnsi="Arial"/>
        </w:rPr>
        <w:t xml:space="preserve"> </w:t>
      </w:r>
      <w:r w:rsidR="00F01F12">
        <w:rPr>
          <w:rFonts w:ascii="Arial" w:hAnsi="Arial"/>
        </w:rPr>
        <w:t>one explanation of why the kafi</w:t>
      </w:r>
      <w:r w:rsidR="00415A2D">
        <w:rPr>
          <w:rFonts w:ascii="Arial" w:hAnsi="Arial"/>
        </w:rPr>
        <w:t>rin protein is indigestible</w:t>
      </w:r>
      <w:r w:rsidR="00F85C12">
        <w:rPr>
          <w:rFonts w:ascii="Arial" w:hAnsi="Arial"/>
        </w:rPr>
        <w:t>,</w:t>
      </w:r>
      <w:r w:rsidR="00415A2D">
        <w:rPr>
          <w:rFonts w:ascii="Arial" w:hAnsi="Arial"/>
        </w:rPr>
        <w:t xml:space="preserve"> </w:t>
      </w:r>
      <w:r w:rsidR="00F85C12">
        <w:rPr>
          <w:rFonts w:ascii="Arial" w:hAnsi="Arial"/>
        </w:rPr>
        <w:t>as they</w:t>
      </w:r>
      <w:r w:rsidR="00415A2D">
        <w:rPr>
          <w:rFonts w:ascii="Arial" w:hAnsi="Arial"/>
        </w:rPr>
        <w:t xml:space="preserve"> are </w:t>
      </w:r>
      <w:r w:rsidR="00F85C12">
        <w:rPr>
          <w:rFonts w:ascii="Arial" w:hAnsi="Arial"/>
        </w:rPr>
        <w:t>not found in other cereal crops inc</w:t>
      </w:r>
      <w:r w:rsidR="00BC369F">
        <w:rPr>
          <w:rFonts w:ascii="Arial" w:hAnsi="Arial"/>
        </w:rPr>
        <w:t>luding rice, wheat, and maize (7</w:t>
      </w:r>
      <w:r w:rsidR="00F85C12">
        <w:rPr>
          <w:rFonts w:ascii="Arial" w:hAnsi="Arial"/>
        </w:rPr>
        <w:t xml:space="preserve">, </w:t>
      </w:r>
      <w:r w:rsidR="00BC369F">
        <w:rPr>
          <w:rFonts w:ascii="Arial" w:hAnsi="Arial"/>
        </w:rPr>
        <w:t>16</w:t>
      </w:r>
      <w:r w:rsidR="00F85C12">
        <w:rPr>
          <w:rFonts w:ascii="Arial" w:hAnsi="Arial"/>
        </w:rPr>
        <w:t>). Although tannins do offer a beneficial antioxidant component,</w:t>
      </w:r>
      <w:r w:rsidR="00BF5CFF">
        <w:rPr>
          <w:rFonts w:ascii="Arial" w:hAnsi="Arial"/>
        </w:rPr>
        <w:t xml:space="preserve"> they have been shown to decrease digestibility, as</w:t>
      </w:r>
      <w:r w:rsidR="00F85C12">
        <w:rPr>
          <w:rFonts w:ascii="Arial" w:hAnsi="Arial"/>
        </w:rPr>
        <w:t xml:space="preserve"> s</w:t>
      </w:r>
      <w:r w:rsidR="00F01F12">
        <w:rPr>
          <w:rFonts w:ascii="Arial" w:hAnsi="Arial"/>
        </w:rPr>
        <w:t xml:space="preserve">tudies have shown that sorghums containing tannins were more slowly digested than non-tannin sorghums </w:t>
      </w:r>
      <w:r w:rsidR="00415A2D">
        <w:rPr>
          <w:rFonts w:ascii="Arial" w:hAnsi="Arial"/>
        </w:rPr>
        <w:t>(</w:t>
      </w:r>
      <w:r w:rsidR="00BC369F">
        <w:rPr>
          <w:rFonts w:ascii="Arial" w:hAnsi="Arial"/>
        </w:rPr>
        <w:t>1</w:t>
      </w:r>
      <w:r w:rsidR="002F7D12">
        <w:rPr>
          <w:rFonts w:ascii="Arial" w:hAnsi="Arial"/>
        </w:rPr>
        <w:t xml:space="preserve">, </w:t>
      </w:r>
      <w:r w:rsidR="00A42662">
        <w:rPr>
          <w:rFonts w:ascii="Arial" w:hAnsi="Arial"/>
        </w:rPr>
        <w:t>2, 7, 16</w:t>
      </w:r>
      <w:r w:rsidR="00415A2D">
        <w:rPr>
          <w:rFonts w:ascii="Arial" w:hAnsi="Arial"/>
        </w:rPr>
        <w:t>).</w:t>
      </w:r>
      <w:r w:rsidR="00A27198">
        <w:rPr>
          <w:rFonts w:ascii="Arial" w:hAnsi="Arial"/>
        </w:rPr>
        <w:t xml:space="preserve"> Within kafirin, there are different conformations</w:t>
      </w:r>
      <w:r w:rsidR="00BC369F">
        <w:rPr>
          <w:rFonts w:ascii="Arial" w:hAnsi="Arial"/>
        </w:rPr>
        <w:t>,</w:t>
      </w:r>
      <w:r w:rsidR="00A27198">
        <w:rPr>
          <w:rFonts w:ascii="Arial" w:hAnsi="Arial"/>
        </w:rPr>
        <w:t xml:space="preserve"> each </w:t>
      </w:r>
      <w:r w:rsidR="00BC369F">
        <w:rPr>
          <w:rFonts w:ascii="Arial" w:hAnsi="Arial"/>
        </w:rPr>
        <w:t>with</w:t>
      </w:r>
      <w:r w:rsidR="00A27198">
        <w:rPr>
          <w:rFonts w:ascii="Arial" w:hAnsi="Arial"/>
        </w:rPr>
        <w:t xml:space="preserve"> different digestibility levels. The </w:t>
      </w:r>
      <w:r w:rsidR="00A27198" w:rsidRPr="00BF0483">
        <w:rPr>
          <w:rFonts w:ascii="Arial" w:hAnsi="Arial" w:cs="Arial"/>
          <w:color w:val="000000"/>
        </w:rPr>
        <w:t>α</w:t>
      </w:r>
      <w:r w:rsidR="00A27198">
        <w:rPr>
          <w:rFonts w:ascii="Arial" w:hAnsi="Arial" w:cs="Arial"/>
          <w:color w:val="000000"/>
        </w:rPr>
        <w:t xml:space="preserve"> </w:t>
      </w:r>
      <w:r w:rsidR="00A27198">
        <w:rPr>
          <w:rFonts w:ascii="Arial" w:hAnsi="Arial" w:cs="Arial"/>
          <w:color w:val="000000"/>
        </w:rPr>
        <w:lastRenderedPageBreak/>
        <w:t xml:space="preserve">form is the most digestible, while the </w:t>
      </w:r>
      <w:r w:rsidR="00A27198" w:rsidRPr="00BF0483">
        <w:rPr>
          <w:rFonts w:ascii="Arial" w:hAnsi="Arial" w:cs="Arial"/>
          <w:color w:val="000000"/>
        </w:rPr>
        <w:t>β</w:t>
      </w:r>
      <w:r w:rsidR="00A27198">
        <w:rPr>
          <w:rFonts w:ascii="Arial" w:hAnsi="Arial" w:cs="Arial"/>
          <w:color w:val="000000"/>
        </w:rPr>
        <w:t xml:space="preserve"> and </w:t>
      </w:r>
      <w:r w:rsidR="00A27198" w:rsidRPr="00BF0483">
        <w:rPr>
          <w:rFonts w:ascii="Arial" w:hAnsi="Arial" w:cs="Arial"/>
          <w:color w:val="000000"/>
        </w:rPr>
        <w:t>ϒ</w:t>
      </w:r>
      <w:r w:rsidR="00A27198">
        <w:rPr>
          <w:rFonts w:ascii="Arial" w:hAnsi="Arial" w:cs="Arial"/>
          <w:color w:val="000000"/>
        </w:rPr>
        <w:t xml:space="preserve"> form contain much cysteine, which actually </w:t>
      </w:r>
      <w:r w:rsidR="00A42662">
        <w:rPr>
          <w:rFonts w:ascii="Arial" w:hAnsi="Arial" w:cs="Arial"/>
          <w:color w:val="000000"/>
        </w:rPr>
        <w:t>hinders</w:t>
      </w:r>
      <w:r w:rsidR="007F55D5">
        <w:rPr>
          <w:rFonts w:ascii="Arial" w:hAnsi="Arial" w:cs="Arial"/>
          <w:color w:val="000000"/>
        </w:rPr>
        <w:t xml:space="preserve"> the </w:t>
      </w:r>
      <w:r w:rsidR="007F55D5" w:rsidRPr="00BF0483">
        <w:rPr>
          <w:rFonts w:ascii="Arial" w:hAnsi="Arial" w:cs="Arial"/>
          <w:color w:val="000000"/>
        </w:rPr>
        <w:t>α</w:t>
      </w:r>
      <w:r w:rsidR="007F55D5">
        <w:rPr>
          <w:rFonts w:ascii="Arial" w:hAnsi="Arial" w:cs="Arial"/>
          <w:color w:val="000000"/>
        </w:rPr>
        <w:t xml:space="preserve"> form and thus, the digestibility</w:t>
      </w:r>
      <w:r w:rsidR="006577FC">
        <w:rPr>
          <w:rFonts w:ascii="Arial" w:hAnsi="Arial" w:cs="Arial"/>
          <w:color w:val="000000"/>
        </w:rPr>
        <w:t xml:space="preserve"> (5)</w:t>
      </w:r>
      <w:r w:rsidR="007F55D5">
        <w:rPr>
          <w:rFonts w:ascii="Arial" w:hAnsi="Arial" w:cs="Arial"/>
          <w:color w:val="000000"/>
        </w:rPr>
        <w:t xml:space="preserve">. </w:t>
      </w:r>
    </w:p>
    <w:p w14:paraId="0D568A33" w14:textId="77777777" w:rsidR="00985987" w:rsidRDefault="00EA6A68" w:rsidP="007C3B29">
      <w:pPr>
        <w:spacing w:after="240" w:line="480" w:lineRule="auto"/>
        <w:rPr>
          <w:rFonts w:ascii="Arial" w:hAnsi="Arial"/>
        </w:rPr>
      </w:pPr>
      <w:r>
        <w:rPr>
          <w:rFonts w:ascii="Arial" w:hAnsi="Arial"/>
        </w:rPr>
        <w:t>Th</w:t>
      </w:r>
      <w:r w:rsidR="001547D0">
        <w:rPr>
          <w:rFonts w:ascii="Arial" w:hAnsi="Arial"/>
        </w:rPr>
        <w:t>ese facts could logically lead to the question: How</w:t>
      </w:r>
      <w:r w:rsidR="00B267EA">
        <w:rPr>
          <w:rFonts w:ascii="Arial" w:hAnsi="Arial"/>
        </w:rPr>
        <w:t xml:space="preserve"> can one </w:t>
      </w:r>
      <w:r w:rsidR="00E204F8">
        <w:rPr>
          <w:rFonts w:ascii="Arial" w:hAnsi="Arial"/>
        </w:rPr>
        <w:t>increase</w:t>
      </w:r>
      <w:r w:rsidR="00B267EA">
        <w:rPr>
          <w:rFonts w:ascii="Arial" w:hAnsi="Arial"/>
        </w:rPr>
        <w:t xml:space="preserve"> the digestibility of kafirin within sorghum? </w:t>
      </w:r>
      <w:r w:rsidR="00E204F8">
        <w:rPr>
          <w:rFonts w:ascii="Arial" w:hAnsi="Arial"/>
        </w:rPr>
        <w:t>Enhancing</w:t>
      </w:r>
      <w:r w:rsidR="00B267EA">
        <w:rPr>
          <w:rFonts w:ascii="Arial" w:hAnsi="Arial"/>
        </w:rPr>
        <w:t xml:space="preserve"> </w:t>
      </w:r>
      <w:r w:rsidR="001547D0">
        <w:rPr>
          <w:rFonts w:ascii="Arial" w:hAnsi="Arial"/>
        </w:rPr>
        <w:t>its</w:t>
      </w:r>
      <w:r w:rsidR="00B267EA">
        <w:rPr>
          <w:rFonts w:ascii="Arial" w:hAnsi="Arial"/>
        </w:rPr>
        <w:t xml:space="preserve"> digestibility would allow higher nutritional value</w:t>
      </w:r>
      <w:r w:rsidR="00AD07F3">
        <w:rPr>
          <w:rFonts w:ascii="Arial" w:hAnsi="Arial"/>
        </w:rPr>
        <w:t xml:space="preserve"> and produce more functionality for human health benefits (</w:t>
      </w:r>
      <w:r w:rsidR="00BC369F">
        <w:rPr>
          <w:rFonts w:ascii="Arial" w:hAnsi="Arial"/>
        </w:rPr>
        <w:t>5</w:t>
      </w:r>
      <w:r w:rsidR="00AD07F3">
        <w:rPr>
          <w:rFonts w:ascii="Arial" w:hAnsi="Arial"/>
        </w:rPr>
        <w:t>).</w:t>
      </w:r>
      <w:r w:rsidR="00B01A0E">
        <w:rPr>
          <w:rFonts w:ascii="Arial" w:hAnsi="Arial"/>
        </w:rPr>
        <w:t xml:space="preserve"> The prospect of improving digestibility and nutritional value of this grain, so prevalent in Africa and Asia, offers the potential to mitigate global food and nutritional needs in water-scarce regions of the world</w:t>
      </w:r>
      <w:r w:rsidR="002F7D12">
        <w:rPr>
          <w:rFonts w:ascii="Arial" w:hAnsi="Arial"/>
        </w:rPr>
        <w:t xml:space="preserve"> (</w:t>
      </w:r>
      <w:r w:rsidR="007E6C68">
        <w:rPr>
          <w:rFonts w:ascii="Arial" w:hAnsi="Arial"/>
        </w:rPr>
        <w:t>11</w:t>
      </w:r>
      <w:r w:rsidR="002F7D12">
        <w:rPr>
          <w:rFonts w:ascii="Arial" w:hAnsi="Arial"/>
        </w:rPr>
        <w:t>)</w:t>
      </w:r>
      <w:r w:rsidR="00B01A0E">
        <w:rPr>
          <w:rFonts w:ascii="Arial" w:hAnsi="Arial"/>
        </w:rPr>
        <w:t>.</w:t>
      </w:r>
      <w:r w:rsidR="00AD07F3">
        <w:rPr>
          <w:rFonts w:ascii="Arial" w:hAnsi="Arial"/>
        </w:rPr>
        <w:t xml:space="preserve"> </w:t>
      </w:r>
    </w:p>
    <w:p w14:paraId="26662C29" w14:textId="4BC7EDD7" w:rsidR="000051C4" w:rsidRDefault="00AD07F3" w:rsidP="007C3B29">
      <w:pPr>
        <w:spacing w:after="240" w:line="480" w:lineRule="auto"/>
        <w:rPr>
          <w:rFonts w:ascii="Arial" w:hAnsi="Arial"/>
        </w:rPr>
      </w:pPr>
      <w:r>
        <w:rPr>
          <w:rFonts w:ascii="Arial" w:hAnsi="Arial"/>
        </w:rPr>
        <w:t xml:space="preserve">The </w:t>
      </w:r>
      <w:r w:rsidR="001547D0">
        <w:rPr>
          <w:rFonts w:ascii="Arial" w:hAnsi="Arial"/>
        </w:rPr>
        <w:t>hypothesis</w:t>
      </w:r>
      <w:r>
        <w:rPr>
          <w:rFonts w:ascii="Arial" w:hAnsi="Arial"/>
        </w:rPr>
        <w:t xml:space="preserve"> investigated and explained through this research is </w:t>
      </w:r>
      <w:r w:rsidR="001547D0">
        <w:rPr>
          <w:rFonts w:ascii="Arial" w:hAnsi="Arial"/>
        </w:rPr>
        <w:t xml:space="preserve">that kafirin </w:t>
      </w:r>
      <w:r w:rsidR="005E2B6F">
        <w:rPr>
          <w:rFonts w:ascii="Arial" w:hAnsi="Arial"/>
        </w:rPr>
        <w:t xml:space="preserve">solubility </w:t>
      </w:r>
      <w:r w:rsidR="00B01A0E">
        <w:rPr>
          <w:rFonts w:ascii="Arial" w:hAnsi="Arial"/>
        </w:rPr>
        <w:t xml:space="preserve">and nutritional benefit </w:t>
      </w:r>
      <w:r w:rsidR="001547D0">
        <w:rPr>
          <w:rFonts w:ascii="Arial" w:hAnsi="Arial"/>
        </w:rPr>
        <w:t xml:space="preserve">can be promoted </w:t>
      </w:r>
      <w:r w:rsidR="005E2B6F">
        <w:rPr>
          <w:rFonts w:ascii="Arial" w:hAnsi="Arial"/>
        </w:rPr>
        <w:t xml:space="preserve">through </w:t>
      </w:r>
      <w:r w:rsidR="00642BB8">
        <w:rPr>
          <w:rFonts w:ascii="Arial" w:hAnsi="Arial"/>
        </w:rPr>
        <w:t>ultra-sonication</w:t>
      </w:r>
      <w:r>
        <w:rPr>
          <w:rFonts w:ascii="Arial" w:hAnsi="Arial"/>
        </w:rPr>
        <w:t>.</w:t>
      </w:r>
      <w:r w:rsidR="005E2B6F">
        <w:rPr>
          <w:rFonts w:ascii="Arial" w:hAnsi="Arial"/>
        </w:rPr>
        <w:t xml:space="preserve"> </w:t>
      </w:r>
      <w:r w:rsidR="00642BB8">
        <w:rPr>
          <w:rFonts w:ascii="Arial" w:hAnsi="Arial"/>
        </w:rPr>
        <w:t>Ultra-sonication</w:t>
      </w:r>
      <w:r w:rsidR="000051C4">
        <w:rPr>
          <w:rFonts w:ascii="Arial" w:hAnsi="Arial"/>
        </w:rPr>
        <w:t xml:space="preserve"> is a process that sends ultrasound waves</w:t>
      </w:r>
      <w:r w:rsidR="00C9201D">
        <w:rPr>
          <w:rFonts w:ascii="Arial" w:hAnsi="Arial"/>
        </w:rPr>
        <w:t>,</w:t>
      </w:r>
      <w:r w:rsidR="000051C4">
        <w:rPr>
          <w:rFonts w:ascii="Arial" w:hAnsi="Arial"/>
        </w:rPr>
        <w:t xml:space="preserve"> usually above 20 kHz</w:t>
      </w:r>
      <w:r w:rsidR="00C9201D">
        <w:rPr>
          <w:rFonts w:ascii="Arial" w:hAnsi="Arial"/>
        </w:rPr>
        <w:t>,</w:t>
      </w:r>
      <w:r w:rsidR="000051C4">
        <w:rPr>
          <w:rFonts w:ascii="Arial" w:hAnsi="Arial"/>
        </w:rPr>
        <w:t xml:space="preserve"> into a medium to create an agitation of said medium. </w:t>
      </w:r>
      <w:r w:rsidR="00980AA6">
        <w:rPr>
          <w:rFonts w:ascii="Arial" w:hAnsi="Arial"/>
        </w:rPr>
        <w:t xml:space="preserve">This agitation could lead to cavitation in the </w:t>
      </w:r>
      <w:r w:rsidR="000051C4">
        <w:rPr>
          <w:rFonts w:ascii="Arial" w:hAnsi="Arial"/>
        </w:rPr>
        <w:t>substance</w:t>
      </w:r>
      <w:r w:rsidR="00980AA6">
        <w:rPr>
          <w:rFonts w:ascii="Arial" w:hAnsi="Arial"/>
        </w:rPr>
        <w:t xml:space="preserve">, </w:t>
      </w:r>
      <w:r w:rsidR="000B110A">
        <w:rPr>
          <w:rFonts w:ascii="Arial" w:hAnsi="Arial"/>
        </w:rPr>
        <w:t xml:space="preserve">a formation of </w:t>
      </w:r>
      <w:r w:rsidR="0094024E">
        <w:rPr>
          <w:rFonts w:ascii="Arial" w:hAnsi="Arial"/>
        </w:rPr>
        <w:t>empty spaces within the matter</w:t>
      </w:r>
      <w:r w:rsidR="000B110A">
        <w:rPr>
          <w:rFonts w:ascii="Arial" w:hAnsi="Arial"/>
        </w:rPr>
        <w:t>. This thus could</w:t>
      </w:r>
      <w:r w:rsidR="00980AA6">
        <w:rPr>
          <w:rFonts w:ascii="Arial" w:hAnsi="Arial"/>
        </w:rPr>
        <w:t xml:space="preserve"> cause chemical changes, such as digestibility (</w:t>
      </w:r>
      <w:r w:rsidR="007E6C68">
        <w:rPr>
          <w:rFonts w:ascii="Arial" w:hAnsi="Arial"/>
        </w:rPr>
        <w:t>8, 10</w:t>
      </w:r>
      <w:r w:rsidR="00980AA6">
        <w:rPr>
          <w:rFonts w:ascii="Arial" w:hAnsi="Arial"/>
        </w:rPr>
        <w:t>).</w:t>
      </w:r>
    </w:p>
    <w:p w14:paraId="46700AB2" w14:textId="5205F034" w:rsidR="003327EF" w:rsidRPr="003327EF" w:rsidRDefault="001547D0" w:rsidP="007C3B29">
      <w:pPr>
        <w:spacing w:after="240" w:line="480" w:lineRule="auto"/>
        <w:rPr>
          <w:rFonts w:ascii="Arial" w:hAnsi="Arial"/>
        </w:rPr>
      </w:pPr>
      <w:r>
        <w:rPr>
          <w:rFonts w:ascii="Arial" w:hAnsi="Arial"/>
        </w:rPr>
        <w:t>The</w:t>
      </w:r>
      <w:r w:rsidR="005E2B6F">
        <w:rPr>
          <w:rFonts w:ascii="Arial" w:hAnsi="Arial"/>
        </w:rPr>
        <w:t xml:space="preserve"> objective </w:t>
      </w:r>
      <w:r>
        <w:rPr>
          <w:rFonts w:ascii="Arial" w:hAnsi="Arial"/>
        </w:rPr>
        <w:t xml:space="preserve">of this study </w:t>
      </w:r>
      <w:r w:rsidR="005E2B6F">
        <w:rPr>
          <w:rFonts w:ascii="Arial" w:hAnsi="Arial"/>
        </w:rPr>
        <w:t xml:space="preserve">was to isolate the protein kafirin from sorghum and establish how </w:t>
      </w:r>
      <w:r w:rsidR="00642BB8">
        <w:rPr>
          <w:rFonts w:ascii="Arial" w:hAnsi="Arial"/>
        </w:rPr>
        <w:t>ultra-sonication</w:t>
      </w:r>
      <w:r w:rsidR="005E2B6F">
        <w:rPr>
          <w:rFonts w:ascii="Arial" w:hAnsi="Arial"/>
        </w:rPr>
        <w:t xml:space="preserve"> affects its pepsin-pancreatin stability. </w:t>
      </w:r>
      <w:r w:rsidR="00E45C8E">
        <w:rPr>
          <w:rFonts w:ascii="Arial" w:hAnsi="Arial"/>
        </w:rPr>
        <w:t xml:space="preserve">If </w:t>
      </w:r>
      <w:r>
        <w:rPr>
          <w:rFonts w:ascii="Arial" w:hAnsi="Arial"/>
        </w:rPr>
        <w:t xml:space="preserve">testing and </w:t>
      </w:r>
      <w:r w:rsidR="00E45C8E">
        <w:rPr>
          <w:rFonts w:ascii="Arial" w:hAnsi="Arial"/>
        </w:rPr>
        <w:t xml:space="preserve">analyses </w:t>
      </w:r>
      <w:r>
        <w:rPr>
          <w:rFonts w:ascii="Arial" w:hAnsi="Arial"/>
        </w:rPr>
        <w:t>were to go</w:t>
      </w:r>
      <w:r w:rsidR="00E45C8E">
        <w:rPr>
          <w:rFonts w:ascii="Arial" w:hAnsi="Arial"/>
        </w:rPr>
        <w:t xml:space="preserve"> as planned, the </w:t>
      </w:r>
      <w:r w:rsidR="00642BB8">
        <w:rPr>
          <w:rFonts w:ascii="Arial" w:hAnsi="Arial"/>
        </w:rPr>
        <w:t>ultra-sonication</w:t>
      </w:r>
      <w:r w:rsidR="00E45C8E">
        <w:rPr>
          <w:rFonts w:ascii="Arial" w:hAnsi="Arial"/>
        </w:rPr>
        <w:t xml:space="preserve"> of kafirin </w:t>
      </w:r>
      <w:r>
        <w:rPr>
          <w:rFonts w:ascii="Arial" w:hAnsi="Arial"/>
        </w:rPr>
        <w:t>would</w:t>
      </w:r>
      <w:r w:rsidR="00E45C8E">
        <w:rPr>
          <w:rFonts w:ascii="Arial" w:hAnsi="Arial"/>
        </w:rPr>
        <w:t xml:space="preserve"> impact the protein’s pepsin-pancreatin digestibility beneficially.   </w:t>
      </w:r>
    </w:p>
    <w:p w14:paraId="526BE684" w14:textId="2B051D9A" w:rsidR="003327EF" w:rsidRPr="00A15434" w:rsidRDefault="003327EF" w:rsidP="00841201">
      <w:pPr>
        <w:pStyle w:val="ListParagraph"/>
        <w:numPr>
          <w:ilvl w:val="0"/>
          <w:numId w:val="1"/>
        </w:numPr>
        <w:spacing w:line="480" w:lineRule="auto"/>
        <w:rPr>
          <w:rFonts w:ascii="Arial" w:hAnsi="Arial"/>
          <w:b/>
        </w:rPr>
      </w:pPr>
      <w:r w:rsidRPr="003327EF">
        <w:rPr>
          <w:rFonts w:ascii="Arial" w:hAnsi="Arial"/>
          <w:b/>
        </w:rPr>
        <w:t>Materials and Methods</w:t>
      </w:r>
    </w:p>
    <w:p w14:paraId="10773C62" w14:textId="77777777" w:rsidR="003327EF" w:rsidRDefault="00AF0063" w:rsidP="00841201">
      <w:pPr>
        <w:spacing w:line="480" w:lineRule="auto"/>
        <w:rPr>
          <w:rFonts w:ascii="Arial" w:hAnsi="Arial"/>
          <w:i/>
        </w:rPr>
      </w:pPr>
      <w:r w:rsidRPr="00A258B9">
        <w:rPr>
          <w:rFonts w:ascii="Arial" w:hAnsi="Arial"/>
          <w:i/>
        </w:rPr>
        <w:t xml:space="preserve">2.1 </w:t>
      </w:r>
      <w:r w:rsidR="003327EF" w:rsidRPr="00A258B9">
        <w:rPr>
          <w:rFonts w:ascii="Arial" w:hAnsi="Arial"/>
          <w:i/>
        </w:rPr>
        <w:t>Materials</w:t>
      </w:r>
    </w:p>
    <w:p w14:paraId="4789C36D" w14:textId="7D6F6BE9" w:rsidR="00EC49BE" w:rsidRPr="00EC49BE" w:rsidRDefault="00EC49BE" w:rsidP="00841201">
      <w:pPr>
        <w:spacing w:line="480" w:lineRule="auto"/>
        <w:rPr>
          <w:rFonts w:ascii="Arial" w:hAnsi="Arial"/>
        </w:rPr>
      </w:pPr>
      <w:r>
        <w:rPr>
          <w:rFonts w:ascii="Arial" w:hAnsi="Arial"/>
        </w:rPr>
        <w:t xml:space="preserve">Whole grain sweet white sorghum flour was obtained from Bob’s Red Mill Natural Food, Inc. (Milwaukie, OR). </w:t>
      </w:r>
      <w:r w:rsidRPr="00BC369F">
        <w:rPr>
          <w:rFonts w:ascii="Arial" w:hAnsi="Arial"/>
        </w:rPr>
        <w:t xml:space="preserve">The sorghum flour was defatted, and albumin, </w:t>
      </w:r>
      <w:r w:rsidRPr="00BC369F">
        <w:rPr>
          <w:rFonts w:ascii="Arial" w:hAnsi="Arial"/>
        </w:rPr>
        <w:lastRenderedPageBreak/>
        <w:t>globulin, and then kafirin protein was extracted from the sample,</w:t>
      </w:r>
      <w:r w:rsidR="00BC369F" w:rsidRPr="00BC369F">
        <w:rPr>
          <w:rFonts w:ascii="Arial" w:hAnsi="Arial"/>
        </w:rPr>
        <w:t xml:space="preserve"> and it was subsequently</w:t>
      </w:r>
      <w:r w:rsidRPr="00BC369F">
        <w:rPr>
          <w:rFonts w:ascii="Arial" w:hAnsi="Arial"/>
        </w:rPr>
        <w:t xml:space="preserve"> </w:t>
      </w:r>
      <w:r w:rsidR="00BC369F" w:rsidRPr="00BC369F">
        <w:rPr>
          <w:rFonts w:ascii="Arial" w:hAnsi="Arial"/>
        </w:rPr>
        <w:t>distilled</w:t>
      </w:r>
      <w:r w:rsidR="00F00FBE">
        <w:rPr>
          <w:rFonts w:ascii="Arial" w:hAnsi="Arial"/>
        </w:rPr>
        <w:t xml:space="preserve"> and freeze dried</w:t>
      </w:r>
      <w:r w:rsidRPr="00BC369F">
        <w:rPr>
          <w:rFonts w:ascii="Arial" w:hAnsi="Arial"/>
        </w:rPr>
        <w:t>.</w:t>
      </w:r>
      <w:r>
        <w:rPr>
          <w:rFonts w:ascii="Arial" w:hAnsi="Arial"/>
        </w:rPr>
        <w:t xml:space="preserve"> </w:t>
      </w:r>
    </w:p>
    <w:p w14:paraId="583D64A1" w14:textId="1C9D9E5B" w:rsidR="00322888" w:rsidRPr="00A258B9" w:rsidRDefault="00AF0063" w:rsidP="00841201">
      <w:pPr>
        <w:spacing w:line="480" w:lineRule="auto"/>
        <w:rPr>
          <w:rFonts w:ascii="Arial" w:hAnsi="Arial"/>
          <w:i/>
        </w:rPr>
      </w:pPr>
      <w:r w:rsidRPr="00A258B9">
        <w:rPr>
          <w:rFonts w:ascii="Arial" w:hAnsi="Arial"/>
          <w:i/>
        </w:rPr>
        <w:t xml:space="preserve">2.2 </w:t>
      </w:r>
      <w:r w:rsidR="00DD3DD2" w:rsidRPr="00A258B9">
        <w:rPr>
          <w:rFonts w:ascii="Arial" w:hAnsi="Arial"/>
          <w:i/>
        </w:rPr>
        <w:t>Bicinchoninic Acid Assay</w:t>
      </w:r>
    </w:p>
    <w:p w14:paraId="54D179FE" w14:textId="644AF1A2" w:rsidR="00322888" w:rsidRDefault="00322888" w:rsidP="00841201">
      <w:pPr>
        <w:spacing w:line="480" w:lineRule="auto"/>
        <w:rPr>
          <w:rFonts w:ascii="Arial" w:hAnsi="Arial"/>
        </w:rPr>
      </w:pPr>
      <w:r>
        <w:rPr>
          <w:rFonts w:ascii="Arial" w:hAnsi="Arial"/>
        </w:rPr>
        <w:t xml:space="preserve">This portion of the analysis measured protein concentration by Bicinchoninic Acid (BCA), and a standard curve was prepared before proceeding. For this, one vial of 2 mg </w:t>
      </w:r>
      <w:r w:rsidR="00B22520">
        <w:rPr>
          <w:rFonts w:ascii="Arial" w:hAnsi="Arial"/>
        </w:rPr>
        <w:t>bovine serum albumin (</w:t>
      </w:r>
      <w:r>
        <w:rPr>
          <w:rFonts w:ascii="Arial" w:hAnsi="Arial"/>
        </w:rPr>
        <w:t>BSA</w:t>
      </w:r>
      <w:r w:rsidR="00B22520">
        <w:rPr>
          <w:rFonts w:ascii="Arial" w:hAnsi="Arial"/>
        </w:rPr>
        <w:t>)</w:t>
      </w:r>
      <w:r>
        <w:rPr>
          <w:rFonts w:ascii="Arial" w:hAnsi="Arial"/>
        </w:rPr>
        <w:t xml:space="preserve">/mL solution was obtained and used to prepare </w:t>
      </w:r>
      <w:r w:rsidR="003821A9">
        <w:rPr>
          <w:rFonts w:ascii="Arial" w:hAnsi="Arial"/>
        </w:rPr>
        <w:t xml:space="preserve">standard solutions. The sample solutions were prepared by adding 1 mg of kafirin sample to </w:t>
      </w:r>
      <w:r w:rsidR="00F00FBE">
        <w:rPr>
          <w:rFonts w:ascii="Arial" w:hAnsi="Arial"/>
        </w:rPr>
        <w:t xml:space="preserve">1-mL of </w:t>
      </w:r>
      <w:r w:rsidR="003821A9">
        <w:rPr>
          <w:rFonts w:ascii="Arial" w:hAnsi="Arial"/>
        </w:rPr>
        <w:t xml:space="preserve">60% isopropanol, then vortexing 3k RPM at room temperature until the samples were fully dissolved. </w:t>
      </w:r>
      <w:r>
        <w:rPr>
          <w:rFonts w:ascii="Arial" w:hAnsi="Arial"/>
        </w:rPr>
        <w:t xml:space="preserve">Next, a BCA working reagent (WR) was prepared by first calculating the total volume of WR needed, which was calculated to be 7380 </w:t>
      </w:r>
      <w:r w:rsidR="002815E4" w:rsidRPr="002815E4">
        <w:rPr>
          <w:rFonts w:ascii="Arial" w:hAnsi="Arial" w:cs="Arial"/>
          <w:color w:val="000000"/>
        </w:rPr>
        <w:t>μ</w:t>
      </w:r>
      <w:r w:rsidR="002815E4">
        <w:rPr>
          <w:rFonts w:ascii="Arial" w:hAnsi="Arial" w:cs="Arial"/>
          <w:color w:val="000000"/>
        </w:rPr>
        <w:t xml:space="preserve">L. </w:t>
      </w:r>
      <w:r w:rsidR="002815E4" w:rsidRPr="003821A9">
        <w:rPr>
          <w:rFonts w:ascii="Arial" w:hAnsi="Arial" w:cs="Arial"/>
          <w:color w:val="000000"/>
        </w:rPr>
        <w:t>Next, 50 parts BCA Reagent A was mixed with 1 part BCA Reagent B</w:t>
      </w:r>
      <w:r w:rsidR="003821A9" w:rsidRPr="003821A9">
        <w:rPr>
          <w:rFonts w:ascii="Arial" w:hAnsi="Arial" w:cs="Arial"/>
          <w:color w:val="000000"/>
        </w:rPr>
        <w:t>, to equal the 7380 μL</w:t>
      </w:r>
      <w:r w:rsidR="002815E4" w:rsidRPr="003821A9">
        <w:rPr>
          <w:rFonts w:ascii="Arial" w:hAnsi="Arial" w:cs="Arial"/>
          <w:color w:val="000000"/>
        </w:rPr>
        <w:t>.</w:t>
      </w:r>
      <w:r w:rsidR="002815E4">
        <w:rPr>
          <w:rFonts w:ascii="Arial" w:hAnsi="Arial" w:cs="Arial"/>
          <w:color w:val="000000"/>
        </w:rPr>
        <w:t xml:space="preserve"> To complete the assay, </w:t>
      </w:r>
      <w:r w:rsidR="001822A1">
        <w:rPr>
          <w:rFonts w:ascii="Arial" w:hAnsi="Arial" w:cs="Arial"/>
          <w:color w:val="000000"/>
        </w:rPr>
        <w:t xml:space="preserve">25 </w:t>
      </w:r>
      <w:r w:rsidR="001822A1" w:rsidRPr="002815E4">
        <w:rPr>
          <w:rFonts w:ascii="Arial" w:hAnsi="Arial" w:cs="Arial"/>
          <w:color w:val="000000"/>
        </w:rPr>
        <w:t>μ</w:t>
      </w:r>
      <w:r w:rsidR="001822A1">
        <w:rPr>
          <w:rFonts w:ascii="Arial" w:hAnsi="Arial" w:cs="Arial"/>
          <w:color w:val="000000"/>
        </w:rPr>
        <w:t>L of each sample was pipetted into a</w:t>
      </w:r>
      <w:r w:rsidR="003821A9">
        <w:rPr>
          <w:rFonts w:ascii="Arial" w:hAnsi="Arial" w:cs="Arial"/>
          <w:color w:val="000000"/>
        </w:rPr>
        <w:t xml:space="preserve"> clear</w:t>
      </w:r>
      <w:r w:rsidR="001822A1">
        <w:rPr>
          <w:rFonts w:ascii="Arial" w:hAnsi="Arial" w:cs="Arial"/>
          <w:color w:val="000000"/>
        </w:rPr>
        <w:t xml:space="preserve"> 96 well plate. As with all analyses in this study, this was completed in triplicate. </w:t>
      </w:r>
      <w:r w:rsidR="00F00FBE">
        <w:rPr>
          <w:rFonts w:ascii="Arial" w:hAnsi="Arial" w:cs="Arial"/>
          <w:color w:val="000000"/>
        </w:rPr>
        <w:t>Two hundred</w:t>
      </w:r>
      <w:r w:rsidR="00F00FBE" w:rsidRPr="001822A1">
        <w:rPr>
          <w:rFonts w:ascii="Arial" w:hAnsi="Arial" w:cs="Arial"/>
          <w:color w:val="000000"/>
        </w:rPr>
        <w:t xml:space="preserve"> </w:t>
      </w:r>
      <w:r w:rsidR="001822A1" w:rsidRPr="002815E4">
        <w:rPr>
          <w:rFonts w:ascii="Arial" w:hAnsi="Arial" w:cs="Arial"/>
          <w:color w:val="000000"/>
        </w:rPr>
        <w:t>μ</w:t>
      </w:r>
      <w:r w:rsidR="001822A1">
        <w:rPr>
          <w:rFonts w:ascii="Arial" w:hAnsi="Arial" w:cs="Arial"/>
          <w:color w:val="000000"/>
        </w:rPr>
        <w:t>L of the WR was added to each well. This was then mixed on a plate shaker for 30 seconds. The plate was covered with parafilm and incubated at 37</w:t>
      </w:r>
      <w:r w:rsidR="001822A1" w:rsidRPr="001822A1">
        <w:rPr>
          <w:rFonts w:ascii="Arial" w:hAnsi="Arial" w:cs="Arial"/>
          <w:color w:val="000000"/>
        </w:rPr>
        <w:t>°</w:t>
      </w:r>
      <w:r w:rsidR="001822A1">
        <w:rPr>
          <w:rFonts w:ascii="Arial" w:hAnsi="Arial" w:cs="Arial"/>
          <w:color w:val="000000"/>
        </w:rPr>
        <w:t>C for 30 minutes, followed by cooling to room temperature. At this point, the absorbance was taken of the samples at 490 nm with a microplate reader</w:t>
      </w:r>
      <w:r w:rsidR="00F00FBE">
        <w:rPr>
          <w:rFonts w:ascii="Arial" w:hAnsi="Arial" w:cs="Arial"/>
          <w:color w:val="000000"/>
        </w:rPr>
        <w:t xml:space="preserve"> and soluble protein concentration calculated from BSA standard curve</w:t>
      </w:r>
      <w:r w:rsidR="001822A1">
        <w:rPr>
          <w:rFonts w:ascii="Arial" w:hAnsi="Arial" w:cs="Arial"/>
          <w:color w:val="000000"/>
        </w:rPr>
        <w:t>.</w:t>
      </w:r>
    </w:p>
    <w:p w14:paraId="0341D96C" w14:textId="4AD6CA63" w:rsidR="009A6A3B" w:rsidRPr="00A258B9" w:rsidRDefault="00AF0063" w:rsidP="00841201">
      <w:pPr>
        <w:spacing w:line="480" w:lineRule="auto"/>
        <w:rPr>
          <w:rFonts w:ascii="Arial" w:hAnsi="Arial" w:cs="Arial"/>
          <w:i/>
        </w:rPr>
      </w:pPr>
      <w:r w:rsidRPr="00A258B9">
        <w:rPr>
          <w:rFonts w:ascii="Arial" w:hAnsi="Arial" w:cs="Arial"/>
          <w:i/>
        </w:rPr>
        <w:t xml:space="preserve">2.3 </w:t>
      </w:r>
      <w:r w:rsidR="00F00FBE">
        <w:rPr>
          <w:rFonts w:ascii="Arial" w:hAnsi="Arial" w:cs="Arial"/>
          <w:i/>
        </w:rPr>
        <w:t>Molecular weight profile</w:t>
      </w:r>
    </w:p>
    <w:p w14:paraId="5100B3F4" w14:textId="293274DB" w:rsidR="009A6A3B" w:rsidRPr="00DA4E13" w:rsidRDefault="0031410D" w:rsidP="00841201">
      <w:pPr>
        <w:spacing w:line="480" w:lineRule="auto"/>
      </w:pPr>
      <w:r>
        <w:rPr>
          <w:rFonts w:ascii="Arial" w:hAnsi="Arial" w:cs="Arial"/>
        </w:rPr>
        <w:t>T</w:t>
      </w:r>
      <w:r w:rsidR="00912628">
        <w:rPr>
          <w:rFonts w:ascii="Arial" w:hAnsi="Arial" w:cs="Arial"/>
        </w:rPr>
        <w:t>his analysis separated the molecules according to their molecular mass (in kD</w:t>
      </w:r>
      <w:r w:rsidR="00F00FBE">
        <w:rPr>
          <w:rFonts w:ascii="Arial" w:hAnsi="Arial" w:cs="Arial"/>
        </w:rPr>
        <w:t>a</w:t>
      </w:r>
      <w:r w:rsidR="00912628">
        <w:rPr>
          <w:rFonts w:ascii="Arial" w:hAnsi="Arial" w:cs="Arial"/>
        </w:rPr>
        <w:t xml:space="preserve">), using </w:t>
      </w:r>
      <w:r w:rsidR="00912628" w:rsidRPr="00531D61">
        <w:rPr>
          <w:rFonts w:ascii="Arial" w:hAnsi="Arial" w:cs="Arial"/>
        </w:rPr>
        <w:t xml:space="preserve">Sodium Dodecyl Sulfate Polyacrylamide Gel Electrophoresis </w:t>
      </w:r>
      <w:r w:rsidR="00912628">
        <w:rPr>
          <w:rFonts w:ascii="Arial" w:hAnsi="Arial" w:cs="Arial"/>
        </w:rPr>
        <w:t>(SDS-PAGE). T</w:t>
      </w:r>
      <w:r>
        <w:rPr>
          <w:rFonts w:ascii="Arial" w:hAnsi="Arial" w:cs="Arial"/>
        </w:rPr>
        <w:t xml:space="preserve">he sample was prepared by dissolving 1 mg/mL of sample in 60% </w:t>
      </w:r>
      <w:r>
        <w:rPr>
          <w:rFonts w:ascii="Arial" w:hAnsi="Arial" w:cs="Arial"/>
        </w:rPr>
        <w:lastRenderedPageBreak/>
        <w:t xml:space="preserve">isopropanol, then vortexing at 3K RPM at room temperature until the sample was fully dissolved. The sample was then </w:t>
      </w:r>
      <w:r w:rsidRPr="00531D61">
        <w:rPr>
          <w:rFonts w:ascii="Arial" w:hAnsi="Arial" w:cs="Arial"/>
        </w:rPr>
        <w:t>analyzed</w:t>
      </w:r>
      <w:r w:rsidR="00912628">
        <w:rPr>
          <w:rFonts w:ascii="Arial" w:hAnsi="Arial" w:cs="Arial"/>
        </w:rPr>
        <w:t xml:space="preserve"> by SDS-PAGE</w:t>
      </w:r>
      <w:r w:rsidR="00531D61" w:rsidRPr="00531D61">
        <w:rPr>
          <w:rFonts w:ascii="Arial" w:hAnsi="Arial" w:cs="Arial"/>
        </w:rPr>
        <w:t xml:space="preserve"> under reducing conditions.</w:t>
      </w:r>
      <w:r w:rsidR="00531D61">
        <w:rPr>
          <w:rFonts w:ascii="Arial" w:hAnsi="Arial" w:cs="Arial"/>
        </w:rPr>
        <w:t xml:space="preserve"> </w:t>
      </w:r>
      <w:r w:rsidR="00F00FBE">
        <w:rPr>
          <w:rFonts w:ascii="Arial" w:hAnsi="Arial" w:cs="Arial"/>
        </w:rPr>
        <w:t xml:space="preserve">Twenty </w:t>
      </w:r>
      <w:r w:rsidR="00531D61" w:rsidRPr="002815E4">
        <w:rPr>
          <w:rFonts w:ascii="Arial" w:hAnsi="Arial" w:cs="Arial"/>
          <w:color w:val="000000"/>
        </w:rPr>
        <w:t>μ</w:t>
      </w:r>
      <w:r w:rsidR="00531D61">
        <w:rPr>
          <w:rFonts w:ascii="Arial" w:hAnsi="Arial" w:cs="Arial"/>
          <w:color w:val="000000"/>
        </w:rPr>
        <w:t>L of sample was added to each well of a 4-20% Mini-Protean TGX Gel (Bio-Rad Laboratories, Hercules CA). The electrophoresis was run at 180 V for 35 minutes.</w:t>
      </w:r>
      <w:r w:rsidR="00766EF5">
        <w:rPr>
          <w:rFonts w:ascii="Arial" w:hAnsi="Arial" w:cs="Arial"/>
          <w:color w:val="000000"/>
        </w:rPr>
        <w:t xml:space="preserve"> </w:t>
      </w:r>
      <w:r w:rsidR="00F00FBE">
        <w:rPr>
          <w:rFonts w:ascii="Arial" w:hAnsi="Arial" w:cs="Arial"/>
          <w:color w:val="000000"/>
        </w:rPr>
        <w:t xml:space="preserve">Fifty </w:t>
      </w:r>
      <w:r w:rsidR="00766EF5">
        <w:rPr>
          <w:rFonts w:ascii="Arial" w:hAnsi="Arial" w:cs="Arial"/>
          <w:color w:val="000000"/>
        </w:rPr>
        <w:t>mL of Coomassie blue dye was</w:t>
      </w:r>
      <w:r w:rsidR="00F00FBE">
        <w:rPr>
          <w:rFonts w:ascii="Arial" w:hAnsi="Arial" w:cs="Arial"/>
          <w:color w:val="000000"/>
        </w:rPr>
        <w:t xml:space="preserve"> added and </w:t>
      </w:r>
      <w:r w:rsidR="00766EF5">
        <w:rPr>
          <w:rFonts w:ascii="Arial" w:hAnsi="Arial" w:cs="Arial"/>
          <w:color w:val="000000"/>
        </w:rPr>
        <w:t>incubated overnight at 4</w:t>
      </w:r>
      <w:r w:rsidR="00766EF5" w:rsidRPr="00531D61">
        <w:rPr>
          <w:rFonts w:ascii="Arial" w:hAnsi="Arial" w:cs="Arial"/>
          <w:color w:val="000000"/>
        </w:rPr>
        <w:t>°</w:t>
      </w:r>
      <w:r w:rsidR="00766EF5">
        <w:rPr>
          <w:rFonts w:ascii="Arial" w:hAnsi="Arial" w:cs="Arial"/>
          <w:color w:val="000000"/>
        </w:rPr>
        <w:t>C. The sample was destained in deionized water</w:t>
      </w:r>
      <w:r w:rsidR="00F00FBE">
        <w:rPr>
          <w:rFonts w:ascii="Arial" w:hAnsi="Arial" w:cs="Arial"/>
          <w:color w:val="000000"/>
        </w:rPr>
        <w:t xml:space="preserve"> until a clear background is obtained</w:t>
      </w:r>
      <w:r w:rsidR="00766EF5">
        <w:rPr>
          <w:rFonts w:ascii="Arial" w:hAnsi="Arial" w:cs="Arial"/>
          <w:color w:val="000000"/>
        </w:rPr>
        <w:t xml:space="preserve">. </w:t>
      </w:r>
    </w:p>
    <w:p w14:paraId="230486C3" w14:textId="61D19DF7" w:rsidR="003327EF" w:rsidRPr="00A258B9" w:rsidRDefault="00D1293A" w:rsidP="00841201">
      <w:pPr>
        <w:pStyle w:val="ListParagraph"/>
        <w:numPr>
          <w:ilvl w:val="1"/>
          <w:numId w:val="1"/>
        </w:numPr>
        <w:spacing w:line="480" w:lineRule="auto"/>
        <w:rPr>
          <w:rFonts w:ascii="Arial" w:hAnsi="Arial"/>
          <w:i/>
        </w:rPr>
      </w:pPr>
      <w:r w:rsidRPr="00A258B9">
        <w:rPr>
          <w:rFonts w:ascii="Arial" w:hAnsi="Arial"/>
          <w:i/>
        </w:rPr>
        <w:t>Ort</w:t>
      </w:r>
      <w:r w:rsidR="00F00FBE">
        <w:rPr>
          <w:rFonts w:ascii="Arial" w:hAnsi="Arial"/>
          <w:i/>
        </w:rPr>
        <w:t>h</w:t>
      </w:r>
      <w:r w:rsidRPr="00A258B9">
        <w:rPr>
          <w:rFonts w:ascii="Arial" w:hAnsi="Arial"/>
          <w:i/>
        </w:rPr>
        <w:t>ophtal</w:t>
      </w:r>
      <w:r w:rsidR="00F00FBE">
        <w:rPr>
          <w:rFonts w:ascii="Arial" w:hAnsi="Arial"/>
          <w:i/>
        </w:rPr>
        <w:t>di</w:t>
      </w:r>
      <w:r w:rsidRPr="00A258B9">
        <w:rPr>
          <w:rFonts w:ascii="Arial" w:hAnsi="Arial"/>
          <w:i/>
        </w:rPr>
        <w:t xml:space="preserve">aldehyde </w:t>
      </w:r>
      <w:r>
        <w:rPr>
          <w:rFonts w:ascii="Arial" w:hAnsi="Arial"/>
          <w:i/>
        </w:rPr>
        <w:t>Degree of Hydrolysis</w:t>
      </w:r>
    </w:p>
    <w:p w14:paraId="7FB2A8A0" w14:textId="71906964" w:rsidR="00766EF5" w:rsidRDefault="00912628" w:rsidP="00841201">
      <w:pPr>
        <w:spacing w:line="480" w:lineRule="auto"/>
        <w:rPr>
          <w:rFonts w:ascii="Arial" w:hAnsi="Arial"/>
        </w:rPr>
      </w:pPr>
      <w:r>
        <w:rPr>
          <w:rFonts w:ascii="Arial" w:hAnsi="Arial"/>
        </w:rPr>
        <w:t>This analysis measured degree of hydrolysis with ort</w:t>
      </w:r>
      <w:r w:rsidR="00F00FBE">
        <w:rPr>
          <w:rFonts w:ascii="Arial" w:hAnsi="Arial"/>
        </w:rPr>
        <w:t>h</w:t>
      </w:r>
      <w:r>
        <w:rPr>
          <w:rFonts w:ascii="Arial" w:hAnsi="Arial"/>
        </w:rPr>
        <w:t>ophtal</w:t>
      </w:r>
      <w:r w:rsidR="00F00FBE">
        <w:rPr>
          <w:rFonts w:ascii="Arial" w:hAnsi="Arial"/>
        </w:rPr>
        <w:t>di</w:t>
      </w:r>
      <w:r>
        <w:rPr>
          <w:rFonts w:ascii="Arial" w:hAnsi="Arial"/>
        </w:rPr>
        <w:t xml:space="preserve">aldehyde (OPA). First, a solution was prepared containing 25 mL of sodium tetraborate solution, </w:t>
      </w:r>
      <w:r w:rsidR="0097464F">
        <w:rPr>
          <w:rFonts w:ascii="Arial" w:hAnsi="Arial"/>
        </w:rPr>
        <w:t>2.</w:t>
      </w:r>
      <w:r w:rsidR="0084599B">
        <w:rPr>
          <w:rFonts w:ascii="Arial" w:hAnsi="Arial"/>
        </w:rPr>
        <w:t>5 mL of 20% sodium dodecyl sulf</w:t>
      </w:r>
      <w:r w:rsidR="0097464F">
        <w:rPr>
          <w:rFonts w:ascii="Arial" w:hAnsi="Arial"/>
        </w:rPr>
        <w:t xml:space="preserve">ate solution, and 200 </w:t>
      </w:r>
      <w:r w:rsidR="0097464F" w:rsidRPr="002815E4">
        <w:rPr>
          <w:rFonts w:ascii="Arial" w:hAnsi="Arial" w:cs="Arial"/>
          <w:color w:val="000000"/>
        </w:rPr>
        <w:t>μ</w:t>
      </w:r>
      <w:r w:rsidR="0097464F">
        <w:rPr>
          <w:rFonts w:ascii="Arial" w:hAnsi="Arial" w:cs="Arial"/>
          <w:color w:val="000000"/>
        </w:rPr>
        <w:t>L</w:t>
      </w:r>
      <w:r w:rsidR="0097464F">
        <w:rPr>
          <w:rFonts w:ascii="Arial" w:hAnsi="Arial"/>
        </w:rPr>
        <w:t xml:space="preserve"> of OPA. Using </w:t>
      </w:r>
      <w:r w:rsidR="00F00FBE">
        <w:rPr>
          <w:rFonts w:ascii="Arial" w:hAnsi="Arial"/>
        </w:rPr>
        <w:t xml:space="preserve">deionized </w:t>
      </w:r>
      <w:r w:rsidR="0097464F">
        <w:rPr>
          <w:rFonts w:ascii="Arial" w:hAnsi="Arial"/>
        </w:rPr>
        <w:t xml:space="preserve">water, the volume was adjusted to 50 mL. </w:t>
      </w:r>
      <w:r w:rsidR="00CB678E">
        <w:rPr>
          <w:rFonts w:ascii="Arial" w:hAnsi="Arial"/>
        </w:rPr>
        <w:t>The reagent was stored in the dark</w:t>
      </w:r>
      <w:r w:rsidR="00DD3DD2">
        <w:rPr>
          <w:rFonts w:ascii="Arial" w:hAnsi="Arial"/>
        </w:rPr>
        <w:t xml:space="preserve"> until ready for use. </w:t>
      </w:r>
      <w:r w:rsidR="00CB678E">
        <w:rPr>
          <w:rFonts w:ascii="Arial" w:hAnsi="Arial"/>
        </w:rPr>
        <w:t xml:space="preserve">Ten </w:t>
      </w:r>
      <w:r w:rsidR="00DD3DD2" w:rsidRPr="002815E4">
        <w:rPr>
          <w:rFonts w:ascii="Arial" w:hAnsi="Arial" w:cs="Arial"/>
          <w:color w:val="000000"/>
        </w:rPr>
        <w:t>μ</w:t>
      </w:r>
      <w:r w:rsidR="00DD3DD2">
        <w:rPr>
          <w:rFonts w:ascii="Arial" w:hAnsi="Arial" w:cs="Arial"/>
          <w:color w:val="000000"/>
        </w:rPr>
        <w:t>L of sample in 60% isopropanol (1 mg/mL) was combined with 3.4 mL of the OPA reagent in a 96 well plate. After letting stand for 2 minutes at 25</w:t>
      </w:r>
      <w:r w:rsidR="00DD3DD2" w:rsidRPr="00531D61">
        <w:rPr>
          <w:rFonts w:ascii="Arial" w:hAnsi="Arial" w:cs="Arial"/>
          <w:color w:val="000000"/>
        </w:rPr>
        <w:t>°</w:t>
      </w:r>
      <w:r w:rsidR="00DD3DD2">
        <w:rPr>
          <w:rFonts w:ascii="Arial" w:hAnsi="Arial" w:cs="Arial"/>
          <w:color w:val="000000"/>
        </w:rPr>
        <w:t>C, the absorbances were measured at a wavelength of 340 nm. From this, the degre</w:t>
      </w:r>
      <w:r w:rsidR="00012100">
        <w:rPr>
          <w:rFonts w:ascii="Arial" w:hAnsi="Arial" w:cs="Arial"/>
          <w:color w:val="000000"/>
        </w:rPr>
        <w:t xml:space="preserve">e of hydrolysis was calculated using </w:t>
      </w:r>
      <w:r w:rsidR="00DA4E13">
        <w:rPr>
          <w:rFonts w:ascii="Arial" w:hAnsi="Arial" w:cs="Arial"/>
          <w:color w:val="000000"/>
        </w:rPr>
        <w:t>Equation 1</w:t>
      </w:r>
      <w:r w:rsidR="00012100">
        <w:rPr>
          <w:rFonts w:ascii="Arial" w:hAnsi="Arial" w:cs="Arial"/>
          <w:color w:val="000000"/>
        </w:rPr>
        <w:t>.</w:t>
      </w:r>
    </w:p>
    <w:p w14:paraId="399C6A9E" w14:textId="34C1CC3C" w:rsidR="008F746F" w:rsidRPr="008F746F" w:rsidRDefault="008F746F" w:rsidP="008F746F">
      <w:pPr>
        <w:pStyle w:val="Caption"/>
        <w:keepNext/>
        <w:spacing w:after="0"/>
        <w:jc w:val="right"/>
        <w:rPr>
          <w:rFonts w:ascii="Arial" w:hAnsi="Arial" w:cs="Arial"/>
          <w:b w:val="0"/>
          <w:color w:val="auto"/>
          <w:sz w:val="24"/>
          <w:szCs w:val="24"/>
        </w:rPr>
      </w:pPr>
      <w:r w:rsidRPr="008F746F">
        <w:rPr>
          <w:rFonts w:ascii="Arial" w:hAnsi="Arial" w:cs="Arial"/>
          <w:b w:val="0"/>
          <w:color w:val="auto"/>
          <w:sz w:val="24"/>
          <w:szCs w:val="24"/>
        </w:rPr>
        <w:t xml:space="preserve">( </w:t>
      </w:r>
      <w:r w:rsidRPr="008F746F">
        <w:rPr>
          <w:rFonts w:ascii="Arial" w:hAnsi="Arial" w:cs="Arial"/>
          <w:b w:val="0"/>
          <w:color w:val="auto"/>
          <w:sz w:val="24"/>
          <w:szCs w:val="24"/>
        </w:rPr>
        <w:fldChar w:fldCharType="begin"/>
      </w:r>
      <w:r w:rsidRPr="008F746F">
        <w:rPr>
          <w:rFonts w:ascii="Arial" w:hAnsi="Arial" w:cs="Arial"/>
          <w:b w:val="0"/>
          <w:color w:val="auto"/>
          <w:sz w:val="24"/>
          <w:szCs w:val="24"/>
        </w:rPr>
        <w:instrText xml:space="preserve"> SEQ ( \* ARABIC </w:instrText>
      </w:r>
      <w:r w:rsidRPr="008F746F">
        <w:rPr>
          <w:rFonts w:ascii="Arial" w:hAnsi="Arial" w:cs="Arial"/>
          <w:b w:val="0"/>
          <w:color w:val="auto"/>
          <w:sz w:val="24"/>
          <w:szCs w:val="24"/>
        </w:rPr>
        <w:fldChar w:fldCharType="separate"/>
      </w:r>
      <w:r w:rsidR="00642BB8">
        <w:rPr>
          <w:rFonts w:ascii="Arial" w:hAnsi="Arial" w:cs="Arial"/>
          <w:b w:val="0"/>
          <w:noProof/>
          <w:color w:val="auto"/>
          <w:sz w:val="24"/>
          <w:szCs w:val="24"/>
        </w:rPr>
        <w:t>1</w:t>
      </w:r>
      <w:r w:rsidRPr="008F746F">
        <w:rPr>
          <w:rFonts w:ascii="Arial" w:hAnsi="Arial" w:cs="Arial"/>
          <w:b w:val="0"/>
          <w:color w:val="auto"/>
          <w:sz w:val="24"/>
          <w:szCs w:val="24"/>
        </w:rPr>
        <w:fldChar w:fldCharType="end"/>
      </w:r>
      <w:r w:rsidRPr="008F746F">
        <w:rPr>
          <w:rFonts w:ascii="Arial" w:hAnsi="Arial" w:cs="Arial"/>
          <w:b w:val="0"/>
          <w:color w:val="auto"/>
          <w:sz w:val="24"/>
          <w:szCs w:val="24"/>
        </w:rPr>
        <w:t xml:space="preserve"> )</w:t>
      </w:r>
    </w:p>
    <w:p w14:paraId="3BA10FA4" w14:textId="480757BC" w:rsidR="00012100" w:rsidRPr="008F746F" w:rsidRDefault="00012100" w:rsidP="008F746F">
      <w:pPr>
        <w:pStyle w:val="Caption"/>
        <w:jc w:val="right"/>
        <w:rPr>
          <w:rFonts w:ascii="Arial" w:hAnsi="Arial" w:cs="Arial"/>
          <w:b w:val="0"/>
          <w:color w:val="auto"/>
          <w:sz w:val="24"/>
          <w:szCs w:val="24"/>
        </w:rPr>
      </w:pPr>
      <m:oMathPara>
        <m:oMath>
          <m:r>
            <m:rPr>
              <m:nor/>
            </m:rPr>
            <w:rPr>
              <w:rFonts w:ascii="Arial" w:hAnsi="Arial" w:cs="Arial"/>
              <w:b w:val="0"/>
              <w:color w:val="auto"/>
              <w:sz w:val="24"/>
              <w:szCs w:val="24"/>
            </w:rPr>
            <m:t>DH</m:t>
          </m:r>
          <m:d>
            <m:dPr>
              <m:ctrlPr>
                <w:rPr>
                  <w:rFonts w:ascii="Cambria Math" w:hAnsi="Cambria Math" w:cs="Arial"/>
                  <w:b w:val="0"/>
                  <w:i/>
                  <w:color w:val="auto"/>
                  <w:sz w:val="24"/>
                  <w:szCs w:val="24"/>
                </w:rPr>
              </m:ctrlPr>
            </m:dPr>
            <m:e>
              <m:r>
                <m:rPr>
                  <m:nor/>
                </m:rPr>
                <w:rPr>
                  <w:rFonts w:ascii="Arial" w:hAnsi="Arial" w:cs="Arial"/>
                  <w:b w:val="0"/>
                  <w:color w:val="auto"/>
                  <w:sz w:val="24"/>
                  <w:szCs w:val="24"/>
                </w:rPr>
                <m:t>%</m:t>
              </m:r>
            </m:e>
          </m:d>
          <m:r>
            <m:rPr>
              <m:nor/>
            </m:rPr>
            <w:rPr>
              <w:rFonts w:ascii="Arial" w:hAnsi="Arial" w:cs="Arial"/>
              <w:b w:val="0"/>
              <w:color w:val="auto"/>
              <w:sz w:val="24"/>
              <w:szCs w:val="24"/>
            </w:rPr>
            <m:t>=</m:t>
          </m:r>
          <m:f>
            <m:fPr>
              <m:ctrlPr>
                <w:rPr>
                  <w:rFonts w:ascii="Cambria Math" w:hAnsi="Cambria Math" w:cs="Arial"/>
                  <w:b w:val="0"/>
                  <w:i/>
                  <w:color w:val="auto"/>
                  <w:sz w:val="24"/>
                  <w:szCs w:val="24"/>
                </w:rPr>
              </m:ctrlPr>
            </m:fPr>
            <m:num>
              <m:r>
                <m:rPr>
                  <m:nor/>
                </m:rPr>
                <w:rPr>
                  <w:rFonts w:ascii="Arial" w:hAnsi="Arial" w:cs="Arial"/>
                  <w:b w:val="0"/>
                  <w:color w:val="auto"/>
                  <w:sz w:val="24"/>
                  <w:szCs w:val="24"/>
                </w:rPr>
                <m:t>ABS*1.934*d</m:t>
              </m:r>
            </m:num>
            <m:den>
              <m:r>
                <m:rPr>
                  <m:nor/>
                </m:rPr>
                <w:rPr>
                  <w:rFonts w:ascii="Arial" w:hAnsi="Arial" w:cs="Arial"/>
                  <w:b w:val="0"/>
                  <w:color w:val="auto"/>
                  <w:sz w:val="24"/>
                  <w:szCs w:val="24"/>
                </w:rPr>
                <m:t>c</m:t>
              </m:r>
            </m:den>
          </m:f>
          <m:r>
            <m:rPr>
              <m:sty m:val="bi"/>
            </m:rPr>
            <w:rPr>
              <w:rFonts w:ascii="Cambria Math" w:hAnsi="Cambria Math" w:cs="Arial"/>
              <w:color w:val="auto"/>
              <w:sz w:val="24"/>
              <w:szCs w:val="24"/>
            </w:rPr>
            <m:t xml:space="preserve"> </m:t>
          </m:r>
        </m:oMath>
      </m:oMathPara>
    </w:p>
    <w:p w14:paraId="089F8DC8" w14:textId="13E97EE4" w:rsidR="00DD3DD2" w:rsidRPr="00A258B9" w:rsidRDefault="00DD3DD2" w:rsidP="00841201">
      <w:pPr>
        <w:spacing w:line="480" w:lineRule="auto"/>
        <w:rPr>
          <w:rFonts w:ascii="Arial" w:hAnsi="Arial"/>
          <w:i/>
        </w:rPr>
      </w:pPr>
      <w:r w:rsidRPr="00A258B9">
        <w:rPr>
          <w:rFonts w:ascii="Arial" w:hAnsi="Arial"/>
          <w:i/>
        </w:rPr>
        <w:t xml:space="preserve">2.5 </w:t>
      </w:r>
      <w:r w:rsidR="0080163A" w:rsidRPr="00A258B9">
        <w:rPr>
          <w:rFonts w:ascii="Arial" w:hAnsi="Arial"/>
          <w:i/>
        </w:rPr>
        <w:t>Trichloroacetic Acid Soluble Protein Content</w:t>
      </w:r>
    </w:p>
    <w:p w14:paraId="637F9BEE" w14:textId="16A0FF72" w:rsidR="00DA4E13" w:rsidRDefault="0084599B" w:rsidP="00841201">
      <w:pPr>
        <w:spacing w:line="480" w:lineRule="auto"/>
        <w:rPr>
          <w:rFonts w:ascii="Arial" w:hAnsi="Arial" w:cs="Arial"/>
          <w:color w:val="000000"/>
        </w:rPr>
      </w:pPr>
      <w:r>
        <w:rPr>
          <w:rFonts w:ascii="Arial" w:hAnsi="Arial"/>
        </w:rPr>
        <w:t>Three hundred</w:t>
      </w:r>
      <w:r w:rsidR="007E0548">
        <w:rPr>
          <w:rFonts w:ascii="Arial" w:hAnsi="Arial"/>
        </w:rPr>
        <w:t xml:space="preserve"> </w:t>
      </w:r>
      <w:r w:rsidR="007E0548" w:rsidRPr="002815E4">
        <w:rPr>
          <w:rFonts w:ascii="Arial" w:hAnsi="Arial" w:cs="Arial"/>
          <w:color w:val="000000"/>
        </w:rPr>
        <w:t>μ</w:t>
      </w:r>
      <w:r w:rsidR="007E0548">
        <w:rPr>
          <w:rFonts w:ascii="Arial" w:hAnsi="Arial" w:cs="Arial"/>
          <w:color w:val="000000"/>
        </w:rPr>
        <w:t>L aliquots of</w:t>
      </w:r>
      <w:r w:rsidR="006408D5">
        <w:rPr>
          <w:rFonts w:ascii="Arial" w:hAnsi="Arial" w:cs="Arial"/>
          <w:color w:val="000000"/>
        </w:rPr>
        <w:t xml:space="preserve"> </w:t>
      </w:r>
      <w:r w:rsidR="00012100">
        <w:rPr>
          <w:rFonts w:ascii="Arial" w:hAnsi="Arial" w:cs="Arial"/>
          <w:color w:val="000000"/>
        </w:rPr>
        <w:t>the hydrolysate sample</w:t>
      </w:r>
      <w:r w:rsidR="006408D5">
        <w:rPr>
          <w:rFonts w:ascii="Arial" w:hAnsi="Arial" w:cs="Arial"/>
          <w:color w:val="000000"/>
        </w:rPr>
        <w:t xml:space="preserve"> </w:t>
      </w:r>
      <w:r>
        <w:rPr>
          <w:rFonts w:ascii="Arial" w:hAnsi="Arial" w:cs="Arial"/>
          <w:color w:val="000000"/>
        </w:rPr>
        <w:t>were</w:t>
      </w:r>
      <w:r w:rsidR="006408D5">
        <w:rPr>
          <w:rFonts w:ascii="Arial" w:hAnsi="Arial" w:cs="Arial"/>
          <w:color w:val="000000"/>
        </w:rPr>
        <w:t xml:space="preserve"> combined with 3</w:t>
      </w:r>
      <w:r w:rsidR="007E0548">
        <w:rPr>
          <w:rFonts w:ascii="Arial" w:hAnsi="Arial" w:cs="Arial"/>
          <w:color w:val="000000"/>
        </w:rPr>
        <w:t xml:space="preserve">00 </w:t>
      </w:r>
      <w:r w:rsidR="007E0548" w:rsidRPr="002815E4">
        <w:rPr>
          <w:rFonts w:ascii="Arial" w:hAnsi="Arial" w:cs="Arial"/>
          <w:color w:val="000000"/>
        </w:rPr>
        <w:t>μ</w:t>
      </w:r>
      <w:r w:rsidR="007E0548">
        <w:rPr>
          <w:rFonts w:ascii="Arial" w:hAnsi="Arial" w:cs="Arial"/>
          <w:color w:val="000000"/>
        </w:rPr>
        <w:t xml:space="preserve">L of 20% of </w:t>
      </w:r>
      <w:r w:rsidR="00012100">
        <w:rPr>
          <w:rFonts w:ascii="Arial" w:hAnsi="Arial" w:cs="Arial"/>
          <w:color w:val="000000"/>
        </w:rPr>
        <w:t>trichloroacetic acid (</w:t>
      </w:r>
      <w:r w:rsidR="007E0548">
        <w:rPr>
          <w:rFonts w:ascii="Arial" w:hAnsi="Arial" w:cs="Arial"/>
          <w:color w:val="000000"/>
        </w:rPr>
        <w:t>TCA</w:t>
      </w:r>
      <w:r w:rsidR="00012100">
        <w:rPr>
          <w:rFonts w:ascii="Arial" w:hAnsi="Arial" w:cs="Arial"/>
          <w:color w:val="000000"/>
        </w:rPr>
        <w:t>)</w:t>
      </w:r>
      <w:r w:rsidR="007E0548">
        <w:rPr>
          <w:rFonts w:ascii="Arial" w:hAnsi="Arial" w:cs="Arial"/>
          <w:color w:val="000000"/>
        </w:rPr>
        <w:t xml:space="preserve"> solution. This was used to find the soluble and insoluble </w:t>
      </w:r>
      <w:r w:rsidR="006408D5">
        <w:rPr>
          <w:rFonts w:ascii="Arial" w:hAnsi="Arial" w:cs="Arial"/>
          <w:color w:val="000000"/>
        </w:rPr>
        <w:t xml:space="preserve">fractions in 10 % </w:t>
      </w:r>
      <w:r w:rsidR="00012100">
        <w:rPr>
          <w:rFonts w:ascii="Arial" w:hAnsi="Arial" w:cs="Arial"/>
          <w:color w:val="000000"/>
        </w:rPr>
        <w:t>TCA.</w:t>
      </w:r>
      <w:r w:rsidR="006408D5">
        <w:rPr>
          <w:rFonts w:ascii="Arial" w:hAnsi="Arial" w:cs="Arial"/>
          <w:color w:val="000000"/>
        </w:rPr>
        <w:t xml:space="preserve"> This was then allowed to stand for 30 minutes</w:t>
      </w:r>
      <w:r w:rsidR="00012100">
        <w:rPr>
          <w:rFonts w:ascii="Arial" w:hAnsi="Arial" w:cs="Arial"/>
          <w:color w:val="000000"/>
        </w:rPr>
        <w:t xml:space="preserve"> at room temperature</w:t>
      </w:r>
      <w:r w:rsidR="006408D5">
        <w:rPr>
          <w:rFonts w:ascii="Arial" w:hAnsi="Arial" w:cs="Arial"/>
          <w:color w:val="000000"/>
        </w:rPr>
        <w:t>. T</w:t>
      </w:r>
      <w:r w:rsidR="00012100">
        <w:rPr>
          <w:rFonts w:ascii="Arial" w:hAnsi="Arial" w:cs="Arial"/>
          <w:color w:val="000000"/>
        </w:rPr>
        <w:t>he mixture was then centrifuged</w:t>
      </w:r>
      <w:r w:rsidR="00833C8A">
        <w:rPr>
          <w:rFonts w:ascii="Arial" w:hAnsi="Arial" w:cs="Arial"/>
          <w:color w:val="000000"/>
        </w:rPr>
        <w:t xml:space="preserve"> for </w:t>
      </w:r>
      <w:r w:rsidR="00833C8A" w:rsidRPr="00CA16C1">
        <w:rPr>
          <w:rFonts w:ascii="Arial" w:hAnsi="Arial" w:cs="Arial"/>
          <w:color w:val="000000"/>
        </w:rPr>
        <w:t>10 minutes</w:t>
      </w:r>
      <w:r w:rsidR="00012100" w:rsidRPr="00CA16C1">
        <w:rPr>
          <w:rFonts w:ascii="Arial" w:hAnsi="Arial" w:cs="Arial"/>
          <w:color w:val="000000"/>
        </w:rPr>
        <w:t xml:space="preserve"> </w:t>
      </w:r>
      <w:r w:rsidR="006408D5" w:rsidRPr="00CA16C1">
        <w:rPr>
          <w:rFonts w:ascii="Arial" w:hAnsi="Arial" w:cs="Arial"/>
          <w:color w:val="000000"/>
        </w:rPr>
        <w:t xml:space="preserve">at </w:t>
      </w:r>
      <w:r w:rsidR="00CA16C1">
        <w:rPr>
          <w:rFonts w:ascii="Arial" w:hAnsi="Arial" w:cs="Arial"/>
          <w:color w:val="000000"/>
        </w:rPr>
        <w:t>4</w:t>
      </w:r>
      <w:r w:rsidR="00CA16C1" w:rsidRPr="00CA16C1">
        <w:rPr>
          <w:rFonts w:ascii="Arial" w:hAnsi="Arial" w:cs="Arial"/>
          <w:color w:val="000000"/>
        </w:rPr>
        <w:t>°C and 3000</w:t>
      </w:r>
      <w:r w:rsidR="006408D5" w:rsidRPr="00CA16C1">
        <w:rPr>
          <w:rFonts w:ascii="Arial" w:hAnsi="Arial" w:cs="Arial"/>
          <w:color w:val="000000"/>
        </w:rPr>
        <w:t>x</w:t>
      </w:r>
      <w:r w:rsidR="00CA16C1" w:rsidRPr="00CA16C1">
        <w:rPr>
          <w:rFonts w:ascii="Arial" w:hAnsi="Arial" w:cs="Arial"/>
          <w:color w:val="000000"/>
        </w:rPr>
        <w:t>G</w:t>
      </w:r>
      <w:r w:rsidR="006408D5">
        <w:rPr>
          <w:rFonts w:ascii="Arial" w:hAnsi="Arial" w:cs="Arial"/>
          <w:color w:val="000000"/>
        </w:rPr>
        <w:t xml:space="preserve">. The supernatant was then analyzed for soluble protein content </w:t>
      </w:r>
      <w:r w:rsidR="006408D5">
        <w:rPr>
          <w:rFonts w:ascii="Arial" w:hAnsi="Arial" w:cs="Arial"/>
          <w:color w:val="000000"/>
        </w:rPr>
        <w:lastRenderedPageBreak/>
        <w:t xml:space="preserve">using the BCA Assay method of analysis. Then, using </w:t>
      </w:r>
      <w:r w:rsidR="00DA4E13">
        <w:rPr>
          <w:rFonts w:ascii="Arial" w:hAnsi="Arial" w:cs="Arial"/>
          <w:color w:val="000000"/>
        </w:rPr>
        <w:t>Equation 2</w:t>
      </w:r>
      <w:r w:rsidR="006408D5">
        <w:rPr>
          <w:rFonts w:ascii="Arial" w:hAnsi="Arial" w:cs="Arial"/>
          <w:color w:val="000000"/>
        </w:rPr>
        <w:t>, the degree of hydrolysis was calculated.</w:t>
      </w:r>
    </w:p>
    <w:p w14:paraId="7B4FD532" w14:textId="1969A633" w:rsidR="008F746F" w:rsidRPr="008F746F" w:rsidRDefault="008F746F" w:rsidP="008F746F">
      <w:pPr>
        <w:pStyle w:val="Caption"/>
        <w:keepNext/>
        <w:spacing w:after="0"/>
        <w:jc w:val="right"/>
        <w:rPr>
          <w:rFonts w:ascii="Arial" w:hAnsi="Arial" w:cs="Arial"/>
          <w:b w:val="0"/>
          <w:color w:val="auto"/>
          <w:sz w:val="24"/>
          <w:szCs w:val="24"/>
        </w:rPr>
      </w:pPr>
      <w:r w:rsidRPr="008F746F">
        <w:rPr>
          <w:rFonts w:ascii="Arial" w:hAnsi="Arial" w:cs="Arial"/>
          <w:b w:val="0"/>
          <w:color w:val="auto"/>
          <w:sz w:val="24"/>
          <w:szCs w:val="24"/>
        </w:rPr>
        <w:t xml:space="preserve">( </w:t>
      </w:r>
      <w:r w:rsidRPr="008F746F">
        <w:rPr>
          <w:rFonts w:ascii="Arial" w:hAnsi="Arial" w:cs="Arial"/>
          <w:b w:val="0"/>
          <w:color w:val="auto"/>
          <w:sz w:val="24"/>
          <w:szCs w:val="24"/>
        </w:rPr>
        <w:fldChar w:fldCharType="begin"/>
      </w:r>
      <w:r w:rsidRPr="008F746F">
        <w:rPr>
          <w:rFonts w:ascii="Arial" w:hAnsi="Arial" w:cs="Arial"/>
          <w:b w:val="0"/>
          <w:color w:val="auto"/>
          <w:sz w:val="24"/>
          <w:szCs w:val="24"/>
        </w:rPr>
        <w:instrText xml:space="preserve"> SEQ ( \* ARABIC </w:instrText>
      </w:r>
      <w:r w:rsidRPr="008F746F">
        <w:rPr>
          <w:rFonts w:ascii="Arial" w:hAnsi="Arial" w:cs="Arial"/>
          <w:b w:val="0"/>
          <w:color w:val="auto"/>
          <w:sz w:val="24"/>
          <w:szCs w:val="24"/>
        </w:rPr>
        <w:fldChar w:fldCharType="separate"/>
      </w:r>
      <w:r w:rsidR="00642BB8">
        <w:rPr>
          <w:rFonts w:ascii="Arial" w:hAnsi="Arial" w:cs="Arial"/>
          <w:b w:val="0"/>
          <w:noProof/>
          <w:color w:val="auto"/>
          <w:sz w:val="24"/>
          <w:szCs w:val="24"/>
        </w:rPr>
        <w:t>2</w:t>
      </w:r>
      <w:r w:rsidRPr="008F746F">
        <w:rPr>
          <w:rFonts w:ascii="Arial" w:hAnsi="Arial" w:cs="Arial"/>
          <w:b w:val="0"/>
          <w:color w:val="auto"/>
          <w:sz w:val="24"/>
          <w:szCs w:val="24"/>
        </w:rPr>
        <w:fldChar w:fldCharType="end"/>
      </w:r>
      <w:r>
        <w:rPr>
          <w:rFonts w:ascii="Arial" w:hAnsi="Arial" w:cs="Arial"/>
          <w:b w:val="0"/>
          <w:color w:val="auto"/>
          <w:sz w:val="24"/>
          <w:szCs w:val="24"/>
        </w:rPr>
        <w:t xml:space="preserve"> </w:t>
      </w:r>
      <w:r w:rsidRPr="008F746F">
        <w:rPr>
          <w:rFonts w:ascii="Arial" w:hAnsi="Arial" w:cs="Arial"/>
          <w:b w:val="0"/>
          <w:color w:val="auto"/>
          <w:sz w:val="24"/>
          <w:szCs w:val="24"/>
        </w:rPr>
        <w:t>)</w:t>
      </w:r>
    </w:p>
    <w:p w14:paraId="0FF9757A" w14:textId="55F0128B" w:rsidR="006408D5" w:rsidRPr="00A258B9" w:rsidRDefault="006408D5" w:rsidP="00841201">
      <w:pPr>
        <w:spacing w:line="480" w:lineRule="auto"/>
        <w:rPr>
          <w:rFonts w:ascii="Arial" w:hAnsi="Arial" w:cs="Arial"/>
          <w:color w:val="000000"/>
          <w:oMath/>
        </w:rPr>
      </w:pPr>
      <m:oMathPara>
        <m:oMathParaPr>
          <m:jc m:val="center"/>
        </m:oMathParaPr>
        <m:oMath>
          <m:r>
            <m:rPr>
              <m:nor/>
            </m:rPr>
            <w:rPr>
              <w:rFonts w:ascii="Arial" w:hAnsi="Arial" w:cs="Arial"/>
              <w:color w:val="000000"/>
            </w:rPr>
            <m:t>DH</m:t>
          </m:r>
          <m:d>
            <m:dPr>
              <m:ctrlPr>
                <w:rPr>
                  <w:rFonts w:ascii="Cambria Math" w:hAnsi="Cambria Math" w:cs="Arial"/>
                  <w:color w:val="000000"/>
                </w:rPr>
              </m:ctrlPr>
            </m:dPr>
            <m:e>
              <m:r>
                <m:rPr>
                  <m:nor/>
                </m:rPr>
                <w:rPr>
                  <w:rFonts w:ascii="Arial" w:hAnsi="Arial" w:cs="Arial"/>
                  <w:color w:val="000000"/>
                </w:rPr>
                <m:t>%</m:t>
              </m:r>
            </m:e>
          </m:d>
          <m:r>
            <m:rPr>
              <m:nor/>
            </m:rPr>
            <w:rPr>
              <w:rFonts w:ascii="Arial" w:hAnsi="Arial" w:cs="Arial"/>
              <w:color w:val="000000"/>
            </w:rPr>
            <m:t>=</m:t>
          </m:r>
          <m:f>
            <m:fPr>
              <m:ctrlPr>
                <w:rPr>
                  <w:rFonts w:ascii="Cambria Math" w:hAnsi="Cambria Math" w:cs="Arial"/>
                  <w:color w:val="000000"/>
                </w:rPr>
              </m:ctrlPr>
            </m:fPr>
            <m:num>
              <m:r>
                <m:rPr>
                  <m:nor/>
                </m:rPr>
                <w:rPr>
                  <w:rFonts w:ascii="Arial" w:hAnsi="Arial" w:cs="Arial"/>
                  <w:color w:val="000000"/>
                </w:rPr>
                <m:t xml:space="preserve">soluble protein content in 10 g% TCA </m:t>
              </m:r>
              <m:d>
                <m:dPr>
                  <m:ctrlPr>
                    <w:rPr>
                      <w:rFonts w:ascii="Cambria Math" w:hAnsi="Cambria Math" w:cs="Arial"/>
                      <w:color w:val="000000"/>
                    </w:rPr>
                  </m:ctrlPr>
                </m:dPr>
                <m:e>
                  <m:r>
                    <m:rPr>
                      <m:nor/>
                    </m:rPr>
                    <w:rPr>
                      <w:rFonts w:ascii="Arial" w:hAnsi="Arial" w:cs="Arial"/>
                      <w:color w:val="000000"/>
                    </w:rPr>
                    <m:t>mg</m:t>
                  </m:r>
                </m:e>
              </m:d>
            </m:num>
            <m:den>
              <m:r>
                <m:rPr>
                  <m:nor/>
                </m:rPr>
                <w:rPr>
                  <w:rFonts w:ascii="Arial" w:hAnsi="Arial" w:cs="Arial"/>
                  <w:color w:val="000000"/>
                </w:rPr>
                <m:t xml:space="preserve">total protein content </m:t>
              </m:r>
              <m:d>
                <m:dPr>
                  <m:ctrlPr>
                    <w:rPr>
                      <w:rFonts w:ascii="Cambria Math" w:hAnsi="Cambria Math" w:cs="Arial"/>
                      <w:color w:val="000000"/>
                    </w:rPr>
                  </m:ctrlPr>
                </m:dPr>
                <m:e>
                  <m:r>
                    <m:rPr>
                      <m:nor/>
                    </m:rPr>
                    <w:rPr>
                      <w:rFonts w:ascii="Arial" w:hAnsi="Arial" w:cs="Arial"/>
                      <w:color w:val="000000"/>
                    </w:rPr>
                    <m:t>mg</m:t>
                  </m:r>
                </m:e>
              </m:d>
            </m:den>
          </m:f>
          <m:r>
            <m:rPr>
              <m:nor/>
            </m:rPr>
            <w:rPr>
              <w:rFonts w:ascii="Arial" w:hAnsi="Arial" w:cs="Arial"/>
              <w:color w:val="000000"/>
            </w:rPr>
            <m:t>*100</m:t>
          </m:r>
        </m:oMath>
      </m:oMathPara>
    </w:p>
    <w:p w14:paraId="70D59552" w14:textId="287EE17E" w:rsidR="00301790" w:rsidRPr="00A258B9" w:rsidRDefault="0080163A" w:rsidP="00841201">
      <w:pPr>
        <w:spacing w:line="480" w:lineRule="auto"/>
        <w:rPr>
          <w:rFonts w:ascii="Arial" w:hAnsi="Arial"/>
          <w:i/>
        </w:rPr>
      </w:pPr>
      <w:r w:rsidRPr="00A258B9">
        <w:rPr>
          <w:rFonts w:ascii="Arial" w:hAnsi="Arial"/>
          <w:i/>
        </w:rPr>
        <w:t>2.6 Hydrochloric Acid Soluble Protein Content</w:t>
      </w:r>
    </w:p>
    <w:p w14:paraId="77D86A04" w14:textId="5C95E544" w:rsidR="00C8271B" w:rsidRDefault="00A258B9" w:rsidP="00841201">
      <w:pPr>
        <w:spacing w:line="480" w:lineRule="auto"/>
        <w:rPr>
          <w:rFonts w:ascii="Arial" w:hAnsi="Arial" w:cs="Arial"/>
          <w:color w:val="000000"/>
        </w:rPr>
      </w:pPr>
      <w:r>
        <w:rPr>
          <w:rFonts w:ascii="Arial" w:hAnsi="Arial"/>
        </w:rPr>
        <w:t xml:space="preserve">This analysis of protein content uses the same methodology as the TCA analysis with some minor changes. </w:t>
      </w:r>
      <w:r w:rsidR="00CB678E">
        <w:rPr>
          <w:rFonts w:ascii="Arial" w:hAnsi="Arial"/>
        </w:rPr>
        <w:t xml:space="preserve">Three hundred </w:t>
      </w:r>
      <w:r w:rsidR="00012100" w:rsidRPr="002815E4">
        <w:rPr>
          <w:rFonts w:ascii="Arial" w:hAnsi="Arial" w:cs="Arial"/>
          <w:color w:val="000000"/>
        </w:rPr>
        <w:t>μ</w:t>
      </w:r>
      <w:r w:rsidR="00012100">
        <w:rPr>
          <w:rFonts w:ascii="Arial" w:hAnsi="Arial" w:cs="Arial"/>
          <w:color w:val="000000"/>
        </w:rPr>
        <w:t xml:space="preserve">L aliquots of the hydrolysate sample </w:t>
      </w:r>
      <w:r w:rsidR="006577FC">
        <w:rPr>
          <w:rFonts w:ascii="Arial" w:hAnsi="Arial" w:cs="Arial"/>
          <w:color w:val="000000"/>
        </w:rPr>
        <w:t xml:space="preserve">were </w:t>
      </w:r>
      <w:r w:rsidR="00012100">
        <w:rPr>
          <w:rFonts w:ascii="Arial" w:hAnsi="Arial" w:cs="Arial"/>
          <w:color w:val="000000"/>
        </w:rPr>
        <w:t xml:space="preserve">combined with 300 </w:t>
      </w:r>
      <w:r w:rsidR="00012100" w:rsidRPr="002815E4">
        <w:rPr>
          <w:rFonts w:ascii="Arial" w:hAnsi="Arial" w:cs="Arial"/>
          <w:color w:val="000000"/>
        </w:rPr>
        <w:t>μ</w:t>
      </w:r>
      <w:r w:rsidR="00012100">
        <w:rPr>
          <w:rFonts w:ascii="Arial" w:hAnsi="Arial" w:cs="Arial"/>
          <w:color w:val="000000"/>
        </w:rPr>
        <w:t xml:space="preserve">L of 20% of hydrochloric acid (HCl) solution. This was used to find the soluble and insoluble fractions in 10 % HCl. This was then incubated at </w:t>
      </w:r>
      <w:r w:rsidR="00012100" w:rsidRPr="00CA16C1">
        <w:rPr>
          <w:rFonts w:ascii="Arial" w:hAnsi="Arial" w:cs="Arial"/>
          <w:color w:val="000000"/>
        </w:rPr>
        <w:t>100°C for 4 hours. The mixture was then centrifuged</w:t>
      </w:r>
      <w:r w:rsidR="00D109A2" w:rsidRPr="00CA16C1">
        <w:rPr>
          <w:rFonts w:ascii="Arial" w:hAnsi="Arial" w:cs="Arial"/>
          <w:color w:val="000000"/>
        </w:rPr>
        <w:t xml:space="preserve"> for 10 minutes</w:t>
      </w:r>
      <w:r w:rsidR="00012100" w:rsidRPr="00CA16C1">
        <w:rPr>
          <w:rFonts w:ascii="Arial" w:hAnsi="Arial" w:cs="Arial"/>
          <w:color w:val="000000"/>
        </w:rPr>
        <w:t xml:space="preserve"> at</w:t>
      </w:r>
      <w:r w:rsidR="00CA16C1" w:rsidRPr="00CA16C1">
        <w:rPr>
          <w:rFonts w:ascii="Arial" w:hAnsi="Arial" w:cs="Arial"/>
          <w:color w:val="000000"/>
        </w:rPr>
        <w:t xml:space="preserve"> 4°C and</w:t>
      </w:r>
      <w:r w:rsidR="00CA16C1">
        <w:rPr>
          <w:rFonts w:ascii="Arial" w:hAnsi="Arial" w:cs="Arial"/>
          <w:color w:val="000000"/>
        </w:rPr>
        <w:t xml:space="preserve"> 3000</w:t>
      </w:r>
      <w:r w:rsidR="00012100" w:rsidRPr="00CA16C1">
        <w:rPr>
          <w:rFonts w:ascii="Arial" w:hAnsi="Arial" w:cs="Arial"/>
          <w:color w:val="000000"/>
        </w:rPr>
        <w:t>x</w:t>
      </w:r>
      <w:r w:rsidR="00CA16C1" w:rsidRPr="00CA16C1">
        <w:rPr>
          <w:rFonts w:ascii="Arial" w:hAnsi="Arial" w:cs="Arial"/>
          <w:color w:val="000000"/>
        </w:rPr>
        <w:t>G</w:t>
      </w:r>
      <w:r w:rsidR="00012100" w:rsidRPr="00CA16C1">
        <w:rPr>
          <w:rFonts w:ascii="Arial" w:hAnsi="Arial" w:cs="Arial"/>
          <w:color w:val="000000"/>
        </w:rPr>
        <w:t>.</w:t>
      </w:r>
      <w:r w:rsidR="00012100">
        <w:rPr>
          <w:rFonts w:ascii="Arial" w:hAnsi="Arial" w:cs="Arial"/>
          <w:color w:val="000000"/>
        </w:rPr>
        <w:t xml:space="preserve"> The supernatant was then analyzed for soluble protein content using the BCA Assay method of analysis. The</w:t>
      </w:r>
      <w:r w:rsidR="00DA4E13">
        <w:rPr>
          <w:rFonts w:ascii="Arial" w:hAnsi="Arial" w:cs="Arial"/>
          <w:color w:val="000000"/>
        </w:rPr>
        <w:t xml:space="preserve"> degree of hydrolysis was then calculated using Equation 2</w:t>
      </w:r>
      <w:r w:rsidR="00012100">
        <w:rPr>
          <w:rFonts w:ascii="Arial" w:hAnsi="Arial" w:cs="Arial"/>
          <w:color w:val="000000"/>
        </w:rPr>
        <w:t>.</w:t>
      </w:r>
    </w:p>
    <w:p w14:paraId="365B43C1" w14:textId="66432677" w:rsidR="00C732CE" w:rsidRPr="00C732CE" w:rsidRDefault="00C732CE" w:rsidP="00841201">
      <w:pPr>
        <w:spacing w:line="480" w:lineRule="auto"/>
        <w:rPr>
          <w:rFonts w:ascii="Arial" w:hAnsi="Arial"/>
          <w:i/>
        </w:rPr>
      </w:pPr>
      <w:r w:rsidRPr="00C732CE">
        <w:rPr>
          <w:rFonts w:ascii="Arial" w:hAnsi="Arial" w:cs="Arial"/>
          <w:i/>
          <w:color w:val="000000"/>
        </w:rPr>
        <w:t>2.7 Statistical Analysis</w:t>
      </w:r>
    </w:p>
    <w:p w14:paraId="2F03FBC8" w14:textId="7284BF80" w:rsidR="00C8271B" w:rsidRPr="00C8271B" w:rsidRDefault="00865E11" w:rsidP="007C3B29">
      <w:pPr>
        <w:spacing w:after="240" w:line="480" w:lineRule="auto"/>
        <w:rPr>
          <w:rFonts w:ascii="Arial" w:hAnsi="Arial"/>
        </w:rPr>
      </w:pPr>
      <w:r>
        <w:rPr>
          <w:rFonts w:ascii="Arial" w:hAnsi="Arial"/>
        </w:rPr>
        <w:t xml:space="preserve">All analyses were run in triplicate. </w:t>
      </w:r>
      <w:r w:rsidR="00C732CE">
        <w:rPr>
          <w:rFonts w:ascii="Arial" w:hAnsi="Arial"/>
        </w:rPr>
        <w:t>Statistical Analysis of data was run by the PROC GLM of Statistical Analysis System software version 9.4 using Tukey’s posthoc with a 95% confidence interval.</w:t>
      </w:r>
    </w:p>
    <w:p w14:paraId="4FEF3DC8" w14:textId="77777777" w:rsidR="00322888" w:rsidRPr="00A258B9" w:rsidRDefault="00322888" w:rsidP="00841201">
      <w:pPr>
        <w:pStyle w:val="ListParagraph"/>
        <w:numPr>
          <w:ilvl w:val="0"/>
          <w:numId w:val="1"/>
        </w:numPr>
        <w:spacing w:line="480" w:lineRule="auto"/>
        <w:rPr>
          <w:rFonts w:ascii="Arial" w:hAnsi="Arial"/>
          <w:b/>
        </w:rPr>
      </w:pPr>
      <w:r w:rsidRPr="00A258B9">
        <w:rPr>
          <w:rFonts w:ascii="Arial" w:hAnsi="Arial"/>
          <w:b/>
        </w:rPr>
        <w:t>Results</w:t>
      </w:r>
    </w:p>
    <w:p w14:paraId="4F275ACD" w14:textId="29415083" w:rsidR="00A258B9" w:rsidRDefault="00504C77" w:rsidP="00841201">
      <w:pPr>
        <w:spacing w:line="480" w:lineRule="auto"/>
        <w:rPr>
          <w:rFonts w:ascii="Arial" w:hAnsi="Arial"/>
          <w:i/>
        </w:rPr>
      </w:pPr>
      <w:r w:rsidRPr="00504C77">
        <w:rPr>
          <w:rFonts w:ascii="Arial" w:hAnsi="Arial"/>
          <w:i/>
        </w:rPr>
        <w:t xml:space="preserve">3.1 </w:t>
      </w:r>
      <w:r w:rsidRPr="00A258B9">
        <w:rPr>
          <w:rFonts w:ascii="Arial" w:hAnsi="Arial"/>
          <w:i/>
        </w:rPr>
        <w:t>Bicinchoninic Acid Assay</w:t>
      </w:r>
      <w:r>
        <w:rPr>
          <w:rFonts w:ascii="Arial" w:hAnsi="Arial"/>
          <w:i/>
        </w:rPr>
        <w:t xml:space="preserve"> </w:t>
      </w:r>
    </w:p>
    <w:p w14:paraId="46B477EF" w14:textId="305CE4F7" w:rsidR="00504C77" w:rsidRPr="002C2780" w:rsidRDefault="00235CE6" w:rsidP="00841201">
      <w:pPr>
        <w:spacing w:line="480" w:lineRule="auto"/>
        <w:rPr>
          <w:rFonts w:ascii="Arial" w:hAnsi="Arial"/>
        </w:rPr>
      </w:pPr>
      <w:r>
        <w:rPr>
          <w:rFonts w:ascii="Arial" w:hAnsi="Arial"/>
        </w:rPr>
        <w:t>The protein concentration</w:t>
      </w:r>
      <w:r w:rsidR="002D29F6">
        <w:rPr>
          <w:rFonts w:ascii="Arial" w:hAnsi="Arial"/>
        </w:rPr>
        <w:t>s</w:t>
      </w:r>
      <w:r w:rsidR="00200A91">
        <w:rPr>
          <w:rFonts w:ascii="Arial" w:hAnsi="Arial"/>
        </w:rPr>
        <w:t xml:space="preserve"> of the kafirin solutions</w:t>
      </w:r>
      <w:r>
        <w:rPr>
          <w:rFonts w:ascii="Arial" w:hAnsi="Arial"/>
        </w:rPr>
        <w:t xml:space="preserve"> </w:t>
      </w:r>
      <w:r w:rsidR="00200A91">
        <w:rPr>
          <w:rFonts w:ascii="Arial" w:hAnsi="Arial"/>
        </w:rPr>
        <w:t>were</w:t>
      </w:r>
      <w:r w:rsidR="002D29F6">
        <w:rPr>
          <w:rFonts w:ascii="Arial" w:hAnsi="Arial"/>
        </w:rPr>
        <w:t xml:space="preserve"> calculated by their measured absorbance</w:t>
      </w:r>
      <w:r>
        <w:rPr>
          <w:rFonts w:ascii="Arial" w:hAnsi="Arial"/>
        </w:rPr>
        <w:t xml:space="preserve"> </w:t>
      </w:r>
      <w:r w:rsidR="00200A91">
        <w:rPr>
          <w:rFonts w:ascii="Arial" w:hAnsi="Arial"/>
        </w:rPr>
        <w:t xml:space="preserve">through BCA assay </w:t>
      </w:r>
      <w:r w:rsidR="00200A91">
        <w:rPr>
          <w:rFonts w:ascii="Arial" w:hAnsi="Arial"/>
          <w:b/>
        </w:rPr>
        <w:t>(Fig. 1)</w:t>
      </w:r>
      <w:r w:rsidR="002C2780">
        <w:rPr>
          <w:rFonts w:ascii="Arial" w:hAnsi="Arial"/>
          <w:b/>
        </w:rPr>
        <w:t>.</w:t>
      </w:r>
      <w:r w:rsidR="002A7453">
        <w:rPr>
          <w:rFonts w:ascii="Arial" w:hAnsi="Arial"/>
        </w:rPr>
        <w:t xml:space="preserve"> </w:t>
      </w:r>
      <w:r w:rsidR="00642BB8">
        <w:rPr>
          <w:rFonts w:ascii="Arial" w:hAnsi="Arial"/>
        </w:rPr>
        <w:t>Ultra-sonication</w:t>
      </w:r>
      <w:r w:rsidR="0030590B">
        <w:rPr>
          <w:rFonts w:ascii="Arial" w:hAnsi="Arial"/>
        </w:rPr>
        <w:t xml:space="preserve"> at 20% amplitude decreased protein </w:t>
      </w:r>
      <w:r w:rsidR="002C2780">
        <w:rPr>
          <w:rFonts w:ascii="Arial" w:hAnsi="Arial"/>
        </w:rPr>
        <w:t>concentration</w:t>
      </w:r>
      <w:r w:rsidR="0030590B">
        <w:rPr>
          <w:rFonts w:ascii="Arial" w:hAnsi="Arial"/>
        </w:rPr>
        <w:t xml:space="preserve"> from 464.7 </w:t>
      </w:r>
      <w:r w:rsidR="002C2780" w:rsidRPr="002815E4">
        <w:rPr>
          <w:rFonts w:ascii="Arial" w:hAnsi="Arial" w:cs="Arial"/>
          <w:color w:val="000000"/>
        </w:rPr>
        <w:t>μ</w:t>
      </w:r>
      <w:r w:rsidR="0030590B">
        <w:rPr>
          <w:rFonts w:ascii="Arial" w:hAnsi="Arial"/>
        </w:rPr>
        <w:t xml:space="preserve">g/mL (no </w:t>
      </w:r>
      <w:r w:rsidR="00642BB8">
        <w:rPr>
          <w:rFonts w:ascii="Arial" w:hAnsi="Arial"/>
        </w:rPr>
        <w:t>ultra-sonication</w:t>
      </w:r>
      <w:r w:rsidR="0030590B">
        <w:rPr>
          <w:rFonts w:ascii="Arial" w:hAnsi="Arial"/>
        </w:rPr>
        <w:t>)</w:t>
      </w:r>
      <w:r w:rsidR="002C2780">
        <w:rPr>
          <w:rFonts w:ascii="Arial" w:hAnsi="Arial"/>
        </w:rPr>
        <w:t xml:space="preserve"> to 449.7 </w:t>
      </w:r>
      <w:r w:rsidR="002C2780" w:rsidRPr="002815E4">
        <w:rPr>
          <w:rFonts w:ascii="Arial" w:hAnsi="Arial" w:cs="Arial"/>
          <w:color w:val="000000"/>
        </w:rPr>
        <w:t>μ</w:t>
      </w:r>
      <w:r w:rsidR="002C2780">
        <w:rPr>
          <w:rFonts w:ascii="Arial" w:hAnsi="Arial"/>
        </w:rPr>
        <w:t xml:space="preserve">g/mL after 5 minutes and 370.7 </w:t>
      </w:r>
      <w:r w:rsidR="002C2780" w:rsidRPr="002815E4">
        <w:rPr>
          <w:rFonts w:ascii="Arial" w:hAnsi="Arial" w:cs="Arial"/>
          <w:color w:val="000000"/>
        </w:rPr>
        <w:t>μ</w:t>
      </w:r>
      <w:r w:rsidR="002C2780">
        <w:rPr>
          <w:rFonts w:ascii="Arial" w:hAnsi="Arial"/>
        </w:rPr>
        <w:t xml:space="preserve">g/mL after 10 minutes </w:t>
      </w:r>
      <w:r w:rsidR="002C2780">
        <w:rPr>
          <w:rFonts w:ascii="Arial" w:hAnsi="Arial"/>
          <w:b/>
        </w:rPr>
        <w:lastRenderedPageBreak/>
        <w:t>(Fig. 1)</w:t>
      </w:r>
      <w:r w:rsidR="002C2780">
        <w:rPr>
          <w:rFonts w:ascii="Arial" w:hAnsi="Arial"/>
        </w:rPr>
        <w:t xml:space="preserve">. </w:t>
      </w:r>
      <w:r w:rsidR="002C2780">
        <w:rPr>
          <w:rFonts w:ascii="Arial" w:hAnsi="Arial"/>
          <w:b/>
        </w:rPr>
        <w:t xml:space="preserve">Fig. 1 </w:t>
      </w:r>
      <w:r w:rsidR="002C2780">
        <w:rPr>
          <w:rFonts w:ascii="Arial" w:hAnsi="Arial"/>
        </w:rPr>
        <w:t xml:space="preserve">also shows that </w:t>
      </w:r>
      <w:r w:rsidR="00642BB8">
        <w:rPr>
          <w:rFonts w:ascii="Arial" w:hAnsi="Arial"/>
        </w:rPr>
        <w:t>ultra-sonication</w:t>
      </w:r>
      <w:r w:rsidR="002C2780">
        <w:rPr>
          <w:rFonts w:ascii="Arial" w:hAnsi="Arial"/>
        </w:rPr>
        <w:t xml:space="preserve"> at 40% amplitude decreased protein concentration. Although slight, after 5 minutes at 40% amplitude, the protein concentration dropped from 464.7 </w:t>
      </w:r>
      <w:r w:rsidR="002C2780" w:rsidRPr="002815E4">
        <w:rPr>
          <w:rFonts w:ascii="Arial" w:hAnsi="Arial" w:cs="Arial"/>
          <w:color w:val="000000"/>
        </w:rPr>
        <w:t>μ</w:t>
      </w:r>
      <w:r w:rsidR="002C2780">
        <w:rPr>
          <w:rFonts w:ascii="Arial" w:hAnsi="Arial" w:cs="Arial"/>
          <w:color w:val="000000"/>
        </w:rPr>
        <w:t xml:space="preserve">g/mL to 463.0 </w:t>
      </w:r>
      <w:r w:rsidR="002C2780" w:rsidRPr="002815E4">
        <w:rPr>
          <w:rFonts w:ascii="Arial" w:hAnsi="Arial" w:cs="Arial"/>
          <w:color w:val="000000"/>
        </w:rPr>
        <w:t>μ</w:t>
      </w:r>
      <w:r w:rsidR="002C2780">
        <w:rPr>
          <w:rFonts w:ascii="Arial" w:hAnsi="Arial" w:cs="Arial"/>
          <w:color w:val="000000"/>
        </w:rPr>
        <w:t xml:space="preserve">g/mL. After 10 minutes, the protein concentration dropped from 464.7 </w:t>
      </w:r>
      <w:r w:rsidR="002C2780" w:rsidRPr="002815E4">
        <w:rPr>
          <w:rFonts w:ascii="Arial" w:hAnsi="Arial" w:cs="Arial"/>
          <w:color w:val="000000"/>
        </w:rPr>
        <w:t>μ</w:t>
      </w:r>
      <w:r w:rsidR="002C2780">
        <w:rPr>
          <w:rFonts w:ascii="Arial" w:hAnsi="Arial" w:cs="Arial"/>
          <w:color w:val="000000"/>
        </w:rPr>
        <w:t xml:space="preserve">g/mL to 386.4 </w:t>
      </w:r>
      <w:r w:rsidR="002C2780" w:rsidRPr="002815E4">
        <w:rPr>
          <w:rFonts w:ascii="Arial" w:hAnsi="Arial" w:cs="Arial"/>
          <w:color w:val="000000"/>
        </w:rPr>
        <w:t>μ</w:t>
      </w:r>
      <w:r w:rsidR="002C2780">
        <w:rPr>
          <w:rFonts w:ascii="Arial" w:hAnsi="Arial" w:cs="Arial"/>
          <w:color w:val="000000"/>
        </w:rPr>
        <w:t>g/mL.</w:t>
      </w:r>
      <w:r w:rsidR="002A7453">
        <w:rPr>
          <w:rFonts w:ascii="Arial" w:hAnsi="Arial" w:cs="Arial"/>
          <w:color w:val="000000"/>
        </w:rPr>
        <w:t xml:space="preserve"> </w:t>
      </w:r>
    </w:p>
    <w:p w14:paraId="70619779" w14:textId="77777777" w:rsidR="00504C77" w:rsidRDefault="00504C77" w:rsidP="00841201">
      <w:pPr>
        <w:spacing w:line="480" w:lineRule="auto"/>
        <w:rPr>
          <w:rFonts w:ascii="Arial" w:hAnsi="Arial" w:cs="Arial"/>
          <w:i/>
        </w:rPr>
      </w:pPr>
      <w:r>
        <w:rPr>
          <w:rFonts w:ascii="Arial" w:hAnsi="Arial"/>
          <w:i/>
        </w:rPr>
        <w:t xml:space="preserve">3.2 </w:t>
      </w:r>
      <w:r w:rsidRPr="00A258B9">
        <w:rPr>
          <w:rFonts w:ascii="Arial" w:hAnsi="Arial" w:cs="Arial"/>
          <w:i/>
        </w:rPr>
        <w:t>SDS-PAGE</w:t>
      </w:r>
    </w:p>
    <w:p w14:paraId="7285851C" w14:textId="11BE3C95" w:rsidR="000415A1" w:rsidRPr="000415A1" w:rsidRDefault="00A366DF" w:rsidP="00841201">
      <w:pPr>
        <w:spacing w:line="480" w:lineRule="auto"/>
        <w:rPr>
          <w:rFonts w:ascii="Arial" w:hAnsi="Arial" w:cs="Arial"/>
        </w:rPr>
      </w:pPr>
      <w:r>
        <w:rPr>
          <w:rFonts w:ascii="Arial" w:hAnsi="Arial" w:cs="Arial"/>
        </w:rPr>
        <w:t xml:space="preserve">This analysis was conducted to confirm the correct protein product was being tested after extraction from the sorghum flour </w:t>
      </w:r>
      <w:r>
        <w:rPr>
          <w:rFonts w:ascii="Arial" w:hAnsi="Arial" w:cs="Arial"/>
          <w:b/>
        </w:rPr>
        <w:t>(Fig. 2)</w:t>
      </w:r>
      <w:r>
        <w:rPr>
          <w:rFonts w:ascii="Arial" w:hAnsi="Arial" w:cs="Arial"/>
        </w:rPr>
        <w:t xml:space="preserve">. The three bands that can be seen in </w:t>
      </w:r>
      <w:r>
        <w:rPr>
          <w:rFonts w:ascii="Arial" w:hAnsi="Arial" w:cs="Arial"/>
          <w:b/>
        </w:rPr>
        <w:t>Fig. 2</w:t>
      </w:r>
      <w:r>
        <w:rPr>
          <w:rFonts w:ascii="Arial" w:hAnsi="Arial" w:cs="Arial"/>
        </w:rPr>
        <w:t xml:space="preserve"> represent the three different </w:t>
      </w:r>
      <w:r w:rsidR="00BF0483">
        <w:rPr>
          <w:rFonts w:ascii="Arial" w:hAnsi="Arial" w:cs="Arial"/>
        </w:rPr>
        <w:t>conformations of kafirin</w:t>
      </w:r>
      <w:r w:rsidR="00AF13A6">
        <w:rPr>
          <w:rFonts w:ascii="Arial" w:hAnsi="Arial" w:cs="Arial"/>
        </w:rPr>
        <w:t>:</w:t>
      </w:r>
      <w:r w:rsidR="00BF0483" w:rsidRPr="00BF0483">
        <w:rPr>
          <w:rFonts w:ascii="Lucida Grande" w:hAnsi="Lucida Grande" w:cs="Lucida Grande"/>
          <w:b/>
          <w:color w:val="000000"/>
        </w:rPr>
        <w:t xml:space="preserve"> </w:t>
      </w:r>
      <w:r w:rsidR="00BF0483" w:rsidRPr="00BF0483">
        <w:rPr>
          <w:rFonts w:ascii="Arial" w:hAnsi="Arial" w:cs="Arial"/>
          <w:color w:val="000000"/>
        </w:rPr>
        <w:t>α</w:t>
      </w:r>
      <w:r w:rsidR="00BF0483">
        <w:rPr>
          <w:rFonts w:ascii="Arial" w:hAnsi="Arial" w:cs="Arial"/>
          <w:color w:val="000000"/>
        </w:rPr>
        <w:t xml:space="preserve">, </w:t>
      </w:r>
      <w:r w:rsidR="00BF0483" w:rsidRPr="00BF0483">
        <w:rPr>
          <w:rFonts w:ascii="Arial" w:hAnsi="Arial" w:cs="Arial"/>
          <w:color w:val="000000"/>
        </w:rPr>
        <w:t>β</w:t>
      </w:r>
      <w:r w:rsidR="00BF0483">
        <w:rPr>
          <w:rFonts w:ascii="Arial" w:hAnsi="Arial" w:cs="Arial"/>
          <w:color w:val="000000"/>
        </w:rPr>
        <w:t xml:space="preserve">, and </w:t>
      </w:r>
      <w:r w:rsidR="00BF0483" w:rsidRPr="00BF0483">
        <w:rPr>
          <w:rFonts w:ascii="Arial" w:hAnsi="Arial" w:cs="Arial"/>
          <w:color w:val="000000"/>
        </w:rPr>
        <w:t>ϒ</w:t>
      </w:r>
      <w:r w:rsidR="00BF0483">
        <w:rPr>
          <w:rFonts w:ascii="Arial" w:hAnsi="Arial" w:cs="Arial"/>
          <w:color w:val="000000"/>
        </w:rPr>
        <w:t xml:space="preserve">. </w:t>
      </w:r>
    </w:p>
    <w:p w14:paraId="2599B3DB" w14:textId="50417D75" w:rsidR="00504C77" w:rsidRDefault="00504C77" w:rsidP="00841201">
      <w:pPr>
        <w:spacing w:line="480" w:lineRule="auto"/>
        <w:rPr>
          <w:rFonts w:ascii="Arial" w:hAnsi="Arial"/>
          <w:i/>
        </w:rPr>
      </w:pPr>
      <w:r w:rsidRPr="00504C77">
        <w:rPr>
          <w:rFonts w:ascii="Arial" w:hAnsi="Arial"/>
          <w:i/>
        </w:rPr>
        <w:t xml:space="preserve">3.3 </w:t>
      </w:r>
      <w:r w:rsidR="00377338" w:rsidRPr="00504C77">
        <w:rPr>
          <w:rFonts w:ascii="Arial" w:hAnsi="Arial"/>
          <w:i/>
        </w:rPr>
        <w:t>Ortophtalaldehyd</w:t>
      </w:r>
      <w:r w:rsidR="00377338">
        <w:rPr>
          <w:rFonts w:ascii="Arial" w:hAnsi="Arial"/>
          <w:i/>
        </w:rPr>
        <w:t xml:space="preserve">e </w:t>
      </w:r>
      <w:r w:rsidRPr="00504C77">
        <w:rPr>
          <w:rFonts w:ascii="Arial" w:hAnsi="Arial"/>
          <w:i/>
        </w:rPr>
        <w:t>Degree of Hydrolysis</w:t>
      </w:r>
    </w:p>
    <w:p w14:paraId="0E0CD152" w14:textId="57B21B35" w:rsidR="00377338" w:rsidRPr="002E40A3" w:rsidRDefault="00377338" w:rsidP="00841201">
      <w:pPr>
        <w:spacing w:line="480" w:lineRule="auto"/>
        <w:rPr>
          <w:rFonts w:ascii="Arial" w:hAnsi="Arial"/>
        </w:rPr>
      </w:pPr>
      <w:r>
        <w:rPr>
          <w:rFonts w:ascii="Arial" w:hAnsi="Arial"/>
        </w:rPr>
        <w:t xml:space="preserve">The OPA degree of hydrolysis was </w:t>
      </w:r>
      <w:r w:rsidR="002E40A3">
        <w:rPr>
          <w:rFonts w:ascii="Arial" w:hAnsi="Arial"/>
        </w:rPr>
        <w:t>calculated</w:t>
      </w:r>
      <w:r w:rsidR="00640EFA">
        <w:rPr>
          <w:rFonts w:ascii="Arial" w:hAnsi="Arial"/>
        </w:rPr>
        <w:t xml:space="preserve"> through </w:t>
      </w:r>
      <w:r w:rsidR="00640EFA">
        <w:rPr>
          <w:rFonts w:ascii="Arial" w:hAnsi="Arial"/>
          <w:b/>
        </w:rPr>
        <w:t>Eq. 1</w:t>
      </w:r>
      <w:r>
        <w:rPr>
          <w:rFonts w:ascii="Arial" w:hAnsi="Arial"/>
        </w:rPr>
        <w:t xml:space="preserve"> using</w:t>
      </w:r>
      <w:r w:rsidR="002E40A3">
        <w:rPr>
          <w:rFonts w:ascii="Arial" w:hAnsi="Arial"/>
        </w:rPr>
        <w:t xml:space="preserve"> </w:t>
      </w:r>
      <w:r>
        <w:rPr>
          <w:rFonts w:ascii="Arial" w:hAnsi="Arial"/>
        </w:rPr>
        <w:t>measured absorbances of the samples</w:t>
      </w:r>
      <w:r w:rsidR="002E40A3">
        <w:rPr>
          <w:rFonts w:ascii="Arial" w:hAnsi="Arial"/>
        </w:rPr>
        <w:t xml:space="preserve"> </w:t>
      </w:r>
      <w:r w:rsidR="002E40A3">
        <w:rPr>
          <w:rFonts w:ascii="Arial" w:hAnsi="Arial"/>
          <w:b/>
        </w:rPr>
        <w:t>(Fig. 3)</w:t>
      </w:r>
      <w:r>
        <w:rPr>
          <w:rFonts w:ascii="Arial" w:hAnsi="Arial"/>
        </w:rPr>
        <w:t xml:space="preserve">. </w:t>
      </w:r>
      <w:r w:rsidR="002E40A3">
        <w:rPr>
          <w:rFonts w:ascii="Arial" w:hAnsi="Arial"/>
        </w:rPr>
        <w:t xml:space="preserve">Overall, the degree of hydrolysis was increased by any </w:t>
      </w:r>
      <w:r w:rsidR="00642BB8">
        <w:rPr>
          <w:rFonts w:ascii="Arial" w:hAnsi="Arial"/>
        </w:rPr>
        <w:t>ultra-sonication</w:t>
      </w:r>
      <w:r w:rsidR="002E40A3">
        <w:rPr>
          <w:rFonts w:ascii="Arial" w:hAnsi="Arial"/>
        </w:rPr>
        <w:t xml:space="preserve"> </w:t>
      </w:r>
      <w:r w:rsidR="002E40A3">
        <w:rPr>
          <w:rFonts w:ascii="Arial" w:hAnsi="Arial"/>
          <w:b/>
        </w:rPr>
        <w:t>(Fig. 3)</w:t>
      </w:r>
      <w:r w:rsidR="002E40A3">
        <w:rPr>
          <w:rFonts w:ascii="Arial" w:hAnsi="Arial"/>
        </w:rPr>
        <w:t xml:space="preserve">. At 20% amplitude, the degree of hydrolysis of the sample was raised from 1.000 to 1.153 after 5 minutes, but only barely raised to 1.003 after 10 minutes </w:t>
      </w:r>
      <w:r w:rsidR="002E40A3">
        <w:rPr>
          <w:rFonts w:ascii="Arial" w:hAnsi="Arial"/>
          <w:b/>
        </w:rPr>
        <w:t>(Fig. 3)</w:t>
      </w:r>
      <w:r w:rsidR="002E40A3">
        <w:rPr>
          <w:rFonts w:ascii="Arial" w:hAnsi="Arial"/>
        </w:rPr>
        <w:t xml:space="preserve">. </w:t>
      </w:r>
      <w:r w:rsidR="002E40A3">
        <w:rPr>
          <w:rFonts w:ascii="Arial" w:hAnsi="Arial"/>
          <w:b/>
        </w:rPr>
        <w:t>Fig. 3</w:t>
      </w:r>
      <w:r w:rsidR="002E40A3">
        <w:rPr>
          <w:rFonts w:ascii="Arial" w:hAnsi="Arial"/>
        </w:rPr>
        <w:t xml:space="preserve"> also shows that at 40% amplitude, </w:t>
      </w:r>
      <w:r w:rsidR="00642BB8">
        <w:rPr>
          <w:rFonts w:ascii="Arial" w:hAnsi="Arial"/>
        </w:rPr>
        <w:t>ultra-sonication</w:t>
      </w:r>
      <w:r w:rsidR="002E40A3">
        <w:rPr>
          <w:rFonts w:ascii="Arial" w:hAnsi="Arial"/>
        </w:rPr>
        <w:t xml:space="preserve"> increased the degree of hydrolysis to 1.198after 5 minutes and 1.178 after 10 minutes.</w:t>
      </w:r>
    </w:p>
    <w:p w14:paraId="6AFCDF1C" w14:textId="66CA9D17" w:rsidR="00504C77" w:rsidRPr="002E40A3" w:rsidRDefault="00504C77" w:rsidP="00841201">
      <w:pPr>
        <w:pStyle w:val="ListParagraph"/>
        <w:numPr>
          <w:ilvl w:val="1"/>
          <w:numId w:val="1"/>
        </w:numPr>
        <w:spacing w:line="480" w:lineRule="auto"/>
        <w:rPr>
          <w:rFonts w:ascii="Arial" w:hAnsi="Arial"/>
          <w:i/>
        </w:rPr>
      </w:pPr>
      <w:r w:rsidRPr="002E40A3">
        <w:rPr>
          <w:rFonts w:ascii="Arial" w:hAnsi="Arial"/>
          <w:i/>
        </w:rPr>
        <w:t>Trichloroacetic Acid Soluble Protein Content</w:t>
      </w:r>
    </w:p>
    <w:p w14:paraId="43A9C293" w14:textId="4993CD58" w:rsidR="002E40A3" w:rsidRPr="00640EFA" w:rsidRDefault="00640EFA" w:rsidP="00841201">
      <w:pPr>
        <w:spacing w:line="480" w:lineRule="auto"/>
        <w:rPr>
          <w:rFonts w:ascii="Arial" w:hAnsi="Arial"/>
        </w:rPr>
      </w:pPr>
      <w:r>
        <w:rPr>
          <w:rFonts w:ascii="Arial" w:hAnsi="Arial"/>
        </w:rPr>
        <w:t xml:space="preserve">The soluble protein content in TCA was determined </w:t>
      </w:r>
      <w:r w:rsidR="00056E01">
        <w:rPr>
          <w:rFonts w:ascii="Arial" w:hAnsi="Arial"/>
        </w:rPr>
        <w:t xml:space="preserve">by using the BCA method of analysis </w:t>
      </w:r>
      <w:r w:rsidR="00056E01">
        <w:rPr>
          <w:rFonts w:ascii="Arial" w:hAnsi="Arial"/>
          <w:b/>
        </w:rPr>
        <w:t>(Fig. 4)</w:t>
      </w:r>
      <w:r w:rsidR="00056E01">
        <w:rPr>
          <w:rFonts w:ascii="Arial" w:hAnsi="Arial"/>
        </w:rPr>
        <w:t xml:space="preserve">. As seen in </w:t>
      </w:r>
      <w:r w:rsidR="00056E01">
        <w:rPr>
          <w:rFonts w:ascii="Arial" w:hAnsi="Arial"/>
          <w:b/>
        </w:rPr>
        <w:t>Fig. 4</w:t>
      </w:r>
      <w:r w:rsidR="00056E01">
        <w:rPr>
          <w:rFonts w:ascii="Arial" w:hAnsi="Arial"/>
        </w:rPr>
        <w:t xml:space="preserve">, the soluble protein content was increased by </w:t>
      </w:r>
      <w:r w:rsidR="00642BB8">
        <w:rPr>
          <w:rFonts w:ascii="Arial" w:hAnsi="Arial"/>
        </w:rPr>
        <w:t>ultra-sonication</w:t>
      </w:r>
      <w:r w:rsidR="00056E01">
        <w:rPr>
          <w:rFonts w:ascii="Arial" w:hAnsi="Arial"/>
        </w:rPr>
        <w:t xml:space="preserve">. At 20% amplitude of </w:t>
      </w:r>
      <w:r w:rsidR="00642BB8">
        <w:rPr>
          <w:rFonts w:ascii="Arial" w:hAnsi="Arial"/>
        </w:rPr>
        <w:t>ultra-sonication</w:t>
      </w:r>
      <w:r w:rsidR="00056E01">
        <w:rPr>
          <w:rFonts w:ascii="Arial" w:hAnsi="Arial"/>
        </w:rPr>
        <w:t xml:space="preserve">, the soluble protein content was raised from 168.8 </w:t>
      </w:r>
      <w:r w:rsidR="00056E01" w:rsidRPr="002815E4">
        <w:rPr>
          <w:rFonts w:ascii="Arial" w:hAnsi="Arial" w:cs="Arial"/>
          <w:color w:val="000000"/>
        </w:rPr>
        <w:t>μ</w:t>
      </w:r>
      <w:r w:rsidR="00056E01">
        <w:rPr>
          <w:rFonts w:ascii="Arial" w:hAnsi="Arial" w:cs="Arial"/>
          <w:color w:val="000000"/>
        </w:rPr>
        <w:t xml:space="preserve">g/mL to 230.5 </w:t>
      </w:r>
      <w:r w:rsidR="00056E01" w:rsidRPr="002815E4">
        <w:rPr>
          <w:rFonts w:ascii="Arial" w:hAnsi="Arial" w:cs="Arial"/>
          <w:color w:val="000000"/>
        </w:rPr>
        <w:t>μ</w:t>
      </w:r>
      <w:r w:rsidR="00056E01">
        <w:rPr>
          <w:rFonts w:ascii="Arial" w:hAnsi="Arial" w:cs="Arial"/>
          <w:color w:val="000000"/>
        </w:rPr>
        <w:t xml:space="preserve">g/mL after just 5 minutes, and to 237.4 </w:t>
      </w:r>
      <w:r w:rsidR="00056E01" w:rsidRPr="002815E4">
        <w:rPr>
          <w:rFonts w:ascii="Arial" w:hAnsi="Arial" w:cs="Arial"/>
          <w:color w:val="000000"/>
        </w:rPr>
        <w:t>μ</w:t>
      </w:r>
      <w:r w:rsidR="00056E01">
        <w:rPr>
          <w:rFonts w:ascii="Arial" w:hAnsi="Arial" w:cs="Arial"/>
          <w:color w:val="000000"/>
        </w:rPr>
        <w:t xml:space="preserve">g/mL after 10 minutes </w:t>
      </w:r>
      <w:r w:rsidR="00056E01">
        <w:rPr>
          <w:rFonts w:ascii="Arial" w:hAnsi="Arial" w:cs="Arial"/>
          <w:b/>
          <w:color w:val="000000"/>
        </w:rPr>
        <w:t>(Fig. 4)</w:t>
      </w:r>
      <w:r w:rsidR="00056E01">
        <w:rPr>
          <w:rFonts w:ascii="Arial" w:hAnsi="Arial" w:cs="Arial"/>
          <w:color w:val="000000"/>
        </w:rPr>
        <w:t xml:space="preserve">. At 40% amplitude, the soluble protein content </w:t>
      </w:r>
      <w:r w:rsidR="00056E01">
        <w:rPr>
          <w:rFonts w:ascii="Arial" w:hAnsi="Arial" w:cs="Arial"/>
          <w:color w:val="000000"/>
        </w:rPr>
        <w:lastRenderedPageBreak/>
        <w:t xml:space="preserve">increased to 306.6 </w:t>
      </w:r>
      <w:r w:rsidR="00056E01" w:rsidRPr="002815E4">
        <w:rPr>
          <w:rFonts w:ascii="Arial" w:hAnsi="Arial" w:cs="Arial"/>
          <w:color w:val="000000"/>
        </w:rPr>
        <w:t>μ</w:t>
      </w:r>
      <w:r w:rsidR="00056E01">
        <w:rPr>
          <w:rFonts w:ascii="Arial" w:hAnsi="Arial" w:cs="Arial"/>
          <w:color w:val="000000"/>
        </w:rPr>
        <w:t xml:space="preserve">g/mL after 5 minutes and to 347.2 </w:t>
      </w:r>
      <w:r w:rsidR="00056E01" w:rsidRPr="002815E4">
        <w:rPr>
          <w:rFonts w:ascii="Arial" w:hAnsi="Arial" w:cs="Arial"/>
          <w:color w:val="000000"/>
        </w:rPr>
        <w:t>μ</w:t>
      </w:r>
      <w:r w:rsidR="00056E01">
        <w:rPr>
          <w:rFonts w:ascii="Arial" w:hAnsi="Arial" w:cs="Arial"/>
          <w:color w:val="000000"/>
        </w:rPr>
        <w:t xml:space="preserve">g/mL after 10 minutes </w:t>
      </w:r>
      <w:r w:rsidR="00056E01">
        <w:rPr>
          <w:rFonts w:ascii="Arial" w:hAnsi="Arial" w:cs="Arial"/>
          <w:b/>
          <w:color w:val="000000"/>
        </w:rPr>
        <w:t>(Fig. 4)</w:t>
      </w:r>
      <w:r w:rsidR="00056E01">
        <w:rPr>
          <w:rFonts w:ascii="Arial" w:hAnsi="Arial" w:cs="Arial"/>
          <w:color w:val="000000"/>
        </w:rPr>
        <w:t>.</w:t>
      </w:r>
      <w:r>
        <w:rPr>
          <w:rFonts w:ascii="Arial" w:hAnsi="Arial"/>
        </w:rPr>
        <w:t xml:space="preserve"> </w:t>
      </w:r>
    </w:p>
    <w:p w14:paraId="0FAF78BB" w14:textId="76D01EFA" w:rsidR="00504C77" w:rsidRPr="00504C77" w:rsidRDefault="00504C77" w:rsidP="00841201">
      <w:pPr>
        <w:spacing w:line="480" w:lineRule="auto"/>
        <w:rPr>
          <w:rFonts w:ascii="Arial" w:hAnsi="Arial"/>
          <w:i/>
        </w:rPr>
      </w:pPr>
      <w:r>
        <w:rPr>
          <w:rFonts w:ascii="Arial" w:hAnsi="Arial"/>
          <w:i/>
        </w:rPr>
        <w:t xml:space="preserve">3.5 </w:t>
      </w:r>
      <w:r w:rsidRPr="00A258B9">
        <w:rPr>
          <w:rFonts w:ascii="Arial" w:hAnsi="Arial"/>
          <w:i/>
        </w:rPr>
        <w:t>Hydrochloric Acid Soluble Protein Content</w:t>
      </w:r>
      <w:r>
        <w:rPr>
          <w:rFonts w:ascii="Arial" w:hAnsi="Arial"/>
          <w:i/>
        </w:rPr>
        <w:t xml:space="preserve"> </w:t>
      </w:r>
    </w:p>
    <w:p w14:paraId="48F2DAFB" w14:textId="31360690" w:rsidR="00A258B9" w:rsidRPr="00A258B9" w:rsidRDefault="00C76523" w:rsidP="007C3B29">
      <w:pPr>
        <w:spacing w:after="240" w:line="480" w:lineRule="auto"/>
        <w:rPr>
          <w:rFonts w:ascii="Arial" w:hAnsi="Arial"/>
        </w:rPr>
      </w:pPr>
      <w:r>
        <w:rPr>
          <w:rFonts w:ascii="Arial" w:hAnsi="Arial"/>
        </w:rPr>
        <w:t>Similar to the TCA soluble protein content,</w:t>
      </w:r>
      <w:r w:rsidR="002E604C">
        <w:rPr>
          <w:rFonts w:ascii="Arial" w:hAnsi="Arial"/>
        </w:rPr>
        <w:t xml:space="preserve"> but </w:t>
      </w:r>
      <w:r w:rsidR="00170737">
        <w:rPr>
          <w:rFonts w:ascii="Arial" w:hAnsi="Arial"/>
        </w:rPr>
        <w:t xml:space="preserve">instead </w:t>
      </w:r>
      <w:r w:rsidR="002E604C">
        <w:rPr>
          <w:rFonts w:ascii="Arial" w:hAnsi="Arial"/>
        </w:rPr>
        <w:t>measuring the hydrolysis of all protein content,</w:t>
      </w:r>
      <w:r>
        <w:rPr>
          <w:rFonts w:ascii="Arial" w:hAnsi="Arial"/>
        </w:rPr>
        <w:t xml:space="preserve"> the HCl soluble protein content was also measured using the BCA method of analysis </w:t>
      </w:r>
      <w:r>
        <w:rPr>
          <w:rFonts w:ascii="Arial" w:hAnsi="Arial"/>
          <w:b/>
        </w:rPr>
        <w:t>(Fig. 5)</w:t>
      </w:r>
      <w:r>
        <w:rPr>
          <w:rFonts w:ascii="Arial" w:hAnsi="Arial"/>
        </w:rPr>
        <w:t xml:space="preserve">. </w:t>
      </w:r>
      <w:r w:rsidR="00A906EE">
        <w:rPr>
          <w:rFonts w:ascii="Arial" w:hAnsi="Arial"/>
        </w:rPr>
        <w:t xml:space="preserve">In this case, </w:t>
      </w:r>
      <w:r w:rsidR="00642BB8">
        <w:rPr>
          <w:rFonts w:ascii="Arial" w:hAnsi="Arial"/>
        </w:rPr>
        <w:t>ultra-sonication</w:t>
      </w:r>
      <w:r w:rsidR="00A906EE">
        <w:rPr>
          <w:rFonts w:ascii="Arial" w:hAnsi="Arial"/>
        </w:rPr>
        <w:t xml:space="preserve"> decreased the soluble protein content </w:t>
      </w:r>
      <w:r w:rsidR="00A906EE">
        <w:rPr>
          <w:rFonts w:ascii="Arial" w:hAnsi="Arial"/>
          <w:b/>
        </w:rPr>
        <w:t>(Fig. 5)</w:t>
      </w:r>
      <w:r w:rsidR="00A906EE">
        <w:rPr>
          <w:rFonts w:ascii="Arial" w:hAnsi="Arial"/>
        </w:rPr>
        <w:t xml:space="preserve">. </w:t>
      </w:r>
      <w:r w:rsidR="00A906EE">
        <w:rPr>
          <w:rFonts w:ascii="Arial" w:hAnsi="Arial"/>
          <w:b/>
        </w:rPr>
        <w:t>Fig. 5</w:t>
      </w:r>
      <w:r w:rsidR="00A906EE">
        <w:rPr>
          <w:rFonts w:ascii="Arial" w:hAnsi="Arial"/>
        </w:rPr>
        <w:t xml:space="preserve"> shows that at 20% amplitude, the HCl soluble protein content dropped from 546.3 </w:t>
      </w:r>
      <w:r w:rsidR="00A906EE" w:rsidRPr="002815E4">
        <w:rPr>
          <w:rFonts w:ascii="Arial" w:hAnsi="Arial" w:cs="Arial"/>
          <w:color w:val="000000"/>
        </w:rPr>
        <w:t>μ</w:t>
      </w:r>
      <w:r w:rsidR="00A906EE">
        <w:rPr>
          <w:rFonts w:ascii="Arial" w:hAnsi="Arial" w:cs="Arial"/>
          <w:color w:val="000000"/>
        </w:rPr>
        <w:t>g/mL</w:t>
      </w:r>
      <w:r w:rsidR="00A906EE">
        <w:rPr>
          <w:rFonts w:ascii="Arial" w:hAnsi="Arial"/>
        </w:rPr>
        <w:t xml:space="preserve"> to 420.2 </w:t>
      </w:r>
      <w:r w:rsidR="00A906EE" w:rsidRPr="002815E4">
        <w:rPr>
          <w:rFonts w:ascii="Arial" w:hAnsi="Arial" w:cs="Arial"/>
          <w:color w:val="000000"/>
        </w:rPr>
        <w:t>μ</w:t>
      </w:r>
      <w:r w:rsidR="00A906EE">
        <w:rPr>
          <w:rFonts w:ascii="Arial" w:hAnsi="Arial" w:cs="Arial"/>
          <w:color w:val="000000"/>
        </w:rPr>
        <w:t xml:space="preserve">g/mL after 5 minutes and to 358.6 </w:t>
      </w:r>
      <w:r w:rsidR="00A906EE" w:rsidRPr="002815E4">
        <w:rPr>
          <w:rFonts w:ascii="Arial" w:hAnsi="Arial" w:cs="Arial"/>
          <w:color w:val="000000"/>
        </w:rPr>
        <w:t>μ</w:t>
      </w:r>
      <w:r w:rsidR="00A906EE">
        <w:rPr>
          <w:rFonts w:ascii="Arial" w:hAnsi="Arial" w:cs="Arial"/>
          <w:color w:val="000000"/>
        </w:rPr>
        <w:t xml:space="preserve">g/mL after 10 minutes. After 5 minutes at 40% amplitude, the soluble protein content decreased to 384.1 </w:t>
      </w:r>
      <w:r w:rsidR="00A906EE" w:rsidRPr="002815E4">
        <w:rPr>
          <w:rFonts w:ascii="Arial" w:hAnsi="Arial" w:cs="Arial"/>
          <w:color w:val="000000"/>
        </w:rPr>
        <w:t>μ</w:t>
      </w:r>
      <w:r w:rsidR="00A906EE">
        <w:rPr>
          <w:rFonts w:ascii="Arial" w:hAnsi="Arial" w:cs="Arial"/>
          <w:color w:val="000000"/>
        </w:rPr>
        <w:t xml:space="preserve">g/mL and after 10 minutes at 40% amplitude it decreased slightly less, to 425.8 </w:t>
      </w:r>
      <w:r w:rsidR="00A906EE" w:rsidRPr="002815E4">
        <w:rPr>
          <w:rFonts w:ascii="Arial" w:hAnsi="Arial" w:cs="Arial"/>
          <w:color w:val="000000"/>
        </w:rPr>
        <w:t>μ</w:t>
      </w:r>
      <w:r w:rsidR="00A906EE">
        <w:rPr>
          <w:rFonts w:ascii="Arial" w:hAnsi="Arial" w:cs="Arial"/>
          <w:color w:val="000000"/>
        </w:rPr>
        <w:t xml:space="preserve">g/mL </w:t>
      </w:r>
      <w:r w:rsidR="00A906EE">
        <w:rPr>
          <w:rFonts w:ascii="Arial" w:hAnsi="Arial" w:cs="Arial"/>
          <w:b/>
          <w:color w:val="000000"/>
        </w:rPr>
        <w:t>(Fig. 5)</w:t>
      </w:r>
      <w:r w:rsidR="00A906EE">
        <w:rPr>
          <w:rFonts w:ascii="Arial" w:hAnsi="Arial" w:cs="Arial"/>
          <w:color w:val="000000"/>
        </w:rPr>
        <w:t>.</w:t>
      </w:r>
    </w:p>
    <w:p w14:paraId="2821FB33" w14:textId="77777777" w:rsidR="00322888" w:rsidRDefault="00322888" w:rsidP="00841201">
      <w:pPr>
        <w:pStyle w:val="ListParagraph"/>
        <w:numPr>
          <w:ilvl w:val="0"/>
          <w:numId w:val="1"/>
        </w:numPr>
        <w:spacing w:line="480" w:lineRule="auto"/>
        <w:rPr>
          <w:rFonts w:ascii="Arial" w:hAnsi="Arial"/>
          <w:b/>
        </w:rPr>
      </w:pPr>
      <w:r w:rsidRPr="001A059F">
        <w:rPr>
          <w:rFonts w:ascii="Arial" w:hAnsi="Arial"/>
          <w:b/>
        </w:rPr>
        <w:t>Discussion</w:t>
      </w:r>
    </w:p>
    <w:p w14:paraId="2ACFE499" w14:textId="2B255F93" w:rsidR="001A059F" w:rsidRDefault="002D29F6" w:rsidP="009510D1">
      <w:pPr>
        <w:spacing w:after="240" w:line="480" w:lineRule="auto"/>
        <w:rPr>
          <w:rFonts w:ascii="Arial" w:hAnsi="Arial"/>
        </w:rPr>
      </w:pPr>
      <w:r>
        <w:rPr>
          <w:rFonts w:ascii="Arial" w:hAnsi="Arial"/>
        </w:rPr>
        <w:t xml:space="preserve">Protein concentration is directly proportional to absorbance of a solution. Through the BCA assay method, the absorbance was measured </w:t>
      </w:r>
      <w:r w:rsidR="004C2EF4">
        <w:rPr>
          <w:rFonts w:ascii="Arial" w:hAnsi="Arial"/>
        </w:rPr>
        <w:t xml:space="preserve">with a microplate reader at a 490 nm wavelength. </w:t>
      </w:r>
      <w:r w:rsidR="00F56F11">
        <w:rPr>
          <w:rFonts w:ascii="Arial" w:hAnsi="Arial"/>
          <w:b/>
        </w:rPr>
        <w:t>Fig. 1</w:t>
      </w:r>
      <w:r w:rsidR="00F56F11">
        <w:rPr>
          <w:rFonts w:ascii="Arial" w:hAnsi="Arial"/>
        </w:rPr>
        <w:t xml:space="preserve"> shows that there is no significant difference between the solutions that were and were not </w:t>
      </w:r>
      <w:r w:rsidR="00642BB8">
        <w:rPr>
          <w:rFonts w:ascii="Arial" w:hAnsi="Arial"/>
        </w:rPr>
        <w:t>ultra-sonicated</w:t>
      </w:r>
      <w:r w:rsidR="00D1293A">
        <w:rPr>
          <w:rFonts w:ascii="Arial" w:hAnsi="Arial"/>
        </w:rPr>
        <w:t>, except for one solution</w:t>
      </w:r>
      <w:r w:rsidR="00F56F11">
        <w:rPr>
          <w:rFonts w:ascii="Arial" w:hAnsi="Arial"/>
        </w:rPr>
        <w:t xml:space="preserve">. </w:t>
      </w:r>
      <w:r w:rsidR="00D1293A">
        <w:rPr>
          <w:rFonts w:ascii="Arial" w:hAnsi="Arial"/>
        </w:rPr>
        <w:t xml:space="preserve">Only the protein concentration </w:t>
      </w:r>
      <w:r w:rsidR="00642BB8">
        <w:rPr>
          <w:rFonts w:ascii="Arial" w:hAnsi="Arial"/>
        </w:rPr>
        <w:t>ultra-sonicated</w:t>
      </w:r>
      <w:r w:rsidR="00D1293A">
        <w:rPr>
          <w:rFonts w:ascii="Arial" w:hAnsi="Arial"/>
        </w:rPr>
        <w:t xml:space="preserve"> for 10 minutes at 20% amplitude was significantly lower than its starting concentration.</w:t>
      </w:r>
      <w:r w:rsidR="00ED631F">
        <w:rPr>
          <w:rFonts w:ascii="Arial" w:hAnsi="Arial"/>
        </w:rPr>
        <w:t xml:space="preserve"> This data suggests that principally, the waves of </w:t>
      </w:r>
      <w:r w:rsidR="00642BB8">
        <w:rPr>
          <w:rFonts w:ascii="Arial" w:hAnsi="Arial"/>
        </w:rPr>
        <w:t>ultra-sonication</w:t>
      </w:r>
      <w:r w:rsidR="00ED631F">
        <w:rPr>
          <w:rFonts w:ascii="Arial" w:hAnsi="Arial"/>
        </w:rPr>
        <w:t xml:space="preserve"> </w:t>
      </w:r>
      <w:r w:rsidR="00D6615A">
        <w:rPr>
          <w:rFonts w:ascii="Arial" w:hAnsi="Arial"/>
        </w:rPr>
        <w:t xml:space="preserve">broke down the protein to smaller amino acid chains and peptide portions, making the substance more soluble. </w:t>
      </w:r>
    </w:p>
    <w:p w14:paraId="2B0B3D22" w14:textId="43D01C0E" w:rsidR="00D1293A" w:rsidRDefault="00544AA0" w:rsidP="009510D1">
      <w:pPr>
        <w:spacing w:after="240" w:line="480" w:lineRule="auto"/>
        <w:rPr>
          <w:rFonts w:ascii="Arial" w:hAnsi="Arial"/>
        </w:rPr>
      </w:pPr>
      <w:r>
        <w:rPr>
          <w:rFonts w:ascii="Arial" w:hAnsi="Arial"/>
        </w:rPr>
        <w:t xml:space="preserve">This gel electrophoresis analysis confirmed that the protein extracted was, in fact, kafirin. The </w:t>
      </w:r>
      <w:r w:rsidRPr="00BF0483">
        <w:rPr>
          <w:rFonts w:ascii="Arial" w:hAnsi="Arial" w:cs="Arial"/>
          <w:color w:val="000000"/>
        </w:rPr>
        <w:t>α</w:t>
      </w:r>
      <w:r>
        <w:rPr>
          <w:rFonts w:ascii="Arial" w:hAnsi="Arial" w:cs="Arial"/>
          <w:color w:val="000000"/>
        </w:rPr>
        <w:t xml:space="preserve">, </w:t>
      </w:r>
      <w:r w:rsidRPr="00BF0483">
        <w:rPr>
          <w:rFonts w:ascii="Arial" w:hAnsi="Arial" w:cs="Arial"/>
          <w:color w:val="000000"/>
        </w:rPr>
        <w:t>β</w:t>
      </w:r>
      <w:r>
        <w:rPr>
          <w:rFonts w:ascii="Arial" w:hAnsi="Arial" w:cs="Arial"/>
          <w:color w:val="000000"/>
        </w:rPr>
        <w:t xml:space="preserve">, and </w:t>
      </w:r>
      <w:r w:rsidRPr="00BF0483">
        <w:rPr>
          <w:rFonts w:ascii="Arial" w:hAnsi="Arial" w:cs="Arial"/>
          <w:color w:val="000000"/>
        </w:rPr>
        <w:t>ϒ</w:t>
      </w:r>
      <w:r>
        <w:rPr>
          <w:rFonts w:ascii="Arial" w:hAnsi="Arial" w:cs="Arial"/>
          <w:color w:val="000000"/>
        </w:rPr>
        <w:t xml:space="preserve"> confirmations of the protein can all be found as </w:t>
      </w:r>
      <w:r>
        <w:rPr>
          <w:rFonts w:ascii="Arial" w:hAnsi="Arial" w:cs="Arial"/>
          <w:color w:val="000000"/>
        </w:rPr>
        <w:lastRenderedPageBreak/>
        <w:t xml:space="preserve">bands on </w:t>
      </w:r>
      <w:r>
        <w:rPr>
          <w:rFonts w:ascii="Arial" w:hAnsi="Arial" w:cs="Arial"/>
          <w:b/>
          <w:color w:val="000000"/>
        </w:rPr>
        <w:t>Fig. 2</w:t>
      </w:r>
      <w:r>
        <w:rPr>
          <w:rFonts w:ascii="Arial" w:hAnsi="Arial" w:cs="Arial"/>
          <w:color w:val="000000"/>
        </w:rPr>
        <w:t xml:space="preserve">, organized top to bottom from heaviest to </w:t>
      </w:r>
      <w:r w:rsidR="006E415E">
        <w:rPr>
          <w:rFonts w:ascii="Arial" w:hAnsi="Arial" w:cs="Arial"/>
          <w:color w:val="000000"/>
        </w:rPr>
        <w:t>lightest molecular weight in kD</w:t>
      </w:r>
      <w:r w:rsidR="00CB678E">
        <w:rPr>
          <w:rFonts w:ascii="Arial" w:hAnsi="Arial" w:cs="Arial"/>
          <w:color w:val="000000"/>
        </w:rPr>
        <w:t>a</w:t>
      </w:r>
      <w:r>
        <w:rPr>
          <w:rFonts w:ascii="Arial" w:hAnsi="Arial" w:cs="Arial"/>
          <w:color w:val="000000"/>
        </w:rPr>
        <w:t xml:space="preserve">. </w:t>
      </w:r>
      <w:r w:rsidR="00EA7C8C">
        <w:rPr>
          <w:rFonts w:ascii="Arial" w:hAnsi="Arial" w:cs="Arial"/>
          <w:color w:val="000000"/>
        </w:rPr>
        <w:t>With the correct protein confirmed, the experiment could move forward as planned.</w:t>
      </w:r>
    </w:p>
    <w:p w14:paraId="75592B7A" w14:textId="5DB4A94F" w:rsidR="004C2EF4" w:rsidRDefault="0084599B" w:rsidP="009510D1">
      <w:pPr>
        <w:spacing w:after="240" w:line="480" w:lineRule="auto"/>
        <w:rPr>
          <w:rFonts w:ascii="Arial" w:hAnsi="Arial"/>
        </w:rPr>
      </w:pPr>
      <w:r>
        <w:rPr>
          <w:rFonts w:ascii="Arial" w:hAnsi="Arial"/>
        </w:rPr>
        <w:t>The OPA degree of hydrolysis</w:t>
      </w:r>
      <w:r w:rsidR="00D1293A">
        <w:rPr>
          <w:rFonts w:ascii="Arial" w:hAnsi="Arial"/>
        </w:rPr>
        <w:t xml:space="preserve"> analysis also involved the use of calculation from measured absorbance. </w:t>
      </w:r>
      <w:r w:rsidR="00257AB4">
        <w:rPr>
          <w:rFonts w:ascii="Arial" w:hAnsi="Arial"/>
          <w:b/>
        </w:rPr>
        <w:t xml:space="preserve">Fig. 3 </w:t>
      </w:r>
      <w:r w:rsidR="00257AB4">
        <w:rPr>
          <w:rFonts w:ascii="Arial" w:hAnsi="Arial"/>
        </w:rPr>
        <w:t xml:space="preserve">shows that </w:t>
      </w:r>
      <w:r w:rsidR="00642BB8">
        <w:rPr>
          <w:rFonts w:ascii="Arial" w:hAnsi="Arial"/>
        </w:rPr>
        <w:t>ultra-sonicated</w:t>
      </w:r>
      <w:r w:rsidR="00D1293A">
        <w:rPr>
          <w:rFonts w:ascii="Arial" w:hAnsi="Arial"/>
        </w:rPr>
        <w:t xml:space="preserve"> solutions all had significantly higher degrees </w:t>
      </w:r>
      <w:r w:rsidR="00F353EB">
        <w:rPr>
          <w:rFonts w:ascii="Arial" w:hAnsi="Arial"/>
        </w:rPr>
        <w:t>of hydrolysis but one:</w:t>
      </w:r>
      <w:r w:rsidR="00792C27">
        <w:rPr>
          <w:rFonts w:ascii="Arial" w:hAnsi="Arial"/>
        </w:rPr>
        <w:t xml:space="preserve"> 20% </w:t>
      </w:r>
      <w:r w:rsidR="00F353EB">
        <w:rPr>
          <w:rFonts w:ascii="Arial" w:hAnsi="Arial"/>
        </w:rPr>
        <w:t>amplitude</w:t>
      </w:r>
      <w:r w:rsidR="00792C27">
        <w:rPr>
          <w:rFonts w:ascii="Arial" w:hAnsi="Arial"/>
        </w:rPr>
        <w:t xml:space="preserve"> after 10 minutes.</w:t>
      </w:r>
      <w:r w:rsidR="00D1293A">
        <w:rPr>
          <w:rFonts w:ascii="Arial" w:hAnsi="Arial"/>
        </w:rPr>
        <w:t xml:space="preserve"> </w:t>
      </w:r>
      <w:r>
        <w:rPr>
          <w:rFonts w:ascii="Arial" w:hAnsi="Arial"/>
        </w:rPr>
        <w:t>All others (20</w:t>
      </w:r>
      <w:r w:rsidR="00257AB4">
        <w:rPr>
          <w:rFonts w:ascii="Arial" w:hAnsi="Arial"/>
        </w:rPr>
        <w:t>% amplitude after 5 minutes and 40% amplitude after both 5 and 10 minutes</w:t>
      </w:r>
      <w:r>
        <w:rPr>
          <w:rFonts w:ascii="Arial" w:hAnsi="Arial"/>
        </w:rPr>
        <w:t>)</w:t>
      </w:r>
      <w:r w:rsidR="00257AB4">
        <w:rPr>
          <w:rFonts w:ascii="Arial" w:hAnsi="Arial"/>
        </w:rPr>
        <w:t xml:space="preserve"> produced significantly higher degrees of hydrolysis than the starting point</w:t>
      </w:r>
      <w:r w:rsidR="00BF7B51">
        <w:rPr>
          <w:rFonts w:ascii="Arial" w:hAnsi="Arial"/>
        </w:rPr>
        <w:t xml:space="preserve"> </w:t>
      </w:r>
      <w:r w:rsidR="00BF7B51">
        <w:rPr>
          <w:rFonts w:ascii="Arial" w:hAnsi="Arial"/>
          <w:b/>
        </w:rPr>
        <w:t>(Fig. 3)</w:t>
      </w:r>
      <w:r w:rsidR="00257AB4">
        <w:rPr>
          <w:rFonts w:ascii="Arial" w:hAnsi="Arial"/>
        </w:rPr>
        <w:t xml:space="preserve">. </w:t>
      </w:r>
      <w:r w:rsidR="00BF7B51">
        <w:rPr>
          <w:rFonts w:ascii="Arial" w:hAnsi="Arial"/>
        </w:rPr>
        <w:t>The degree of hydrolysis is proportionally the cleaved peptide bonds in a protein hydrolysate (</w:t>
      </w:r>
      <w:r w:rsidR="00A42662">
        <w:rPr>
          <w:rFonts w:ascii="Arial" w:hAnsi="Arial"/>
        </w:rPr>
        <w:t>12</w:t>
      </w:r>
      <w:r w:rsidR="00BF7B51">
        <w:rPr>
          <w:rFonts w:ascii="Arial" w:hAnsi="Arial"/>
        </w:rPr>
        <w:t xml:space="preserve">). </w:t>
      </w:r>
      <w:r w:rsidR="00594F19">
        <w:rPr>
          <w:rFonts w:ascii="Arial" w:hAnsi="Arial"/>
        </w:rPr>
        <w:t>An increase in degree of hydrolysis translates to an increase in</w:t>
      </w:r>
      <w:r w:rsidR="00CB678E">
        <w:rPr>
          <w:rFonts w:ascii="Arial" w:hAnsi="Arial"/>
        </w:rPr>
        <w:t xml:space="preserve"> digestibility</w:t>
      </w:r>
      <w:r w:rsidR="00594F19">
        <w:rPr>
          <w:rFonts w:ascii="Arial" w:hAnsi="Arial"/>
        </w:rPr>
        <w:t xml:space="preserve">. </w:t>
      </w:r>
      <w:r w:rsidR="00BF7B51">
        <w:rPr>
          <w:rFonts w:ascii="Arial" w:hAnsi="Arial"/>
        </w:rPr>
        <w:t xml:space="preserve">Combined with this data, this definition </w:t>
      </w:r>
      <w:r w:rsidR="00257AB4">
        <w:rPr>
          <w:rFonts w:ascii="Arial" w:hAnsi="Arial"/>
        </w:rPr>
        <w:t xml:space="preserve">offers that </w:t>
      </w:r>
      <w:r w:rsidR="00642BB8">
        <w:rPr>
          <w:rFonts w:ascii="Arial" w:hAnsi="Arial"/>
        </w:rPr>
        <w:t>ultra-sonication</w:t>
      </w:r>
      <w:r w:rsidR="00BF7B51">
        <w:rPr>
          <w:rFonts w:ascii="Arial" w:hAnsi="Arial"/>
        </w:rPr>
        <w:t xml:space="preserve"> increases degree of hydrolysis of kafirin, and thus</w:t>
      </w:r>
      <w:r w:rsidR="00257AB4">
        <w:rPr>
          <w:rFonts w:ascii="Arial" w:hAnsi="Arial"/>
        </w:rPr>
        <w:t xml:space="preserve"> </w:t>
      </w:r>
      <w:r w:rsidR="00BF7B51">
        <w:rPr>
          <w:rFonts w:ascii="Arial" w:hAnsi="Arial"/>
        </w:rPr>
        <w:t>increases the cleavage of peptide bonds within the protein.</w:t>
      </w:r>
      <w:r w:rsidR="00594F19">
        <w:rPr>
          <w:rFonts w:ascii="Arial" w:hAnsi="Arial"/>
        </w:rPr>
        <w:t xml:space="preserve"> </w:t>
      </w:r>
    </w:p>
    <w:p w14:paraId="0342F8FB" w14:textId="5AA70B0B" w:rsidR="00BF7B51" w:rsidRDefault="00642BB8" w:rsidP="009510D1">
      <w:pPr>
        <w:spacing w:after="240" w:line="480" w:lineRule="auto"/>
        <w:rPr>
          <w:rFonts w:ascii="Arial" w:hAnsi="Arial"/>
        </w:rPr>
      </w:pPr>
      <w:r>
        <w:rPr>
          <w:rFonts w:ascii="Helvetica" w:hAnsi="Helvetica" w:cs="Helvetica"/>
        </w:rPr>
        <w:t>T</w:t>
      </w:r>
      <w:r w:rsidR="00BF7B51">
        <w:rPr>
          <w:rFonts w:ascii="Arial" w:hAnsi="Arial"/>
        </w:rPr>
        <w:t xml:space="preserve">his analysis </w:t>
      </w:r>
      <w:r>
        <w:rPr>
          <w:rFonts w:ascii="Arial" w:hAnsi="Arial"/>
        </w:rPr>
        <w:t xml:space="preserve">tests for the measurable nitrogen component of </w:t>
      </w:r>
      <w:r w:rsidR="00BF7B51">
        <w:rPr>
          <w:rFonts w:ascii="Arial" w:hAnsi="Arial"/>
        </w:rPr>
        <w:t xml:space="preserve">the soluble protein content before and after </w:t>
      </w:r>
      <w:r>
        <w:rPr>
          <w:rFonts w:ascii="Arial" w:hAnsi="Arial"/>
        </w:rPr>
        <w:t>ultra-sonication</w:t>
      </w:r>
      <w:r w:rsidR="00BF7B51">
        <w:rPr>
          <w:rFonts w:ascii="Arial" w:hAnsi="Arial"/>
        </w:rPr>
        <w:t xml:space="preserve">. From all the analyses run, this showed the most significant results. </w:t>
      </w:r>
      <w:r w:rsidR="00BF7B51">
        <w:rPr>
          <w:rFonts w:ascii="Arial" w:hAnsi="Arial"/>
          <w:b/>
        </w:rPr>
        <w:t>Fig. 4</w:t>
      </w:r>
      <w:r w:rsidR="00BF7B51">
        <w:rPr>
          <w:rFonts w:ascii="Arial" w:hAnsi="Arial"/>
        </w:rPr>
        <w:t xml:space="preserve"> shows clearly how as </w:t>
      </w:r>
      <w:r>
        <w:rPr>
          <w:rFonts w:ascii="Arial" w:hAnsi="Arial"/>
        </w:rPr>
        <w:t>ultra-sonication</w:t>
      </w:r>
      <w:r w:rsidR="00BF7B51">
        <w:rPr>
          <w:rFonts w:ascii="Arial" w:hAnsi="Arial"/>
        </w:rPr>
        <w:t xml:space="preserve"> increases in both time and amplitude, so does the amount of soluble protein content. </w:t>
      </w:r>
      <w:r w:rsidR="00A71F11">
        <w:rPr>
          <w:rFonts w:ascii="Arial" w:hAnsi="Arial"/>
        </w:rPr>
        <w:t xml:space="preserve">Amplitude at both 20% and 40% after both 5 and 10 minutes all produced significantly higher soluble protein content than the kafirin solution with no </w:t>
      </w:r>
      <w:r>
        <w:rPr>
          <w:rFonts w:ascii="Arial" w:hAnsi="Arial"/>
        </w:rPr>
        <w:t>ultra-sonication</w:t>
      </w:r>
      <w:r w:rsidR="00A71F11">
        <w:rPr>
          <w:rFonts w:ascii="Arial" w:hAnsi="Arial"/>
        </w:rPr>
        <w:t xml:space="preserve"> </w:t>
      </w:r>
      <w:r w:rsidR="00A71F11">
        <w:rPr>
          <w:rFonts w:ascii="Arial" w:hAnsi="Arial"/>
          <w:b/>
        </w:rPr>
        <w:t>(Fig. 4)</w:t>
      </w:r>
      <w:r w:rsidR="00A71F11">
        <w:rPr>
          <w:rFonts w:ascii="Arial" w:hAnsi="Arial"/>
        </w:rPr>
        <w:t xml:space="preserve">. </w:t>
      </w:r>
      <w:r>
        <w:rPr>
          <w:rFonts w:ascii="Arial" w:hAnsi="Arial"/>
        </w:rPr>
        <w:t xml:space="preserve">The TCA converts amides into amines and carboxylic acid, and the protein content measured was the amine portion. </w:t>
      </w:r>
      <w:r w:rsidR="001D4ED1">
        <w:rPr>
          <w:rFonts w:ascii="Arial" w:hAnsi="Arial"/>
        </w:rPr>
        <w:t>The sound waves disrupted the bonds around the digestible conformation of kafirin, and increased the protein</w:t>
      </w:r>
      <w:r w:rsidR="003E6BD7">
        <w:rPr>
          <w:rFonts w:ascii="Arial" w:hAnsi="Arial"/>
        </w:rPr>
        <w:t>’</w:t>
      </w:r>
      <w:r w:rsidR="001D4ED1">
        <w:rPr>
          <w:rFonts w:ascii="Arial" w:hAnsi="Arial"/>
        </w:rPr>
        <w:t xml:space="preserve">s </w:t>
      </w:r>
      <w:r w:rsidR="003E6BD7">
        <w:rPr>
          <w:rFonts w:ascii="Arial" w:hAnsi="Arial"/>
        </w:rPr>
        <w:t>solubility.</w:t>
      </w:r>
    </w:p>
    <w:p w14:paraId="4E91EF14" w14:textId="5A5EBE79" w:rsidR="004C2EF4" w:rsidRPr="00452D8B" w:rsidRDefault="00BC6A87" w:rsidP="007C3B29">
      <w:pPr>
        <w:spacing w:after="240" w:line="480" w:lineRule="auto"/>
        <w:rPr>
          <w:rFonts w:ascii="Helvetica" w:hAnsi="Helvetica" w:cs="Helvetica"/>
        </w:rPr>
      </w:pPr>
      <w:r>
        <w:rPr>
          <w:rFonts w:ascii="Arial" w:hAnsi="Arial"/>
        </w:rPr>
        <w:lastRenderedPageBreak/>
        <w:t>This analysis is very similar to the previous, but</w:t>
      </w:r>
      <w:r w:rsidR="00707486">
        <w:rPr>
          <w:rFonts w:ascii="Arial" w:hAnsi="Arial"/>
        </w:rPr>
        <w:t xml:space="preserve"> instead tested for total soluble protein content.</w:t>
      </w:r>
      <w:r>
        <w:rPr>
          <w:rFonts w:ascii="Arial" w:hAnsi="Arial"/>
        </w:rPr>
        <w:t xml:space="preserve"> Instead of showing increased protein content, the HCl analysis indicates that </w:t>
      </w:r>
      <w:r w:rsidR="00642BB8">
        <w:rPr>
          <w:rFonts w:ascii="Arial" w:hAnsi="Arial"/>
        </w:rPr>
        <w:t>ultra-sonication</w:t>
      </w:r>
      <w:r>
        <w:rPr>
          <w:rFonts w:ascii="Arial" w:hAnsi="Arial"/>
        </w:rPr>
        <w:t xml:space="preserve"> dec</w:t>
      </w:r>
      <w:r w:rsidR="009F1573">
        <w:rPr>
          <w:rFonts w:ascii="Arial" w:hAnsi="Arial"/>
        </w:rPr>
        <w:t xml:space="preserve">reases that content </w:t>
      </w:r>
      <w:r w:rsidR="009F1573">
        <w:rPr>
          <w:rFonts w:ascii="Arial" w:hAnsi="Arial"/>
          <w:b/>
        </w:rPr>
        <w:t>(Fig. 5)</w:t>
      </w:r>
      <w:r w:rsidR="009F1573">
        <w:rPr>
          <w:rFonts w:ascii="Arial" w:hAnsi="Arial"/>
        </w:rPr>
        <w:t xml:space="preserve">. Though contrasting, these results are still significantly different than the starting content and show a significant decrease once </w:t>
      </w:r>
      <w:r w:rsidR="00642BB8">
        <w:rPr>
          <w:rFonts w:ascii="Arial" w:hAnsi="Arial"/>
        </w:rPr>
        <w:t>ultra-sonication</w:t>
      </w:r>
      <w:r w:rsidR="009F1573">
        <w:rPr>
          <w:rFonts w:ascii="Arial" w:hAnsi="Arial"/>
        </w:rPr>
        <w:t xml:space="preserve"> starts. The results are less steady though, as the 20% amplitude created less soluble protein content than the 40%. </w:t>
      </w:r>
      <w:r w:rsidR="00707486">
        <w:rPr>
          <w:rFonts w:ascii="Arial" w:hAnsi="Arial"/>
        </w:rPr>
        <w:t xml:space="preserve">Rather than breaking down the amide portions of the protein, the HCl solution broke down the protein in its entirety. However, the ultra-sonicated kafirin was already somewhat disassembled, and so the prolonged exposure to HCl (4 hours) </w:t>
      </w:r>
      <w:r w:rsidR="00452D8B">
        <w:rPr>
          <w:rFonts w:ascii="Arial" w:hAnsi="Arial"/>
        </w:rPr>
        <w:t>in turn made the protein contain a decreased amount of soluble protein content.</w:t>
      </w:r>
    </w:p>
    <w:p w14:paraId="2839C5CD" w14:textId="77777777" w:rsidR="009510D1" w:rsidRPr="001C7801" w:rsidRDefault="009510D1" w:rsidP="009510D1">
      <w:pPr>
        <w:pStyle w:val="ListParagraph"/>
        <w:numPr>
          <w:ilvl w:val="0"/>
          <w:numId w:val="1"/>
        </w:numPr>
        <w:spacing w:line="480" w:lineRule="auto"/>
        <w:rPr>
          <w:rFonts w:ascii="Arial" w:hAnsi="Arial"/>
          <w:b/>
        </w:rPr>
      </w:pPr>
      <w:r w:rsidRPr="001C7801">
        <w:rPr>
          <w:rFonts w:ascii="Arial" w:hAnsi="Arial"/>
          <w:b/>
        </w:rPr>
        <w:t>Conclusion</w:t>
      </w:r>
    </w:p>
    <w:p w14:paraId="4B6618E5" w14:textId="77777777" w:rsidR="009510D1" w:rsidRDefault="009510D1" w:rsidP="009510D1">
      <w:pPr>
        <w:pStyle w:val="EndNoteBibliography"/>
        <w:spacing w:after="240" w:line="480" w:lineRule="auto"/>
        <w:rPr>
          <w:rFonts w:ascii="Arial" w:hAnsi="Arial"/>
          <w:noProof/>
        </w:rPr>
      </w:pPr>
      <w:r>
        <w:rPr>
          <w:rFonts w:ascii="Arial" w:hAnsi="Arial"/>
          <w:noProof/>
        </w:rPr>
        <w:t>In closing</w:t>
      </w:r>
      <w:r>
        <w:rPr>
          <w:rFonts w:ascii="Arial" w:hAnsi="Arial"/>
        </w:rPr>
        <w:t>, the objective of this experiment was to determine the effects of ultra-sonication on different aspects of the kafirin protein</w:t>
      </w:r>
      <w:r>
        <w:rPr>
          <w:rFonts w:ascii="Arial" w:hAnsi="Arial"/>
          <w:noProof/>
        </w:rPr>
        <w:t>, and the results did show positive effects on each analysis run. The BCA assay displayed that ultra-sonication decreased protein concentration, which means that the process successfully produced smaller peptide fragments and amino acid chains, as they measure less protein concentration. The OPA test showed that the degree of hydrolysis was increased by ultra-sonication, and thus more easily solubilized. The TCA soluble protein content measurement showed that the ultra-sonication process significantly increased the solubility of kafirin with each increase in amplitude and time, suggesting that the process positively affected kafirin’s digestibility.</w:t>
      </w:r>
    </w:p>
    <w:p w14:paraId="26D5F7B6" w14:textId="79306403" w:rsidR="009510D1" w:rsidRDefault="009510D1" w:rsidP="009510D1">
      <w:pPr>
        <w:pStyle w:val="EndNoteBibliography"/>
        <w:spacing w:line="480" w:lineRule="auto"/>
        <w:rPr>
          <w:rFonts w:ascii="Arial" w:hAnsi="Arial"/>
          <w:noProof/>
        </w:rPr>
      </w:pPr>
      <w:r>
        <w:rPr>
          <w:rFonts w:ascii="Arial" w:hAnsi="Arial"/>
          <w:noProof/>
        </w:rPr>
        <w:lastRenderedPageBreak/>
        <w:t>The prospect of improving digestibility and nutritional value of a cereal native to water-scare regions of the world is profound, as populations in these regions continue to increase, as climate-related weather changes continue to affect the planet, and as globa</w:t>
      </w:r>
      <w:r w:rsidR="00985987">
        <w:rPr>
          <w:rFonts w:ascii="Arial" w:hAnsi="Arial"/>
          <w:noProof/>
        </w:rPr>
        <w:t>l food supply concerns remain. T</w:t>
      </w:r>
      <w:r>
        <w:rPr>
          <w:rFonts w:ascii="Arial" w:hAnsi="Arial"/>
          <w:noProof/>
        </w:rPr>
        <w:t>he health benefit</w:t>
      </w:r>
      <w:r w:rsidR="00985987">
        <w:rPr>
          <w:rFonts w:ascii="Arial" w:hAnsi="Arial"/>
          <w:noProof/>
        </w:rPr>
        <w:t>s</w:t>
      </w:r>
      <w:r>
        <w:rPr>
          <w:rFonts w:ascii="Arial" w:hAnsi="Arial"/>
          <w:noProof/>
        </w:rPr>
        <w:t xml:space="preserve"> of sorghum on disease can also be greatly improved by an increase in digestion, and would profit from this and future research on this area. Further exploration of these conclusions could include future studies focusing on how to further increase kafirin’s digestibility. Similar research involving a different process to alter the morphological structure and/or properties of kafirin or other sorghum protiens would be the next logical step in the progression to improving its solubility. </w:t>
      </w:r>
    </w:p>
    <w:p w14:paraId="5A3F3DF1" w14:textId="77777777" w:rsidR="007E6C68" w:rsidRDefault="007E6C68" w:rsidP="007E6C68">
      <w:pPr>
        <w:pStyle w:val="ListParagraph"/>
        <w:spacing w:line="480" w:lineRule="auto"/>
        <w:ind w:left="360"/>
        <w:rPr>
          <w:rFonts w:ascii="Arial" w:hAnsi="Arial"/>
        </w:rPr>
      </w:pPr>
    </w:p>
    <w:p w14:paraId="4738331F" w14:textId="77777777" w:rsidR="007E6C68" w:rsidRDefault="007E6C68" w:rsidP="007E6C68">
      <w:pPr>
        <w:pStyle w:val="ListParagraph"/>
        <w:spacing w:line="480" w:lineRule="auto"/>
        <w:ind w:left="360"/>
        <w:rPr>
          <w:rFonts w:ascii="Arial" w:hAnsi="Arial"/>
        </w:rPr>
      </w:pPr>
    </w:p>
    <w:p w14:paraId="520E0DAB" w14:textId="77777777" w:rsidR="007E6C68" w:rsidRDefault="007E6C68" w:rsidP="007E6C68">
      <w:pPr>
        <w:pStyle w:val="ListParagraph"/>
        <w:spacing w:line="480" w:lineRule="auto"/>
        <w:ind w:left="360"/>
        <w:rPr>
          <w:rFonts w:ascii="Arial" w:hAnsi="Arial"/>
        </w:rPr>
      </w:pPr>
    </w:p>
    <w:p w14:paraId="002F380F" w14:textId="77777777" w:rsidR="007E6C68" w:rsidRDefault="007E6C68" w:rsidP="007E6C68">
      <w:pPr>
        <w:pStyle w:val="ListParagraph"/>
        <w:spacing w:line="480" w:lineRule="auto"/>
        <w:ind w:left="360"/>
        <w:rPr>
          <w:rFonts w:ascii="Arial" w:hAnsi="Arial"/>
        </w:rPr>
      </w:pPr>
    </w:p>
    <w:p w14:paraId="2E86503F" w14:textId="77777777" w:rsidR="007E6C68" w:rsidRDefault="007E6C68" w:rsidP="007E6C68">
      <w:pPr>
        <w:pStyle w:val="ListParagraph"/>
        <w:spacing w:line="480" w:lineRule="auto"/>
        <w:ind w:left="360"/>
        <w:rPr>
          <w:rFonts w:ascii="Arial" w:hAnsi="Arial"/>
        </w:rPr>
      </w:pPr>
    </w:p>
    <w:p w14:paraId="71C14E96" w14:textId="77777777" w:rsidR="007E6C68" w:rsidRDefault="007E6C68" w:rsidP="007E6C68">
      <w:pPr>
        <w:pStyle w:val="ListParagraph"/>
        <w:spacing w:line="480" w:lineRule="auto"/>
        <w:ind w:left="360"/>
        <w:rPr>
          <w:rFonts w:ascii="Arial" w:hAnsi="Arial"/>
        </w:rPr>
      </w:pPr>
    </w:p>
    <w:p w14:paraId="1FF0C695" w14:textId="77777777" w:rsidR="007E6C68" w:rsidRPr="007E6C68" w:rsidRDefault="007E6C68" w:rsidP="007E6C68">
      <w:pPr>
        <w:pStyle w:val="ListParagraph"/>
        <w:spacing w:line="480" w:lineRule="auto"/>
        <w:ind w:left="360"/>
        <w:rPr>
          <w:rFonts w:ascii="Arial" w:hAnsi="Arial"/>
        </w:rPr>
      </w:pPr>
    </w:p>
    <w:p w14:paraId="380F8F7B" w14:textId="77777777" w:rsidR="009510D1" w:rsidRDefault="009510D1" w:rsidP="0084599B">
      <w:pPr>
        <w:pStyle w:val="ListParagraph"/>
        <w:spacing w:line="480" w:lineRule="auto"/>
        <w:ind w:left="360"/>
        <w:rPr>
          <w:rFonts w:ascii="Arial" w:hAnsi="Arial"/>
        </w:rPr>
      </w:pPr>
    </w:p>
    <w:p w14:paraId="48002EDC" w14:textId="77777777" w:rsidR="009510D1" w:rsidRDefault="009510D1" w:rsidP="0084599B">
      <w:pPr>
        <w:pStyle w:val="ListParagraph"/>
        <w:spacing w:line="480" w:lineRule="auto"/>
        <w:ind w:left="360"/>
        <w:rPr>
          <w:rFonts w:ascii="Arial" w:hAnsi="Arial"/>
        </w:rPr>
      </w:pPr>
    </w:p>
    <w:p w14:paraId="4A128B35" w14:textId="77777777" w:rsidR="009510D1" w:rsidRDefault="009510D1" w:rsidP="0084599B">
      <w:pPr>
        <w:pStyle w:val="ListParagraph"/>
        <w:spacing w:line="480" w:lineRule="auto"/>
        <w:ind w:left="360"/>
        <w:rPr>
          <w:rFonts w:ascii="Arial" w:hAnsi="Arial"/>
        </w:rPr>
      </w:pPr>
    </w:p>
    <w:p w14:paraId="44734F90" w14:textId="77777777" w:rsidR="009510D1" w:rsidRDefault="009510D1" w:rsidP="0084599B">
      <w:pPr>
        <w:pStyle w:val="ListParagraph"/>
        <w:spacing w:line="480" w:lineRule="auto"/>
        <w:ind w:left="360"/>
        <w:rPr>
          <w:rFonts w:ascii="Arial" w:hAnsi="Arial"/>
        </w:rPr>
      </w:pPr>
    </w:p>
    <w:p w14:paraId="16C022F4" w14:textId="77777777" w:rsidR="009510D1" w:rsidRPr="0084599B" w:rsidRDefault="009510D1" w:rsidP="0084599B">
      <w:pPr>
        <w:pStyle w:val="ListParagraph"/>
        <w:spacing w:line="480" w:lineRule="auto"/>
        <w:ind w:left="360"/>
        <w:rPr>
          <w:rFonts w:ascii="Arial" w:hAnsi="Arial"/>
        </w:rPr>
      </w:pPr>
    </w:p>
    <w:p w14:paraId="36173634" w14:textId="0895557E" w:rsidR="00235CE6" w:rsidRPr="007E6C68" w:rsidRDefault="00322888" w:rsidP="007E6C68">
      <w:pPr>
        <w:pStyle w:val="ListParagraph"/>
        <w:numPr>
          <w:ilvl w:val="0"/>
          <w:numId w:val="1"/>
        </w:numPr>
        <w:spacing w:line="480" w:lineRule="auto"/>
        <w:rPr>
          <w:rFonts w:ascii="Arial" w:hAnsi="Arial"/>
        </w:rPr>
      </w:pPr>
      <w:r w:rsidRPr="007E6C68">
        <w:rPr>
          <w:rFonts w:ascii="Arial" w:hAnsi="Arial"/>
          <w:b/>
        </w:rPr>
        <w:lastRenderedPageBreak/>
        <w:t>Appendix</w:t>
      </w:r>
    </w:p>
    <w:p w14:paraId="362673F5" w14:textId="52527D93" w:rsidR="002A56D4" w:rsidRPr="00235CE6" w:rsidRDefault="007E6C68" w:rsidP="002A56D4">
      <w:pPr>
        <w:pStyle w:val="ListParagraph"/>
        <w:spacing w:line="480" w:lineRule="auto"/>
        <w:ind w:left="360"/>
        <w:rPr>
          <w:rFonts w:ascii="Arial" w:hAnsi="Arial"/>
        </w:rPr>
      </w:pPr>
      <w:r>
        <w:rPr>
          <w:rFonts w:ascii="Arial" w:hAnsi="Arial"/>
          <w:b/>
          <w:noProof/>
        </w:rPr>
        <mc:AlternateContent>
          <mc:Choice Requires="wps">
            <w:drawing>
              <wp:anchor distT="0" distB="0" distL="114300" distR="114300" simplePos="0" relativeHeight="251695104" behindDoc="0" locked="0" layoutInCell="1" allowOverlap="1" wp14:anchorId="1C15B822" wp14:editId="72150898">
                <wp:simplePos x="0" y="0"/>
                <wp:positionH relativeFrom="column">
                  <wp:posOffset>0</wp:posOffset>
                </wp:positionH>
                <wp:positionV relativeFrom="paragraph">
                  <wp:posOffset>106680</wp:posOffset>
                </wp:positionV>
                <wp:extent cx="5486400" cy="0"/>
                <wp:effectExtent l="0" t="0" r="25400" b="25400"/>
                <wp:wrapNone/>
                <wp:docPr id="28" name="Straight Connector 28"/>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CAFBFE" id="Straight Connector 28"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8.4pt" to="6in,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" strokeweight="1.5pt"/>
            </w:pict>
          </mc:Fallback>
        </mc:AlternateContent>
      </w:r>
    </w:p>
    <w:p w14:paraId="25F6B3E2" w14:textId="3A0BE884" w:rsidR="002C2780" w:rsidRPr="002A56D4" w:rsidRDefault="00504C77" w:rsidP="002A56D4">
      <w:pPr>
        <w:pStyle w:val="ListParagraph"/>
        <w:spacing w:line="480" w:lineRule="auto"/>
        <w:ind w:left="360" w:hanging="360"/>
        <w:rPr>
          <w:rFonts w:ascii="Arial" w:hAnsi="Arial"/>
        </w:rPr>
      </w:pPr>
      <w:r>
        <w:rPr>
          <w:noProof/>
        </w:rPr>
        <w:drawing>
          <wp:inline distT="0" distB="0" distL="0" distR="0" wp14:anchorId="54BD7760" wp14:editId="1A0700CB">
            <wp:extent cx="5486400" cy="32258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B6CBF6B" w14:textId="00A69317" w:rsidR="00235CE6" w:rsidRDefault="007E6C68" w:rsidP="00841201">
      <w:pPr>
        <w:spacing w:line="480" w:lineRule="auto"/>
        <w:rPr>
          <w:rFonts w:ascii="Arial" w:hAnsi="Arial" w:cs="Arial"/>
          <w:color w:val="000000"/>
        </w:rPr>
      </w:pPr>
      <w:r>
        <w:rPr>
          <w:rFonts w:ascii="Arial" w:hAnsi="Arial"/>
          <w:b/>
          <w:noProof/>
        </w:rPr>
        <mc:AlternateContent>
          <mc:Choice Requires="wps">
            <w:drawing>
              <wp:anchor distT="0" distB="0" distL="114300" distR="114300" simplePos="0" relativeHeight="251697152" behindDoc="0" locked="0" layoutInCell="1" allowOverlap="1" wp14:anchorId="1BCE20B2" wp14:editId="2BF63371">
                <wp:simplePos x="0" y="0"/>
                <wp:positionH relativeFrom="column">
                  <wp:posOffset>0</wp:posOffset>
                </wp:positionH>
                <wp:positionV relativeFrom="paragraph">
                  <wp:posOffset>1016000</wp:posOffset>
                </wp:positionV>
                <wp:extent cx="5486400" cy="0"/>
                <wp:effectExtent l="0" t="0" r="25400" b="25400"/>
                <wp:wrapNone/>
                <wp:docPr id="29" name="Straight Connector 29"/>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252E77" id="Straight Connector 29"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0,80pt" to="6in,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" strokeweight="1.5pt"/>
            </w:pict>
          </mc:Fallback>
        </mc:AlternateContent>
      </w:r>
      <w:r w:rsidR="00235CE6" w:rsidRPr="00B22520">
        <w:rPr>
          <w:rFonts w:ascii="Arial" w:hAnsi="Arial"/>
          <w:b/>
        </w:rPr>
        <w:t>Figure 1.</w:t>
      </w:r>
      <w:r w:rsidR="00235CE6" w:rsidRPr="00B22520">
        <w:rPr>
          <w:rFonts w:ascii="Arial" w:hAnsi="Arial"/>
        </w:rPr>
        <w:t xml:space="preserve"> </w:t>
      </w:r>
      <w:r w:rsidR="002A56D4">
        <w:rPr>
          <w:rFonts w:ascii="Arial" w:hAnsi="Arial"/>
        </w:rPr>
        <w:t>BCA Assay</w:t>
      </w:r>
      <w:r w:rsidR="0078660E">
        <w:rPr>
          <w:rFonts w:ascii="Arial" w:hAnsi="Arial"/>
        </w:rPr>
        <w:t xml:space="preserve"> results showing the effect of </w:t>
      </w:r>
      <w:r w:rsidR="00642BB8">
        <w:rPr>
          <w:rFonts w:ascii="Arial" w:hAnsi="Arial"/>
        </w:rPr>
        <w:t>ultra-sonication</w:t>
      </w:r>
      <w:r w:rsidR="0078660E">
        <w:rPr>
          <w:rFonts w:ascii="Arial" w:hAnsi="Arial"/>
        </w:rPr>
        <w:t xml:space="preserve"> on protein concentration</w:t>
      </w:r>
      <w:r w:rsidR="009F3CAA">
        <w:rPr>
          <w:rFonts w:ascii="Arial" w:hAnsi="Arial"/>
        </w:rPr>
        <w:t xml:space="preserve"> of kafirin</w:t>
      </w:r>
      <w:r w:rsidR="0078660E">
        <w:rPr>
          <w:rFonts w:ascii="Arial" w:hAnsi="Arial"/>
        </w:rPr>
        <w:t xml:space="preserve"> after 5 minutes and 10 minutes at both 20% and 40% amplitude</w:t>
      </w:r>
      <w:r w:rsidR="002A7453" w:rsidRPr="00B22520">
        <w:rPr>
          <w:rFonts w:ascii="Arial" w:hAnsi="Arial"/>
        </w:rPr>
        <w:t xml:space="preserve">. </w:t>
      </w:r>
    </w:p>
    <w:p w14:paraId="6FEFE84D" w14:textId="09127FAA" w:rsidR="00841201" w:rsidRPr="00B22520" w:rsidRDefault="00841201" w:rsidP="00841201">
      <w:pPr>
        <w:spacing w:line="480" w:lineRule="auto"/>
        <w:rPr>
          <w:rFonts w:ascii="Arial" w:hAnsi="Arial"/>
        </w:rPr>
      </w:pPr>
    </w:p>
    <w:p w14:paraId="0D672041" w14:textId="5183182D" w:rsidR="00731BBA" w:rsidRDefault="00731BBA" w:rsidP="00841201">
      <w:pPr>
        <w:pStyle w:val="ListParagraph"/>
        <w:spacing w:line="480" w:lineRule="auto"/>
        <w:ind w:left="360" w:hanging="360"/>
        <w:rPr>
          <w:rFonts w:ascii="Arial" w:hAnsi="Arial"/>
          <w:b/>
        </w:rPr>
      </w:pPr>
    </w:p>
    <w:p w14:paraId="484D14E9" w14:textId="77777777" w:rsidR="00731BBA" w:rsidRDefault="00731BBA" w:rsidP="00841201">
      <w:pPr>
        <w:pStyle w:val="ListParagraph"/>
        <w:spacing w:line="480" w:lineRule="auto"/>
        <w:ind w:left="360" w:hanging="360"/>
        <w:rPr>
          <w:rFonts w:ascii="Arial" w:hAnsi="Arial"/>
          <w:b/>
        </w:rPr>
      </w:pPr>
    </w:p>
    <w:p w14:paraId="50280A6E" w14:textId="77777777" w:rsidR="00731BBA" w:rsidRDefault="00731BBA" w:rsidP="00841201">
      <w:pPr>
        <w:pStyle w:val="ListParagraph"/>
        <w:spacing w:line="480" w:lineRule="auto"/>
        <w:ind w:left="360" w:hanging="360"/>
        <w:rPr>
          <w:rFonts w:ascii="Arial" w:hAnsi="Arial"/>
          <w:b/>
        </w:rPr>
      </w:pPr>
    </w:p>
    <w:p w14:paraId="2B250B5C" w14:textId="0EAC7D05" w:rsidR="00731BBA" w:rsidRDefault="00731BBA" w:rsidP="00841201">
      <w:pPr>
        <w:pStyle w:val="ListParagraph"/>
        <w:spacing w:line="480" w:lineRule="auto"/>
        <w:ind w:left="360" w:hanging="360"/>
        <w:rPr>
          <w:rFonts w:ascii="Arial" w:hAnsi="Arial"/>
          <w:b/>
        </w:rPr>
      </w:pPr>
    </w:p>
    <w:p w14:paraId="0A44EA88" w14:textId="77777777" w:rsidR="007E6C68" w:rsidRDefault="007E6C68" w:rsidP="00841201">
      <w:pPr>
        <w:pStyle w:val="ListParagraph"/>
        <w:spacing w:line="480" w:lineRule="auto"/>
        <w:ind w:left="360" w:hanging="360"/>
        <w:rPr>
          <w:rFonts w:ascii="Arial" w:hAnsi="Arial"/>
          <w:b/>
        </w:rPr>
      </w:pPr>
    </w:p>
    <w:p w14:paraId="10E62259" w14:textId="77777777" w:rsidR="007E6C68" w:rsidRDefault="007E6C68" w:rsidP="00841201">
      <w:pPr>
        <w:pStyle w:val="ListParagraph"/>
        <w:spacing w:line="480" w:lineRule="auto"/>
        <w:ind w:left="360" w:hanging="360"/>
        <w:rPr>
          <w:rFonts w:ascii="Arial" w:hAnsi="Arial"/>
          <w:b/>
        </w:rPr>
      </w:pPr>
    </w:p>
    <w:p w14:paraId="67C079FC" w14:textId="77777777" w:rsidR="007E6C68" w:rsidRDefault="007E6C68" w:rsidP="00841201">
      <w:pPr>
        <w:pStyle w:val="ListParagraph"/>
        <w:spacing w:line="480" w:lineRule="auto"/>
        <w:ind w:left="360" w:hanging="360"/>
        <w:rPr>
          <w:rFonts w:ascii="Arial" w:hAnsi="Arial"/>
          <w:b/>
        </w:rPr>
      </w:pPr>
    </w:p>
    <w:p w14:paraId="5E14A797" w14:textId="77777777" w:rsidR="007E6C68" w:rsidRDefault="007E6C68" w:rsidP="00841201">
      <w:pPr>
        <w:pStyle w:val="ListParagraph"/>
        <w:spacing w:line="480" w:lineRule="auto"/>
        <w:ind w:left="360" w:hanging="360"/>
        <w:rPr>
          <w:rFonts w:ascii="Arial" w:hAnsi="Arial"/>
          <w:b/>
        </w:rPr>
      </w:pPr>
    </w:p>
    <w:p w14:paraId="596E2D09" w14:textId="150A893A" w:rsidR="007E6C68" w:rsidRDefault="007E6C68" w:rsidP="00841201">
      <w:pPr>
        <w:pStyle w:val="ListParagraph"/>
        <w:spacing w:line="480" w:lineRule="auto"/>
        <w:ind w:left="360" w:hanging="360"/>
        <w:rPr>
          <w:rFonts w:ascii="Arial" w:hAnsi="Arial"/>
          <w:b/>
        </w:rPr>
      </w:pPr>
      <w:r>
        <w:rPr>
          <w:rFonts w:ascii="Arial" w:hAnsi="Arial"/>
          <w:b/>
          <w:noProof/>
        </w:rPr>
        <w:lastRenderedPageBreak/>
        <mc:AlternateContent>
          <mc:Choice Requires="wps">
            <w:drawing>
              <wp:anchor distT="0" distB="0" distL="114300" distR="114300" simplePos="0" relativeHeight="251699200" behindDoc="0" locked="0" layoutInCell="1" allowOverlap="1" wp14:anchorId="3D41050D" wp14:editId="503F21AE">
                <wp:simplePos x="0" y="0"/>
                <wp:positionH relativeFrom="column">
                  <wp:posOffset>0</wp:posOffset>
                </wp:positionH>
                <wp:positionV relativeFrom="paragraph">
                  <wp:posOffset>114300</wp:posOffset>
                </wp:positionV>
                <wp:extent cx="5486400" cy="0"/>
                <wp:effectExtent l="0" t="0" r="25400" b="25400"/>
                <wp:wrapNone/>
                <wp:docPr id="31" name="Straight Connector 31"/>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28B4BF" id="Straight Connector 31"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0,9pt" to="6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" strokeweight="1.5pt"/>
            </w:pict>
          </mc:Fallback>
        </mc:AlternateContent>
      </w:r>
    </w:p>
    <w:p w14:paraId="57FF6E59" w14:textId="2560F9FD" w:rsidR="00841201" w:rsidRPr="00731BBA" w:rsidRDefault="00731BBA" w:rsidP="00731BBA">
      <w:pPr>
        <w:pStyle w:val="ListParagraph"/>
        <w:spacing w:line="480" w:lineRule="auto"/>
        <w:ind w:left="360" w:hanging="360"/>
        <w:rPr>
          <w:rFonts w:ascii="Arial" w:hAnsi="Arial"/>
          <w:b/>
        </w:rPr>
      </w:pPr>
      <w:r>
        <w:rPr>
          <w:noProof/>
        </w:rPr>
        <w:drawing>
          <wp:inline distT="0" distB="0" distL="0" distR="0" wp14:anchorId="1597441B" wp14:editId="4CE66682">
            <wp:extent cx="5486400" cy="673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26 at 5.29.30 PM.png"/>
                    <pic:cNvPicPr/>
                  </pic:nvPicPr>
                  <pic:blipFill>
                    <a:blip r:embed="rId10">
                      <a:extLst>
                        <a:ext uri="{28A0092B-C50C-407E-A947-70E740481C1C}">
                          <a14:useLocalDpi xmlns:a14="http://schemas.microsoft.com/office/drawing/2010/main" val="0"/>
                        </a:ext>
                      </a:extLst>
                    </a:blip>
                    <a:stretch>
                      <a:fillRect/>
                    </a:stretch>
                  </pic:blipFill>
                  <pic:spPr>
                    <a:xfrm>
                      <a:off x="0" y="0"/>
                      <a:ext cx="5486936" cy="6731658"/>
                    </a:xfrm>
                    <a:prstGeom prst="rect">
                      <a:avLst/>
                    </a:prstGeom>
                  </pic:spPr>
                </pic:pic>
              </a:graphicData>
            </a:graphic>
          </wp:inline>
        </w:drawing>
      </w:r>
    </w:p>
    <w:p w14:paraId="3F151122" w14:textId="7EDA4720" w:rsidR="002C2780" w:rsidRDefault="00170737" w:rsidP="00566318">
      <w:pPr>
        <w:pStyle w:val="ListParagraph"/>
        <w:spacing w:line="480" w:lineRule="auto"/>
        <w:ind w:left="0"/>
        <w:rPr>
          <w:rFonts w:ascii="Arial" w:hAnsi="Arial"/>
        </w:rPr>
      </w:pPr>
      <w:r>
        <w:rPr>
          <w:rFonts w:ascii="Arial" w:hAnsi="Arial"/>
          <w:b/>
          <w:noProof/>
        </w:rPr>
        <mc:AlternateContent>
          <mc:Choice Requires="wps">
            <w:drawing>
              <wp:anchor distT="0" distB="0" distL="114300" distR="114300" simplePos="0" relativeHeight="251701248" behindDoc="0" locked="0" layoutInCell="1" allowOverlap="1" wp14:anchorId="79AB1946" wp14:editId="628E4400">
                <wp:simplePos x="0" y="0"/>
                <wp:positionH relativeFrom="column">
                  <wp:posOffset>0</wp:posOffset>
                </wp:positionH>
                <wp:positionV relativeFrom="paragraph">
                  <wp:posOffset>1087120</wp:posOffset>
                </wp:positionV>
                <wp:extent cx="5486400" cy="0"/>
                <wp:effectExtent l="0" t="0" r="25400" b="25400"/>
                <wp:wrapNone/>
                <wp:docPr id="32" name="Straight Connector 32"/>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8F238C" id="Straight Connector 32"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0,85.6pt" to="6in,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" strokeweight="1.5pt"/>
            </w:pict>
          </mc:Fallback>
        </mc:AlternateContent>
      </w:r>
      <w:r w:rsidR="002C2780" w:rsidRPr="00B22520">
        <w:rPr>
          <w:rFonts w:ascii="Arial" w:hAnsi="Arial"/>
          <w:b/>
        </w:rPr>
        <w:t xml:space="preserve">Figure 2. </w:t>
      </w:r>
      <w:r w:rsidR="002C2780" w:rsidRPr="00B22520">
        <w:rPr>
          <w:rFonts w:ascii="Arial" w:hAnsi="Arial"/>
        </w:rPr>
        <w:t>SDS-PAGE</w:t>
      </w:r>
      <w:r w:rsidR="00731BBA">
        <w:rPr>
          <w:rFonts w:ascii="Arial" w:hAnsi="Arial"/>
        </w:rPr>
        <w:t xml:space="preserve"> results </w:t>
      </w:r>
      <w:r w:rsidR="00566318">
        <w:rPr>
          <w:rFonts w:ascii="Arial" w:hAnsi="Arial"/>
        </w:rPr>
        <w:t>displaying</w:t>
      </w:r>
      <w:r w:rsidR="00731BBA">
        <w:rPr>
          <w:rFonts w:ascii="Arial" w:hAnsi="Arial"/>
        </w:rPr>
        <w:t xml:space="preserve"> the molecular mass </w:t>
      </w:r>
      <w:r w:rsidR="00566318">
        <w:rPr>
          <w:rFonts w:ascii="Arial" w:hAnsi="Arial"/>
        </w:rPr>
        <w:t xml:space="preserve">of each kafirin solution </w:t>
      </w:r>
      <w:r>
        <w:rPr>
          <w:rFonts w:ascii="Arial" w:hAnsi="Arial"/>
        </w:rPr>
        <w:t xml:space="preserve">and conformation </w:t>
      </w:r>
      <w:r w:rsidR="009B18A5">
        <w:rPr>
          <w:rFonts w:ascii="Arial" w:hAnsi="Arial"/>
        </w:rPr>
        <w:t xml:space="preserve">after </w:t>
      </w:r>
      <w:r w:rsidR="00642BB8">
        <w:rPr>
          <w:rFonts w:ascii="Arial" w:hAnsi="Arial"/>
        </w:rPr>
        <w:t>ultra-sonication</w:t>
      </w:r>
      <w:r w:rsidR="009B18A5">
        <w:rPr>
          <w:rFonts w:ascii="Arial" w:hAnsi="Arial"/>
        </w:rPr>
        <w:t xml:space="preserve"> for 5 and 10 minutes </w:t>
      </w:r>
      <w:r w:rsidR="009F3CAA">
        <w:rPr>
          <w:rFonts w:ascii="Arial" w:hAnsi="Arial"/>
        </w:rPr>
        <w:t>at</w:t>
      </w:r>
      <w:r w:rsidR="009B18A5">
        <w:rPr>
          <w:rFonts w:ascii="Arial" w:hAnsi="Arial"/>
        </w:rPr>
        <w:t xml:space="preserve"> 20% and 40% amplitude.</w:t>
      </w:r>
    </w:p>
    <w:p w14:paraId="14889703" w14:textId="1852713C" w:rsidR="00841201" w:rsidRPr="00B22520" w:rsidRDefault="007E6C68" w:rsidP="00841201">
      <w:pPr>
        <w:pStyle w:val="ListParagraph"/>
        <w:spacing w:line="480" w:lineRule="auto"/>
        <w:ind w:left="360" w:hanging="360"/>
        <w:rPr>
          <w:rFonts w:ascii="Arial" w:hAnsi="Arial"/>
        </w:rPr>
      </w:pPr>
      <w:r>
        <w:rPr>
          <w:rFonts w:ascii="Arial" w:hAnsi="Arial"/>
          <w:b/>
          <w:noProof/>
        </w:rPr>
        <w:lastRenderedPageBreak/>
        <mc:AlternateContent>
          <mc:Choice Requires="wps">
            <w:drawing>
              <wp:anchor distT="0" distB="0" distL="114300" distR="114300" simplePos="0" relativeHeight="251703296" behindDoc="0" locked="0" layoutInCell="1" allowOverlap="1" wp14:anchorId="3C6A18CA" wp14:editId="06C89482">
                <wp:simplePos x="0" y="0"/>
                <wp:positionH relativeFrom="column">
                  <wp:posOffset>0</wp:posOffset>
                </wp:positionH>
                <wp:positionV relativeFrom="paragraph">
                  <wp:posOffset>114300</wp:posOffset>
                </wp:positionV>
                <wp:extent cx="5486400" cy="0"/>
                <wp:effectExtent l="0" t="0" r="25400" b="25400"/>
                <wp:wrapNone/>
                <wp:docPr id="33" name="Straight Connector 33"/>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3290B0" id="Straight Connector 33"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0,9pt" to="6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" strokeweight="1.5pt"/>
            </w:pict>
          </mc:Fallback>
        </mc:AlternateContent>
      </w:r>
    </w:p>
    <w:p w14:paraId="46443AD4" w14:textId="2E129226" w:rsidR="00566318" w:rsidRPr="007E6C68" w:rsidRDefault="007E6C68" w:rsidP="00841201">
      <w:pPr>
        <w:spacing w:line="480" w:lineRule="auto"/>
        <w:rPr>
          <w:rFonts w:ascii="Arial" w:hAnsi="Arial"/>
        </w:rPr>
      </w:pPr>
      <w:r>
        <w:rPr>
          <w:noProof/>
        </w:rPr>
        <w:drawing>
          <wp:inline distT="0" distB="0" distL="0" distR="0" wp14:anchorId="7FAC9B8A" wp14:editId="4418F201">
            <wp:extent cx="5486400" cy="3187700"/>
            <wp:effectExtent l="0" t="0" r="2540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11B5A3" w14:textId="3967234C" w:rsidR="00564D09" w:rsidRPr="00B22520" w:rsidRDefault="00564D09" w:rsidP="00841201">
      <w:pPr>
        <w:spacing w:line="480" w:lineRule="auto"/>
        <w:rPr>
          <w:rFonts w:ascii="Arial" w:hAnsi="Arial"/>
        </w:rPr>
      </w:pPr>
      <w:r w:rsidRPr="00B22520">
        <w:rPr>
          <w:rFonts w:ascii="Arial" w:hAnsi="Arial"/>
          <w:b/>
        </w:rPr>
        <w:t>Figure 3.</w:t>
      </w:r>
      <w:r w:rsidRPr="00B22520">
        <w:rPr>
          <w:rFonts w:ascii="Arial" w:hAnsi="Arial"/>
        </w:rPr>
        <w:t xml:space="preserve"> OPA </w:t>
      </w:r>
      <w:r w:rsidR="009B18A5">
        <w:rPr>
          <w:rFonts w:ascii="Arial" w:hAnsi="Arial"/>
        </w:rPr>
        <w:t xml:space="preserve">results showing the effect of </w:t>
      </w:r>
      <w:r w:rsidR="00642BB8">
        <w:rPr>
          <w:rFonts w:ascii="Arial" w:hAnsi="Arial"/>
        </w:rPr>
        <w:t>ultra-sonication</w:t>
      </w:r>
      <w:r w:rsidR="00566318">
        <w:rPr>
          <w:rFonts w:ascii="Arial" w:hAnsi="Arial"/>
        </w:rPr>
        <w:t xml:space="preserve"> on degree of hydrolysis </w:t>
      </w:r>
      <w:r w:rsidR="009F3CAA">
        <w:rPr>
          <w:rFonts w:ascii="Arial" w:hAnsi="Arial"/>
        </w:rPr>
        <w:t xml:space="preserve">of kafirin </w:t>
      </w:r>
      <w:r w:rsidR="00566318">
        <w:rPr>
          <w:rFonts w:ascii="Arial" w:hAnsi="Arial"/>
        </w:rPr>
        <w:t>after 5 and 10 minutes at 20% and 40% amplitude.</w:t>
      </w:r>
    </w:p>
    <w:p w14:paraId="74555AC9" w14:textId="24056955" w:rsidR="002C2780" w:rsidRDefault="007E6C68" w:rsidP="00841201">
      <w:pPr>
        <w:pStyle w:val="ListParagraph"/>
        <w:spacing w:line="480" w:lineRule="auto"/>
        <w:ind w:left="360"/>
        <w:rPr>
          <w:rFonts w:ascii="Arial" w:hAnsi="Arial"/>
        </w:rPr>
      </w:pPr>
      <w:r>
        <w:rPr>
          <w:rFonts w:ascii="Arial" w:hAnsi="Arial"/>
          <w:b/>
          <w:noProof/>
        </w:rPr>
        <mc:AlternateContent>
          <mc:Choice Requires="wps">
            <w:drawing>
              <wp:anchor distT="0" distB="0" distL="114300" distR="114300" simplePos="0" relativeHeight="251707392" behindDoc="0" locked="0" layoutInCell="1" allowOverlap="1" wp14:anchorId="225EBDAF" wp14:editId="5AA7F41B">
                <wp:simplePos x="0" y="0"/>
                <wp:positionH relativeFrom="column">
                  <wp:posOffset>0</wp:posOffset>
                </wp:positionH>
                <wp:positionV relativeFrom="paragraph">
                  <wp:posOffset>30480</wp:posOffset>
                </wp:positionV>
                <wp:extent cx="5486400" cy="0"/>
                <wp:effectExtent l="0" t="0" r="25400" b="25400"/>
                <wp:wrapNone/>
                <wp:docPr id="35" name="Straight Connector 35"/>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82694F" id="Straight Connector 35"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0,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" strokeweight="1.5pt"/>
            </w:pict>
          </mc:Fallback>
        </mc:AlternateContent>
      </w:r>
    </w:p>
    <w:p w14:paraId="0988D4D2" w14:textId="77777777" w:rsidR="002C2780" w:rsidRDefault="002C2780" w:rsidP="00841201">
      <w:pPr>
        <w:pStyle w:val="ListParagraph"/>
        <w:spacing w:line="480" w:lineRule="auto"/>
        <w:ind w:left="360"/>
        <w:rPr>
          <w:rFonts w:ascii="Arial" w:hAnsi="Arial"/>
        </w:rPr>
      </w:pPr>
    </w:p>
    <w:p w14:paraId="10BE03F3" w14:textId="77777777" w:rsidR="00566318" w:rsidRDefault="00566318" w:rsidP="00841201">
      <w:pPr>
        <w:pStyle w:val="ListParagraph"/>
        <w:spacing w:line="480" w:lineRule="auto"/>
        <w:ind w:left="360" w:hanging="360"/>
        <w:rPr>
          <w:rFonts w:ascii="Arial" w:hAnsi="Arial"/>
        </w:rPr>
      </w:pPr>
    </w:p>
    <w:p w14:paraId="64AA4C6E" w14:textId="77777777" w:rsidR="00566318" w:rsidRDefault="00566318" w:rsidP="00841201">
      <w:pPr>
        <w:pStyle w:val="ListParagraph"/>
        <w:spacing w:line="480" w:lineRule="auto"/>
        <w:ind w:left="360" w:hanging="360"/>
        <w:rPr>
          <w:rFonts w:ascii="Arial" w:hAnsi="Arial"/>
        </w:rPr>
      </w:pPr>
    </w:p>
    <w:p w14:paraId="7442F8EA" w14:textId="77777777" w:rsidR="00566318" w:rsidRDefault="00566318" w:rsidP="00841201">
      <w:pPr>
        <w:pStyle w:val="ListParagraph"/>
        <w:spacing w:line="480" w:lineRule="auto"/>
        <w:ind w:left="360" w:hanging="360"/>
        <w:rPr>
          <w:rFonts w:ascii="Arial" w:hAnsi="Arial"/>
        </w:rPr>
      </w:pPr>
    </w:p>
    <w:p w14:paraId="48542ADC" w14:textId="77777777" w:rsidR="00566318" w:rsidRDefault="00566318" w:rsidP="00841201">
      <w:pPr>
        <w:pStyle w:val="ListParagraph"/>
        <w:spacing w:line="480" w:lineRule="auto"/>
        <w:ind w:left="360" w:hanging="360"/>
        <w:rPr>
          <w:rFonts w:ascii="Arial" w:hAnsi="Arial"/>
        </w:rPr>
      </w:pPr>
    </w:p>
    <w:p w14:paraId="5FFD0B84" w14:textId="77777777" w:rsidR="00566318" w:rsidRDefault="00566318" w:rsidP="00841201">
      <w:pPr>
        <w:pStyle w:val="ListParagraph"/>
        <w:spacing w:line="480" w:lineRule="auto"/>
        <w:ind w:left="360" w:hanging="360"/>
        <w:rPr>
          <w:rFonts w:ascii="Arial" w:hAnsi="Arial"/>
        </w:rPr>
      </w:pPr>
    </w:p>
    <w:p w14:paraId="09AFBFBE" w14:textId="77777777" w:rsidR="00566318" w:rsidRDefault="00566318" w:rsidP="00841201">
      <w:pPr>
        <w:pStyle w:val="ListParagraph"/>
        <w:spacing w:line="480" w:lineRule="auto"/>
        <w:ind w:left="360" w:hanging="360"/>
        <w:rPr>
          <w:rFonts w:ascii="Arial" w:hAnsi="Arial"/>
        </w:rPr>
      </w:pPr>
    </w:p>
    <w:p w14:paraId="365B8802" w14:textId="77777777" w:rsidR="00566318" w:rsidRDefault="00566318" w:rsidP="00841201">
      <w:pPr>
        <w:pStyle w:val="ListParagraph"/>
        <w:spacing w:line="480" w:lineRule="auto"/>
        <w:ind w:left="360" w:hanging="360"/>
        <w:rPr>
          <w:rFonts w:ascii="Arial" w:hAnsi="Arial"/>
        </w:rPr>
      </w:pPr>
    </w:p>
    <w:p w14:paraId="5450A40F" w14:textId="77777777" w:rsidR="00566318" w:rsidRDefault="00566318" w:rsidP="00841201">
      <w:pPr>
        <w:pStyle w:val="ListParagraph"/>
        <w:spacing w:line="480" w:lineRule="auto"/>
        <w:ind w:left="360" w:hanging="360"/>
        <w:rPr>
          <w:rFonts w:ascii="Arial" w:hAnsi="Arial"/>
        </w:rPr>
      </w:pPr>
    </w:p>
    <w:p w14:paraId="34B2B12F" w14:textId="784C8C0B" w:rsidR="00566318" w:rsidRDefault="00566318" w:rsidP="00841201">
      <w:pPr>
        <w:pStyle w:val="ListParagraph"/>
        <w:spacing w:line="480" w:lineRule="auto"/>
        <w:ind w:left="360" w:hanging="360"/>
        <w:rPr>
          <w:rFonts w:ascii="Arial" w:hAnsi="Arial"/>
        </w:rPr>
      </w:pPr>
    </w:p>
    <w:p w14:paraId="2BA572D7" w14:textId="4EE80AE7" w:rsidR="007E6C68" w:rsidRDefault="007E6C68" w:rsidP="00841201">
      <w:pPr>
        <w:pStyle w:val="ListParagraph"/>
        <w:spacing w:line="480" w:lineRule="auto"/>
        <w:ind w:left="360" w:hanging="360"/>
        <w:rPr>
          <w:rFonts w:ascii="Arial" w:hAnsi="Arial"/>
        </w:rPr>
      </w:pPr>
      <w:r>
        <w:rPr>
          <w:rFonts w:ascii="Arial" w:hAnsi="Arial"/>
          <w:b/>
          <w:noProof/>
        </w:rPr>
        <w:lastRenderedPageBreak/>
        <mc:AlternateContent>
          <mc:Choice Requires="wps">
            <w:drawing>
              <wp:anchor distT="0" distB="0" distL="114300" distR="114300" simplePos="0" relativeHeight="251709440" behindDoc="0" locked="0" layoutInCell="1" allowOverlap="1" wp14:anchorId="20976213" wp14:editId="43055DBB">
                <wp:simplePos x="0" y="0"/>
                <wp:positionH relativeFrom="column">
                  <wp:posOffset>0</wp:posOffset>
                </wp:positionH>
                <wp:positionV relativeFrom="paragraph">
                  <wp:posOffset>114300</wp:posOffset>
                </wp:positionV>
                <wp:extent cx="5486400" cy="0"/>
                <wp:effectExtent l="0" t="0" r="25400" b="25400"/>
                <wp:wrapNone/>
                <wp:docPr id="36" name="Straight Connector 36"/>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5F59FF" id="Straight Connector 36"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0,9pt" to="6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" strokeweight="1.5pt"/>
            </w:pict>
          </mc:Fallback>
        </mc:AlternateContent>
      </w:r>
    </w:p>
    <w:p w14:paraId="3875A240" w14:textId="22FD80F3" w:rsidR="002C2780" w:rsidRPr="00841201" w:rsidRDefault="00D05227" w:rsidP="00841201">
      <w:pPr>
        <w:pStyle w:val="ListParagraph"/>
        <w:spacing w:line="480" w:lineRule="auto"/>
        <w:ind w:left="360" w:hanging="360"/>
        <w:rPr>
          <w:rFonts w:ascii="Arial" w:hAnsi="Arial"/>
        </w:rPr>
      </w:pPr>
      <w:r>
        <w:rPr>
          <w:noProof/>
        </w:rPr>
        <w:drawing>
          <wp:inline distT="0" distB="0" distL="0" distR="0" wp14:anchorId="639D9AAF" wp14:editId="2E92BE84">
            <wp:extent cx="5486400" cy="32004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3DE4D57" w14:textId="6E8CBA0D" w:rsidR="002C2780" w:rsidRPr="00B22520" w:rsidRDefault="00D05227" w:rsidP="00841201">
      <w:pPr>
        <w:spacing w:line="480" w:lineRule="auto"/>
        <w:rPr>
          <w:rFonts w:ascii="Arial" w:hAnsi="Arial"/>
        </w:rPr>
      </w:pPr>
      <w:r w:rsidRPr="00B22520">
        <w:rPr>
          <w:rFonts w:ascii="Arial" w:hAnsi="Arial"/>
          <w:b/>
        </w:rPr>
        <w:t>Figure 4.</w:t>
      </w:r>
      <w:r w:rsidRPr="00B22520">
        <w:rPr>
          <w:rFonts w:ascii="Arial" w:hAnsi="Arial"/>
        </w:rPr>
        <w:t xml:space="preserve"> TCA</w:t>
      </w:r>
      <w:r w:rsidR="009F3CAA">
        <w:rPr>
          <w:rFonts w:ascii="Arial" w:hAnsi="Arial"/>
        </w:rPr>
        <w:t xml:space="preserve"> results showing the increase of soluble</w:t>
      </w:r>
      <w:r w:rsidR="007E6C68">
        <w:rPr>
          <w:rFonts w:ascii="Arial" w:hAnsi="Arial"/>
        </w:rPr>
        <w:t xml:space="preserve"> nitrogen</w:t>
      </w:r>
      <w:r w:rsidR="009F3CAA">
        <w:rPr>
          <w:rFonts w:ascii="Arial" w:hAnsi="Arial"/>
        </w:rPr>
        <w:t xml:space="preserve"> protein content from the </w:t>
      </w:r>
      <w:r w:rsidR="00642BB8">
        <w:rPr>
          <w:rFonts w:ascii="Arial" w:hAnsi="Arial"/>
        </w:rPr>
        <w:t>ultra-sonication</w:t>
      </w:r>
      <w:r w:rsidR="009F3CAA">
        <w:rPr>
          <w:rFonts w:ascii="Arial" w:hAnsi="Arial"/>
        </w:rPr>
        <w:t xml:space="preserve"> of kafirin</w:t>
      </w:r>
      <w:r w:rsidRPr="00B22520">
        <w:rPr>
          <w:rFonts w:ascii="Arial" w:hAnsi="Arial"/>
        </w:rPr>
        <w:t xml:space="preserve"> </w:t>
      </w:r>
      <w:r w:rsidR="009F3CAA">
        <w:rPr>
          <w:rFonts w:ascii="Arial" w:hAnsi="Arial"/>
        </w:rPr>
        <w:t>after 5 and 10 minutes at 20% and 40% amplitude.</w:t>
      </w:r>
    </w:p>
    <w:p w14:paraId="5D960DFD" w14:textId="0338B761" w:rsidR="00D05227" w:rsidRDefault="007E6C68" w:rsidP="00841201">
      <w:pPr>
        <w:pStyle w:val="ListParagraph"/>
        <w:spacing w:line="480" w:lineRule="auto"/>
        <w:ind w:left="360"/>
        <w:rPr>
          <w:rFonts w:ascii="Arial" w:hAnsi="Arial"/>
        </w:rPr>
      </w:pPr>
      <w:r>
        <w:rPr>
          <w:rFonts w:ascii="Arial" w:hAnsi="Arial"/>
          <w:b/>
          <w:noProof/>
        </w:rPr>
        <mc:AlternateContent>
          <mc:Choice Requires="wps">
            <w:drawing>
              <wp:anchor distT="0" distB="0" distL="114300" distR="114300" simplePos="0" relativeHeight="251713536" behindDoc="0" locked="0" layoutInCell="1" allowOverlap="1" wp14:anchorId="46EF5669" wp14:editId="6F94ADC5">
                <wp:simplePos x="0" y="0"/>
                <wp:positionH relativeFrom="column">
                  <wp:posOffset>0</wp:posOffset>
                </wp:positionH>
                <wp:positionV relativeFrom="paragraph">
                  <wp:posOffset>-2540</wp:posOffset>
                </wp:positionV>
                <wp:extent cx="5486400" cy="0"/>
                <wp:effectExtent l="0" t="0" r="25400" b="25400"/>
                <wp:wrapNone/>
                <wp:docPr id="39" name="Straight Connector 39"/>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96472C" id="Straight Connector 39"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0,-.2pt" to="6in,-.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" strokeweight="1.5pt"/>
            </w:pict>
          </mc:Fallback>
        </mc:AlternateContent>
      </w:r>
    </w:p>
    <w:p w14:paraId="60A38165" w14:textId="77777777" w:rsidR="00D05227" w:rsidRDefault="00D05227" w:rsidP="00841201">
      <w:pPr>
        <w:pStyle w:val="ListParagraph"/>
        <w:spacing w:line="480" w:lineRule="auto"/>
        <w:ind w:left="360"/>
        <w:rPr>
          <w:rFonts w:ascii="Arial" w:hAnsi="Arial"/>
        </w:rPr>
      </w:pPr>
    </w:p>
    <w:p w14:paraId="7BA7DB66" w14:textId="28B82F70" w:rsidR="00D05227" w:rsidRDefault="00D05227" w:rsidP="00841201">
      <w:pPr>
        <w:pStyle w:val="ListParagraph"/>
        <w:spacing w:line="480" w:lineRule="auto"/>
        <w:ind w:left="360" w:hanging="360"/>
        <w:jc w:val="center"/>
        <w:rPr>
          <w:rFonts w:ascii="Arial" w:hAnsi="Arial"/>
        </w:rPr>
      </w:pPr>
    </w:p>
    <w:p w14:paraId="013298F6" w14:textId="5545DB58" w:rsidR="009F3CAA" w:rsidRDefault="009F3CAA" w:rsidP="00841201">
      <w:pPr>
        <w:spacing w:line="480" w:lineRule="auto"/>
        <w:rPr>
          <w:rFonts w:ascii="Arial" w:hAnsi="Arial"/>
          <w:b/>
        </w:rPr>
      </w:pPr>
    </w:p>
    <w:p w14:paraId="21D7161A" w14:textId="77777777" w:rsidR="00724653" w:rsidRDefault="00724653" w:rsidP="00841201">
      <w:pPr>
        <w:spacing w:line="480" w:lineRule="auto"/>
        <w:rPr>
          <w:rFonts w:ascii="Arial" w:hAnsi="Arial"/>
          <w:b/>
        </w:rPr>
      </w:pPr>
    </w:p>
    <w:p w14:paraId="5377AEBF" w14:textId="77777777" w:rsidR="00724653" w:rsidRDefault="00724653" w:rsidP="00841201">
      <w:pPr>
        <w:spacing w:line="480" w:lineRule="auto"/>
        <w:rPr>
          <w:rFonts w:ascii="Arial" w:hAnsi="Arial"/>
          <w:b/>
        </w:rPr>
      </w:pPr>
    </w:p>
    <w:p w14:paraId="3177C448" w14:textId="77777777" w:rsidR="00724653" w:rsidRDefault="00724653" w:rsidP="00841201">
      <w:pPr>
        <w:spacing w:line="480" w:lineRule="auto"/>
        <w:rPr>
          <w:rFonts w:ascii="Arial" w:hAnsi="Arial"/>
          <w:b/>
        </w:rPr>
      </w:pPr>
    </w:p>
    <w:p w14:paraId="5AB1D166" w14:textId="77777777" w:rsidR="00724653" w:rsidRDefault="00724653" w:rsidP="00841201">
      <w:pPr>
        <w:spacing w:line="480" w:lineRule="auto"/>
        <w:rPr>
          <w:rFonts w:ascii="Arial" w:hAnsi="Arial"/>
          <w:b/>
        </w:rPr>
      </w:pPr>
    </w:p>
    <w:p w14:paraId="72BB2EB0" w14:textId="77777777" w:rsidR="00724653" w:rsidRDefault="00724653" w:rsidP="00841201">
      <w:pPr>
        <w:spacing w:line="480" w:lineRule="auto"/>
        <w:rPr>
          <w:rFonts w:ascii="Arial" w:hAnsi="Arial"/>
          <w:b/>
        </w:rPr>
      </w:pPr>
    </w:p>
    <w:p w14:paraId="11FB00B7" w14:textId="77777777" w:rsidR="00724653" w:rsidRDefault="00724653" w:rsidP="00841201">
      <w:pPr>
        <w:spacing w:line="480" w:lineRule="auto"/>
        <w:rPr>
          <w:rFonts w:ascii="Arial" w:hAnsi="Arial"/>
          <w:b/>
        </w:rPr>
      </w:pPr>
    </w:p>
    <w:p w14:paraId="655719CF" w14:textId="098B40CF" w:rsidR="00724653" w:rsidRDefault="007E6C68" w:rsidP="00841201">
      <w:pPr>
        <w:spacing w:line="480" w:lineRule="auto"/>
        <w:rPr>
          <w:rFonts w:ascii="Arial" w:hAnsi="Arial"/>
          <w:b/>
        </w:rPr>
      </w:pPr>
      <w:r>
        <w:rPr>
          <w:rFonts w:ascii="Arial" w:hAnsi="Arial"/>
          <w:b/>
          <w:noProof/>
        </w:rPr>
        <w:lastRenderedPageBreak/>
        <mc:AlternateContent>
          <mc:Choice Requires="wps">
            <w:drawing>
              <wp:anchor distT="0" distB="0" distL="114300" distR="114300" simplePos="0" relativeHeight="251715584" behindDoc="0" locked="0" layoutInCell="1" allowOverlap="1" wp14:anchorId="4E3C57C8" wp14:editId="041054F9">
                <wp:simplePos x="0" y="0"/>
                <wp:positionH relativeFrom="column">
                  <wp:posOffset>0</wp:posOffset>
                </wp:positionH>
                <wp:positionV relativeFrom="paragraph">
                  <wp:posOffset>114300</wp:posOffset>
                </wp:positionV>
                <wp:extent cx="5486400" cy="0"/>
                <wp:effectExtent l="0" t="0" r="25400" b="25400"/>
                <wp:wrapNone/>
                <wp:docPr id="40" name="Straight Connector 40"/>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B52C93" id="Straight Connector 40"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0,9pt" to="6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" strokeweight="1.5pt"/>
            </w:pict>
          </mc:Fallback>
        </mc:AlternateContent>
      </w:r>
    </w:p>
    <w:p w14:paraId="08119A35" w14:textId="409406BC" w:rsidR="00724653" w:rsidRDefault="007E6C68" w:rsidP="00841201">
      <w:pPr>
        <w:spacing w:line="480" w:lineRule="auto"/>
        <w:rPr>
          <w:rFonts w:ascii="Arial" w:hAnsi="Arial"/>
          <w:b/>
        </w:rPr>
      </w:pPr>
      <w:r>
        <w:rPr>
          <w:noProof/>
        </w:rPr>
        <w:drawing>
          <wp:inline distT="0" distB="0" distL="0" distR="0" wp14:anchorId="570B8434" wp14:editId="31AB564B">
            <wp:extent cx="5486400" cy="3200400"/>
            <wp:effectExtent l="0" t="0" r="2540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249BF26" w14:textId="27CA860D" w:rsidR="002C2780" w:rsidRDefault="00C76523" w:rsidP="00841201">
      <w:pPr>
        <w:spacing w:line="480" w:lineRule="auto"/>
        <w:rPr>
          <w:rFonts w:ascii="Arial" w:hAnsi="Arial"/>
        </w:rPr>
      </w:pPr>
      <w:r w:rsidRPr="00B22520">
        <w:rPr>
          <w:rFonts w:ascii="Arial" w:hAnsi="Arial"/>
          <w:b/>
        </w:rPr>
        <w:t>Figure 5.</w:t>
      </w:r>
      <w:r w:rsidRPr="00B22520">
        <w:rPr>
          <w:rFonts w:ascii="Arial" w:hAnsi="Arial"/>
        </w:rPr>
        <w:t xml:space="preserve"> HCl </w:t>
      </w:r>
      <w:r w:rsidR="009F3CAA">
        <w:rPr>
          <w:rFonts w:ascii="Arial" w:hAnsi="Arial"/>
        </w:rPr>
        <w:t xml:space="preserve">results showing the effect of </w:t>
      </w:r>
      <w:r w:rsidR="00642BB8">
        <w:rPr>
          <w:rFonts w:ascii="Arial" w:hAnsi="Arial"/>
        </w:rPr>
        <w:t>ultra-sonication</w:t>
      </w:r>
      <w:r w:rsidR="009F3CAA">
        <w:rPr>
          <w:rFonts w:ascii="Arial" w:hAnsi="Arial"/>
        </w:rPr>
        <w:t xml:space="preserve"> on </w:t>
      </w:r>
      <w:r w:rsidR="007E6C68">
        <w:rPr>
          <w:rFonts w:ascii="Arial" w:hAnsi="Arial"/>
        </w:rPr>
        <w:t xml:space="preserve">total </w:t>
      </w:r>
      <w:r w:rsidR="009F3CAA">
        <w:rPr>
          <w:rFonts w:ascii="Arial" w:hAnsi="Arial"/>
        </w:rPr>
        <w:t>soluble protein content after 5 and 10 minutes at 20% and 40% amplitude</w:t>
      </w:r>
      <w:r w:rsidR="00724653">
        <w:rPr>
          <w:rFonts w:ascii="Arial" w:hAnsi="Arial"/>
        </w:rPr>
        <w:t xml:space="preserve">. </w:t>
      </w:r>
    </w:p>
    <w:p w14:paraId="276DFB87" w14:textId="1DE51684" w:rsidR="00724653" w:rsidRPr="009577F3" w:rsidRDefault="009577F3" w:rsidP="009577F3">
      <w:pPr>
        <w:spacing w:after="240" w:line="480" w:lineRule="auto"/>
        <w:rPr>
          <w:rFonts w:ascii="Arial" w:hAnsi="Arial"/>
        </w:rPr>
      </w:pPr>
      <w:r>
        <w:rPr>
          <w:rFonts w:ascii="Arial" w:hAnsi="Arial"/>
          <w:b/>
          <w:noProof/>
        </w:rPr>
        <mc:AlternateContent>
          <mc:Choice Requires="wps">
            <w:drawing>
              <wp:anchor distT="0" distB="0" distL="114300" distR="114300" simplePos="0" relativeHeight="251717632" behindDoc="0" locked="0" layoutInCell="1" allowOverlap="1" wp14:anchorId="3BF64E6A" wp14:editId="01987C66">
                <wp:simplePos x="0" y="0"/>
                <wp:positionH relativeFrom="column">
                  <wp:posOffset>0</wp:posOffset>
                </wp:positionH>
                <wp:positionV relativeFrom="paragraph">
                  <wp:posOffset>5080</wp:posOffset>
                </wp:positionV>
                <wp:extent cx="5486400" cy="0"/>
                <wp:effectExtent l="0" t="0" r="25400" b="25400"/>
                <wp:wrapNone/>
                <wp:docPr id="41" name="Straight Connector 41"/>
                <wp:cNvGraphicFramePr/>
                <a:graphic xmlns:a="http://schemas.openxmlformats.org/drawingml/2006/main">
                  <a:graphicData uri="http://schemas.microsoft.com/office/word/2010/wordprocessingShape">
                    <wps:wsp>
                      <wps:cNvCnPr/>
                      <wps:spPr>
                        <a:xfrm>
                          <a:off x="0" y="0"/>
                          <a:ext cx="5486400" cy="0"/>
                        </a:xfrm>
                        <a:prstGeom prst="line">
                          <a:avLst/>
                        </a:prstGeom>
                        <a:ln w="1905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C4EB94" id="Straight Connector 4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0,.4pt" to="6in,.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" strokeweight="1.5pt"/>
            </w:pict>
          </mc:Fallback>
        </mc:AlternateContent>
      </w:r>
    </w:p>
    <w:p w14:paraId="323FF406" w14:textId="77777777" w:rsidR="00C46627" w:rsidRDefault="00C46627" w:rsidP="00C46627">
      <w:pPr>
        <w:pStyle w:val="ListParagraph"/>
        <w:spacing w:line="480" w:lineRule="auto"/>
        <w:ind w:left="360"/>
        <w:rPr>
          <w:rFonts w:ascii="Arial" w:hAnsi="Arial"/>
          <w:b/>
        </w:rPr>
      </w:pPr>
    </w:p>
    <w:p w14:paraId="5A81601F" w14:textId="77777777" w:rsidR="00C46627" w:rsidRDefault="00C46627" w:rsidP="00C46627">
      <w:pPr>
        <w:pStyle w:val="ListParagraph"/>
        <w:spacing w:line="480" w:lineRule="auto"/>
        <w:ind w:left="360"/>
        <w:rPr>
          <w:rFonts w:ascii="Arial" w:hAnsi="Arial"/>
          <w:b/>
        </w:rPr>
      </w:pPr>
    </w:p>
    <w:p w14:paraId="30516C37" w14:textId="77777777" w:rsidR="00C46627" w:rsidRDefault="00C46627" w:rsidP="00C46627">
      <w:pPr>
        <w:pStyle w:val="ListParagraph"/>
        <w:spacing w:line="480" w:lineRule="auto"/>
        <w:ind w:left="360"/>
        <w:rPr>
          <w:rFonts w:ascii="Arial" w:hAnsi="Arial"/>
          <w:b/>
        </w:rPr>
      </w:pPr>
    </w:p>
    <w:p w14:paraId="3EB1437C" w14:textId="77777777" w:rsidR="00C46627" w:rsidRDefault="00C46627" w:rsidP="00C46627">
      <w:pPr>
        <w:pStyle w:val="ListParagraph"/>
        <w:spacing w:line="480" w:lineRule="auto"/>
        <w:ind w:left="360"/>
        <w:rPr>
          <w:rFonts w:ascii="Arial" w:hAnsi="Arial"/>
          <w:b/>
        </w:rPr>
      </w:pPr>
    </w:p>
    <w:p w14:paraId="3176CD28" w14:textId="77777777" w:rsidR="00C46627" w:rsidRDefault="00C46627" w:rsidP="00C46627">
      <w:pPr>
        <w:pStyle w:val="ListParagraph"/>
        <w:spacing w:line="480" w:lineRule="auto"/>
        <w:ind w:left="360"/>
        <w:rPr>
          <w:rFonts w:ascii="Arial" w:hAnsi="Arial"/>
          <w:b/>
        </w:rPr>
      </w:pPr>
    </w:p>
    <w:p w14:paraId="35A93A98" w14:textId="77777777" w:rsidR="00C46627" w:rsidRDefault="00C46627" w:rsidP="00C46627">
      <w:pPr>
        <w:pStyle w:val="ListParagraph"/>
        <w:spacing w:line="480" w:lineRule="auto"/>
        <w:ind w:left="360"/>
        <w:rPr>
          <w:rFonts w:ascii="Arial" w:hAnsi="Arial"/>
          <w:b/>
        </w:rPr>
      </w:pPr>
    </w:p>
    <w:p w14:paraId="3839A280" w14:textId="77777777" w:rsidR="00C46627" w:rsidRDefault="00C46627" w:rsidP="00C46627">
      <w:pPr>
        <w:pStyle w:val="ListParagraph"/>
        <w:spacing w:line="480" w:lineRule="auto"/>
        <w:ind w:left="360"/>
        <w:rPr>
          <w:rFonts w:ascii="Arial" w:hAnsi="Arial"/>
          <w:b/>
        </w:rPr>
      </w:pPr>
    </w:p>
    <w:p w14:paraId="161BD4B4" w14:textId="77777777" w:rsidR="00C46627" w:rsidRDefault="00C46627" w:rsidP="00C46627">
      <w:pPr>
        <w:pStyle w:val="ListParagraph"/>
        <w:spacing w:line="480" w:lineRule="auto"/>
        <w:ind w:left="360"/>
        <w:rPr>
          <w:rFonts w:ascii="Arial" w:hAnsi="Arial"/>
          <w:b/>
        </w:rPr>
      </w:pPr>
    </w:p>
    <w:p w14:paraId="6282E75D" w14:textId="77777777" w:rsidR="00BC13C7" w:rsidRDefault="00BC13C7" w:rsidP="00C46627">
      <w:pPr>
        <w:pStyle w:val="EndNoteBibliography"/>
        <w:spacing w:line="480" w:lineRule="auto"/>
        <w:rPr>
          <w:rFonts w:ascii="Arial" w:eastAsiaTheme="minorEastAsia" w:hAnsi="Arial" w:cstheme="minorBidi"/>
          <w:b/>
        </w:rPr>
      </w:pPr>
    </w:p>
    <w:p w14:paraId="7921179A" w14:textId="4C188DC1" w:rsidR="00415A2D" w:rsidRPr="001C7801" w:rsidRDefault="00E2734C" w:rsidP="00C46627">
      <w:pPr>
        <w:pStyle w:val="EndNoteBibliography"/>
        <w:spacing w:line="480" w:lineRule="auto"/>
        <w:rPr>
          <w:rFonts w:ascii="Arial" w:hAnsi="Arial"/>
          <w:noProof/>
        </w:rPr>
      </w:pPr>
      <w:bookmarkStart w:id="0" w:name="_GoBack"/>
      <w:bookmarkEnd w:id="0"/>
      <w:r w:rsidRPr="001C7801">
        <w:rPr>
          <w:rFonts w:ascii="Arial" w:hAnsi="Arial"/>
          <w:noProof/>
        </w:rPr>
        <w:lastRenderedPageBreak/>
        <w:t>References</w:t>
      </w:r>
    </w:p>
    <w:p w14:paraId="21D610D2" w14:textId="2DA56BFF" w:rsidR="00BF5CFF" w:rsidRDefault="00BF5CFF" w:rsidP="000B110A">
      <w:pPr>
        <w:pStyle w:val="ListParagraph"/>
        <w:numPr>
          <w:ilvl w:val="0"/>
          <w:numId w:val="4"/>
        </w:numPr>
        <w:rPr>
          <w:rFonts w:ascii="Arial" w:hAnsi="Arial" w:cs="Arial"/>
        </w:rPr>
      </w:pPr>
      <w:r>
        <w:rPr>
          <w:rFonts w:ascii="Arial" w:hAnsi="Arial" w:cs="Arial"/>
        </w:rPr>
        <w:t xml:space="preserve">Chung, K., Wong, T. Y., Wei, C., Huang, Y., Lin, Y. (1998). Tannins and Human Health: A Review. </w:t>
      </w:r>
      <w:r>
        <w:rPr>
          <w:rFonts w:ascii="Arial" w:hAnsi="Arial" w:cs="Arial"/>
          <w:i/>
        </w:rPr>
        <w:t>Critical Reviews in Food Science and Nutrition, 38</w:t>
      </w:r>
      <w:r>
        <w:rPr>
          <w:rFonts w:ascii="Arial" w:hAnsi="Arial" w:cs="Arial"/>
        </w:rPr>
        <w:t>(6), 421-464.</w:t>
      </w:r>
    </w:p>
    <w:p w14:paraId="5ECD843A" w14:textId="0D568AD4" w:rsidR="001C7801" w:rsidRDefault="001C7801" w:rsidP="000B110A">
      <w:pPr>
        <w:pStyle w:val="ListParagraph"/>
        <w:numPr>
          <w:ilvl w:val="0"/>
          <w:numId w:val="4"/>
        </w:numPr>
        <w:rPr>
          <w:rFonts w:ascii="Arial" w:hAnsi="Arial" w:cs="Arial"/>
        </w:rPr>
      </w:pPr>
      <w:r>
        <w:rPr>
          <w:rFonts w:ascii="Arial" w:hAnsi="Arial" w:cs="Arial"/>
        </w:rPr>
        <w:t>De Castro Palomino Siller, A. In Vitro Starch Digestibility Estimated Glycemic Index of Sorghum Products. M.Sc. Thesis, Texas A&amp;M University, College Station, TX, USA, 2006.</w:t>
      </w:r>
    </w:p>
    <w:p w14:paraId="2A845B91" w14:textId="4C7A5666" w:rsidR="000F2701" w:rsidRPr="000B110A" w:rsidRDefault="009F1573" w:rsidP="000B110A">
      <w:pPr>
        <w:pStyle w:val="ListParagraph"/>
        <w:numPr>
          <w:ilvl w:val="0"/>
          <w:numId w:val="4"/>
        </w:numPr>
        <w:rPr>
          <w:rFonts w:ascii="Arial" w:hAnsi="Arial" w:cs="Arial"/>
        </w:rPr>
      </w:pPr>
      <w:r w:rsidRPr="00F85C12">
        <w:rPr>
          <w:rFonts w:ascii="Arial" w:hAnsi="Arial" w:cs="Arial"/>
        </w:rPr>
        <w:t xml:space="preserve">De Mesa-Stonestreet, N. J., Alavi, S., Bean, S. R. (2010). Sorghum Proteins: The </w:t>
      </w:r>
      <w:r w:rsidRPr="000B110A">
        <w:rPr>
          <w:rFonts w:ascii="Arial" w:hAnsi="Arial" w:cs="Arial"/>
        </w:rPr>
        <w:t xml:space="preserve">Concentration, Isolation, Modification, and Food Applications of Kafirins. </w:t>
      </w:r>
      <w:r w:rsidRPr="000B110A">
        <w:rPr>
          <w:rFonts w:ascii="Arial" w:hAnsi="Arial" w:cs="Arial"/>
          <w:i/>
        </w:rPr>
        <w:t>Journal of Food Science, 75</w:t>
      </w:r>
      <w:r w:rsidRPr="000B110A">
        <w:rPr>
          <w:rFonts w:ascii="Arial" w:hAnsi="Arial" w:cs="Arial"/>
        </w:rPr>
        <w:t>(5), R90-R104.</w:t>
      </w:r>
    </w:p>
    <w:p w14:paraId="55E1B04E" w14:textId="334E8DE8" w:rsidR="00E2734C" w:rsidRPr="00E27F30" w:rsidRDefault="00E2734C" w:rsidP="000B110A">
      <w:pPr>
        <w:pStyle w:val="EndNoteBibliography"/>
        <w:numPr>
          <w:ilvl w:val="0"/>
          <w:numId w:val="4"/>
        </w:numPr>
        <w:rPr>
          <w:rFonts w:ascii="Arial" w:hAnsi="Arial"/>
          <w:noProof/>
        </w:rPr>
      </w:pPr>
      <w:r w:rsidRPr="00E27F30">
        <w:rPr>
          <w:rFonts w:ascii="Arial" w:hAnsi="Arial"/>
          <w:noProof/>
        </w:rPr>
        <w:t xml:space="preserve">de Morais Cardoso, L., Pinheiro, S. S., Martino, H. S. D., Pinheiro, S., &amp; Ana, H. M. (2017). Sorghum ( Sorghum bicolor L.): Nutrients, bioactive compounds, and potential impact on human health. </w:t>
      </w:r>
      <w:r w:rsidRPr="00E27F30">
        <w:rPr>
          <w:rFonts w:ascii="Arial" w:hAnsi="Arial"/>
          <w:i/>
          <w:noProof/>
        </w:rPr>
        <w:t>Critical Reviews in Food Science and Nutrition, 57</w:t>
      </w:r>
      <w:r w:rsidRPr="00E27F30">
        <w:rPr>
          <w:rFonts w:ascii="Arial" w:hAnsi="Arial"/>
          <w:noProof/>
        </w:rPr>
        <w:t>(2), 372-390.</w:t>
      </w:r>
    </w:p>
    <w:p w14:paraId="32F0CC95" w14:textId="17A92030" w:rsidR="00991E6F" w:rsidRPr="000B110A" w:rsidRDefault="000F2701" w:rsidP="000B110A">
      <w:pPr>
        <w:pStyle w:val="ListParagraph"/>
        <w:widowControl w:val="0"/>
        <w:numPr>
          <w:ilvl w:val="0"/>
          <w:numId w:val="4"/>
        </w:numPr>
        <w:autoSpaceDE w:val="0"/>
        <w:autoSpaceDN w:val="0"/>
        <w:adjustRightInd w:val="0"/>
        <w:rPr>
          <w:rFonts w:ascii="Arial" w:hAnsi="Arial" w:cs="Arial"/>
        </w:rPr>
      </w:pPr>
      <w:r w:rsidRPr="00F85C12">
        <w:rPr>
          <w:rFonts w:ascii="Arial" w:hAnsi="Arial" w:cs="Arial"/>
        </w:rPr>
        <w:t>Duodu, K.</w:t>
      </w:r>
      <w:r w:rsidR="00EA6A68" w:rsidRPr="00F85C12">
        <w:rPr>
          <w:rFonts w:ascii="Arial" w:hAnsi="Arial" w:cs="Arial"/>
        </w:rPr>
        <w:t xml:space="preserve"> </w:t>
      </w:r>
      <w:r w:rsidRPr="00F85C12">
        <w:rPr>
          <w:rFonts w:ascii="Arial" w:hAnsi="Arial" w:cs="Arial"/>
        </w:rPr>
        <w:t>G., Taylor, J. R. N., Belton, P. S., Hama</w:t>
      </w:r>
      <w:r w:rsidR="000B110A">
        <w:rPr>
          <w:rFonts w:ascii="Arial" w:hAnsi="Arial" w:cs="Arial"/>
        </w:rPr>
        <w:t xml:space="preserve">ker, B. R. (2003). Factors </w:t>
      </w:r>
      <w:r w:rsidRPr="000B110A">
        <w:rPr>
          <w:rFonts w:ascii="Arial" w:hAnsi="Arial" w:cs="Arial"/>
        </w:rPr>
        <w:t xml:space="preserve">affecting sorghum protein digestibility. </w:t>
      </w:r>
      <w:r w:rsidRPr="000B110A">
        <w:rPr>
          <w:rFonts w:ascii="Arial" w:hAnsi="Arial" w:cs="Arial"/>
          <w:i/>
        </w:rPr>
        <w:t>Journal of Cereal Science</w:t>
      </w:r>
      <w:r w:rsidR="00991E6F" w:rsidRPr="000B110A">
        <w:rPr>
          <w:rFonts w:ascii="Arial" w:hAnsi="Arial" w:cs="Arial"/>
          <w:i/>
        </w:rPr>
        <w:t>, 38</w:t>
      </w:r>
      <w:r w:rsidR="00991E6F" w:rsidRPr="000B110A">
        <w:rPr>
          <w:rFonts w:ascii="Arial" w:hAnsi="Arial" w:cs="Arial"/>
        </w:rPr>
        <w:t>(2), 117-131.</w:t>
      </w:r>
    </w:p>
    <w:p w14:paraId="54D71F06" w14:textId="2B021A8B" w:rsidR="00322888" w:rsidRPr="000B110A" w:rsidRDefault="00CD289D" w:rsidP="000B110A">
      <w:pPr>
        <w:pStyle w:val="ListParagraph"/>
        <w:numPr>
          <w:ilvl w:val="0"/>
          <w:numId w:val="4"/>
        </w:numPr>
        <w:rPr>
          <w:rFonts w:ascii="Arial" w:hAnsi="Arial" w:cs="Arial"/>
        </w:rPr>
      </w:pPr>
      <w:r w:rsidRPr="00F85C12">
        <w:rPr>
          <w:rFonts w:ascii="Arial" w:hAnsi="Arial" w:cs="Arial"/>
        </w:rPr>
        <w:t>Hamaker, B. R., Kirleis, A. W., Butler, L. G., Axte</w:t>
      </w:r>
      <w:r w:rsidR="000B110A">
        <w:rPr>
          <w:rFonts w:ascii="Arial" w:hAnsi="Arial" w:cs="Arial"/>
        </w:rPr>
        <w:t xml:space="preserve">ll, J. S., Mertz, E. T. (1987). </w:t>
      </w:r>
      <w:r w:rsidRPr="000B110A">
        <w:rPr>
          <w:rFonts w:ascii="Arial" w:hAnsi="Arial" w:cs="Arial"/>
        </w:rPr>
        <w:t xml:space="preserve">Improving the </w:t>
      </w:r>
      <w:r w:rsidRPr="000B110A">
        <w:rPr>
          <w:rFonts w:ascii="Arial" w:hAnsi="Arial" w:cs="Arial"/>
          <w:i/>
        </w:rPr>
        <w:t>in vitro</w:t>
      </w:r>
      <w:r w:rsidRPr="000B110A">
        <w:rPr>
          <w:rFonts w:ascii="Arial" w:hAnsi="Arial" w:cs="Arial"/>
        </w:rPr>
        <w:t xml:space="preserve"> protein digestibility of sorghum with reducing agents. </w:t>
      </w:r>
      <w:r w:rsidRPr="000B110A">
        <w:rPr>
          <w:rFonts w:ascii="Arial" w:hAnsi="Arial" w:cs="Arial"/>
          <w:i/>
        </w:rPr>
        <w:t>Proceedings of the National Academy of Sciences of the United States of America</w:t>
      </w:r>
      <w:r w:rsidRPr="000B110A">
        <w:rPr>
          <w:rFonts w:ascii="Arial" w:hAnsi="Arial" w:cs="Arial"/>
        </w:rPr>
        <w:t xml:space="preserve">, </w:t>
      </w:r>
      <w:r w:rsidRPr="000B110A">
        <w:rPr>
          <w:rFonts w:ascii="Arial" w:hAnsi="Arial" w:cs="Arial"/>
          <w:i/>
        </w:rPr>
        <w:t>84</w:t>
      </w:r>
      <w:r w:rsidRPr="000B110A">
        <w:rPr>
          <w:rFonts w:ascii="Arial" w:hAnsi="Arial" w:cs="Arial"/>
        </w:rPr>
        <w:t xml:space="preserve">, </w:t>
      </w:r>
      <w:r w:rsidR="001877B0" w:rsidRPr="000B110A">
        <w:rPr>
          <w:rFonts w:ascii="Arial" w:hAnsi="Arial" w:cs="Arial"/>
        </w:rPr>
        <w:t>626-628.</w:t>
      </w:r>
    </w:p>
    <w:p w14:paraId="300314F2" w14:textId="205EBB0B" w:rsidR="00F01F12" w:rsidRPr="000B110A" w:rsidRDefault="00F01F12" w:rsidP="000B110A">
      <w:pPr>
        <w:pStyle w:val="ListParagraph"/>
        <w:numPr>
          <w:ilvl w:val="0"/>
          <w:numId w:val="4"/>
        </w:numPr>
        <w:rPr>
          <w:rFonts w:ascii="Arial" w:hAnsi="Arial" w:cs="Arial"/>
        </w:rPr>
      </w:pPr>
      <w:r w:rsidRPr="00F85C12">
        <w:rPr>
          <w:rFonts w:ascii="Arial" w:hAnsi="Arial" w:cs="Arial"/>
        </w:rPr>
        <w:t xml:space="preserve">Lemlioglu-Austin, D., Turner, N. D., McDonough, C. M., Rooney, L. W. (2012). </w:t>
      </w:r>
      <w:r w:rsidRPr="000B110A">
        <w:rPr>
          <w:rFonts w:ascii="Arial" w:hAnsi="Arial" w:cs="Arial"/>
        </w:rPr>
        <w:t>Effects of Sorghum [</w:t>
      </w:r>
      <w:r w:rsidR="0084599B" w:rsidRPr="000B110A">
        <w:rPr>
          <w:rFonts w:ascii="Arial" w:hAnsi="Arial" w:cs="Arial"/>
          <w:i/>
        </w:rPr>
        <w:t>Sorghum</w:t>
      </w:r>
      <w:r w:rsidRPr="000B110A">
        <w:rPr>
          <w:rFonts w:ascii="Arial" w:hAnsi="Arial" w:cs="Arial"/>
          <w:i/>
        </w:rPr>
        <w:t xml:space="preserve"> bicolor</w:t>
      </w:r>
      <w:r w:rsidRPr="000B110A">
        <w:rPr>
          <w:rFonts w:ascii="Arial" w:hAnsi="Arial" w:cs="Arial"/>
        </w:rPr>
        <w:t xml:space="preserve"> (L.) Moench] Crude Extracts on Starch Digestibility, Estimated Glycemic Index (EGI), and Resistant Starch (RS) Contents of Porridges. </w:t>
      </w:r>
      <w:r w:rsidRPr="000B110A">
        <w:rPr>
          <w:rFonts w:ascii="Arial" w:hAnsi="Arial" w:cs="Arial"/>
          <w:i/>
        </w:rPr>
        <w:t>Molecules, 17</w:t>
      </w:r>
      <w:r w:rsidRPr="000B110A">
        <w:rPr>
          <w:rFonts w:ascii="Arial" w:hAnsi="Arial" w:cs="Arial"/>
        </w:rPr>
        <w:t>(9), 11124-11138.</w:t>
      </w:r>
    </w:p>
    <w:p w14:paraId="09705FDD" w14:textId="3194E4D6" w:rsidR="00980AA6" w:rsidRPr="000B110A" w:rsidRDefault="00980AA6" w:rsidP="000B110A">
      <w:pPr>
        <w:pStyle w:val="ListParagraph"/>
        <w:numPr>
          <w:ilvl w:val="0"/>
          <w:numId w:val="4"/>
        </w:numPr>
        <w:rPr>
          <w:rFonts w:ascii="Arial" w:hAnsi="Arial" w:cs="Arial"/>
        </w:rPr>
      </w:pPr>
      <w:r w:rsidRPr="00F85C12">
        <w:rPr>
          <w:rFonts w:ascii="Arial" w:hAnsi="Arial" w:cs="Arial"/>
        </w:rPr>
        <w:t xml:space="preserve">Mason, T. J. (1988). Sonochemistry: Uses of Ultrasound in Chemistry and </w:t>
      </w:r>
      <w:r w:rsidRPr="000B110A">
        <w:rPr>
          <w:rFonts w:ascii="Arial" w:hAnsi="Arial" w:cs="Arial"/>
        </w:rPr>
        <w:t xml:space="preserve">Related Disciplines. </w:t>
      </w:r>
      <w:r w:rsidR="000051C4" w:rsidRPr="000B110A">
        <w:rPr>
          <w:rFonts w:ascii="Arial" w:hAnsi="Arial" w:cs="Arial"/>
          <w:i/>
        </w:rPr>
        <w:t>Developments in Cardiovascular Medicine, 178</w:t>
      </w:r>
      <w:r w:rsidR="000051C4" w:rsidRPr="000B110A">
        <w:rPr>
          <w:rFonts w:ascii="Arial" w:hAnsi="Arial" w:cs="Arial"/>
        </w:rPr>
        <w:t>, 25-54.</w:t>
      </w:r>
    </w:p>
    <w:p w14:paraId="3C1E55FB" w14:textId="5760DE5A" w:rsidR="008547AD" w:rsidRDefault="008547AD" w:rsidP="000B110A">
      <w:pPr>
        <w:pStyle w:val="ListParagraph"/>
        <w:numPr>
          <w:ilvl w:val="0"/>
          <w:numId w:val="4"/>
        </w:numPr>
        <w:rPr>
          <w:rFonts w:ascii="Arial" w:hAnsi="Arial" w:cs="Arial"/>
        </w:rPr>
      </w:pPr>
      <w:r w:rsidRPr="00F85C12">
        <w:rPr>
          <w:rFonts w:ascii="Arial" w:hAnsi="Arial" w:cs="Arial"/>
        </w:rPr>
        <w:t xml:space="preserve">Moraes, E. A., da Silva Marineli, R., Lenquiste, S. A., Steel, C. J., de Menezes, </w:t>
      </w:r>
      <w:r w:rsidRPr="000B110A">
        <w:rPr>
          <w:rFonts w:ascii="Arial" w:hAnsi="Arial" w:cs="Arial"/>
        </w:rPr>
        <w:t xml:space="preserve">C. B., Queiroz, V. A. V., Maróstica, M. R. (2015). Sorghum flour fractions: Correlations among polysaccharides, phenolic compounds, antioxidant activity and glycemic index. </w:t>
      </w:r>
      <w:r w:rsidRPr="000B110A">
        <w:rPr>
          <w:rFonts w:ascii="Arial" w:hAnsi="Arial" w:cs="Arial"/>
          <w:i/>
        </w:rPr>
        <w:t>Food Chemistry, 180</w:t>
      </w:r>
      <w:r w:rsidRPr="000B110A">
        <w:rPr>
          <w:rFonts w:ascii="Arial" w:hAnsi="Arial" w:cs="Arial"/>
        </w:rPr>
        <w:t>,</w:t>
      </w:r>
      <w:r w:rsidR="00F01F12" w:rsidRPr="000B110A">
        <w:rPr>
          <w:rFonts w:ascii="Arial" w:hAnsi="Arial" w:cs="Arial"/>
        </w:rPr>
        <w:t xml:space="preserve"> 116-123.</w:t>
      </w:r>
    </w:p>
    <w:p w14:paraId="418D1B04" w14:textId="77777777" w:rsidR="002F7D12" w:rsidRDefault="0096386E" w:rsidP="002F7D12">
      <w:pPr>
        <w:pStyle w:val="ListParagraph"/>
        <w:numPr>
          <w:ilvl w:val="0"/>
          <w:numId w:val="4"/>
        </w:numPr>
        <w:rPr>
          <w:rFonts w:ascii="Arial" w:hAnsi="Arial" w:cs="Arial"/>
        </w:rPr>
      </w:pPr>
      <w:r>
        <w:rPr>
          <w:rFonts w:ascii="Arial" w:hAnsi="Arial" w:cs="Arial"/>
        </w:rPr>
        <w:t xml:space="preserve">Park, S. H., Bean, S. R., Wilson, J. D., Schober, T. J. (2006). Rapid Isolation of Sorghum and Other Cereal Starches Using Sonication. </w:t>
      </w:r>
      <w:r>
        <w:rPr>
          <w:rFonts w:ascii="Arial" w:hAnsi="Arial" w:cs="Arial"/>
          <w:i/>
        </w:rPr>
        <w:t>Cereal Chemistry, 83</w:t>
      </w:r>
      <w:r>
        <w:rPr>
          <w:rFonts w:ascii="Arial" w:hAnsi="Arial" w:cs="Arial"/>
        </w:rPr>
        <w:t>(6), 611-616.</w:t>
      </w:r>
    </w:p>
    <w:p w14:paraId="081DFAF1" w14:textId="4270AF9E" w:rsidR="002F7D12" w:rsidRPr="002F7D12" w:rsidRDefault="002F7D12" w:rsidP="002F7D12">
      <w:pPr>
        <w:pStyle w:val="ListParagraph"/>
        <w:numPr>
          <w:ilvl w:val="0"/>
          <w:numId w:val="4"/>
        </w:numPr>
        <w:rPr>
          <w:rFonts w:ascii="Arial" w:hAnsi="Arial" w:cs="Arial"/>
        </w:rPr>
      </w:pPr>
      <w:r w:rsidRPr="002F7D12">
        <w:rPr>
          <w:rFonts w:ascii="Arial" w:hAnsi="Arial"/>
          <w:noProof/>
        </w:rPr>
        <w:t xml:space="preserve">Rao, P. P., Birthal, P., Reddy, B. V., Rai, K., &amp; Ramesh, S. (2006). Diagnostics of sorghum and pearl millet grains-based nutrition in India. </w:t>
      </w:r>
      <w:r w:rsidRPr="002F7D12">
        <w:rPr>
          <w:rFonts w:ascii="Arial" w:hAnsi="Arial"/>
          <w:i/>
          <w:noProof/>
        </w:rPr>
        <w:t>International Sorghum and Millets Newsletter, 47</w:t>
      </w:r>
      <w:r w:rsidRPr="002F7D12">
        <w:rPr>
          <w:rFonts w:ascii="Arial" w:hAnsi="Arial"/>
          <w:noProof/>
        </w:rPr>
        <w:t>, 93-96.</w:t>
      </w:r>
    </w:p>
    <w:p w14:paraId="23F99964" w14:textId="4DEBA7D7" w:rsidR="009F1573" w:rsidRDefault="009F1573" w:rsidP="000B110A">
      <w:pPr>
        <w:pStyle w:val="ListParagraph"/>
        <w:numPr>
          <w:ilvl w:val="0"/>
          <w:numId w:val="4"/>
        </w:numPr>
        <w:rPr>
          <w:rFonts w:ascii="Arial" w:hAnsi="Arial" w:cs="Arial"/>
        </w:rPr>
      </w:pPr>
      <w:r w:rsidRPr="00F85C12">
        <w:rPr>
          <w:rFonts w:ascii="Arial" w:hAnsi="Arial" w:cs="Arial"/>
        </w:rPr>
        <w:t xml:space="preserve">Rutherfurd, S. M. (2010). Methodology for determining degree of hydrolysis of </w:t>
      </w:r>
      <w:r w:rsidRPr="000B110A">
        <w:rPr>
          <w:rFonts w:ascii="Arial" w:hAnsi="Arial" w:cs="Arial"/>
        </w:rPr>
        <w:t xml:space="preserve">proteins in Hydrolysates: a review. </w:t>
      </w:r>
      <w:r w:rsidRPr="000B110A">
        <w:rPr>
          <w:rFonts w:ascii="Arial" w:hAnsi="Arial" w:cs="Arial"/>
          <w:i/>
        </w:rPr>
        <w:t>Journal of AOAC INTERNATIONAL, 93</w:t>
      </w:r>
      <w:r w:rsidRPr="000B110A">
        <w:rPr>
          <w:rFonts w:ascii="Arial" w:hAnsi="Arial" w:cs="Arial"/>
        </w:rPr>
        <w:t>(5), 1515-1522.</w:t>
      </w:r>
    </w:p>
    <w:p w14:paraId="159E987D" w14:textId="6643B313" w:rsidR="00382934" w:rsidRPr="00382934" w:rsidRDefault="00382934" w:rsidP="000B110A">
      <w:pPr>
        <w:pStyle w:val="ListParagraph"/>
        <w:numPr>
          <w:ilvl w:val="0"/>
          <w:numId w:val="4"/>
        </w:numPr>
        <w:rPr>
          <w:rFonts w:ascii="Arial" w:hAnsi="Arial" w:cs="Arial"/>
        </w:rPr>
      </w:pPr>
      <w:r w:rsidRPr="00382934">
        <w:rPr>
          <w:rFonts w:ascii="Arial" w:hAnsi="Arial" w:cs="Arial"/>
          <w:color w:val="262626"/>
        </w:rPr>
        <w:t xml:space="preserve">Shih, C.-H., Siu Ng, R., Wong, E., Chiu, L. C. M., Chu, I. K. and Lo, C. (2007). Quantitative analysis of anticancer 3-deoxyanthocyanidins in infected sorghum seedlings. </w:t>
      </w:r>
      <w:r w:rsidRPr="00382934">
        <w:rPr>
          <w:rFonts w:ascii="Arial" w:hAnsi="Arial" w:cs="Arial"/>
          <w:i/>
          <w:color w:val="262626"/>
        </w:rPr>
        <w:t xml:space="preserve">Journal of Agricultural and Food Chemistry, </w:t>
      </w:r>
      <w:r w:rsidRPr="00382934">
        <w:rPr>
          <w:rFonts w:ascii="Arial" w:hAnsi="Arial" w:cs="Arial"/>
          <w:color w:val="262626"/>
        </w:rPr>
        <w:t>55(2), 254-259.</w:t>
      </w:r>
    </w:p>
    <w:p w14:paraId="51B116C2" w14:textId="58B30FF8" w:rsidR="00CE7997" w:rsidRPr="000B110A" w:rsidRDefault="00CE7997" w:rsidP="000B110A">
      <w:pPr>
        <w:pStyle w:val="ListParagraph"/>
        <w:numPr>
          <w:ilvl w:val="0"/>
          <w:numId w:val="4"/>
        </w:numPr>
        <w:rPr>
          <w:rFonts w:ascii="Arial" w:hAnsi="Arial" w:cs="Arial"/>
        </w:rPr>
      </w:pPr>
      <w:r w:rsidRPr="00F85C12">
        <w:rPr>
          <w:rFonts w:ascii="Arial" w:hAnsi="Arial" w:cs="Arial"/>
        </w:rPr>
        <w:lastRenderedPageBreak/>
        <w:t xml:space="preserve">Talyor, J., Bean, S. R., Ioerger, B. P., Taylor, J. R. N. (2007). Preferential binding </w:t>
      </w:r>
      <w:r w:rsidRPr="000B110A">
        <w:rPr>
          <w:rFonts w:ascii="Arial" w:hAnsi="Arial" w:cs="Arial"/>
        </w:rPr>
        <w:t xml:space="preserve">of sorghum tannins with </w:t>
      </w:r>
      <w:r w:rsidRPr="000B110A">
        <w:rPr>
          <w:rFonts w:ascii="Arial" w:hAnsi="Arial" w:cs="Arial"/>
          <w:color w:val="000000"/>
        </w:rPr>
        <w:t>γ</w:t>
      </w:r>
      <w:r w:rsidRPr="000B110A">
        <w:rPr>
          <w:rFonts w:ascii="Arial" w:hAnsi="Arial" w:cs="Arial"/>
        </w:rPr>
        <w:t xml:space="preserve">-kafirin and the influence of tannin binding on kafirin digestibility and biodegradation. </w:t>
      </w:r>
      <w:r w:rsidRPr="000B110A">
        <w:rPr>
          <w:rFonts w:ascii="Arial" w:hAnsi="Arial" w:cs="Arial"/>
          <w:i/>
        </w:rPr>
        <w:t>Journal of Cereal Science, 46</w:t>
      </w:r>
      <w:r w:rsidRPr="000B110A">
        <w:rPr>
          <w:rFonts w:ascii="Arial" w:hAnsi="Arial" w:cs="Arial"/>
        </w:rPr>
        <w:t>, 22-31.</w:t>
      </w:r>
    </w:p>
    <w:p w14:paraId="403B2CE1" w14:textId="75A8EB7C" w:rsidR="00342E76" w:rsidRPr="000B110A" w:rsidRDefault="00342E76" w:rsidP="000B110A">
      <w:pPr>
        <w:pStyle w:val="ListParagraph"/>
        <w:numPr>
          <w:ilvl w:val="0"/>
          <w:numId w:val="4"/>
        </w:numPr>
        <w:rPr>
          <w:rFonts w:ascii="Arial" w:hAnsi="Arial" w:cs="Arial"/>
        </w:rPr>
      </w:pPr>
      <w:r w:rsidRPr="00F85C12">
        <w:rPr>
          <w:rFonts w:ascii="Arial" w:hAnsi="Arial" w:cs="Arial"/>
        </w:rPr>
        <w:t xml:space="preserve">Taylor, J. R. N., Schober, T. J., Bean, S. R. (2006). Novel food and non-food </w:t>
      </w:r>
      <w:r w:rsidRPr="000B110A">
        <w:rPr>
          <w:rFonts w:ascii="Arial" w:hAnsi="Arial" w:cs="Arial"/>
        </w:rPr>
        <w:t xml:space="preserve">uses for sorghum and millets. </w:t>
      </w:r>
      <w:r w:rsidRPr="000B110A">
        <w:rPr>
          <w:rFonts w:ascii="Arial" w:hAnsi="Arial" w:cs="Arial"/>
          <w:i/>
        </w:rPr>
        <w:t>Journal of Cereal Science, 44</w:t>
      </w:r>
      <w:r w:rsidRPr="000B110A">
        <w:rPr>
          <w:rFonts w:ascii="Arial" w:hAnsi="Arial" w:cs="Arial"/>
        </w:rPr>
        <w:t>(3), 252-271.</w:t>
      </w:r>
    </w:p>
    <w:p w14:paraId="6F20104D" w14:textId="29EA26E1" w:rsidR="008547AD" w:rsidRDefault="00F85C12" w:rsidP="000B110A">
      <w:pPr>
        <w:pStyle w:val="ListParagraph"/>
        <w:numPr>
          <w:ilvl w:val="0"/>
          <w:numId w:val="4"/>
        </w:numPr>
        <w:rPr>
          <w:rFonts w:ascii="Arial" w:hAnsi="Arial" w:cs="Arial"/>
        </w:rPr>
      </w:pPr>
      <w:r w:rsidRPr="00F85C12">
        <w:rPr>
          <w:rFonts w:ascii="Arial" w:hAnsi="Arial" w:cs="Arial"/>
        </w:rPr>
        <w:t xml:space="preserve">Wu, Y., Li, X., Xiang, W., Zhu, C., Lin, Z, Wu, Y., Li, J., Pandravada, S., Ridder, </w:t>
      </w:r>
      <w:r w:rsidRPr="000B110A">
        <w:rPr>
          <w:rFonts w:ascii="Arial" w:hAnsi="Arial" w:cs="Arial"/>
        </w:rPr>
        <w:t xml:space="preserve">D. D., Bai, G., Wang, M. L., Trick, H. N., Bean, S. R., Tuinstra, M. R., Tesso, T. T., Yu, J. (2012). Presence of tannins in sorghum grains is conditioned by different natural alleles of </w:t>
      </w:r>
      <w:r w:rsidRPr="000B110A">
        <w:rPr>
          <w:rFonts w:ascii="Arial" w:hAnsi="Arial" w:cs="Arial"/>
          <w:i/>
        </w:rPr>
        <w:t>Tannin1</w:t>
      </w:r>
      <w:r w:rsidRPr="000B110A">
        <w:rPr>
          <w:rFonts w:ascii="Arial" w:hAnsi="Arial" w:cs="Arial"/>
        </w:rPr>
        <w:t xml:space="preserve">. </w:t>
      </w:r>
      <w:r w:rsidRPr="000B110A">
        <w:rPr>
          <w:rFonts w:ascii="Arial" w:hAnsi="Arial" w:cs="Arial"/>
          <w:i/>
        </w:rPr>
        <w:t>Proceedings of the National Academy of Sciences of the United States of America, 109</w:t>
      </w:r>
      <w:r w:rsidRPr="000B110A">
        <w:rPr>
          <w:rFonts w:ascii="Arial" w:hAnsi="Arial" w:cs="Arial"/>
        </w:rPr>
        <w:t>(26), 10281-10286.</w:t>
      </w:r>
    </w:p>
    <w:p w14:paraId="0F7BB30A" w14:textId="56B17073" w:rsidR="00382934" w:rsidRPr="002F7D12" w:rsidRDefault="00DC2474" w:rsidP="002F7D12">
      <w:pPr>
        <w:pStyle w:val="ListParagraph"/>
        <w:numPr>
          <w:ilvl w:val="0"/>
          <w:numId w:val="4"/>
        </w:numPr>
        <w:rPr>
          <w:rFonts w:ascii="Arial" w:hAnsi="Arial" w:cs="Arial"/>
        </w:rPr>
      </w:pPr>
      <w:r w:rsidRPr="00B91A97">
        <w:rPr>
          <w:rFonts w:ascii="Arial" w:hAnsi="Arial" w:cs="Arial"/>
          <w:color w:val="262626"/>
        </w:rPr>
        <w:t xml:space="preserve">Yang, L., Browning, J. D. and Awika, J. M. (2009). Sorghum 3-deoxyanthocyanins possess strong phase II enzyme inducer activity and cancer cell growth inhibition properties. </w:t>
      </w:r>
      <w:r w:rsidR="00382934" w:rsidRPr="00382934">
        <w:rPr>
          <w:rFonts w:ascii="Arial" w:hAnsi="Arial" w:cs="Arial"/>
          <w:i/>
          <w:color w:val="262626"/>
        </w:rPr>
        <w:t>Journal of Agricultural</w:t>
      </w:r>
      <w:r w:rsidR="00B91A97" w:rsidRPr="00382934">
        <w:rPr>
          <w:rFonts w:ascii="Arial" w:hAnsi="Arial" w:cs="Arial"/>
          <w:i/>
          <w:color w:val="262626"/>
        </w:rPr>
        <w:t xml:space="preserve"> and Food Chemistry,</w:t>
      </w:r>
      <w:r w:rsidR="00382934" w:rsidRPr="00382934">
        <w:rPr>
          <w:rFonts w:ascii="Arial" w:hAnsi="Arial" w:cs="Arial"/>
          <w:i/>
          <w:color w:val="262626"/>
        </w:rPr>
        <w:t xml:space="preserve"> 57</w:t>
      </w:r>
      <w:r w:rsidR="00382934">
        <w:rPr>
          <w:rFonts w:ascii="Arial" w:hAnsi="Arial" w:cs="Arial"/>
          <w:color w:val="262626"/>
        </w:rPr>
        <w:t>(5),</w:t>
      </w:r>
      <w:r w:rsidRPr="00B91A97">
        <w:rPr>
          <w:rFonts w:ascii="Arial" w:hAnsi="Arial" w:cs="Arial"/>
          <w:color w:val="262626"/>
        </w:rPr>
        <w:t>1797–1804.</w:t>
      </w:r>
    </w:p>
    <w:p w14:paraId="29853025" w14:textId="77777777" w:rsidR="009F1573" w:rsidRDefault="009F1573"/>
    <w:sectPr w:rsidR="009F1573" w:rsidSect="00A15434">
      <w:footerReference w:type="even" r:id="rId14"/>
      <w:footerReference w:type="default" r:id="rId15"/>
      <w:pgSz w:w="12240" w:h="15840"/>
      <w:pgMar w:top="1440" w:right="1800" w:bottom="1440" w:left="180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14B14A6" w15:done="0"/>
  <w15:commentEx w15:paraId="7EAAEB6B" w15:done="0"/>
  <w15:commentEx w15:paraId="7C16D011" w15:done="0"/>
  <w15:commentEx w15:paraId="3147280F" w15:done="0"/>
  <w15:commentEx w15:paraId="6C308F8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DEBAB" w14:textId="77777777" w:rsidR="00985987" w:rsidRDefault="00985987" w:rsidP="00A15434">
      <w:r>
        <w:separator/>
      </w:r>
    </w:p>
  </w:endnote>
  <w:endnote w:type="continuationSeparator" w:id="0">
    <w:p w14:paraId="506F3681" w14:textId="77777777" w:rsidR="00985987" w:rsidRDefault="00985987" w:rsidP="00A15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43ED8" w14:textId="77777777" w:rsidR="00985987" w:rsidRDefault="00985987" w:rsidP="00A154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552B20" w14:textId="77777777" w:rsidR="00985987" w:rsidRDefault="00985987" w:rsidP="00A1543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90AB7" w14:textId="03E0CE72" w:rsidR="00985987" w:rsidRPr="00A15434" w:rsidRDefault="00985987" w:rsidP="00A15434">
    <w:pPr>
      <w:pStyle w:val="Footer"/>
      <w:framePr w:wrap="around" w:vAnchor="text" w:hAnchor="margin" w:xAlign="right" w:y="1"/>
      <w:rPr>
        <w:rStyle w:val="PageNumber"/>
        <w:rFonts w:ascii="Arial" w:hAnsi="Arial" w:cs="Arial"/>
      </w:rPr>
    </w:pPr>
    <w:r w:rsidRPr="00A15434">
      <w:rPr>
        <w:rStyle w:val="PageNumber"/>
        <w:rFonts w:ascii="Arial" w:hAnsi="Arial" w:cs="Arial"/>
      </w:rPr>
      <w:fldChar w:fldCharType="begin"/>
    </w:r>
    <w:r w:rsidRPr="00A15434">
      <w:rPr>
        <w:rStyle w:val="PageNumber"/>
        <w:rFonts w:ascii="Arial" w:hAnsi="Arial" w:cs="Arial"/>
      </w:rPr>
      <w:instrText xml:space="preserve">PAGE  </w:instrText>
    </w:r>
    <w:r w:rsidRPr="00A15434">
      <w:rPr>
        <w:rStyle w:val="PageNumber"/>
        <w:rFonts w:ascii="Arial" w:hAnsi="Arial" w:cs="Arial"/>
      </w:rPr>
      <w:fldChar w:fldCharType="separate"/>
    </w:r>
    <w:r w:rsidR="00BC13C7">
      <w:rPr>
        <w:rStyle w:val="PageNumber"/>
        <w:rFonts w:ascii="Arial" w:hAnsi="Arial" w:cs="Arial"/>
        <w:noProof/>
      </w:rPr>
      <w:t>19</w:t>
    </w:r>
    <w:r w:rsidRPr="00A15434">
      <w:rPr>
        <w:rStyle w:val="PageNumber"/>
        <w:rFonts w:ascii="Arial" w:hAnsi="Arial" w:cs="Arial"/>
      </w:rPr>
      <w:fldChar w:fldCharType="end"/>
    </w:r>
  </w:p>
  <w:p w14:paraId="6E422381" w14:textId="77777777" w:rsidR="00985987" w:rsidRDefault="00985987" w:rsidP="00A1543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F34B9" w14:textId="77777777" w:rsidR="00985987" w:rsidRDefault="00985987" w:rsidP="00A15434">
      <w:r>
        <w:separator/>
      </w:r>
    </w:p>
  </w:footnote>
  <w:footnote w:type="continuationSeparator" w:id="0">
    <w:p w14:paraId="7083DB19" w14:textId="77777777" w:rsidR="00985987" w:rsidRDefault="00985987" w:rsidP="00A1543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E20462"/>
    <w:multiLevelType w:val="multilevel"/>
    <w:tmpl w:val="FFD89890"/>
    <w:lvl w:ilvl="0">
      <w:start w:val="1"/>
      <w:numFmt w:val="decimal"/>
      <w:lvlText w:val="%1."/>
      <w:lvlJc w:val="left"/>
      <w:pPr>
        <w:ind w:left="360" w:hanging="360"/>
      </w:pPr>
      <w:rPr>
        <w:b/>
      </w:rPr>
    </w:lvl>
    <w:lvl w:ilvl="1">
      <w:start w:val="4"/>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nsid w:val="2FB26E9E"/>
    <w:multiLevelType w:val="hybridMultilevel"/>
    <w:tmpl w:val="00B6C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532DDE"/>
    <w:multiLevelType w:val="multilevel"/>
    <w:tmpl w:val="FFD89890"/>
    <w:lvl w:ilvl="0">
      <w:start w:val="1"/>
      <w:numFmt w:val="decimal"/>
      <w:lvlText w:val="%1."/>
      <w:lvlJc w:val="left"/>
      <w:pPr>
        <w:ind w:left="360" w:hanging="360"/>
      </w:pPr>
      <w:rPr>
        <w:b/>
      </w:rPr>
    </w:lvl>
    <w:lvl w:ilvl="1">
      <w:start w:val="4"/>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 Vermont Punongba">
    <w15:presenceInfo w15:providerId="None" w15:userId="Dia, Vermont Punong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1A6"/>
    <w:rsid w:val="0000378A"/>
    <w:rsid w:val="000051C4"/>
    <w:rsid w:val="00010E86"/>
    <w:rsid w:val="00011088"/>
    <w:rsid w:val="00012100"/>
    <w:rsid w:val="00021F1C"/>
    <w:rsid w:val="000415A1"/>
    <w:rsid w:val="00042255"/>
    <w:rsid w:val="000441DB"/>
    <w:rsid w:val="00056E01"/>
    <w:rsid w:val="00096351"/>
    <w:rsid w:val="000A181A"/>
    <w:rsid w:val="000B110A"/>
    <w:rsid w:val="000F2701"/>
    <w:rsid w:val="001547D0"/>
    <w:rsid w:val="00157405"/>
    <w:rsid w:val="001629EB"/>
    <w:rsid w:val="00170737"/>
    <w:rsid w:val="001822A1"/>
    <w:rsid w:val="00183871"/>
    <w:rsid w:val="001877B0"/>
    <w:rsid w:val="001A059F"/>
    <w:rsid w:val="001C7801"/>
    <w:rsid w:val="001D4ED1"/>
    <w:rsid w:val="001F6D69"/>
    <w:rsid w:val="00200A91"/>
    <w:rsid w:val="00213FB7"/>
    <w:rsid w:val="0021546A"/>
    <w:rsid w:val="00235CE6"/>
    <w:rsid w:val="00257AB4"/>
    <w:rsid w:val="002815E4"/>
    <w:rsid w:val="002A56D4"/>
    <w:rsid w:val="002A7453"/>
    <w:rsid w:val="002C2780"/>
    <w:rsid w:val="002D29F6"/>
    <w:rsid w:val="002D3B07"/>
    <w:rsid w:val="002E40A3"/>
    <w:rsid w:val="002E604C"/>
    <w:rsid w:val="002F7D12"/>
    <w:rsid w:val="00301790"/>
    <w:rsid w:val="0030590B"/>
    <w:rsid w:val="0031410D"/>
    <w:rsid w:val="00322888"/>
    <w:rsid w:val="003327EF"/>
    <w:rsid w:val="00342E76"/>
    <w:rsid w:val="00363531"/>
    <w:rsid w:val="0037403A"/>
    <w:rsid w:val="00377338"/>
    <w:rsid w:val="00380C90"/>
    <w:rsid w:val="003821A9"/>
    <w:rsid w:val="00382934"/>
    <w:rsid w:val="003B33EE"/>
    <w:rsid w:val="003B7F8E"/>
    <w:rsid w:val="003E5D76"/>
    <w:rsid w:val="003E6BD7"/>
    <w:rsid w:val="003F2EA3"/>
    <w:rsid w:val="00415A2D"/>
    <w:rsid w:val="00452D8B"/>
    <w:rsid w:val="004C1A54"/>
    <w:rsid w:val="004C2EF4"/>
    <w:rsid w:val="004F3A08"/>
    <w:rsid w:val="00504C77"/>
    <w:rsid w:val="00513850"/>
    <w:rsid w:val="00531D61"/>
    <w:rsid w:val="00544AA0"/>
    <w:rsid w:val="00561E23"/>
    <w:rsid w:val="00564D09"/>
    <w:rsid w:val="00566318"/>
    <w:rsid w:val="00594F19"/>
    <w:rsid w:val="005B16EB"/>
    <w:rsid w:val="005E2B6F"/>
    <w:rsid w:val="00610F4E"/>
    <w:rsid w:val="0063734D"/>
    <w:rsid w:val="006408D5"/>
    <w:rsid w:val="00640EFA"/>
    <w:rsid w:val="00642BB8"/>
    <w:rsid w:val="00651EDD"/>
    <w:rsid w:val="006577FC"/>
    <w:rsid w:val="0066595E"/>
    <w:rsid w:val="006E253A"/>
    <w:rsid w:val="006E415E"/>
    <w:rsid w:val="00707486"/>
    <w:rsid w:val="007178B0"/>
    <w:rsid w:val="00724653"/>
    <w:rsid w:val="00724EB4"/>
    <w:rsid w:val="00731BBA"/>
    <w:rsid w:val="00766EF5"/>
    <w:rsid w:val="0078660E"/>
    <w:rsid w:val="00790C2C"/>
    <w:rsid w:val="00792C27"/>
    <w:rsid w:val="007C3B29"/>
    <w:rsid w:val="007E0548"/>
    <w:rsid w:val="007E6C68"/>
    <w:rsid w:val="007F55D5"/>
    <w:rsid w:val="0080163A"/>
    <w:rsid w:val="0081128F"/>
    <w:rsid w:val="00833C8A"/>
    <w:rsid w:val="00841201"/>
    <w:rsid w:val="0084599B"/>
    <w:rsid w:val="00850B23"/>
    <w:rsid w:val="008547AD"/>
    <w:rsid w:val="00865E11"/>
    <w:rsid w:val="008714E3"/>
    <w:rsid w:val="00880BDF"/>
    <w:rsid w:val="008F746F"/>
    <w:rsid w:val="00912628"/>
    <w:rsid w:val="0094024E"/>
    <w:rsid w:val="009441BE"/>
    <w:rsid w:val="009510D1"/>
    <w:rsid w:val="009577F3"/>
    <w:rsid w:val="0096386E"/>
    <w:rsid w:val="0097464F"/>
    <w:rsid w:val="00980AA6"/>
    <w:rsid w:val="00984B00"/>
    <w:rsid w:val="00985987"/>
    <w:rsid w:val="00991E6F"/>
    <w:rsid w:val="009A6A3B"/>
    <w:rsid w:val="009B18A5"/>
    <w:rsid w:val="009B3EEC"/>
    <w:rsid w:val="009D7A3A"/>
    <w:rsid w:val="009F1573"/>
    <w:rsid w:val="009F3CAA"/>
    <w:rsid w:val="00A15434"/>
    <w:rsid w:val="00A258B9"/>
    <w:rsid w:val="00A27198"/>
    <w:rsid w:val="00A366DF"/>
    <w:rsid w:val="00A36A69"/>
    <w:rsid w:val="00A42662"/>
    <w:rsid w:val="00A60F4A"/>
    <w:rsid w:val="00A71F11"/>
    <w:rsid w:val="00A83E95"/>
    <w:rsid w:val="00A906EE"/>
    <w:rsid w:val="00AD07F3"/>
    <w:rsid w:val="00AD33E0"/>
    <w:rsid w:val="00AF0063"/>
    <w:rsid w:val="00AF13A6"/>
    <w:rsid w:val="00AF2A49"/>
    <w:rsid w:val="00B01A0E"/>
    <w:rsid w:val="00B07051"/>
    <w:rsid w:val="00B22520"/>
    <w:rsid w:val="00B230B7"/>
    <w:rsid w:val="00B267EA"/>
    <w:rsid w:val="00B34ED7"/>
    <w:rsid w:val="00B91A97"/>
    <w:rsid w:val="00BC13C7"/>
    <w:rsid w:val="00BC270D"/>
    <w:rsid w:val="00BC369F"/>
    <w:rsid w:val="00BC6A87"/>
    <w:rsid w:val="00BF0483"/>
    <w:rsid w:val="00BF5CFF"/>
    <w:rsid w:val="00BF7B51"/>
    <w:rsid w:val="00C46627"/>
    <w:rsid w:val="00C732CE"/>
    <w:rsid w:val="00C76523"/>
    <w:rsid w:val="00C8271B"/>
    <w:rsid w:val="00C9201D"/>
    <w:rsid w:val="00CA16C1"/>
    <w:rsid w:val="00CB678E"/>
    <w:rsid w:val="00CD0C6E"/>
    <w:rsid w:val="00CD289D"/>
    <w:rsid w:val="00CD2972"/>
    <w:rsid w:val="00CE7997"/>
    <w:rsid w:val="00CF111A"/>
    <w:rsid w:val="00D05227"/>
    <w:rsid w:val="00D05329"/>
    <w:rsid w:val="00D07AB7"/>
    <w:rsid w:val="00D109A2"/>
    <w:rsid w:val="00D1293A"/>
    <w:rsid w:val="00D405CB"/>
    <w:rsid w:val="00D44026"/>
    <w:rsid w:val="00D447A7"/>
    <w:rsid w:val="00D6615A"/>
    <w:rsid w:val="00D76E41"/>
    <w:rsid w:val="00DA4E13"/>
    <w:rsid w:val="00DC2474"/>
    <w:rsid w:val="00DC6D76"/>
    <w:rsid w:val="00DD3DD2"/>
    <w:rsid w:val="00DE667E"/>
    <w:rsid w:val="00DF3310"/>
    <w:rsid w:val="00E204F8"/>
    <w:rsid w:val="00E2734C"/>
    <w:rsid w:val="00E45C8E"/>
    <w:rsid w:val="00E51133"/>
    <w:rsid w:val="00E66D72"/>
    <w:rsid w:val="00E731A6"/>
    <w:rsid w:val="00EA1449"/>
    <w:rsid w:val="00EA6A68"/>
    <w:rsid w:val="00EA7C8C"/>
    <w:rsid w:val="00EC49BE"/>
    <w:rsid w:val="00ED631F"/>
    <w:rsid w:val="00EE2EE9"/>
    <w:rsid w:val="00EE731A"/>
    <w:rsid w:val="00F00FBE"/>
    <w:rsid w:val="00F01F12"/>
    <w:rsid w:val="00F353EB"/>
    <w:rsid w:val="00F44226"/>
    <w:rsid w:val="00F56177"/>
    <w:rsid w:val="00F56F11"/>
    <w:rsid w:val="00F85C12"/>
    <w:rsid w:val="00FA120E"/>
    <w:rsid w:val="00FE38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1F5C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7EF"/>
    <w:pPr>
      <w:ind w:left="720"/>
      <w:contextualSpacing/>
    </w:pPr>
  </w:style>
  <w:style w:type="character" w:styleId="PlaceholderText">
    <w:name w:val="Placeholder Text"/>
    <w:basedOn w:val="DefaultParagraphFont"/>
    <w:uiPriority w:val="99"/>
    <w:semiHidden/>
    <w:rsid w:val="006408D5"/>
    <w:rPr>
      <w:color w:val="808080"/>
    </w:rPr>
  </w:style>
  <w:style w:type="paragraph" w:styleId="BalloonText">
    <w:name w:val="Balloon Text"/>
    <w:basedOn w:val="Normal"/>
    <w:link w:val="BalloonTextChar"/>
    <w:uiPriority w:val="99"/>
    <w:semiHidden/>
    <w:unhideWhenUsed/>
    <w:rsid w:val="006408D5"/>
    <w:rPr>
      <w:rFonts w:ascii="Lucida Grande" w:hAnsi="Lucida Grande"/>
      <w:sz w:val="18"/>
      <w:szCs w:val="18"/>
    </w:rPr>
  </w:style>
  <w:style w:type="character" w:customStyle="1" w:styleId="BalloonTextChar">
    <w:name w:val="Balloon Text Char"/>
    <w:basedOn w:val="DefaultParagraphFont"/>
    <w:link w:val="BalloonText"/>
    <w:uiPriority w:val="99"/>
    <w:semiHidden/>
    <w:rsid w:val="006408D5"/>
    <w:rPr>
      <w:rFonts w:ascii="Lucida Grande" w:hAnsi="Lucida Grande"/>
      <w:sz w:val="18"/>
      <w:szCs w:val="18"/>
    </w:rPr>
  </w:style>
  <w:style w:type="paragraph" w:styleId="Caption">
    <w:name w:val="caption"/>
    <w:basedOn w:val="Normal"/>
    <w:next w:val="Normal"/>
    <w:uiPriority w:val="35"/>
    <w:unhideWhenUsed/>
    <w:qFormat/>
    <w:rsid w:val="003F2EA3"/>
    <w:pPr>
      <w:spacing w:after="200"/>
    </w:pPr>
    <w:rPr>
      <w:b/>
      <w:bCs/>
      <w:color w:val="4F81BD" w:themeColor="accent1"/>
      <w:sz w:val="18"/>
      <w:szCs w:val="18"/>
    </w:rPr>
  </w:style>
  <w:style w:type="paragraph" w:customStyle="1" w:styleId="EndNoteBibliography">
    <w:name w:val="EndNote Bibliography"/>
    <w:basedOn w:val="Normal"/>
    <w:rsid w:val="00E2734C"/>
    <w:rPr>
      <w:rFonts w:ascii="Calibri" w:eastAsiaTheme="minorHAnsi" w:hAnsi="Calibri" w:cs="Arial"/>
    </w:rPr>
  </w:style>
  <w:style w:type="paragraph" w:styleId="NormalWeb">
    <w:name w:val="Normal (Web)"/>
    <w:basedOn w:val="Normal"/>
    <w:uiPriority w:val="99"/>
    <w:semiHidden/>
    <w:unhideWhenUsed/>
    <w:rsid w:val="00CE7997"/>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A15434"/>
    <w:pPr>
      <w:tabs>
        <w:tab w:val="center" w:pos="4320"/>
        <w:tab w:val="right" w:pos="8640"/>
      </w:tabs>
    </w:pPr>
  </w:style>
  <w:style w:type="character" w:customStyle="1" w:styleId="HeaderChar">
    <w:name w:val="Header Char"/>
    <w:basedOn w:val="DefaultParagraphFont"/>
    <w:link w:val="Header"/>
    <w:uiPriority w:val="99"/>
    <w:rsid w:val="00A15434"/>
  </w:style>
  <w:style w:type="paragraph" w:styleId="Footer">
    <w:name w:val="footer"/>
    <w:basedOn w:val="Normal"/>
    <w:link w:val="FooterChar"/>
    <w:uiPriority w:val="99"/>
    <w:unhideWhenUsed/>
    <w:rsid w:val="00A15434"/>
    <w:pPr>
      <w:tabs>
        <w:tab w:val="center" w:pos="4320"/>
        <w:tab w:val="right" w:pos="8640"/>
      </w:tabs>
    </w:pPr>
  </w:style>
  <w:style w:type="character" w:customStyle="1" w:styleId="FooterChar">
    <w:name w:val="Footer Char"/>
    <w:basedOn w:val="DefaultParagraphFont"/>
    <w:link w:val="Footer"/>
    <w:uiPriority w:val="99"/>
    <w:rsid w:val="00A15434"/>
  </w:style>
  <w:style w:type="character" w:styleId="PageNumber">
    <w:name w:val="page number"/>
    <w:basedOn w:val="DefaultParagraphFont"/>
    <w:uiPriority w:val="99"/>
    <w:semiHidden/>
    <w:unhideWhenUsed/>
    <w:rsid w:val="00A15434"/>
  </w:style>
  <w:style w:type="character" w:styleId="CommentReference">
    <w:name w:val="annotation reference"/>
    <w:basedOn w:val="DefaultParagraphFont"/>
    <w:uiPriority w:val="99"/>
    <w:semiHidden/>
    <w:unhideWhenUsed/>
    <w:rsid w:val="00F00FBE"/>
    <w:rPr>
      <w:sz w:val="16"/>
      <w:szCs w:val="16"/>
    </w:rPr>
  </w:style>
  <w:style w:type="paragraph" w:styleId="CommentText">
    <w:name w:val="annotation text"/>
    <w:basedOn w:val="Normal"/>
    <w:link w:val="CommentTextChar"/>
    <w:uiPriority w:val="99"/>
    <w:semiHidden/>
    <w:unhideWhenUsed/>
    <w:rsid w:val="00F00FBE"/>
    <w:rPr>
      <w:sz w:val="20"/>
      <w:szCs w:val="20"/>
    </w:rPr>
  </w:style>
  <w:style w:type="character" w:customStyle="1" w:styleId="CommentTextChar">
    <w:name w:val="Comment Text Char"/>
    <w:basedOn w:val="DefaultParagraphFont"/>
    <w:link w:val="CommentText"/>
    <w:uiPriority w:val="99"/>
    <w:semiHidden/>
    <w:rsid w:val="00F00FBE"/>
    <w:rPr>
      <w:sz w:val="20"/>
      <w:szCs w:val="20"/>
    </w:rPr>
  </w:style>
  <w:style w:type="paragraph" w:styleId="CommentSubject">
    <w:name w:val="annotation subject"/>
    <w:basedOn w:val="CommentText"/>
    <w:next w:val="CommentText"/>
    <w:link w:val="CommentSubjectChar"/>
    <w:uiPriority w:val="99"/>
    <w:semiHidden/>
    <w:unhideWhenUsed/>
    <w:rsid w:val="00F00FBE"/>
    <w:rPr>
      <w:b/>
      <w:bCs/>
    </w:rPr>
  </w:style>
  <w:style w:type="character" w:customStyle="1" w:styleId="CommentSubjectChar">
    <w:name w:val="Comment Subject Char"/>
    <w:basedOn w:val="CommentTextChar"/>
    <w:link w:val="CommentSubject"/>
    <w:uiPriority w:val="99"/>
    <w:semiHidden/>
    <w:rsid w:val="00F00FBE"/>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7EF"/>
    <w:pPr>
      <w:ind w:left="720"/>
      <w:contextualSpacing/>
    </w:pPr>
  </w:style>
  <w:style w:type="character" w:styleId="PlaceholderText">
    <w:name w:val="Placeholder Text"/>
    <w:basedOn w:val="DefaultParagraphFont"/>
    <w:uiPriority w:val="99"/>
    <w:semiHidden/>
    <w:rsid w:val="006408D5"/>
    <w:rPr>
      <w:color w:val="808080"/>
    </w:rPr>
  </w:style>
  <w:style w:type="paragraph" w:styleId="BalloonText">
    <w:name w:val="Balloon Text"/>
    <w:basedOn w:val="Normal"/>
    <w:link w:val="BalloonTextChar"/>
    <w:uiPriority w:val="99"/>
    <w:semiHidden/>
    <w:unhideWhenUsed/>
    <w:rsid w:val="006408D5"/>
    <w:rPr>
      <w:rFonts w:ascii="Lucida Grande" w:hAnsi="Lucida Grande"/>
      <w:sz w:val="18"/>
      <w:szCs w:val="18"/>
    </w:rPr>
  </w:style>
  <w:style w:type="character" w:customStyle="1" w:styleId="BalloonTextChar">
    <w:name w:val="Balloon Text Char"/>
    <w:basedOn w:val="DefaultParagraphFont"/>
    <w:link w:val="BalloonText"/>
    <w:uiPriority w:val="99"/>
    <w:semiHidden/>
    <w:rsid w:val="006408D5"/>
    <w:rPr>
      <w:rFonts w:ascii="Lucida Grande" w:hAnsi="Lucida Grande"/>
      <w:sz w:val="18"/>
      <w:szCs w:val="18"/>
    </w:rPr>
  </w:style>
  <w:style w:type="paragraph" w:styleId="Caption">
    <w:name w:val="caption"/>
    <w:basedOn w:val="Normal"/>
    <w:next w:val="Normal"/>
    <w:uiPriority w:val="35"/>
    <w:unhideWhenUsed/>
    <w:qFormat/>
    <w:rsid w:val="003F2EA3"/>
    <w:pPr>
      <w:spacing w:after="200"/>
    </w:pPr>
    <w:rPr>
      <w:b/>
      <w:bCs/>
      <w:color w:val="4F81BD" w:themeColor="accent1"/>
      <w:sz w:val="18"/>
      <w:szCs w:val="18"/>
    </w:rPr>
  </w:style>
  <w:style w:type="paragraph" w:customStyle="1" w:styleId="EndNoteBibliography">
    <w:name w:val="EndNote Bibliography"/>
    <w:basedOn w:val="Normal"/>
    <w:rsid w:val="00E2734C"/>
    <w:rPr>
      <w:rFonts w:ascii="Calibri" w:eastAsiaTheme="minorHAnsi" w:hAnsi="Calibri" w:cs="Arial"/>
    </w:rPr>
  </w:style>
  <w:style w:type="paragraph" w:styleId="NormalWeb">
    <w:name w:val="Normal (Web)"/>
    <w:basedOn w:val="Normal"/>
    <w:uiPriority w:val="99"/>
    <w:semiHidden/>
    <w:unhideWhenUsed/>
    <w:rsid w:val="00CE7997"/>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A15434"/>
    <w:pPr>
      <w:tabs>
        <w:tab w:val="center" w:pos="4320"/>
        <w:tab w:val="right" w:pos="8640"/>
      </w:tabs>
    </w:pPr>
  </w:style>
  <w:style w:type="character" w:customStyle="1" w:styleId="HeaderChar">
    <w:name w:val="Header Char"/>
    <w:basedOn w:val="DefaultParagraphFont"/>
    <w:link w:val="Header"/>
    <w:uiPriority w:val="99"/>
    <w:rsid w:val="00A15434"/>
  </w:style>
  <w:style w:type="paragraph" w:styleId="Footer">
    <w:name w:val="footer"/>
    <w:basedOn w:val="Normal"/>
    <w:link w:val="FooterChar"/>
    <w:uiPriority w:val="99"/>
    <w:unhideWhenUsed/>
    <w:rsid w:val="00A15434"/>
    <w:pPr>
      <w:tabs>
        <w:tab w:val="center" w:pos="4320"/>
        <w:tab w:val="right" w:pos="8640"/>
      </w:tabs>
    </w:pPr>
  </w:style>
  <w:style w:type="character" w:customStyle="1" w:styleId="FooterChar">
    <w:name w:val="Footer Char"/>
    <w:basedOn w:val="DefaultParagraphFont"/>
    <w:link w:val="Footer"/>
    <w:uiPriority w:val="99"/>
    <w:rsid w:val="00A15434"/>
  </w:style>
  <w:style w:type="character" w:styleId="PageNumber">
    <w:name w:val="page number"/>
    <w:basedOn w:val="DefaultParagraphFont"/>
    <w:uiPriority w:val="99"/>
    <w:semiHidden/>
    <w:unhideWhenUsed/>
    <w:rsid w:val="00A15434"/>
  </w:style>
  <w:style w:type="character" w:styleId="CommentReference">
    <w:name w:val="annotation reference"/>
    <w:basedOn w:val="DefaultParagraphFont"/>
    <w:uiPriority w:val="99"/>
    <w:semiHidden/>
    <w:unhideWhenUsed/>
    <w:rsid w:val="00F00FBE"/>
    <w:rPr>
      <w:sz w:val="16"/>
      <w:szCs w:val="16"/>
    </w:rPr>
  </w:style>
  <w:style w:type="paragraph" w:styleId="CommentText">
    <w:name w:val="annotation text"/>
    <w:basedOn w:val="Normal"/>
    <w:link w:val="CommentTextChar"/>
    <w:uiPriority w:val="99"/>
    <w:semiHidden/>
    <w:unhideWhenUsed/>
    <w:rsid w:val="00F00FBE"/>
    <w:rPr>
      <w:sz w:val="20"/>
      <w:szCs w:val="20"/>
    </w:rPr>
  </w:style>
  <w:style w:type="character" w:customStyle="1" w:styleId="CommentTextChar">
    <w:name w:val="Comment Text Char"/>
    <w:basedOn w:val="DefaultParagraphFont"/>
    <w:link w:val="CommentText"/>
    <w:uiPriority w:val="99"/>
    <w:semiHidden/>
    <w:rsid w:val="00F00FBE"/>
    <w:rPr>
      <w:sz w:val="20"/>
      <w:szCs w:val="20"/>
    </w:rPr>
  </w:style>
  <w:style w:type="paragraph" w:styleId="CommentSubject">
    <w:name w:val="annotation subject"/>
    <w:basedOn w:val="CommentText"/>
    <w:next w:val="CommentText"/>
    <w:link w:val="CommentSubjectChar"/>
    <w:uiPriority w:val="99"/>
    <w:semiHidden/>
    <w:unhideWhenUsed/>
    <w:rsid w:val="00F00FBE"/>
    <w:rPr>
      <w:b/>
      <w:bCs/>
    </w:rPr>
  </w:style>
  <w:style w:type="character" w:customStyle="1" w:styleId="CommentSubjectChar">
    <w:name w:val="Comment Subject Char"/>
    <w:basedOn w:val="CommentTextChar"/>
    <w:link w:val="CommentSubject"/>
    <w:uiPriority w:val="99"/>
    <w:semiHidden/>
    <w:rsid w:val="00F00F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233448">
      <w:bodyDiv w:val="1"/>
      <w:marLeft w:val="0"/>
      <w:marRight w:val="0"/>
      <w:marTop w:val="0"/>
      <w:marBottom w:val="0"/>
      <w:divBdr>
        <w:top w:val="none" w:sz="0" w:space="0" w:color="auto"/>
        <w:left w:val="none" w:sz="0" w:space="0" w:color="auto"/>
        <w:bottom w:val="none" w:sz="0" w:space="0" w:color="auto"/>
        <w:right w:val="none" w:sz="0" w:space="0" w:color="auto"/>
      </w:divBdr>
      <w:divsChild>
        <w:div w:id="81269759">
          <w:marLeft w:val="0"/>
          <w:marRight w:val="0"/>
          <w:marTop w:val="0"/>
          <w:marBottom w:val="0"/>
          <w:divBdr>
            <w:top w:val="none" w:sz="0" w:space="0" w:color="auto"/>
            <w:left w:val="none" w:sz="0" w:space="0" w:color="auto"/>
            <w:bottom w:val="none" w:sz="0" w:space="0" w:color="auto"/>
            <w:right w:val="none" w:sz="0" w:space="0" w:color="auto"/>
          </w:divBdr>
          <w:divsChild>
            <w:div w:id="1256674070">
              <w:marLeft w:val="0"/>
              <w:marRight w:val="0"/>
              <w:marTop w:val="0"/>
              <w:marBottom w:val="0"/>
              <w:divBdr>
                <w:top w:val="none" w:sz="0" w:space="0" w:color="auto"/>
                <w:left w:val="none" w:sz="0" w:space="0" w:color="auto"/>
                <w:bottom w:val="none" w:sz="0" w:space="0" w:color="auto"/>
                <w:right w:val="none" w:sz="0" w:space="0" w:color="auto"/>
              </w:divBdr>
              <w:divsChild>
                <w:div w:id="7785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204421">
      <w:bodyDiv w:val="1"/>
      <w:marLeft w:val="0"/>
      <w:marRight w:val="0"/>
      <w:marTop w:val="0"/>
      <w:marBottom w:val="0"/>
      <w:divBdr>
        <w:top w:val="none" w:sz="0" w:space="0" w:color="auto"/>
        <w:left w:val="none" w:sz="0" w:space="0" w:color="auto"/>
        <w:bottom w:val="none" w:sz="0" w:space="0" w:color="auto"/>
        <w:right w:val="none" w:sz="0" w:space="0" w:color="auto"/>
      </w:divBdr>
      <w:divsChild>
        <w:div w:id="1615988304">
          <w:marLeft w:val="0"/>
          <w:marRight w:val="0"/>
          <w:marTop w:val="0"/>
          <w:marBottom w:val="0"/>
          <w:divBdr>
            <w:top w:val="none" w:sz="0" w:space="0" w:color="auto"/>
            <w:left w:val="none" w:sz="0" w:space="0" w:color="auto"/>
            <w:bottom w:val="none" w:sz="0" w:space="0" w:color="auto"/>
            <w:right w:val="none" w:sz="0" w:space="0" w:color="auto"/>
          </w:divBdr>
          <w:divsChild>
            <w:div w:id="1892305674">
              <w:marLeft w:val="0"/>
              <w:marRight w:val="0"/>
              <w:marTop w:val="0"/>
              <w:marBottom w:val="0"/>
              <w:divBdr>
                <w:top w:val="none" w:sz="0" w:space="0" w:color="auto"/>
                <w:left w:val="none" w:sz="0" w:space="0" w:color="auto"/>
                <w:bottom w:val="none" w:sz="0" w:space="0" w:color="auto"/>
                <w:right w:val="none" w:sz="0" w:space="0" w:color="auto"/>
              </w:divBdr>
              <w:divsChild>
                <w:div w:id="15740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2.xml"/><Relationship Id="rId12" Type="http://schemas.openxmlformats.org/officeDocument/2006/relationships/chart" Target="charts/chart3.xml"/><Relationship Id="rId13" Type="http://schemas.openxmlformats.org/officeDocument/2006/relationships/chart" Target="charts/chart4.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people" Target="people.xml"/><Relationship Id="rId19"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andrewsullivan\Documents\Thesis%20Compiled%20Data\Post%20PPH%20Kafirin.xlsx"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localhost\Users\andrewsullivan\Documents\Thesis%20Compiled%20Data\Post%20PPH%20Kafirin.xlsx"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file:///\\localhost\Users\andrewsullivan\Documents\Thesis%20Compiled%20Data\Post%20PPH%20Kafirin.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file:///\\localhost\Users\andrewsullivan\Documents\Thesis%20Compiled%20Data\Post%20PPH%20Kafir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'[Post PPH Kafirin.xlsx]BCA'!$D$34</c:f>
              <c:strCache>
                <c:ptCount val="1"/>
                <c:pt idx="0">
                  <c:v>5 minutes</c:v>
                </c:pt>
              </c:strCache>
            </c:strRef>
          </c:tx>
          <c:spPr>
            <a:solidFill>
              <a:schemeClr val="tx2">
                <a:lumMod val="60000"/>
                <a:lumOff val="40000"/>
              </a:schemeClr>
            </a:solidFill>
            <a:ln>
              <a:solidFill>
                <a:schemeClr val="tx2">
                  <a:lumMod val="60000"/>
                  <a:lumOff val="40000"/>
                </a:schemeClr>
              </a:solidFill>
            </a:ln>
            <a:effectLst/>
          </c:spPr>
          <c:invertIfNegative val="0"/>
          <c:dLbls>
            <c:dLbl>
              <c:idx val="0"/>
              <c:layout>
                <c:manualLayout>
                  <c:x val="-4.12908142962811E-17"/>
                  <c:y val="-0.038961038961039"/>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68F-42F7-8944-675059D2D5E1}"/>
                </c:ext>
              </c:extLst>
            </c:dLbl>
            <c:dLbl>
              <c:idx val="1"/>
              <c:layout>
                <c:manualLayout>
                  <c:x val="0.0"/>
                  <c:y val="-0.012987012987013"/>
                </c:manualLayout>
              </c:layout>
              <c:tx>
                <c:rich>
                  <a:bodyPr/>
                  <a:lstStyle/>
                  <a:p>
                    <a:r>
                      <a:rPr lang="en-US"/>
                      <a:t>ab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68F-42F7-8944-675059D2D5E1}"/>
                </c:ext>
              </c:extLst>
            </c:dLbl>
            <c:dLbl>
              <c:idx val="2"/>
              <c:layout>
                <c:manualLayout>
                  <c:x val="0.0"/>
                  <c:y val="-0.0346320346320347"/>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68F-42F7-8944-675059D2D5E1}"/>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Kafirin.xlsx]BCA'!$B$23:$F$23</c:f>
                <c:numCache>
                  <c:formatCode>General</c:formatCode>
                  <c:ptCount val="5"/>
                  <c:pt idx="0">
                    <c:v>51.43452346509687</c:v>
                  </c:pt>
                  <c:pt idx="1">
                    <c:v>32.4760508305893</c:v>
                  </c:pt>
                  <c:pt idx="2">
                    <c:v>51.4259258578795</c:v>
                  </c:pt>
                  <c:pt idx="3">
                    <c:v>52.7656866445881</c:v>
                  </c:pt>
                  <c:pt idx="4">
                    <c:v>49.87876458436546</c:v>
                  </c:pt>
                </c:numCache>
              </c:numRef>
            </c:plus>
            <c:minus>
              <c:numRef>
                <c:f>'[Post PPH Kafirin.xlsx]BCA'!$B$23:$F$23</c:f>
                <c:numCache>
                  <c:formatCode>General</c:formatCode>
                  <c:ptCount val="5"/>
                  <c:pt idx="0">
                    <c:v>51.43452346509687</c:v>
                  </c:pt>
                  <c:pt idx="1">
                    <c:v>32.4760508305893</c:v>
                  </c:pt>
                  <c:pt idx="2">
                    <c:v>51.4259258578795</c:v>
                  </c:pt>
                  <c:pt idx="3">
                    <c:v>52.7656866445881</c:v>
                  </c:pt>
                  <c:pt idx="4">
                    <c:v>49.87876458436546</c:v>
                  </c:pt>
                </c:numCache>
              </c:numRef>
            </c:minus>
            <c:spPr>
              <a:noFill/>
              <a:ln w="9525" cap="flat" cmpd="sng" algn="ctr">
                <a:solidFill>
                  <a:schemeClr val="tx1">
                    <a:lumMod val="65000"/>
                    <a:lumOff val="35000"/>
                  </a:schemeClr>
                </a:solidFill>
                <a:round/>
              </a:ln>
              <a:effectLst/>
            </c:spPr>
          </c:errBars>
          <c:cat>
            <c:numRef>
              <c:f>'[Post PPH Kafirin.xlsx]BCA'!$E$33:$G$33</c:f>
              <c:numCache>
                <c:formatCode>General</c:formatCode>
                <c:ptCount val="3"/>
                <c:pt idx="0">
                  <c:v>0.0</c:v>
                </c:pt>
                <c:pt idx="1">
                  <c:v>20.0</c:v>
                </c:pt>
                <c:pt idx="2">
                  <c:v>40.0</c:v>
                </c:pt>
              </c:numCache>
            </c:numRef>
          </c:cat>
          <c:val>
            <c:numRef>
              <c:f>'[Post PPH Kafirin.xlsx]BCA'!$E$34:$G$34</c:f>
              <c:numCache>
                <c:formatCode>General</c:formatCode>
                <c:ptCount val="3"/>
                <c:pt idx="0">
                  <c:v>464.7142857142857</c:v>
                </c:pt>
                <c:pt idx="1">
                  <c:v>449.7142857142857</c:v>
                </c:pt>
                <c:pt idx="2">
                  <c:v>463.0476190476189</c:v>
                </c:pt>
              </c:numCache>
            </c:numRef>
          </c:val>
          <c:extLst xmlns:c16r2="http://schemas.microsoft.com/office/drawing/2015/06/chart">
            <c:ext xmlns:c16="http://schemas.microsoft.com/office/drawing/2014/chart" uri="{C3380CC4-5D6E-409C-BE32-E72D297353CC}">
              <c16:uniqueId val="{00000003-568F-42F7-8944-675059D2D5E1}"/>
            </c:ext>
          </c:extLst>
        </c:ser>
        <c:ser>
          <c:idx val="1"/>
          <c:order val="1"/>
          <c:tx>
            <c:strRef>
              <c:f>'[Post PPH Kafirin.xlsx]BCA'!$D$35</c:f>
              <c:strCache>
                <c:ptCount val="1"/>
                <c:pt idx="0">
                  <c:v>10 minutes</c:v>
                </c:pt>
              </c:strCache>
            </c:strRef>
          </c:tx>
          <c:spPr>
            <a:solidFill>
              <a:srgbClr val="F79646"/>
            </a:solidFill>
            <a:ln>
              <a:solidFill>
                <a:schemeClr val="accent6"/>
              </a:solidFill>
            </a:ln>
            <a:effectLst/>
          </c:spPr>
          <c:invertIfNegative val="0"/>
          <c:dLbls>
            <c:dLbl>
              <c:idx val="0"/>
              <c:layout>
                <c:manualLayout>
                  <c:x val="0.0"/>
                  <c:y val="-0.0346320346320347"/>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68F-42F7-8944-675059D2D5E1}"/>
                </c:ext>
              </c:extLst>
            </c:dLbl>
            <c:dLbl>
              <c:idx val="1"/>
              <c:layout>
                <c:manualLayout>
                  <c:x val="0.0"/>
                  <c:y val="-0.0346320346320347"/>
                </c:manualLayout>
              </c:layout>
              <c:tx>
                <c:rich>
                  <a:bodyPr/>
                  <a:lstStyle/>
                  <a:p>
                    <a:r>
                      <a:rPr lang="en-US"/>
                      <a:t>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68F-42F7-8944-675059D2D5E1}"/>
                </c:ext>
              </c:extLst>
            </c:dLbl>
            <c:dLbl>
              <c:idx val="2"/>
              <c:layout>
                <c:manualLayout>
                  <c:x val="0.00112621479747464"/>
                  <c:y val="-0.034631693765552"/>
                </c:manualLayout>
              </c:layout>
              <c:tx>
                <c:rich>
                  <a:bodyPr/>
                  <a:lstStyle/>
                  <a:p>
                    <a:r>
                      <a:rPr lang="en-US"/>
                      <a:t>ab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3.8378378378378403E-2"/>
                      <c:h val="6.9199304632375502E-2"/>
                    </c:manualLayout>
                  </c15:layout>
                </c:ext>
                <c:ext xmlns:c16="http://schemas.microsoft.com/office/drawing/2014/chart" uri="{C3380CC4-5D6E-409C-BE32-E72D297353CC}">
                  <c16:uniqueId val="{00000006-568F-42F7-8944-675059D2D5E1}"/>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Kafirin.xlsx]BCA'!$E$37:$G$37</c:f>
                <c:numCache>
                  <c:formatCode>General</c:formatCode>
                  <c:ptCount val="3"/>
                  <c:pt idx="0">
                    <c:v>51.43452346509687</c:v>
                  </c:pt>
                  <c:pt idx="1">
                    <c:v>52.7656866445881</c:v>
                  </c:pt>
                  <c:pt idx="2">
                    <c:v>49.87876458436546</c:v>
                  </c:pt>
                </c:numCache>
              </c:numRef>
            </c:plus>
            <c:minus>
              <c:numRef>
                <c:f>'[Post PPH Kafirin.xlsx]BCA'!$E$37:$G$37</c:f>
                <c:numCache>
                  <c:formatCode>General</c:formatCode>
                  <c:ptCount val="3"/>
                  <c:pt idx="0">
                    <c:v>51.43452346509687</c:v>
                  </c:pt>
                  <c:pt idx="1">
                    <c:v>52.7656866445881</c:v>
                  </c:pt>
                  <c:pt idx="2">
                    <c:v>49.87876458436546</c:v>
                  </c:pt>
                </c:numCache>
              </c:numRef>
            </c:minus>
            <c:spPr>
              <a:noFill/>
              <a:ln w="9525" cap="flat" cmpd="sng" algn="ctr">
                <a:solidFill>
                  <a:schemeClr val="tx1">
                    <a:lumMod val="65000"/>
                    <a:lumOff val="35000"/>
                  </a:schemeClr>
                </a:solidFill>
                <a:round/>
              </a:ln>
              <a:effectLst/>
            </c:spPr>
          </c:errBars>
          <c:cat>
            <c:numRef>
              <c:f>'[Post PPH Kafirin.xlsx]BCA'!$E$33:$G$33</c:f>
              <c:numCache>
                <c:formatCode>General</c:formatCode>
                <c:ptCount val="3"/>
                <c:pt idx="0">
                  <c:v>0.0</c:v>
                </c:pt>
                <c:pt idx="1">
                  <c:v>20.0</c:v>
                </c:pt>
                <c:pt idx="2">
                  <c:v>40.0</c:v>
                </c:pt>
              </c:numCache>
            </c:numRef>
          </c:cat>
          <c:val>
            <c:numRef>
              <c:f>'[Post PPH Kafirin.xlsx]BCA'!$E$35:$G$35</c:f>
              <c:numCache>
                <c:formatCode>General</c:formatCode>
                <c:ptCount val="3"/>
                <c:pt idx="0">
                  <c:v>464.7142857142857</c:v>
                </c:pt>
                <c:pt idx="1">
                  <c:v>370.6666666666666</c:v>
                </c:pt>
                <c:pt idx="2">
                  <c:v>386.3809523809525</c:v>
                </c:pt>
              </c:numCache>
            </c:numRef>
          </c:val>
          <c:extLst xmlns:c16r2="http://schemas.microsoft.com/office/drawing/2015/06/chart">
            <c:ext xmlns:c16="http://schemas.microsoft.com/office/drawing/2014/chart" uri="{C3380CC4-5D6E-409C-BE32-E72D297353CC}">
              <c16:uniqueId val="{00000007-568F-42F7-8944-675059D2D5E1}"/>
            </c:ext>
          </c:extLst>
        </c:ser>
        <c:dLbls>
          <c:showLegendKey val="0"/>
          <c:showVal val="0"/>
          <c:showCatName val="0"/>
          <c:showSerName val="0"/>
          <c:showPercent val="0"/>
          <c:showBubbleSize val="0"/>
        </c:dLbls>
        <c:gapWidth val="219"/>
        <c:overlap val="-27"/>
        <c:axId val="-2070521128"/>
        <c:axId val="-2070514760"/>
      </c:barChart>
      <c:catAx>
        <c:axId val="-2070521128"/>
        <c:scaling>
          <c:orientation val="minMax"/>
        </c:scaling>
        <c:delete val="0"/>
        <c:axPos val="b"/>
        <c:title>
          <c:tx>
            <c:rich>
              <a:bodyPr rot="0" vert="horz"/>
              <a:lstStyle/>
              <a:p>
                <a:pPr>
                  <a:defRPr/>
                </a:pPr>
                <a:r>
                  <a:rPr lang="en-US"/>
                  <a:t>Amplitude, %</a:t>
                </a:r>
              </a:p>
            </c:rich>
          </c:tx>
          <c:layout/>
          <c:overlay val="0"/>
          <c:spPr>
            <a:noFill/>
            <a:ln>
              <a:noFill/>
            </a:ln>
            <a:effectLst/>
          </c:spPr>
        </c:title>
        <c:numFmt formatCode="General" sourceLinked="0"/>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2070514760"/>
        <c:crosses val="autoZero"/>
        <c:auto val="1"/>
        <c:lblAlgn val="ctr"/>
        <c:lblOffset val="100"/>
        <c:noMultiLvlLbl val="0"/>
      </c:catAx>
      <c:valAx>
        <c:axId val="-2070514760"/>
        <c:scaling>
          <c:orientation val="minMax"/>
        </c:scaling>
        <c:delete val="0"/>
        <c:axPos val="l"/>
        <c:title>
          <c:tx>
            <c:rich>
              <a:bodyPr rot="-5400000" vert="horz"/>
              <a:lstStyle/>
              <a:p>
                <a:pPr>
                  <a:defRPr/>
                </a:pPr>
                <a:r>
                  <a:rPr lang="en-US"/>
                  <a:t>Protein concentration, </a:t>
                </a:r>
                <a:r>
                  <a:rPr lang="en-US" sz="1000" b="1" i="0" u="none" strike="noStrike" baseline="0">
                    <a:effectLst/>
                  </a:rPr>
                  <a:t>μ</a:t>
                </a:r>
                <a:r>
                  <a:rPr lang="en-US"/>
                  <a:t>g/mL</a:t>
                </a:r>
              </a:p>
            </c:rich>
          </c:tx>
          <c:layout/>
          <c:overlay val="0"/>
          <c:spPr>
            <a:noFill/>
            <a:ln>
              <a:noFill/>
            </a:ln>
            <a:effectLst/>
          </c:spPr>
        </c:title>
        <c:numFmt formatCode="General" sourceLinked="0"/>
        <c:majorTickMark val="none"/>
        <c:minorTickMark val="none"/>
        <c:tickLblPos val="nextTo"/>
        <c:spPr>
          <a:noFill/>
          <a:ln>
            <a:solidFill>
              <a:schemeClr val="tx1"/>
            </a:solidFill>
          </a:ln>
          <a:effectLst/>
        </c:spPr>
        <c:txPr>
          <a:bodyPr rot="-60000000" vert="horz"/>
          <a:lstStyle/>
          <a:p>
            <a:pPr>
              <a:defRPr/>
            </a:pPr>
            <a:endParaRPr lang="en-US"/>
          </a:p>
        </c:txPr>
        <c:crossAx val="-2070521128"/>
        <c:crosses val="autoZero"/>
        <c:crossBetween val="between"/>
        <c:majorUnit val="100.0"/>
      </c:valAx>
      <c:spPr>
        <a:noFill/>
        <a:ln w="25400">
          <a:noFill/>
        </a:ln>
        <a:effectLst/>
      </c:spPr>
    </c:plotArea>
    <c:legend>
      <c:legendPos val="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l">
        <a:defRPr>
          <a:latin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'[Post PPH Kafirin.xlsx]OPA'!$D$40</c:f>
              <c:strCache>
                <c:ptCount val="1"/>
                <c:pt idx="0">
                  <c:v>5 minutes</c:v>
                </c:pt>
              </c:strCache>
            </c:strRef>
          </c:tx>
          <c:spPr>
            <a:solidFill>
              <a:srgbClr val="1F497D">
                <a:lumMod val="60000"/>
                <a:lumOff val="40000"/>
              </a:srgbClr>
            </a:solidFill>
            <a:ln>
              <a:solidFill>
                <a:srgbClr val="1F497D">
                  <a:lumMod val="60000"/>
                  <a:lumOff val="40000"/>
                </a:srgbClr>
              </a:solidFill>
            </a:ln>
            <a:effectLst/>
          </c:spPr>
          <c:invertIfNegative val="0"/>
          <c:dLbls>
            <c:dLbl>
              <c:idx val="0"/>
              <c:layout>
                <c:manualLayout>
                  <c:x val="0.00419287211740042"/>
                  <c:y val="-0.066705282529339"/>
                </c:manualLayout>
              </c:layout>
              <c:tx>
                <c:rich>
                  <a:bodyPr/>
                  <a:lstStyle/>
                  <a:p>
                    <a:r>
                      <a:rPr lang="en-US"/>
                      <a:t>c  </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0F6-4852-89D2-F83D650CA759}"/>
                </c:ext>
              </c:extLst>
            </c:dLbl>
            <c:dLbl>
              <c:idx val="1"/>
              <c:layout>
                <c:manualLayout>
                  <c:x val="0.00275988920457385"/>
                  <c:y val="-0.0520504602572194"/>
                </c:manualLayout>
              </c:layout>
              <c:tx>
                <c:rich>
                  <a:bodyPr/>
                  <a:lstStyle/>
                  <a:p>
                    <a:r>
                      <a:rPr lang="en-US"/>
                      <a:t>ab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0F6-4852-89D2-F83D650CA759}"/>
                </c:ext>
              </c:extLst>
            </c:dLbl>
            <c:dLbl>
              <c:idx val="2"/>
              <c:layout>
                <c:manualLayout>
                  <c:x val="-0.00209643605870021"/>
                  <c:y val="-0.0365134099616858"/>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5.66742161588688E-2"/>
                      <c:h val="9.9298268884406196E-2"/>
                    </c:manualLayout>
                  </c15:layout>
                </c:ext>
                <c:ext xmlns:c16="http://schemas.microsoft.com/office/drawing/2014/chart" uri="{C3380CC4-5D6E-409C-BE32-E72D297353CC}">
                  <c16:uniqueId val="{00000002-50F6-4852-89D2-F83D650CA759}"/>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Kafirin.xlsx]OPA'!$E$42:$G$42</c:f>
                <c:numCache>
                  <c:formatCode>General</c:formatCode>
                  <c:ptCount val="3"/>
                  <c:pt idx="0">
                    <c:v>0.13551881442092</c:v>
                  </c:pt>
                  <c:pt idx="1">
                    <c:v>0.153256005134309</c:v>
                  </c:pt>
                  <c:pt idx="2">
                    <c:v>0.0643358930151992</c:v>
                  </c:pt>
                </c:numCache>
              </c:numRef>
            </c:plus>
            <c:minus>
              <c:numRef>
                <c:f>'[Post PPH Kafirin.xlsx]OPA'!$E$42:$G$42</c:f>
                <c:numCache>
                  <c:formatCode>General</c:formatCode>
                  <c:ptCount val="3"/>
                  <c:pt idx="0">
                    <c:v>0.13551881442092</c:v>
                  </c:pt>
                  <c:pt idx="1">
                    <c:v>0.153256005134309</c:v>
                  </c:pt>
                  <c:pt idx="2">
                    <c:v>0.0643358930151992</c:v>
                  </c:pt>
                </c:numCache>
              </c:numRef>
            </c:minus>
            <c:spPr>
              <a:noFill/>
              <a:ln w="9525" cap="flat" cmpd="sng" algn="ctr">
                <a:solidFill>
                  <a:schemeClr val="tx1">
                    <a:lumMod val="65000"/>
                    <a:lumOff val="35000"/>
                  </a:schemeClr>
                </a:solidFill>
                <a:round/>
              </a:ln>
              <a:effectLst/>
            </c:spPr>
          </c:errBars>
          <c:cat>
            <c:numRef>
              <c:f>'[Post PPH Kafirin.xlsx]OPA'!$E$39:$G$39</c:f>
              <c:numCache>
                <c:formatCode>General</c:formatCode>
                <c:ptCount val="3"/>
                <c:pt idx="0">
                  <c:v>0.0</c:v>
                </c:pt>
                <c:pt idx="1">
                  <c:v>20.0</c:v>
                </c:pt>
                <c:pt idx="2">
                  <c:v>40.0</c:v>
                </c:pt>
              </c:numCache>
            </c:numRef>
          </c:cat>
          <c:val>
            <c:numRef>
              <c:f>'[Post PPH Kafirin.xlsx]OPA'!$E$40:$G$40</c:f>
              <c:numCache>
                <c:formatCode>General</c:formatCode>
                <c:ptCount val="3"/>
                <c:pt idx="0">
                  <c:v>1.0</c:v>
                </c:pt>
                <c:pt idx="1">
                  <c:v>1.152778640474825</c:v>
                </c:pt>
                <c:pt idx="2">
                  <c:v>1.197752535468094</c:v>
                </c:pt>
              </c:numCache>
            </c:numRef>
          </c:val>
          <c:extLst xmlns:c16r2="http://schemas.microsoft.com/office/drawing/2015/06/chart">
            <c:ext xmlns:c16="http://schemas.microsoft.com/office/drawing/2014/chart" uri="{C3380CC4-5D6E-409C-BE32-E72D297353CC}">
              <c16:uniqueId val="{00000003-50F6-4852-89D2-F83D650CA759}"/>
            </c:ext>
          </c:extLst>
        </c:ser>
        <c:ser>
          <c:idx val="1"/>
          <c:order val="1"/>
          <c:tx>
            <c:strRef>
              <c:f>'[Post PPH Kafirin.xlsx]OPA'!$D$41</c:f>
              <c:strCache>
                <c:ptCount val="1"/>
                <c:pt idx="0">
                  <c:v>10 minutes</c:v>
                </c:pt>
              </c:strCache>
            </c:strRef>
          </c:tx>
          <c:spPr>
            <a:solidFill>
              <a:srgbClr val="F79646"/>
            </a:solidFill>
            <a:ln>
              <a:solidFill>
                <a:srgbClr val="F79646"/>
              </a:solidFill>
            </a:ln>
            <a:effectLst/>
          </c:spPr>
          <c:invertIfNegative val="0"/>
          <c:dLbls>
            <c:dLbl>
              <c:idx val="0"/>
              <c:layout>
                <c:manualLayout>
                  <c:x val="0.0"/>
                  <c:y val="-0.0619733309198419"/>
                </c:manualLayout>
              </c:layout>
              <c:tx>
                <c:rich>
                  <a:bodyPr/>
                  <a:lstStyle/>
                  <a:p>
                    <a:r>
                      <a:rPr lang="en-US"/>
                      <a:t>c</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5.1899825149066603E-2"/>
                      <c:h val="9.9298268884406196E-2"/>
                    </c:manualLayout>
                  </c15:layout>
                </c:ext>
                <c:ext xmlns:c16="http://schemas.microsoft.com/office/drawing/2014/chart" uri="{C3380CC4-5D6E-409C-BE32-E72D297353CC}">
                  <c16:uniqueId val="{00000004-50F6-4852-89D2-F83D650CA759}"/>
                </c:ext>
              </c:extLst>
            </c:dLbl>
            <c:dLbl>
              <c:idx val="1"/>
              <c:layout>
                <c:manualLayout>
                  <c:x val="-0.00419287211740042"/>
                  <c:y val="-0.0259193893866715"/>
                </c:manualLayout>
              </c:layout>
              <c:tx>
                <c:rich>
                  <a:bodyPr/>
                  <a:lstStyle/>
                  <a:p>
                    <a:r>
                      <a:rPr lang="en-US"/>
                      <a:t>c</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4.2253903722025699E-2"/>
                      <c:h val="9.9298268884406196E-2"/>
                    </c:manualLayout>
                  </c15:layout>
                </c:ext>
                <c:ext xmlns:c16="http://schemas.microsoft.com/office/drawing/2014/chart" uri="{C3380CC4-5D6E-409C-BE32-E72D297353CC}">
                  <c16:uniqueId val="{00000005-50F6-4852-89D2-F83D650CA759}"/>
                </c:ext>
              </c:extLst>
            </c:dLbl>
            <c:dLbl>
              <c:idx val="2"/>
              <c:layout>
                <c:manualLayout>
                  <c:x val="0.0"/>
                  <c:y val="-0.00473186002338361"/>
                </c:manualLayout>
              </c:layout>
              <c:tx>
                <c:rich>
                  <a:bodyPr/>
                  <a:lstStyle/>
                  <a:p>
                    <a:r>
                      <a:rPr lang="en-US"/>
                      <a:t>ab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0F6-4852-89D2-F83D650CA759}"/>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Kafirin.xlsx]OPA'!$E$43:$G$43</c:f>
                <c:numCache>
                  <c:formatCode>General</c:formatCode>
                  <c:ptCount val="3"/>
                  <c:pt idx="0">
                    <c:v>0.13551881442092</c:v>
                  </c:pt>
                  <c:pt idx="1">
                    <c:v>0.0716430499256515</c:v>
                  </c:pt>
                  <c:pt idx="2">
                    <c:v>0.0562250842269269</c:v>
                  </c:pt>
                </c:numCache>
              </c:numRef>
            </c:plus>
            <c:minus>
              <c:numRef>
                <c:f>'[Post PPH Kafirin.xlsx]OPA'!$E$43:$G$43</c:f>
                <c:numCache>
                  <c:formatCode>General</c:formatCode>
                  <c:ptCount val="3"/>
                  <c:pt idx="0">
                    <c:v>0.13551881442092</c:v>
                  </c:pt>
                  <c:pt idx="1">
                    <c:v>0.0716430499256515</c:v>
                  </c:pt>
                  <c:pt idx="2">
                    <c:v>0.0562250842269269</c:v>
                  </c:pt>
                </c:numCache>
              </c:numRef>
            </c:minus>
            <c:spPr>
              <a:noFill/>
              <a:ln w="9525" cap="flat" cmpd="sng" algn="ctr">
                <a:solidFill>
                  <a:schemeClr val="tx1">
                    <a:lumMod val="65000"/>
                    <a:lumOff val="35000"/>
                  </a:schemeClr>
                </a:solidFill>
                <a:round/>
              </a:ln>
              <a:effectLst/>
            </c:spPr>
          </c:errBars>
          <c:cat>
            <c:numRef>
              <c:f>'[Post PPH Kafirin.xlsx]OPA'!$E$39:$G$39</c:f>
              <c:numCache>
                <c:formatCode>General</c:formatCode>
                <c:ptCount val="3"/>
                <c:pt idx="0">
                  <c:v>0.0</c:v>
                </c:pt>
                <c:pt idx="1">
                  <c:v>20.0</c:v>
                </c:pt>
                <c:pt idx="2">
                  <c:v>40.0</c:v>
                </c:pt>
              </c:numCache>
            </c:numRef>
          </c:cat>
          <c:val>
            <c:numRef>
              <c:f>'[Post PPH Kafirin.xlsx]OPA'!$E$41:$G$41</c:f>
              <c:numCache>
                <c:formatCode>General</c:formatCode>
                <c:ptCount val="3"/>
                <c:pt idx="0">
                  <c:v>1.0</c:v>
                </c:pt>
                <c:pt idx="1">
                  <c:v>1.002748593593465</c:v>
                </c:pt>
                <c:pt idx="2">
                  <c:v>1.177586968351458</c:v>
                </c:pt>
              </c:numCache>
            </c:numRef>
          </c:val>
          <c:extLst xmlns:c16r2="http://schemas.microsoft.com/office/drawing/2015/06/chart">
            <c:ext xmlns:c16="http://schemas.microsoft.com/office/drawing/2014/chart" uri="{C3380CC4-5D6E-409C-BE32-E72D297353CC}">
              <c16:uniqueId val="{00000007-50F6-4852-89D2-F83D650CA759}"/>
            </c:ext>
          </c:extLst>
        </c:ser>
        <c:dLbls>
          <c:showLegendKey val="0"/>
          <c:showVal val="0"/>
          <c:showCatName val="0"/>
          <c:showSerName val="0"/>
          <c:showPercent val="0"/>
          <c:showBubbleSize val="0"/>
        </c:dLbls>
        <c:gapWidth val="219"/>
        <c:overlap val="-27"/>
        <c:axId val="-2143269432"/>
        <c:axId val="-2098445192"/>
      </c:barChart>
      <c:catAx>
        <c:axId val="-2143269432"/>
        <c:scaling>
          <c:orientation val="minMax"/>
        </c:scaling>
        <c:delete val="0"/>
        <c:axPos val="b"/>
        <c:title>
          <c:tx>
            <c:rich>
              <a:bodyPr rot="0" vert="horz"/>
              <a:lstStyle/>
              <a:p>
                <a:pPr>
                  <a:defRPr/>
                </a:pPr>
                <a:r>
                  <a:rPr lang="en-US"/>
                  <a:t>Amplitude, %</a:t>
                </a:r>
              </a:p>
            </c:rich>
          </c:tx>
          <c:layout/>
          <c:overlay val="0"/>
          <c:spPr>
            <a:noFill/>
            <a:ln>
              <a:noFill/>
            </a:ln>
            <a:effectLst/>
          </c:spPr>
        </c:title>
        <c:numFmt formatCode="General" sourceLinked="0"/>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2098445192"/>
        <c:crosses val="autoZero"/>
        <c:auto val="1"/>
        <c:lblAlgn val="ctr"/>
        <c:lblOffset val="100"/>
        <c:noMultiLvlLbl val="0"/>
      </c:catAx>
      <c:valAx>
        <c:axId val="-2098445192"/>
        <c:scaling>
          <c:orientation val="minMax"/>
          <c:min val="0.0"/>
        </c:scaling>
        <c:delete val="0"/>
        <c:axPos val="l"/>
        <c:title>
          <c:tx>
            <c:rich>
              <a:bodyPr rot="-5400000" vert="horz"/>
              <a:lstStyle/>
              <a:p>
                <a:pPr>
                  <a:defRPr/>
                </a:pPr>
                <a:r>
                  <a:rPr lang="en-US"/>
                  <a:t>OPA Degree of Hydrolysis, %</a:t>
                </a:r>
              </a:p>
            </c:rich>
          </c:tx>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vert="horz"/>
          <a:lstStyle/>
          <a:p>
            <a:pPr>
              <a:defRPr/>
            </a:pPr>
            <a:endParaRPr lang="en-US"/>
          </a:p>
        </c:txPr>
        <c:crossAx val="-2143269432"/>
        <c:crosses val="autoZero"/>
        <c:crossBetween val="between"/>
      </c:valAx>
      <c:spPr>
        <a:noFill/>
        <a:ln>
          <a:noFill/>
        </a:ln>
        <a:effectLst/>
      </c:spPr>
    </c:plotArea>
    <c:legend>
      <c:legendPos val="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'[Post PPH Kafirin.xlsx]TCA'!$B$30</c:f>
              <c:strCache>
                <c:ptCount val="1"/>
                <c:pt idx="0">
                  <c:v>5 minutes</c:v>
                </c:pt>
              </c:strCache>
            </c:strRef>
          </c:tx>
          <c:spPr>
            <a:solidFill>
              <a:srgbClr val="1F497D">
                <a:lumMod val="60000"/>
                <a:lumOff val="40000"/>
              </a:srgbClr>
            </a:solidFill>
            <a:ln>
              <a:solidFill>
                <a:srgbClr val="1F497D">
                  <a:lumMod val="60000"/>
                  <a:lumOff val="40000"/>
                </a:srgbClr>
              </a:solidFill>
            </a:ln>
            <a:effectLst/>
          </c:spPr>
          <c:invertIfNegative val="0"/>
          <c:dLbls>
            <c:dLbl>
              <c:idx val="0"/>
              <c:layout>
                <c:manualLayout>
                  <c:x val="-2.12615463085362E-17"/>
                  <c:y val="-0.00865800865800866"/>
                </c:manualLayout>
              </c:layout>
              <c:tx>
                <c:rich>
                  <a:bodyPr/>
                  <a:lstStyle/>
                  <a:p>
                    <a:r>
                      <a:rPr lang="en-US"/>
                      <a:t>c</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A77-4F40-8586-84514B24C2C3}"/>
                </c:ext>
              </c:extLst>
            </c:dLbl>
            <c:dLbl>
              <c:idx val="1"/>
              <c:layout>
                <c:manualLayout>
                  <c:x val="-8.50461852341452E-17"/>
                  <c:y val="-0.0173160173160173"/>
                </c:manualLayout>
              </c:layout>
              <c:tx>
                <c:rich>
                  <a:bodyPr/>
                  <a:lstStyle/>
                  <a:p>
                    <a:r>
                      <a:rPr lang="en-US"/>
                      <a:t>b</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A77-4F40-8586-84514B24C2C3}"/>
                </c:ext>
              </c:extLst>
            </c:dLbl>
            <c:dLbl>
              <c:idx val="2"/>
              <c:layout>
                <c:manualLayout>
                  <c:x val="-1.70092370468289E-16"/>
                  <c:y val="-0.0432900432900433"/>
                </c:manualLayout>
              </c:layout>
              <c:tx>
                <c:rich>
                  <a:bodyPr/>
                  <a:lstStyle/>
                  <a:p>
                    <a:r>
                      <a:rPr lang="en-US"/>
                      <a:t>a</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A77-4F40-8586-84514B24C2C3}"/>
                </c:ext>
              </c:extLst>
            </c:dLbl>
            <c:spPr>
              <a:noFill/>
              <a:ln>
                <a:noFill/>
              </a:ln>
              <a:effectLst/>
            </c:spPr>
            <c:txPr>
              <a:bodyPr rot="0" vert="horz"/>
              <a:lstStyle/>
              <a:p>
                <a:pPr>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Kafirin.xlsx]TCA'!$C$32:$E$32</c:f>
                <c:numCache>
                  <c:formatCode>General</c:formatCode>
                  <c:ptCount val="3"/>
                  <c:pt idx="0">
                    <c:v>14.71960144387975</c:v>
                  </c:pt>
                  <c:pt idx="1">
                    <c:v>25.32017201977725</c:v>
                  </c:pt>
                  <c:pt idx="2">
                    <c:v>37.41162425810514</c:v>
                  </c:pt>
                </c:numCache>
              </c:numRef>
            </c:plus>
            <c:minus>
              <c:numRef>
                <c:f>'[Post PPH Kafirin.xlsx]TCA'!$C$32:$E$32</c:f>
                <c:numCache>
                  <c:formatCode>General</c:formatCode>
                  <c:ptCount val="3"/>
                  <c:pt idx="0">
                    <c:v>14.71960144387975</c:v>
                  </c:pt>
                  <c:pt idx="1">
                    <c:v>25.32017201977725</c:v>
                  </c:pt>
                  <c:pt idx="2">
                    <c:v>37.41162425810514</c:v>
                  </c:pt>
                </c:numCache>
              </c:numRef>
            </c:minus>
            <c:spPr>
              <a:noFill/>
              <a:ln w="9525" cap="flat" cmpd="sng" algn="ctr">
                <a:solidFill>
                  <a:schemeClr val="tx1">
                    <a:lumMod val="65000"/>
                    <a:lumOff val="35000"/>
                  </a:schemeClr>
                </a:solidFill>
                <a:round/>
              </a:ln>
              <a:effectLst/>
            </c:spPr>
          </c:errBars>
          <c:cat>
            <c:numRef>
              <c:f>'[Post PPH Kafirin.xlsx]TCA'!$C$29:$E$29</c:f>
              <c:numCache>
                <c:formatCode>General</c:formatCode>
                <c:ptCount val="3"/>
                <c:pt idx="0">
                  <c:v>0.0</c:v>
                </c:pt>
                <c:pt idx="1">
                  <c:v>20.0</c:v>
                </c:pt>
                <c:pt idx="2">
                  <c:v>40.0</c:v>
                </c:pt>
              </c:numCache>
            </c:numRef>
          </c:cat>
          <c:val>
            <c:numRef>
              <c:f>'[Post PPH Kafirin.xlsx]TCA'!$C$30:$E$30</c:f>
              <c:numCache>
                <c:formatCode>General</c:formatCode>
                <c:ptCount val="3"/>
                <c:pt idx="0">
                  <c:v>168.8333333333333</c:v>
                </c:pt>
                <c:pt idx="1">
                  <c:v>230.5000000000001</c:v>
                </c:pt>
                <c:pt idx="2">
                  <c:v>306.6111111111111</c:v>
                </c:pt>
              </c:numCache>
            </c:numRef>
          </c:val>
          <c:extLst xmlns:c16r2="http://schemas.microsoft.com/office/drawing/2015/06/chart">
            <c:ext xmlns:c16="http://schemas.microsoft.com/office/drawing/2014/chart" uri="{C3380CC4-5D6E-409C-BE32-E72D297353CC}">
              <c16:uniqueId val="{00000003-FA77-4F40-8586-84514B24C2C3}"/>
            </c:ext>
          </c:extLst>
        </c:ser>
        <c:ser>
          <c:idx val="1"/>
          <c:order val="1"/>
          <c:tx>
            <c:strRef>
              <c:f>'[Post PPH Kafirin.xlsx]TCA'!$B$31</c:f>
              <c:strCache>
                <c:ptCount val="1"/>
                <c:pt idx="0">
                  <c:v>10 minutes</c:v>
                </c:pt>
              </c:strCache>
            </c:strRef>
          </c:tx>
          <c:spPr>
            <a:solidFill>
              <a:srgbClr val="F79646"/>
            </a:solidFill>
            <a:ln>
              <a:solidFill>
                <a:srgbClr val="F79646"/>
              </a:solidFill>
            </a:ln>
            <a:effectLst/>
          </c:spPr>
          <c:invertIfNegative val="0"/>
          <c:dLbls>
            <c:dLbl>
              <c:idx val="0"/>
              <c:layout>
                <c:manualLayout>
                  <c:x val="0.0"/>
                  <c:y val="-0.00865800865800866"/>
                </c:manualLayout>
              </c:layout>
              <c:tx>
                <c:rich>
                  <a:bodyPr/>
                  <a:lstStyle/>
                  <a:p>
                    <a:r>
                      <a:rPr lang="en-US"/>
                      <a:t>c</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A77-4F40-8586-84514B24C2C3}"/>
                </c:ext>
              </c:extLst>
            </c:dLbl>
            <c:dLbl>
              <c:idx val="1"/>
              <c:layout>
                <c:manualLayout>
                  <c:x val="0.0"/>
                  <c:y val="-0.038961038961039"/>
                </c:manualLayout>
              </c:layout>
              <c:tx>
                <c:rich>
                  <a:bodyPr/>
                  <a:lstStyle/>
                  <a:p>
                    <a:r>
                      <a:rPr lang="en-US"/>
                      <a:t>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A77-4F40-8586-84514B24C2C3}"/>
                </c:ext>
              </c:extLst>
            </c:dLbl>
            <c:dLbl>
              <c:idx val="2"/>
              <c:layout>
                <c:manualLayout>
                  <c:x val="0.0"/>
                  <c:y val="-0.0303030303030303"/>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A77-4F40-8586-84514B24C2C3}"/>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Kafirin.xlsx]TCA'!$C$33:$E$33</c:f>
                <c:numCache>
                  <c:formatCode>General</c:formatCode>
                  <c:ptCount val="3"/>
                  <c:pt idx="0">
                    <c:v>14.71960144387975</c:v>
                  </c:pt>
                  <c:pt idx="1">
                    <c:v>35.07795551287097</c:v>
                  </c:pt>
                  <c:pt idx="2">
                    <c:v>29.55221367906868</c:v>
                  </c:pt>
                </c:numCache>
              </c:numRef>
            </c:plus>
            <c:minus>
              <c:numRef>
                <c:f>'[Post PPH Kafirin.xlsx]TCA'!$C$33:$E$33</c:f>
                <c:numCache>
                  <c:formatCode>General</c:formatCode>
                  <c:ptCount val="3"/>
                  <c:pt idx="0">
                    <c:v>14.71960144387975</c:v>
                  </c:pt>
                  <c:pt idx="1">
                    <c:v>35.07795551287097</c:v>
                  </c:pt>
                  <c:pt idx="2">
                    <c:v>29.55221367906868</c:v>
                  </c:pt>
                </c:numCache>
              </c:numRef>
            </c:minus>
            <c:spPr>
              <a:noFill/>
              <a:ln w="9525" cap="flat" cmpd="sng" algn="ctr">
                <a:solidFill>
                  <a:schemeClr val="tx1">
                    <a:lumMod val="65000"/>
                    <a:lumOff val="35000"/>
                  </a:schemeClr>
                </a:solidFill>
                <a:round/>
              </a:ln>
              <a:effectLst/>
            </c:spPr>
          </c:errBars>
          <c:cat>
            <c:numRef>
              <c:f>'[Post PPH Kafirin.xlsx]TCA'!$C$29:$E$29</c:f>
              <c:numCache>
                <c:formatCode>General</c:formatCode>
                <c:ptCount val="3"/>
                <c:pt idx="0">
                  <c:v>0.0</c:v>
                </c:pt>
                <c:pt idx="1">
                  <c:v>20.0</c:v>
                </c:pt>
                <c:pt idx="2">
                  <c:v>40.0</c:v>
                </c:pt>
              </c:numCache>
            </c:numRef>
          </c:cat>
          <c:val>
            <c:numRef>
              <c:f>'[Post PPH Kafirin.xlsx]TCA'!$C$31:$E$31</c:f>
              <c:numCache>
                <c:formatCode>General</c:formatCode>
                <c:ptCount val="3"/>
                <c:pt idx="0">
                  <c:v>168.8333333333333</c:v>
                </c:pt>
                <c:pt idx="1">
                  <c:v>237.4444444444445</c:v>
                </c:pt>
                <c:pt idx="2">
                  <c:v>347.1666666666666</c:v>
                </c:pt>
              </c:numCache>
            </c:numRef>
          </c:val>
          <c:extLst xmlns:c16r2="http://schemas.microsoft.com/office/drawing/2015/06/chart">
            <c:ext xmlns:c16="http://schemas.microsoft.com/office/drawing/2014/chart" uri="{C3380CC4-5D6E-409C-BE32-E72D297353CC}">
              <c16:uniqueId val="{00000007-FA77-4F40-8586-84514B24C2C3}"/>
            </c:ext>
          </c:extLst>
        </c:ser>
        <c:dLbls>
          <c:showLegendKey val="0"/>
          <c:showVal val="0"/>
          <c:showCatName val="0"/>
          <c:showSerName val="0"/>
          <c:showPercent val="0"/>
          <c:showBubbleSize val="0"/>
        </c:dLbls>
        <c:gapWidth val="219"/>
        <c:overlap val="-27"/>
        <c:axId val="-2064443688"/>
        <c:axId val="2071961832"/>
      </c:barChart>
      <c:catAx>
        <c:axId val="-2064443688"/>
        <c:scaling>
          <c:orientation val="minMax"/>
        </c:scaling>
        <c:delete val="0"/>
        <c:axPos val="b"/>
        <c:title>
          <c:tx>
            <c:rich>
              <a:bodyPr rot="0" vert="horz"/>
              <a:lstStyle/>
              <a:p>
                <a:pPr>
                  <a:defRPr/>
                </a:pPr>
                <a:r>
                  <a:rPr lang="en-US"/>
                  <a:t>Amplitude, %</a:t>
                </a:r>
              </a:p>
            </c:rich>
          </c:tx>
          <c:layout/>
          <c:overlay val="0"/>
          <c:spPr>
            <a:noFill/>
            <a:ln>
              <a:noFill/>
            </a:ln>
            <a:effectLst/>
          </c:spPr>
        </c:title>
        <c:numFmt formatCode="General" sourceLinked="0"/>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2071961832"/>
        <c:crosses val="autoZero"/>
        <c:auto val="1"/>
        <c:lblAlgn val="ctr"/>
        <c:lblOffset val="100"/>
        <c:noMultiLvlLbl val="0"/>
      </c:catAx>
      <c:valAx>
        <c:axId val="2071961832"/>
        <c:scaling>
          <c:orientation val="minMax"/>
          <c:min val="0.0"/>
        </c:scaling>
        <c:delete val="0"/>
        <c:axPos val="l"/>
        <c:title>
          <c:tx>
            <c:rich>
              <a:bodyPr rot="-5400000" vert="horz"/>
              <a:lstStyle/>
              <a:p>
                <a:pPr>
                  <a:defRPr/>
                </a:pPr>
                <a:r>
                  <a:rPr lang="en-US"/>
                  <a:t>TCA Soluble Protein Content, </a:t>
                </a:r>
                <a:r>
                  <a:rPr lang="en-US" sz="1000" b="1" i="0" u="none" strike="noStrike" baseline="0">
                    <a:effectLst/>
                  </a:rPr>
                  <a:t>μ</a:t>
                </a:r>
                <a:r>
                  <a:rPr lang="en-US"/>
                  <a:t>g/mL</a:t>
                </a:r>
              </a:p>
            </c:rich>
          </c:tx>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vert="horz"/>
          <a:lstStyle/>
          <a:p>
            <a:pPr>
              <a:defRPr/>
            </a:pPr>
            <a:endParaRPr lang="en-US"/>
          </a:p>
        </c:txPr>
        <c:crossAx val="-2064443688"/>
        <c:crosses val="autoZero"/>
        <c:crossBetween val="between"/>
      </c:valAx>
      <c:spPr>
        <a:noFill/>
        <a:ln>
          <a:noFill/>
        </a:ln>
        <a:effectLst/>
      </c:spPr>
    </c:plotArea>
    <c:legend>
      <c:legendPos val="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Arial"/>
          <a:cs typeface="Arial"/>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'[Post PPH Kafirin.xlsx]HCl'!$B$31</c:f>
              <c:strCache>
                <c:ptCount val="1"/>
                <c:pt idx="0">
                  <c:v>5 minutes</c:v>
                </c:pt>
              </c:strCache>
            </c:strRef>
          </c:tx>
          <c:spPr>
            <a:solidFill>
              <a:srgbClr val="1F497D">
                <a:lumMod val="60000"/>
                <a:lumOff val="40000"/>
              </a:srgbClr>
            </a:solidFill>
            <a:ln>
              <a:solidFill>
                <a:srgbClr val="1F497D">
                  <a:lumMod val="60000"/>
                  <a:lumOff val="40000"/>
                </a:srgbClr>
              </a:solidFill>
            </a:ln>
            <a:effectLst/>
          </c:spPr>
          <c:invertIfNegative val="0"/>
          <c:dLbls>
            <c:dLbl>
              <c:idx val="0"/>
              <c:layout>
                <c:manualLayout>
                  <c:x val="0.0"/>
                  <c:y val="-0.00869565217391306"/>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CD0-4563-BAD1-DFF84AED0867}"/>
                </c:ext>
              </c:extLst>
            </c:dLbl>
            <c:dLbl>
              <c:idx val="1"/>
              <c:layout>
                <c:manualLayout>
                  <c:x val="-8.44195824949137E-17"/>
                  <c:y val="0.0"/>
                </c:manualLayout>
              </c:layout>
              <c:tx>
                <c:rich>
                  <a:bodyPr/>
                  <a:lstStyle/>
                  <a:p>
                    <a:r>
                      <a:rPr lang="en-US"/>
                      <a:t>bc</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CD0-4563-BAD1-DFF84AED0867}"/>
                </c:ext>
              </c:extLst>
            </c:dLbl>
            <c:dLbl>
              <c:idx val="2"/>
              <c:layout>
                <c:manualLayout>
                  <c:x val="0.0"/>
                  <c:y val="-0.0130434782608696"/>
                </c:manualLayout>
              </c:layout>
              <c:tx>
                <c:rich>
                  <a:bodyPr/>
                  <a:lstStyle/>
                  <a:p>
                    <a:r>
                      <a:rPr lang="en-US"/>
                      <a:t>cd</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CD0-4563-BAD1-DFF84AED0867}"/>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Kafirin.xlsx]HCl'!$C$33:$E$33</c:f>
                <c:numCache>
                  <c:formatCode>General</c:formatCode>
                  <c:ptCount val="3"/>
                  <c:pt idx="0">
                    <c:v>28.67441755680878</c:v>
                  </c:pt>
                  <c:pt idx="1">
                    <c:v>15.6938298798062</c:v>
                  </c:pt>
                  <c:pt idx="2">
                    <c:v>31.66959050829302</c:v>
                  </c:pt>
                </c:numCache>
              </c:numRef>
            </c:plus>
            <c:minus>
              <c:numRef>
                <c:f>'[Post PPH Kafirin.xlsx]HCl'!$C$33:$E$33</c:f>
                <c:numCache>
                  <c:formatCode>General</c:formatCode>
                  <c:ptCount val="3"/>
                  <c:pt idx="0">
                    <c:v>28.67441755680878</c:v>
                  </c:pt>
                  <c:pt idx="1">
                    <c:v>15.6938298798062</c:v>
                  </c:pt>
                  <c:pt idx="2">
                    <c:v>31.66959050829302</c:v>
                  </c:pt>
                </c:numCache>
              </c:numRef>
            </c:minus>
            <c:spPr>
              <a:noFill/>
              <a:ln w="9525" cap="flat" cmpd="sng" algn="ctr">
                <a:solidFill>
                  <a:schemeClr val="tx1">
                    <a:lumMod val="65000"/>
                    <a:lumOff val="35000"/>
                  </a:schemeClr>
                </a:solidFill>
                <a:round/>
              </a:ln>
              <a:effectLst/>
            </c:spPr>
          </c:errBars>
          <c:cat>
            <c:numRef>
              <c:f>'[Post PPH Kafirin.xlsx]HCl'!$C$30:$E$30</c:f>
              <c:numCache>
                <c:formatCode>General</c:formatCode>
                <c:ptCount val="3"/>
                <c:pt idx="0">
                  <c:v>0.0</c:v>
                </c:pt>
                <c:pt idx="1">
                  <c:v>20.0</c:v>
                </c:pt>
                <c:pt idx="2">
                  <c:v>40.0</c:v>
                </c:pt>
              </c:numCache>
            </c:numRef>
          </c:cat>
          <c:val>
            <c:numRef>
              <c:f>'[Post PPH Kafirin.xlsx]HCl'!$C$31:$E$31</c:f>
              <c:numCache>
                <c:formatCode>General</c:formatCode>
                <c:ptCount val="3"/>
                <c:pt idx="0">
                  <c:v>546.3333333333333</c:v>
                </c:pt>
                <c:pt idx="1">
                  <c:v>420.2222222222221</c:v>
                </c:pt>
                <c:pt idx="2">
                  <c:v>384.1111111111111</c:v>
                </c:pt>
              </c:numCache>
            </c:numRef>
          </c:val>
          <c:extLst xmlns:c16r2="http://schemas.microsoft.com/office/drawing/2015/06/chart">
            <c:ext xmlns:c16="http://schemas.microsoft.com/office/drawing/2014/chart" uri="{C3380CC4-5D6E-409C-BE32-E72D297353CC}">
              <c16:uniqueId val="{00000003-4CD0-4563-BAD1-DFF84AED0867}"/>
            </c:ext>
          </c:extLst>
        </c:ser>
        <c:ser>
          <c:idx val="1"/>
          <c:order val="1"/>
          <c:tx>
            <c:strRef>
              <c:f>'[Post PPH Kafirin.xlsx]HCl'!$B$32</c:f>
              <c:strCache>
                <c:ptCount val="1"/>
                <c:pt idx="0">
                  <c:v>10 minutes</c:v>
                </c:pt>
              </c:strCache>
            </c:strRef>
          </c:tx>
          <c:spPr>
            <a:solidFill>
              <a:srgbClr val="F79646"/>
            </a:solidFill>
            <a:ln>
              <a:solidFill>
                <a:srgbClr val="F79646"/>
              </a:solidFill>
            </a:ln>
            <a:effectLst/>
          </c:spPr>
          <c:invertIfNegative val="0"/>
          <c:dLbls>
            <c:dLbl>
              <c:idx val="0"/>
              <c:layout>
                <c:manualLayout>
                  <c:x val="-4.2209791247456E-17"/>
                  <c:y val="-0.00869565217391306"/>
                </c:manualLayout>
              </c:layout>
              <c:tx>
                <c:rich>
                  <a:bodyPr/>
                  <a:lstStyle/>
                  <a:p>
                    <a:r>
                      <a:rPr lang="en-US"/>
                      <a:t>a</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CD0-4563-BAD1-DFF84AED0867}"/>
                </c:ext>
              </c:extLst>
            </c:dLbl>
            <c:dLbl>
              <c:idx val="1"/>
              <c:layout>
                <c:manualLayout>
                  <c:x val="-8.44195824949137E-17"/>
                  <c:y val="-0.008695652173913"/>
                </c:manualLayout>
              </c:layout>
              <c:tx>
                <c:rich>
                  <a:bodyPr/>
                  <a:lstStyle/>
                  <a:p>
                    <a:r>
                      <a:rPr lang="en-US"/>
                      <a:t>d</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CD0-4563-BAD1-DFF84AED0867}"/>
                </c:ext>
              </c:extLst>
            </c:dLbl>
            <c:dLbl>
              <c:idx val="2"/>
              <c:layout>
                <c:manualLayout>
                  <c:x val="0.0"/>
                  <c:y val="0.0"/>
                </c:manualLayout>
              </c:layout>
              <c:tx>
                <c:rich>
                  <a:bodyPr/>
                  <a:lstStyle/>
                  <a:p>
                    <a:r>
                      <a:rPr lang="en-US"/>
                      <a:t>b</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CD0-4563-BAD1-DFF84AED0867}"/>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'[Post PPH Kafirin.xlsx]HCl'!$C$34:$E$34</c:f>
                <c:numCache>
                  <c:formatCode>General</c:formatCode>
                  <c:ptCount val="3"/>
                  <c:pt idx="0">
                    <c:v>28.67441755680878</c:v>
                  </c:pt>
                  <c:pt idx="1">
                    <c:v>23.53877809220509</c:v>
                  </c:pt>
                  <c:pt idx="2">
                    <c:v>17.69075925343411</c:v>
                  </c:pt>
                </c:numCache>
              </c:numRef>
            </c:plus>
            <c:minus>
              <c:numRef>
                <c:f>'[Post PPH Kafirin.xlsx]HCl'!$C$34:$E$34</c:f>
                <c:numCache>
                  <c:formatCode>General</c:formatCode>
                  <c:ptCount val="3"/>
                  <c:pt idx="0">
                    <c:v>28.67441755680878</c:v>
                  </c:pt>
                  <c:pt idx="1">
                    <c:v>23.53877809220509</c:v>
                  </c:pt>
                  <c:pt idx="2">
                    <c:v>17.69075925343411</c:v>
                  </c:pt>
                </c:numCache>
              </c:numRef>
            </c:minus>
            <c:spPr>
              <a:noFill/>
              <a:ln w="9525" cap="flat" cmpd="sng" algn="ctr">
                <a:solidFill>
                  <a:schemeClr val="tx1">
                    <a:lumMod val="65000"/>
                    <a:lumOff val="35000"/>
                  </a:schemeClr>
                </a:solidFill>
                <a:round/>
              </a:ln>
              <a:effectLst/>
            </c:spPr>
          </c:errBars>
          <c:cat>
            <c:numRef>
              <c:f>'[Post PPH Kafirin.xlsx]HCl'!$C$30:$E$30</c:f>
              <c:numCache>
                <c:formatCode>General</c:formatCode>
                <c:ptCount val="3"/>
                <c:pt idx="0">
                  <c:v>0.0</c:v>
                </c:pt>
                <c:pt idx="1">
                  <c:v>20.0</c:v>
                </c:pt>
                <c:pt idx="2">
                  <c:v>40.0</c:v>
                </c:pt>
              </c:numCache>
            </c:numRef>
          </c:cat>
          <c:val>
            <c:numRef>
              <c:f>'[Post PPH Kafirin.xlsx]HCl'!$C$32:$E$32</c:f>
              <c:numCache>
                <c:formatCode>General</c:formatCode>
                <c:ptCount val="3"/>
                <c:pt idx="0">
                  <c:v>546.3333333333333</c:v>
                </c:pt>
                <c:pt idx="1">
                  <c:v>358.5555555555557</c:v>
                </c:pt>
                <c:pt idx="2">
                  <c:v>425.7777777777769</c:v>
                </c:pt>
              </c:numCache>
            </c:numRef>
          </c:val>
          <c:extLst xmlns:c16r2="http://schemas.microsoft.com/office/drawing/2015/06/chart">
            <c:ext xmlns:c16="http://schemas.microsoft.com/office/drawing/2014/chart" uri="{C3380CC4-5D6E-409C-BE32-E72D297353CC}">
              <c16:uniqueId val="{00000007-4CD0-4563-BAD1-DFF84AED0867}"/>
            </c:ext>
          </c:extLst>
        </c:ser>
        <c:dLbls>
          <c:showLegendKey val="0"/>
          <c:showVal val="0"/>
          <c:showCatName val="0"/>
          <c:showSerName val="0"/>
          <c:showPercent val="0"/>
          <c:showBubbleSize val="0"/>
        </c:dLbls>
        <c:gapWidth val="219"/>
        <c:overlap val="-27"/>
        <c:axId val="-2084037384"/>
        <c:axId val="2105233256"/>
      </c:barChart>
      <c:catAx>
        <c:axId val="-2084037384"/>
        <c:scaling>
          <c:orientation val="minMax"/>
        </c:scaling>
        <c:delete val="0"/>
        <c:axPos val="b"/>
        <c:title>
          <c:tx>
            <c:rich>
              <a:bodyPr rot="0" vert="horz"/>
              <a:lstStyle/>
              <a:p>
                <a:pPr>
                  <a:defRPr/>
                </a:pPr>
                <a:r>
                  <a:rPr lang="en-US"/>
                  <a:t>Amplitude, %</a:t>
                </a:r>
              </a:p>
            </c:rich>
          </c:tx>
          <c:layout/>
          <c:overlay val="0"/>
          <c:spPr>
            <a:noFill/>
            <a:ln>
              <a:noFill/>
            </a:ln>
            <a:effectLst/>
          </c:spPr>
        </c:title>
        <c:numFmt formatCode="General" sourceLinked="0"/>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2105233256"/>
        <c:crosses val="autoZero"/>
        <c:auto val="1"/>
        <c:lblAlgn val="ctr"/>
        <c:lblOffset val="100"/>
        <c:noMultiLvlLbl val="0"/>
      </c:catAx>
      <c:valAx>
        <c:axId val="2105233256"/>
        <c:scaling>
          <c:orientation val="minMax"/>
          <c:min val="0.0"/>
        </c:scaling>
        <c:delete val="0"/>
        <c:axPos val="l"/>
        <c:title>
          <c:tx>
            <c:rich>
              <a:bodyPr rot="-5400000" vert="horz"/>
              <a:lstStyle/>
              <a:p>
                <a:pPr>
                  <a:defRPr/>
                </a:pPr>
                <a:r>
                  <a:rPr lang="en-US"/>
                  <a:t>HCl Soluble Protein Content, </a:t>
                </a:r>
                <a:r>
                  <a:rPr lang="en-US" sz="1000" b="1" i="0" u="none" strike="noStrike" baseline="0">
                    <a:effectLst/>
                  </a:rPr>
                  <a:t>μ</a:t>
                </a:r>
                <a:r>
                  <a:rPr lang="en-US"/>
                  <a:t>g/mL</a:t>
                </a:r>
              </a:p>
            </c:rich>
          </c:tx>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vert="horz"/>
          <a:lstStyle/>
          <a:p>
            <a:pPr>
              <a:defRPr/>
            </a:pPr>
            <a:endParaRPr lang="en-US"/>
          </a:p>
        </c:txPr>
        <c:crossAx val="-2084037384"/>
        <c:crosses val="autoZero"/>
        <c:crossBetween val="between"/>
      </c:valAx>
      <c:spPr>
        <a:noFill/>
        <a:ln>
          <a:noFill/>
        </a:ln>
        <a:effectLst/>
      </c:spPr>
    </c:plotArea>
    <c:legend>
      <c:legendPos val="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E9EEA-32F9-0647-B3E3-676721BA2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19</Pages>
  <Words>3239</Words>
  <Characters>18466</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UTK</Company>
  <LinksUpToDate>false</LinksUpToDate>
  <CharactersWithSpaces>21662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Beazley</dc:creator>
  <cp:keywords/>
  <dc:description/>
  <cp:lastModifiedBy>Sarah Beazley</cp:lastModifiedBy>
  <cp:revision>5</cp:revision>
  <cp:lastPrinted>2017-05-03T16:45:00Z</cp:lastPrinted>
  <dcterms:created xsi:type="dcterms:W3CDTF">2017-05-05T16:54:00Z</dcterms:created>
  <dcterms:modified xsi:type="dcterms:W3CDTF">2017-05-08T15:02:00Z</dcterms:modified>
</cp:coreProperties>
</file>