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87656" w:rsidRDefault="006632F6" w:rsidP="00387656">
      <w:pPr>
        <w:pStyle w:val="Title"/>
      </w:pPr>
      <w:r>
        <w:rPr>
          <w:color w:val="000000"/>
        </w:rPr>
        <w:t>Long Term Impacts of Tillage, Cover Crops, and Nitrogen Rates on Microbial Community Dynamics and Select Soil Quality Parameters under Continuous Cotton Production in West Tennessee </w:t>
      </w:r>
      <w:r w:rsidR="00DD00DE"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 xml:space="preserve">A </w:t>
      </w:r>
      <w:r w:rsidR="006C2D3E">
        <w:t xml:space="preserve">Dissertation </w:t>
      </w:r>
      <w:r w:rsidRPr="00387656">
        <w:t>Presented for</w:t>
      </w:r>
      <w:r w:rsidR="008865B6" w:rsidRPr="00387656">
        <w:t xml:space="preserve"> the</w:t>
      </w:r>
    </w:p>
    <w:p w:rsidR="009C755C" w:rsidRPr="00387656" w:rsidRDefault="006C2D3E" w:rsidP="00387656">
      <w:pPr>
        <w:pStyle w:val="Title"/>
      </w:pPr>
      <w:r>
        <w:t>Doctor</w:t>
      </w:r>
      <w:r w:rsidR="009C755C" w:rsidRPr="00387656">
        <w:t xml:space="preserve"> of </w:t>
      </w:r>
      <w:r>
        <w:t xml:space="preserve">Philosophy </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6C2D3E" w:rsidP="00387656">
      <w:pPr>
        <w:pStyle w:val="Title"/>
      </w:pPr>
      <w:r>
        <w:t>Lilian Wanjiru Mbuthia</w:t>
      </w:r>
    </w:p>
    <w:p w:rsidR="009C755C" w:rsidRPr="00387656" w:rsidRDefault="002D3535" w:rsidP="00387656">
      <w:pPr>
        <w:pStyle w:val="Title"/>
      </w:pPr>
      <w:r>
        <w:t>August</w:t>
      </w:r>
      <w:r w:rsidR="006C2D3E">
        <w:t xml:space="preserve"> 2014</w:t>
      </w:r>
    </w:p>
    <w:p w:rsidR="00526151" w:rsidRDefault="00526151" w:rsidP="005E54E2"/>
    <w:p w:rsidR="00526151" w:rsidRDefault="00526151" w:rsidP="005E54E2"/>
    <w:p w:rsidR="00526151" w:rsidRDefault="00387656" w:rsidP="005E54E2">
      <w:r>
        <w:br w:type="page"/>
      </w:r>
    </w:p>
    <w:p w:rsidR="00526151" w:rsidRDefault="00526151" w:rsidP="005E54E2"/>
    <w:p w:rsidR="00236E6D" w:rsidRDefault="00DD00DE" w:rsidP="005E54E2">
      <w:r>
        <w:t>Copyright © 2011</w:t>
      </w:r>
      <w:r w:rsidR="00236E6D">
        <w:t xml:space="preserve"> by </w:t>
      </w:r>
      <w:r w:rsidR="002D3535">
        <w:t>Lilian Wanjiru</w:t>
      </w:r>
      <w:r w:rsidR="008865B6">
        <w:t>. “This Page is Optional” Doe</w:t>
      </w:r>
    </w:p>
    <w:p w:rsidR="00236E6D" w:rsidRDefault="00236E6D" w:rsidP="005E54E2">
      <w:r>
        <w:t>All rights reserved.</w:t>
      </w: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387656">
      <w:pPr>
        <w:pStyle w:val="Title"/>
      </w:pPr>
      <w:r w:rsidRPr="005E54E2">
        <w:br w:type="page"/>
      </w:r>
      <w:r w:rsidR="006F5AA4" w:rsidRPr="00526151">
        <w:lastRenderedPageBreak/>
        <w:t>DEDICATION</w:t>
      </w:r>
    </w:p>
    <w:p w:rsidR="006F5AA4" w:rsidRPr="006F5AA4" w:rsidRDefault="006F5AA4" w:rsidP="005E54E2"/>
    <w:p w:rsidR="006F5AA4" w:rsidRPr="006F5AA4" w:rsidRDefault="006F5AA4" w:rsidP="00387656">
      <w:pPr>
        <w:jc w:val="center"/>
      </w:pPr>
      <w:r w:rsidRPr="006F5AA4">
        <w:t>I dedicate my work to you.</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85757D" w:rsidRDefault="00A34F5F" w:rsidP="005E54E2">
      <w:r>
        <w:t>Thank you all for your help.</w:t>
      </w:r>
      <w:r w:rsidR="008865B6">
        <w:t>.</w:t>
      </w:r>
    </w:p>
    <w:p w:rsidR="0085757D" w:rsidRDefault="0085757D" w:rsidP="005E54E2"/>
    <w:p w:rsidR="00904969" w:rsidRDefault="00904969" w:rsidP="005E54E2"/>
    <w:p w:rsidR="00904969" w:rsidRDefault="00904969" w:rsidP="005E54E2"/>
    <w:p w:rsidR="00904969" w:rsidRDefault="00904969" w:rsidP="005E54E2"/>
    <w:p w:rsidR="00236E6D" w:rsidRPr="005E54E2" w:rsidRDefault="0085757D" w:rsidP="00387656">
      <w:pPr>
        <w:pStyle w:val="Title"/>
      </w:pPr>
      <w:r w:rsidRPr="005E54E2">
        <w:br w:type="page"/>
      </w:r>
      <w:r w:rsidR="00236E6D" w:rsidRPr="005E54E2">
        <w:lastRenderedPageBreak/>
        <w:t>ABSTRACT</w:t>
      </w:r>
    </w:p>
    <w:p w:rsidR="007142B3" w:rsidRDefault="007142B3" w:rsidP="001276F6">
      <w:pPr>
        <w:spacing w:line="480" w:lineRule="auto"/>
      </w:pPr>
      <w:r>
        <w:t xml:space="preserve">Soil microbes play a crucial and central role in </w:t>
      </w:r>
      <w:r w:rsidR="00F331B3">
        <w:t xml:space="preserve">soil quality and </w:t>
      </w:r>
      <w:r>
        <w:t xml:space="preserve">crop production through the regulations of </w:t>
      </w:r>
      <w:r w:rsidR="0092205C">
        <w:t xml:space="preserve">major biogeochemical cycles, </w:t>
      </w:r>
      <w:r>
        <w:t>biotic and abiotic functions in soil.  Understanding the microbial dynamics as well as their interactions to the soil</w:t>
      </w:r>
      <w:r w:rsidR="006632F6">
        <w:t xml:space="preserve"> functions</w:t>
      </w:r>
      <w:r w:rsidR="00034930">
        <w:t xml:space="preserve"> and crop production</w:t>
      </w:r>
      <w:r>
        <w:t xml:space="preserve"> is therefore crucial in establishing management practices that will enhance the </w:t>
      </w:r>
      <w:r w:rsidR="006632F6">
        <w:t xml:space="preserve">soil quality as well as a </w:t>
      </w:r>
      <w:r>
        <w:t>sustainable crop production. Conservation agriculture (C</w:t>
      </w:r>
      <w:r w:rsidR="00447956">
        <w:t>onsAg</w:t>
      </w:r>
      <w:r>
        <w:t>) is a management system that is being promot</w:t>
      </w:r>
      <w:r w:rsidR="00447956">
        <w:t xml:space="preserve">ed for having several benefits. One of the key benefits of ConsAg is </w:t>
      </w:r>
      <w:r>
        <w:t>the</w:t>
      </w:r>
      <w:r w:rsidR="00447956">
        <w:t xml:space="preserve"> maintenance of higher soil quality factors that has is mainly attributed to the changes in </w:t>
      </w:r>
      <w:r w:rsidR="00FD60AC">
        <w:t>the dynamics</w:t>
      </w:r>
      <w:r w:rsidR="00447956">
        <w:t xml:space="preserve"> in microbial community </w:t>
      </w:r>
      <w:r w:rsidR="00447956">
        <w:rPr>
          <w:rFonts w:eastAsia="SimSun"/>
          <w:lang w:eastAsia="zh-CN"/>
        </w:rPr>
        <w:t>s</w:t>
      </w:r>
      <w:r w:rsidR="00034930">
        <w:rPr>
          <w:rFonts w:eastAsia="SimSun"/>
          <w:lang w:eastAsia="zh-CN"/>
        </w:rPr>
        <w:t>tructure and</w:t>
      </w:r>
      <w:r w:rsidR="00447956">
        <w:rPr>
          <w:rFonts w:eastAsia="SimSun"/>
          <w:lang w:eastAsia="zh-CN"/>
        </w:rPr>
        <w:t xml:space="preserve"> </w:t>
      </w:r>
      <w:r w:rsidRPr="00184E1D">
        <w:rPr>
          <w:rFonts w:eastAsia="SimSun"/>
          <w:lang w:eastAsia="zh-CN"/>
        </w:rPr>
        <w:t>activity.</w:t>
      </w:r>
      <w:r>
        <w:rPr>
          <w:rFonts w:eastAsia="SimSun"/>
          <w:lang w:eastAsia="zh-CN"/>
        </w:rPr>
        <w:t xml:space="preserve"> </w:t>
      </w:r>
      <w:r w:rsidR="00FD60AC">
        <w:rPr>
          <w:rFonts w:eastAsia="SimSun"/>
          <w:lang w:eastAsia="zh-CN"/>
        </w:rPr>
        <w:t xml:space="preserve">The different management practices of ConsAg have been shown to have an influence on the microbial structure and composition but there is still a knowledge gap on the long-term interacting effects of the practices on microbial dynamics. </w:t>
      </w:r>
      <w:r w:rsidR="00F331B3">
        <w:rPr>
          <w:rStyle w:val="st"/>
        </w:rPr>
        <w:t>The project presented here was therefore focused on two major goals. The first main</w:t>
      </w:r>
      <w:r w:rsidR="00FD60AC">
        <w:rPr>
          <w:rStyle w:val="st"/>
        </w:rPr>
        <w:t xml:space="preserve"> objective was</w:t>
      </w:r>
      <w:r w:rsidR="00F331B3">
        <w:rPr>
          <w:rStyle w:val="st"/>
        </w:rPr>
        <w:t xml:space="preserve"> to </w:t>
      </w:r>
      <w:r w:rsidR="00FD60AC">
        <w:rPr>
          <w:rStyle w:val="st"/>
        </w:rPr>
        <w:t xml:space="preserve">establish how the soil quality would have changed based </w:t>
      </w:r>
      <w:r w:rsidR="00535B1B">
        <w:rPr>
          <w:rStyle w:val="st"/>
        </w:rPr>
        <w:t xml:space="preserve">after 32yrs of shifting to ConsAg practices. The second main objective was to determine the microbial community structure, activity and composition under contrasting ConsAg practices. </w:t>
      </w:r>
      <w:r>
        <w:rPr>
          <w:rStyle w:val="st"/>
        </w:rPr>
        <w:t xml:space="preserve">The project </w:t>
      </w:r>
      <w:r w:rsidR="00CF753F">
        <w:rPr>
          <w:rStyle w:val="st"/>
        </w:rPr>
        <w:t>was based on</w:t>
      </w:r>
      <w:r>
        <w:rPr>
          <w:rStyle w:val="st"/>
        </w:rPr>
        <w:t xml:space="preserve"> a long term </w:t>
      </w:r>
      <w:r w:rsidR="00CF753F">
        <w:rPr>
          <w:rStyle w:val="st"/>
        </w:rPr>
        <w:t>continuous</w:t>
      </w:r>
      <w:r>
        <w:rPr>
          <w:rStyle w:val="st"/>
        </w:rPr>
        <w:t xml:space="preserve"> cotton plots</w:t>
      </w:r>
      <w:r w:rsidR="00CF753F">
        <w:rPr>
          <w:rStyle w:val="st"/>
        </w:rPr>
        <w:t xml:space="preserve"> in Jackson, Tennessee which were</w:t>
      </w:r>
      <w:r>
        <w:rPr>
          <w:rStyle w:val="st"/>
        </w:rPr>
        <w:t xml:space="preserve"> established in 1981.</w:t>
      </w:r>
      <w:r w:rsidRPr="00184E1D">
        <w:rPr>
          <w:rFonts w:eastAsia="SimSun"/>
          <w:lang w:eastAsia="zh-CN"/>
        </w:rPr>
        <w:t xml:space="preserve"> Informat</w:t>
      </w:r>
      <w:r>
        <w:rPr>
          <w:rFonts w:eastAsia="SimSun"/>
          <w:lang w:eastAsia="zh-CN"/>
        </w:rPr>
        <w:t xml:space="preserve">ion derived from such </w:t>
      </w:r>
      <w:r w:rsidRPr="00184E1D">
        <w:rPr>
          <w:rFonts w:eastAsia="SimSun"/>
          <w:lang w:eastAsia="zh-CN"/>
        </w:rPr>
        <w:t>assays</w:t>
      </w:r>
      <w:r>
        <w:rPr>
          <w:rFonts w:eastAsia="SimSun"/>
          <w:lang w:eastAsia="zh-CN"/>
        </w:rPr>
        <w:t xml:space="preserve"> would </w:t>
      </w:r>
      <w:r w:rsidRPr="00184E1D">
        <w:rPr>
          <w:rFonts w:eastAsia="SimSun"/>
          <w:lang w:eastAsia="zh-CN"/>
        </w:rPr>
        <w:t xml:space="preserve">be </w:t>
      </w:r>
      <w:r>
        <w:rPr>
          <w:rFonts w:eastAsia="SimSun"/>
          <w:lang w:eastAsia="zh-CN"/>
        </w:rPr>
        <w:t>beneficial</w:t>
      </w:r>
      <w:r w:rsidRPr="00184E1D">
        <w:rPr>
          <w:rFonts w:eastAsia="SimSun"/>
          <w:lang w:eastAsia="zh-CN"/>
        </w:rPr>
        <w:t xml:space="preserve"> in establishmen</w:t>
      </w:r>
      <w:r>
        <w:rPr>
          <w:rFonts w:eastAsia="SimSun"/>
          <w:lang w:eastAsia="zh-CN"/>
        </w:rPr>
        <w:t>t of management practices in</w:t>
      </w:r>
      <w:r w:rsidRPr="00184E1D">
        <w:rPr>
          <w:rFonts w:eastAsia="SimSun"/>
          <w:lang w:eastAsia="zh-CN"/>
        </w:rPr>
        <w:t xml:space="preserve"> CA</w:t>
      </w:r>
      <w:r>
        <w:rPr>
          <w:rFonts w:eastAsia="SimSun"/>
          <w:lang w:eastAsia="zh-CN"/>
        </w:rPr>
        <w:t xml:space="preserve"> management</w:t>
      </w:r>
      <w:r w:rsidRPr="00184E1D">
        <w:rPr>
          <w:rFonts w:eastAsia="SimSun"/>
          <w:lang w:eastAsia="zh-CN"/>
        </w:rPr>
        <w:t xml:space="preserve"> systems that enhance crop productivity and sustainability. </w:t>
      </w:r>
      <w:r>
        <w:rPr>
          <w:rStyle w:val="st"/>
        </w:rPr>
        <w:t xml:space="preserve"> </w:t>
      </w:r>
    </w:p>
    <w:p w:rsidR="009D794C" w:rsidRPr="005E54E2" w:rsidRDefault="009D794C" w:rsidP="008351FD"/>
    <w:p w:rsidR="003C7FC5" w:rsidRDefault="009D794C" w:rsidP="007142B3">
      <w:r w:rsidRPr="009D794C">
        <w:t xml:space="preserve"> </w:t>
      </w:r>
    </w:p>
    <w:p w:rsidR="00236E6D" w:rsidRPr="005E54E2" w:rsidRDefault="00236E6D" w:rsidP="00387656">
      <w:pPr>
        <w:pStyle w:val="Title"/>
      </w:pPr>
      <w:r w:rsidRPr="005E54E2">
        <w:br w:type="page"/>
      </w:r>
      <w:r w:rsidRPr="005E54E2">
        <w:lastRenderedPageBreak/>
        <w:t>PREFACE</w:t>
      </w:r>
    </w:p>
    <w:p w:rsidR="00236E6D" w:rsidRPr="005E54E2" w:rsidRDefault="00236E6D" w:rsidP="005E54E2"/>
    <w:p w:rsidR="00A34F5F" w:rsidRDefault="00A34F5F" w:rsidP="005E54E2"/>
    <w:p w:rsidR="0085757D" w:rsidRDefault="000166A9" w:rsidP="005E54E2">
      <w:r>
        <w:t>This page is optional.</w:t>
      </w:r>
    </w:p>
    <w:p w:rsidR="0085757D" w:rsidRDefault="0085757D" w:rsidP="005E54E2"/>
    <w:p w:rsidR="0085757D" w:rsidRDefault="0085757D" w:rsidP="005E54E2"/>
    <w:p w:rsidR="00236E6D" w:rsidRDefault="00236E6D" w:rsidP="00387656">
      <w:r w:rsidRPr="005E54E2">
        <w:br w:type="page"/>
      </w:r>
    </w:p>
    <w:p w:rsidR="00387656" w:rsidRDefault="00387656" w:rsidP="00387656">
      <w:pPr>
        <w:pStyle w:val="Title"/>
      </w:pPr>
      <w:r>
        <w:t>TABLE OF CONTENTS</w:t>
      </w:r>
    </w:p>
    <w:p w:rsidR="00387656" w:rsidRDefault="00387656" w:rsidP="00387656">
      <w:pPr>
        <w:pStyle w:val="Title"/>
      </w:pPr>
    </w:p>
    <w:p w:rsidR="00DB5C50" w:rsidRPr="002542CF" w:rsidRDefault="00387656">
      <w:pPr>
        <w:pStyle w:val="TOC1"/>
        <w:tabs>
          <w:tab w:val="right" w:leader="dot" w:pos="8630"/>
        </w:tabs>
        <w:rPr>
          <w:rFonts w:ascii="Calibri" w:hAnsi="Calibri" w:cs="Times New Roman"/>
          <w:noProof/>
          <w:sz w:val="22"/>
          <w:szCs w:val="22"/>
        </w:rPr>
      </w:pPr>
      <w:r>
        <w:fldChar w:fldCharType="begin"/>
      </w:r>
      <w:r>
        <w:instrText xml:space="preserve"> TOC \o "1-3" \h \z \u </w:instrText>
      </w:r>
      <w:r>
        <w:fldChar w:fldCharType="separate"/>
      </w:r>
      <w:hyperlink w:anchor="_Toc391021410" w:history="1">
        <w:r w:rsidR="00DB5C50" w:rsidRPr="004E3F19">
          <w:rPr>
            <w:rStyle w:val="Hyperlink"/>
            <w:noProof/>
          </w:rPr>
          <w:t>INTRODUCTION</w:t>
        </w:r>
        <w:r w:rsidR="00DB5C50">
          <w:rPr>
            <w:noProof/>
            <w:webHidden/>
          </w:rPr>
          <w:tab/>
        </w:r>
        <w:r w:rsidR="00DB5C50">
          <w:rPr>
            <w:noProof/>
            <w:webHidden/>
          </w:rPr>
          <w:fldChar w:fldCharType="begin"/>
        </w:r>
        <w:r w:rsidR="00DB5C50">
          <w:rPr>
            <w:noProof/>
            <w:webHidden/>
          </w:rPr>
          <w:instrText xml:space="preserve"> PAGEREF _Toc391021410 \h </w:instrText>
        </w:r>
        <w:r w:rsidR="00DB5C50">
          <w:rPr>
            <w:noProof/>
            <w:webHidden/>
          </w:rPr>
        </w:r>
        <w:r w:rsidR="00DB5C50">
          <w:rPr>
            <w:noProof/>
            <w:webHidden/>
          </w:rPr>
          <w:fldChar w:fldCharType="separate"/>
        </w:r>
        <w:r w:rsidR="00DB5C50">
          <w:rPr>
            <w:noProof/>
            <w:webHidden/>
          </w:rPr>
          <w:t>1</w:t>
        </w:r>
        <w:r w:rsidR="00DB5C50">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11" w:history="1">
        <w:r w:rsidRPr="004E3F19">
          <w:rPr>
            <w:rStyle w:val="Hyperlink"/>
            <w:noProof/>
          </w:rPr>
          <w:t>Literature Review</w:t>
        </w:r>
        <w:r>
          <w:rPr>
            <w:noProof/>
            <w:webHidden/>
          </w:rPr>
          <w:tab/>
        </w:r>
        <w:r>
          <w:rPr>
            <w:noProof/>
            <w:webHidden/>
          </w:rPr>
          <w:fldChar w:fldCharType="begin"/>
        </w:r>
        <w:r>
          <w:rPr>
            <w:noProof/>
            <w:webHidden/>
          </w:rPr>
          <w:instrText xml:space="preserve"> PAGEREF _Toc391021411 \h </w:instrText>
        </w:r>
        <w:r>
          <w:rPr>
            <w:noProof/>
            <w:webHidden/>
          </w:rPr>
        </w:r>
        <w:r>
          <w:rPr>
            <w:noProof/>
            <w:webHidden/>
          </w:rPr>
          <w:fldChar w:fldCharType="separate"/>
        </w:r>
        <w:r>
          <w:rPr>
            <w:noProof/>
            <w:webHidden/>
          </w:rPr>
          <w:t>1</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12" w:history="1">
        <w:r w:rsidRPr="004E3F19">
          <w:rPr>
            <w:rStyle w:val="Hyperlink"/>
            <w:noProof/>
          </w:rPr>
          <w:t>Characterization of soil microbial community structure and its importance in agro-ecosystems</w:t>
        </w:r>
        <w:r>
          <w:rPr>
            <w:noProof/>
            <w:webHidden/>
          </w:rPr>
          <w:tab/>
        </w:r>
        <w:r>
          <w:rPr>
            <w:noProof/>
            <w:webHidden/>
          </w:rPr>
          <w:fldChar w:fldCharType="begin"/>
        </w:r>
        <w:r>
          <w:rPr>
            <w:noProof/>
            <w:webHidden/>
          </w:rPr>
          <w:instrText xml:space="preserve"> PAGEREF _Toc391021412 \h </w:instrText>
        </w:r>
        <w:r>
          <w:rPr>
            <w:noProof/>
            <w:webHidden/>
          </w:rPr>
        </w:r>
        <w:r>
          <w:rPr>
            <w:noProof/>
            <w:webHidden/>
          </w:rPr>
          <w:fldChar w:fldCharType="separate"/>
        </w:r>
        <w:r>
          <w:rPr>
            <w:noProof/>
            <w:webHidden/>
          </w:rPr>
          <w:t>2</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13" w:history="1">
        <w:r w:rsidRPr="004E3F19">
          <w:rPr>
            <w:rStyle w:val="Hyperlink"/>
            <w:noProof/>
          </w:rPr>
          <w:t>Overall objectives</w:t>
        </w:r>
        <w:r>
          <w:rPr>
            <w:noProof/>
            <w:webHidden/>
          </w:rPr>
          <w:tab/>
        </w:r>
        <w:r>
          <w:rPr>
            <w:noProof/>
            <w:webHidden/>
          </w:rPr>
          <w:fldChar w:fldCharType="begin"/>
        </w:r>
        <w:r>
          <w:rPr>
            <w:noProof/>
            <w:webHidden/>
          </w:rPr>
          <w:instrText xml:space="preserve"> PAGEREF _Toc391021413 \h </w:instrText>
        </w:r>
        <w:r>
          <w:rPr>
            <w:noProof/>
            <w:webHidden/>
          </w:rPr>
        </w:r>
        <w:r>
          <w:rPr>
            <w:noProof/>
            <w:webHidden/>
          </w:rPr>
          <w:fldChar w:fldCharType="separate"/>
        </w:r>
        <w:r>
          <w:rPr>
            <w:noProof/>
            <w:webHidden/>
          </w:rPr>
          <w:t>3</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14" w:history="1">
        <w:r w:rsidRPr="004E3F19">
          <w:rPr>
            <w:rStyle w:val="Hyperlink"/>
            <w:noProof/>
          </w:rPr>
          <w:t>Methodological approach</w:t>
        </w:r>
        <w:r>
          <w:rPr>
            <w:noProof/>
            <w:webHidden/>
          </w:rPr>
          <w:tab/>
        </w:r>
        <w:r>
          <w:rPr>
            <w:noProof/>
            <w:webHidden/>
          </w:rPr>
          <w:fldChar w:fldCharType="begin"/>
        </w:r>
        <w:r>
          <w:rPr>
            <w:noProof/>
            <w:webHidden/>
          </w:rPr>
          <w:instrText xml:space="preserve"> PAGEREF _Toc391021414 \h </w:instrText>
        </w:r>
        <w:r>
          <w:rPr>
            <w:noProof/>
            <w:webHidden/>
          </w:rPr>
        </w:r>
        <w:r>
          <w:rPr>
            <w:noProof/>
            <w:webHidden/>
          </w:rPr>
          <w:fldChar w:fldCharType="separate"/>
        </w:r>
        <w:r>
          <w:rPr>
            <w:noProof/>
            <w:webHidden/>
          </w:rPr>
          <w:t>3</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15" w:history="1">
        <w:r w:rsidRPr="004E3F19">
          <w:rPr>
            <w:rStyle w:val="Hyperlink"/>
            <w:noProof/>
          </w:rPr>
          <w:t>Preliminary results</w:t>
        </w:r>
        <w:r>
          <w:rPr>
            <w:noProof/>
            <w:webHidden/>
          </w:rPr>
          <w:tab/>
        </w:r>
        <w:r>
          <w:rPr>
            <w:noProof/>
            <w:webHidden/>
          </w:rPr>
          <w:fldChar w:fldCharType="begin"/>
        </w:r>
        <w:r>
          <w:rPr>
            <w:noProof/>
            <w:webHidden/>
          </w:rPr>
          <w:instrText xml:space="preserve"> PAGEREF _Toc391021415 \h </w:instrText>
        </w:r>
        <w:r>
          <w:rPr>
            <w:noProof/>
            <w:webHidden/>
          </w:rPr>
        </w:r>
        <w:r>
          <w:rPr>
            <w:noProof/>
            <w:webHidden/>
          </w:rPr>
          <w:fldChar w:fldCharType="separate"/>
        </w:r>
        <w:r>
          <w:rPr>
            <w:noProof/>
            <w:webHidden/>
          </w:rPr>
          <w:t>3</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16" w:history="1">
        <w:r w:rsidRPr="004E3F19">
          <w:rPr>
            <w:rStyle w:val="Hyperlink"/>
            <w:noProof/>
          </w:rPr>
          <w:t>CHAPTER I</w:t>
        </w:r>
        <w:r>
          <w:rPr>
            <w:noProof/>
            <w:webHidden/>
          </w:rPr>
          <w:tab/>
        </w:r>
        <w:r>
          <w:rPr>
            <w:noProof/>
            <w:webHidden/>
          </w:rPr>
          <w:fldChar w:fldCharType="begin"/>
        </w:r>
        <w:r>
          <w:rPr>
            <w:noProof/>
            <w:webHidden/>
          </w:rPr>
          <w:instrText xml:space="preserve"> PAGEREF _Toc391021416 \h </w:instrText>
        </w:r>
        <w:r>
          <w:rPr>
            <w:noProof/>
            <w:webHidden/>
          </w:rPr>
        </w:r>
        <w:r>
          <w:rPr>
            <w:noProof/>
            <w:webHidden/>
          </w:rPr>
          <w:fldChar w:fldCharType="separate"/>
        </w:r>
        <w:r>
          <w:rPr>
            <w:noProof/>
            <w:webHidden/>
          </w:rPr>
          <w:t>4</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17" w:history="1">
        <w:r w:rsidRPr="004E3F19">
          <w:rPr>
            <w:rStyle w:val="Hyperlink"/>
            <w:noProof/>
          </w:rPr>
          <w:t>Soil Quality and Microbial Community Structure After Long-Term (31 Years) of Different Tillage Options, Cover Crops and Nitrogen Fertilization Rates under Continuous Cotton Production In West Tennessee</w:t>
        </w:r>
        <w:r>
          <w:rPr>
            <w:noProof/>
            <w:webHidden/>
          </w:rPr>
          <w:tab/>
        </w:r>
        <w:r>
          <w:rPr>
            <w:noProof/>
            <w:webHidden/>
          </w:rPr>
          <w:fldChar w:fldCharType="begin"/>
        </w:r>
        <w:r>
          <w:rPr>
            <w:noProof/>
            <w:webHidden/>
          </w:rPr>
          <w:instrText xml:space="preserve"> PAGEREF _Toc391021417 \h </w:instrText>
        </w:r>
        <w:r>
          <w:rPr>
            <w:noProof/>
            <w:webHidden/>
          </w:rPr>
        </w:r>
        <w:r>
          <w:rPr>
            <w:noProof/>
            <w:webHidden/>
          </w:rPr>
          <w:fldChar w:fldCharType="separate"/>
        </w:r>
        <w:r>
          <w:rPr>
            <w:noProof/>
            <w:webHidden/>
          </w:rPr>
          <w:t>4</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18" w:history="1">
        <w:r w:rsidRPr="004E3F19">
          <w:rPr>
            <w:rStyle w:val="Hyperlink"/>
            <w:noProof/>
          </w:rPr>
          <w:t>Abstract</w:t>
        </w:r>
        <w:r>
          <w:rPr>
            <w:noProof/>
            <w:webHidden/>
          </w:rPr>
          <w:tab/>
        </w:r>
        <w:r>
          <w:rPr>
            <w:noProof/>
            <w:webHidden/>
          </w:rPr>
          <w:fldChar w:fldCharType="begin"/>
        </w:r>
        <w:r>
          <w:rPr>
            <w:noProof/>
            <w:webHidden/>
          </w:rPr>
          <w:instrText xml:space="preserve"> PAGEREF _Toc391021418 \h </w:instrText>
        </w:r>
        <w:r>
          <w:rPr>
            <w:noProof/>
            <w:webHidden/>
          </w:rPr>
        </w:r>
        <w:r>
          <w:rPr>
            <w:noProof/>
            <w:webHidden/>
          </w:rPr>
          <w:fldChar w:fldCharType="separate"/>
        </w:r>
        <w:r>
          <w:rPr>
            <w:noProof/>
            <w:webHidden/>
          </w:rPr>
          <w:t>6</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19" w:history="1">
        <w:r w:rsidRPr="004E3F19">
          <w:rPr>
            <w:rStyle w:val="Hyperlink"/>
            <w:noProof/>
          </w:rPr>
          <w:t>Introduction</w:t>
        </w:r>
        <w:r>
          <w:rPr>
            <w:noProof/>
            <w:webHidden/>
          </w:rPr>
          <w:tab/>
        </w:r>
        <w:r>
          <w:rPr>
            <w:noProof/>
            <w:webHidden/>
          </w:rPr>
          <w:fldChar w:fldCharType="begin"/>
        </w:r>
        <w:r>
          <w:rPr>
            <w:noProof/>
            <w:webHidden/>
          </w:rPr>
          <w:instrText xml:space="preserve"> PAGEREF _Toc391021419 \h </w:instrText>
        </w:r>
        <w:r>
          <w:rPr>
            <w:noProof/>
            <w:webHidden/>
          </w:rPr>
        </w:r>
        <w:r>
          <w:rPr>
            <w:noProof/>
            <w:webHidden/>
          </w:rPr>
          <w:fldChar w:fldCharType="separate"/>
        </w:r>
        <w:r>
          <w:rPr>
            <w:noProof/>
            <w:webHidden/>
          </w:rPr>
          <w:t>7</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20" w:history="1">
        <w:r w:rsidRPr="004E3F19">
          <w:rPr>
            <w:rStyle w:val="Hyperlink"/>
            <w:noProof/>
          </w:rPr>
          <w:t>Materials and Methods</w:t>
        </w:r>
        <w:r>
          <w:rPr>
            <w:noProof/>
            <w:webHidden/>
          </w:rPr>
          <w:tab/>
        </w:r>
        <w:r>
          <w:rPr>
            <w:noProof/>
            <w:webHidden/>
          </w:rPr>
          <w:fldChar w:fldCharType="begin"/>
        </w:r>
        <w:r>
          <w:rPr>
            <w:noProof/>
            <w:webHidden/>
          </w:rPr>
          <w:instrText xml:space="preserve"> PAGEREF _Toc391021420 \h </w:instrText>
        </w:r>
        <w:r>
          <w:rPr>
            <w:noProof/>
            <w:webHidden/>
          </w:rPr>
        </w:r>
        <w:r>
          <w:rPr>
            <w:noProof/>
            <w:webHidden/>
          </w:rPr>
          <w:fldChar w:fldCharType="separate"/>
        </w:r>
        <w:r>
          <w:rPr>
            <w:noProof/>
            <w:webHidden/>
          </w:rPr>
          <w:t>12</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1" w:history="1">
        <w:r w:rsidRPr="004E3F19">
          <w:rPr>
            <w:rStyle w:val="Hyperlink"/>
            <w:noProof/>
          </w:rPr>
          <w:t>Study Site and Soil Sampling</w:t>
        </w:r>
        <w:r>
          <w:rPr>
            <w:noProof/>
            <w:webHidden/>
          </w:rPr>
          <w:tab/>
        </w:r>
        <w:r>
          <w:rPr>
            <w:noProof/>
            <w:webHidden/>
          </w:rPr>
          <w:fldChar w:fldCharType="begin"/>
        </w:r>
        <w:r>
          <w:rPr>
            <w:noProof/>
            <w:webHidden/>
          </w:rPr>
          <w:instrText xml:space="preserve"> PAGEREF _Toc391021421 \h </w:instrText>
        </w:r>
        <w:r>
          <w:rPr>
            <w:noProof/>
            <w:webHidden/>
          </w:rPr>
        </w:r>
        <w:r>
          <w:rPr>
            <w:noProof/>
            <w:webHidden/>
          </w:rPr>
          <w:fldChar w:fldCharType="separate"/>
        </w:r>
        <w:r>
          <w:rPr>
            <w:noProof/>
            <w:webHidden/>
          </w:rPr>
          <w:t>12</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2" w:history="1">
        <w:r w:rsidRPr="004E3F19">
          <w:rPr>
            <w:rStyle w:val="Hyperlink"/>
            <w:noProof/>
          </w:rPr>
          <w:t>Characterization of Soil Chemical and Physical Properties</w:t>
        </w:r>
        <w:r>
          <w:rPr>
            <w:noProof/>
            <w:webHidden/>
          </w:rPr>
          <w:tab/>
        </w:r>
        <w:r>
          <w:rPr>
            <w:noProof/>
            <w:webHidden/>
          </w:rPr>
          <w:fldChar w:fldCharType="begin"/>
        </w:r>
        <w:r>
          <w:rPr>
            <w:noProof/>
            <w:webHidden/>
          </w:rPr>
          <w:instrText xml:space="preserve"> PAGEREF _Toc391021422 \h </w:instrText>
        </w:r>
        <w:r>
          <w:rPr>
            <w:noProof/>
            <w:webHidden/>
          </w:rPr>
        </w:r>
        <w:r>
          <w:rPr>
            <w:noProof/>
            <w:webHidden/>
          </w:rPr>
          <w:fldChar w:fldCharType="separate"/>
        </w:r>
        <w:r>
          <w:rPr>
            <w:noProof/>
            <w:webHidden/>
          </w:rPr>
          <w:t>13</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3" w:history="1">
        <w:r w:rsidRPr="004E3F19">
          <w:rPr>
            <w:rStyle w:val="Hyperlink"/>
            <w:noProof/>
          </w:rPr>
          <w:t>Characterization of soil biological properties</w:t>
        </w:r>
        <w:r>
          <w:rPr>
            <w:noProof/>
            <w:webHidden/>
          </w:rPr>
          <w:tab/>
        </w:r>
        <w:r>
          <w:rPr>
            <w:noProof/>
            <w:webHidden/>
          </w:rPr>
          <w:fldChar w:fldCharType="begin"/>
        </w:r>
        <w:r>
          <w:rPr>
            <w:noProof/>
            <w:webHidden/>
          </w:rPr>
          <w:instrText xml:space="preserve"> PAGEREF _Toc391021423 \h </w:instrText>
        </w:r>
        <w:r>
          <w:rPr>
            <w:noProof/>
            <w:webHidden/>
          </w:rPr>
        </w:r>
        <w:r>
          <w:rPr>
            <w:noProof/>
            <w:webHidden/>
          </w:rPr>
          <w:fldChar w:fldCharType="separate"/>
        </w:r>
        <w:r>
          <w:rPr>
            <w:noProof/>
            <w:webHidden/>
          </w:rPr>
          <w:t>14</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4" w:history="1">
        <w:r w:rsidRPr="004E3F19">
          <w:rPr>
            <w:rStyle w:val="Hyperlink"/>
            <w:noProof/>
          </w:rPr>
          <w:t>Calculation of the soil management assessment framework (SMAF) quality indices</w:t>
        </w:r>
        <w:r>
          <w:rPr>
            <w:noProof/>
            <w:webHidden/>
          </w:rPr>
          <w:tab/>
        </w:r>
        <w:r>
          <w:rPr>
            <w:noProof/>
            <w:webHidden/>
          </w:rPr>
          <w:fldChar w:fldCharType="begin"/>
        </w:r>
        <w:r>
          <w:rPr>
            <w:noProof/>
            <w:webHidden/>
          </w:rPr>
          <w:instrText xml:space="preserve"> PAGEREF _Toc391021424 \h </w:instrText>
        </w:r>
        <w:r>
          <w:rPr>
            <w:noProof/>
            <w:webHidden/>
          </w:rPr>
        </w:r>
        <w:r>
          <w:rPr>
            <w:noProof/>
            <w:webHidden/>
          </w:rPr>
          <w:fldChar w:fldCharType="separate"/>
        </w:r>
        <w:r>
          <w:rPr>
            <w:noProof/>
            <w:webHidden/>
          </w:rPr>
          <w:t>16</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5" w:history="1">
        <w:r w:rsidRPr="004E3F19">
          <w:rPr>
            <w:rStyle w:val="Hyperlink"/>
            <w:noProof/>
          </w:rPr>
          <w:t>Data Analysis</w:t>
        </w:r>
        <w:r>
          <w:rPr>
            <w:noProof/>
            <w:webHidden/>
          </w:rPr>
          <w:tab/>
        </w:r>
        <w:r>
          <w:rPr>
            <w:noProof/>
            <w:webHidden/>
          </w:rPr>
          <w:fldChar w:fldCharType="begin"/>
        </w:r>
        <w:r>
          <w:rPr>
            <w:noProof/>
            <w:webHidden/>
          </w:rPr>
          <w:instrText xml:space="preserve"> PAGEREF _Toc391021425 \h </w:instrText>
        </w:r>
        <w:r>
          <w:rPr>
            <w:noProof/>
            <w:webHidden/>
          </w:rPr>
        </w:r>
        <w:r>
          <w:rPr>
            <w:noProof/>
            <w:webHidden/>
          </w:rPr>
          <w:fldChar w:fldCharType="separate"/>
        </w:r>
        <w:r>
          <w:rPr>
            <w:noProof/>
            <w:webHidden/>
          </w:rPr>
          <w:t>18</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26" w:history="1">
        <w:r w:rsidRPr="004E3F19">
          <w:rPr>
            <w:rStyle w:val="Hyperlink"/>
            <w:noProof/>
          </w:rPr>
          <w:t>RESULTS</w:t>
        </w:r>
        <w:r>
          <w:rPr>
            <w:noProof/>
            <w:webHidden/>
          </w:rPr>
          <w:tab/>
        </w:r>
        <w:r>
          <w:rPr>
            <w:noProof/>
            <w:webHidden/>
          </w:rPr>
          <w:fldChar w:fldCharType="begin"/>
        </w:r>
        <w:r>
          <w:rPr>
            <w:noProof/>
            <w:webHidden/>
          </w:rPr>
          <w:instrText xml:space="preserve"> PAGEREF _Toc391021426 \h </w:instrText>
        </w:r>
        <w:r>
          <w:rPr>
            <w:noProof/>
            <w:webHidden/>
          </w:rPr>
        </w:r>
        <w:r>
          <w:rPr>
            <w:noProof/>
            <w:webHidden/>
          </w:rPr>
          <w:fldChar w:fldCharType="separate"/>
        </w:r>
        <w:r>
          <w:rPr>
            <w:noProof/>
            <w:webHidden/>
          </w:rPr>
          <w:t>19</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7" w:history="1">
        <w:r w:rsidRPr="004E3F19">
          <w:rPr>
            <w:rStyle w:val="Hyperlink"/>
            <w:noProof/>
          </w:rPr>
          <w:t>Soil chemical and physical properties</w:t>
        </w:r>
        <w:r>
          <w:rPr>
            <w:noProof/>
            <w:webHidden/>
          </w:rPr>
          <w:tab/>
        </w:r>
        <w:r>
          <w:rPr>
            <w:noProof/>
            <w:webHidden/>
          </w:rPr>
          <w:fldChar w:fldCharType="begin"/>
        </w:r>
        <w:r>
          <w:rPr>
            <w:noProof/>
            <w:webHidden/>
          </w:rPr>
          <w:instrText xml:space="preserve"> PAGEREF _Toc391021427 \h </w:instrText>
        </w:r>
        <w:r>
          <w:rPr>
            <w:noProof/>
            <w:webHidden/>
          </w:rPr>
        </w:r>
        <w:r>
          <w:rPr>
            <w:noProof/>
            <w:webHidden/>
          </w:rPr>
          <w:fldChar w:fldCharType="separate"/>
        </w:r>
        <w:r>
          <w:rPr>
            <w:noProof/>
            <w:webHidden/>
          </w:rPr>
          <w:t>19</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8" w:history="1">
        <w:r w:rsidRPr="004E3F19">
          <w:rPr>
            <w:rStyle w:val="Hyperlink"/>
            <w:rFonts w:ascii="Cambria" w:hAnsi="Cambria" w:cs="Times New Roman"/>
            <w:bCs/>
            <w:i/>
            <w:noProof/>
            <w:lang w:val="en-GB"/>
          </w:rPr>
          <w:t>Total Soil Carbon (C) and Nitrogen (N)</w:t>
        </w:r>
        <w:r>
          <w:rPr>
            <w:noProof/>
            <w:webHidden/>
          </w:rPr>
          <w:tab/>
        </w:r>
        <w:r>
          <w:rPr>
            <w:noProof/>
            <w:webHidden/>
          </w:rPr>
          <w:fldChar w:fldCharType="begin"/>
        </w:r>
        <w:r>
          <w:rPr>
            <w:noProof/>
            <w:webHidden/>
          </w:rPr>
          <w:instrText xml:space="preserve"> PAGEREF _Toc391021428 \h </w:instrText>
        </w:r>
        <w:r>
          <w:rPr>
            <w:noProof/>
            <w:webHidden/>
          </w:rPr>
        </w:r>
        <w:r>
          <w:rPr>
            <w:noProof/>
            <w:webHidden/>
          </w:rPr>
          <w:fldChar w:fldCharType="separate"/>
        </w:r>
        <w:r>
          <w:rPr>
            <w:noProof/>
            <w:webHidden/>
          </w:rPr>
          <w:t>19</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29" w:history="1">
        <w:r w:rsidRPr="004E3F19">
          <w:rPr>
            <w:rStyle w:val="Hyperlink"/>
            <w:rFonts w:ascii="Cambria" w:hAnsi="Cambria" w:cs="Times New Roman"/>
            <w:bCs/>
            <w:i/>
            <w:noProof/>
            <w:lang w:val="en-GB"/>
          </w:rPr>
          <w:t>Availability of selected soil nutrient elements and soil pH</w:t>
        </w:r>
        <w:r>
          <w:rPr>
            <w:noProof/>
            <w:webHidden/>
          </w:rPr>
          <w:tab/>
        </w:r>
        <w:r>
          <w:rPr>
            <w:noProof/>
            <w:webHidden/>
          </w:rPr>
          <w:fldChar w:fldCharType="begin"/>
        </w:r>
        <w:r>
          <w:rPr>
            <w:noProof/>
            <w:webHidden/>
          </w:rPr>
          <w:instrText xml:space="preserve"> PAGEREF _Toc391021429 \h </w:instrText>
        </w:r>
        <w:r>
          <w:rPr>
            <w:noProof/>
            <w:webHidden/>
          </w:rPr>
        </w:r>
        <w:r>
          <w:rPr>
            <w:noProof/>
            <w:webHidden/>
          </w:rPr>
          <w:fldChar w:fldCharType="separate"/>
        </w:r>
        <w:r>
          <w:rPr>
            <w:noProof/>
            <w:webHidden/>
          </w:rPr>
          <w:t>19</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0" w:history="1">
        <w:r w:rsidRPr="004E3F19">
          <w:rPr>
            <w:rStyle w:val="Hyperlink"/>
            <w:rFonts w:ascii="Cambria" w:hAnsi="Cambria" w:cs="Times New Roman"/>
            <w:bCs/>
            <w:i/>
            <w:noProof/>
            <w:lang w:val="en-GB"/>
          </w:rPr>
          <w:t>Bulk Density</w:t>
        </w:r>
        <w:r>
          <w:rPr>
            <w:noProof/>
            <w:webHidden/>
          </w:rPr>
          <w:tab/>
        </w:r>
        <w:r>
          <w:rPr>
            <w:noProof/>
            <w:webHidden/>
          </w:rPr>
          <w:fldChar w:fldCharType="begin"/>
        </w:r>
        <w:r>
          <w:rPr>
            <w:noProof/>
            <w:webHidden/>
          </w:rPr>
          <w:instrText xml:space="preserve"> PAGEREF _Toc391021430 \h </w:instrText>
        </w:r>
        <w:r>
          <w:rPr>
            <w:noProof/>
            <w:webHidden/>
          </w:rPr>
        </w:r>
        <w:r>
          <w:rPr>
            <w:noProof/>
            <w:webHidden/>
          </w:rPr>
          <w:fldChar w:fldCharType="separate"/>
        </w:r>
        <w:r>
          <w:rPr>
            <w:noProof/>
            <w:webHidden/>
          </w:rPr>
          <w:t>20</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1" w:history="1">
        <w:r w:rsidRPr="004E3F19">
          <w:rPr>
            <w:rStyle w:val="Hyperlink"/>
            <w:noProof/>
          </w:rPr>
          <w:t>Soil microbial community size, structure and activity</w:t>
        </w:r>
        <w:r>
          <w:rPr>
            <w:noProof/>
            <w:webHidden/>
          </w:rPr>
          <w:tab/>
        </w:r>
        <w:r>
          <w:rPr>
            <w:noProof/>
            <w:webHidden/>
          </w:rPr>
          <w:fldChar w:fldCharType="begin"/>
        </w:r>
        <w:r>
          <w:rPr>
            <w:noProof/>
            <w:webHidden/>
          </w:rPr>
          <w:instrText xml:space="preserve"> PAGEREF _Toc391021431 \h </w:instrText>
        </w:r>
        <w:r>
          <w:rPr>
            <w:noProof/>
            <w:webHidden/>
          </w:rPr>
        </w:r>
        <w:r>
          <w:rPr>
            <w:noProof/>
            <w:webHidden/>
          </w:rPr>
          <w:fldChar w:fldCharType="separate"/>
        </w:r>
        <w:r>
          <w:rPr>
            <w:noProof/>
            <w:webHidden/>
          </w:rPr>
          <w:t>20</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2" w:history="1">
        <w:r w:rsidRPr="004E3F19">
          <w:rPr>
            <w:rStyle w:val="Hyperlink"/>
            <w:noProof/>
          </w:rPr>
          <w:t>Soil Quality Index</w:t>
        </w:r>
        <w:r>
          <w:rPr>
            <w:noProof/>
            <w:webHidden/>
          </w:rPr>
          <w:tab/>
        </w:r>
        <w:r>
          <w:rPr>
            <w:noProof/>
            <w:webHidden/>
          </w:rPr>
          <w:fldChar w:fldCharType="begin"/>
        </w:r>
        <w:r>
          <w:rPr>
            <w:noProof/>
            <w:webHidden/>
          </w:rPr>
          <w:instrText xml:space="preserve"> PAGEREF _Toc391021432 \h </w:instrText>
        </w:r>
        <w:r>
          <w:rPr>
            <w:noProof/>
            <w:webHidden/>
          </w:rPr>
        </w:r>
        <w:r>
          <w:rPr>
            <w:noProof/>
            <w:webHidden/>
          </w:rPr>
          <w:fldChar w:fldCharType="separate"/>
        </w:r>
        <w:r>
          <w:rPr>
            <w:noProof/>
            <w:webHidden/>
          </w:rPr>
          <w:t>22</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33" w:history="1">
        <w:r w:rsidRPr="004E3F19">
          <w:rPr>
            <w:rStyle w:val="Hyperlink"/>
            <w:noProof/>
          </w:rPr>
          <w:t>DISCUSSION</w:t>
        </w:r>
        <w:r>
          <w:rPr>
            <w:noProof/>
            <w:webHidden/>
          </w:rPr>
          <w:tab/>
        </w:r>
        <w:r>
          <w:rPr>
            <w:noProof/>
            <w:webHidden/>
          </w:rPr>
          <w:fldChar w:fldCharType="begin"/>
        </w:r>
        <w:r>
          <w:rPr>
            <w:noProof/>
            <w:webHidden/>
          </w:rPr>
          <w:instrText xml:space="preserve"> PAGEREF _Toc391021433 \h </w:instrText>
        </w:r>
        <w:r>
          <w:rPr>
            <w:noProof/>
            <w:webHidden/>
          </w:rPr>
        </w:r>
        <w:r>
          <w:rPr>
            <w:noProof/>
            <w:webHidden/>
          </w:rPr>
          <w:fldChar w:fldCharType="separate"/>
        </w:r>
        <w:r>
          <w:rPr>
            <w:noProof/>
            <w:webHidden/>
          </w:rPr>
          <w:t>34</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4" w:history="1">
        <w:r w:rsidRPr="004E3F19">
          <w:rPr>
            <w:rStyle w:val="Hyperlink"/>
            <w:noProof/>
          </w:rPr>
          <w:t>Soil physicochemical properties after 31 years of different tillage options, cover crops and varying N rates</w:t>
        </w:r>
        <w:r>
          <w:rPr>
            <w:noProof/>
            <w:webHidden/>
          </w:rPr>
          <w:tab/>
        </w:r>
        <w:r>
          <w:rPr>
            <w:noProof/>
            <w:webHidden/>
          </w:rPr>
          <w:fldChar w:fldCharType="begin"/>
        </w:r>
        <w:r>
          <w:rPr>
            <w:noProof/>
            <w:webHidden/>
          </w:rPr>
          <w:instrText xml:space="preserve"> PAGEREF _Toc391021434 \h </w:instrText>
        </w:r>
        <w:r>
          <w:rPr>
            <w:noProof/>
            <w:webHidden/>
          </w:rPr>
        </w:r>
        <w:r>
          <w:rPr>
            <w:noProof/>
            <w:webHidden/>
          </w:rPr>
          <w:fldChar w:fldCharType="separate"/>
        </w:r>
        <w:r>
          <w:rPr>
            <w:noProof/>
            <w:webHidden/>
          </w:rPr>
          <w:t>34</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5" w:history="1">
        <w:r w:rsidRPr="004E3F19">
          <w:rPr>
            <w:rStyle w:val="Hyperlink"/>
            <w:rFonts w:ascii="Cambria" w:hAnsi="Cambria" w:cs="Times New Roman"/>
            <w:bCs/>
            <w:i/>
            <w:noProof/>
            <w:lang w:val="en-GB"/>
          </w:rPr>
          <w:t>The effect of tillage and cover crops on soil C and N</w:t>
        </w:r>
        <w:r>
          <w:rPr>
            <w:noProof/>
            <w:webHidden/>
          </w:rPr>
          <w:tab/>
        </w:r>
        <w:r>
          <w:rPr>
            <w:noProof/>
            <w:webHidden/>
          </w:rPr>
          <w:fldChar w:fldCharType="begin"/>
        </w:r>
        <w:r>
          <w:rPr>
            <w:noProof/>
            <w:webHidden/>
          </w:rPr>
          <w:instrText xml:space="preserve"> PAGEREF _Toc391021435 \h </w:instrText>
        </w:r>
        <w:r>
          <w:rPr>
            <w:noProof/>
            <w:webHidden/>
          </w:rPr>
        </w:r>
        <w:r>
          <w:rPr>
            <w:noProof/>
            <w:webHidden/>
          </w:rPr>
          <w:fldChar w:fldCharType="separate"/>
        </w:r>
        <w:r>
          <w:rPr>
            <w:noProof/>
            <w:webHidden/>
          </w:rPr>
          <w:t>34</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6" w:history="1">
        <w:r w:rsidRPr="004E3F19">
          <w:rPr>
            <w:rStyle w:val="Hyperlink"/>
            <w:rFonts w:ascii="Cambria" w:hAnsi="Cambria" w:cs="Times New Roman"/>
            <w:bCs/>
            <w:i/>
            <w:noProof/>
            <w:lang w:val="en-GB"/>
          </w:rPr>
          <w:t>The Effect of Different Cover Crop Species on Soil C and N</w:t>
        </w:r>
        <w:r>
          <w:rPr>
            <w:noProof/>
            <w:webHidden/>
          </w:rPr>
          <w:tab/>
        </w:r>
        <w:r>
          <w:rPr>
            <w:noProof/>
            <w:webHidden/>
          </w:rPr>
          <w:fldChar w:fldCharType="begin"/>
        </w:r>
        <w:r>
          <w:rPr>
            <w:noProof/>
            <w:webHidden/>
          </w:rPr>
          <w:instrText xml:space="preserve"> PAGEREF _Toc391021436 \h </w:instrText>
        </w:r>
        <w:r>
          <w:rPr>
            <w:noProof/>
            <w:webHidden/>
          </w:rPr>
        </w:r>
        <w:r>
          <w:rPr>
            <w:noProof/>
            <w:webHidden/>
          </w:rPr>
          <w:fldChar w:fldCharType="separate"/>
        </w:r>
        <w:r>
          <w:rPr>
            <w:noProof/>
            <w:webHidden/>
          </w:rPr>
          <w:t>35</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7" w:history="1">
        <w:r w:rsidRPr="004E3F19">
          <w:rPr>
            <w:rStyle w:val="Hyperlink"/>
            <w:rFonts w:ascii="Cambria" w:hAnsi="Cambria" w:cs="Times New Roman"/>
            <w:bCs/>
            <w:i/>
            <w:noProof/>
            <w:lang w:val="en-GB"/>
          </w:rPr>
          <w:t>The Effect of Increasing N-fertilization rates on Soil C and N</w:t>
        </w:r>
        <w:r>
          <w:rPr>
            <w:noProof/>
            <w:webHidden/>
          </w:rPr>
          <w:tab/>
        </w:r>
        <w:r>
          <w:rPr>
            <w:noProof/>
            <w:webHidden/>
          </w:rPr>
          <w:fldChar w:fldCharType="begin"/>
        </w:r>
        <w:r>
          <w:rPr>
            <w:noProof/>
            <w:webHidden/>
          </w:rPr>
          <w:instrText xml:space="preserve"> PAGEREF _Toc391021437 \h </w:instrText>
        </w:r>
        <w:r>
          <w:rPr>
            <w:noProof/>
            <w:webHidden/>
          </w:rPr>
        </w:r>
        <w:r>
          <w:rPr>
            <w:noProof/>
            <w:webHidden/>
          </w:rPr>
          <w:fldChar w:fldCharType="separate"/>
        </w:r>
        <w:r>
          <w:rPr>
            <w:noProof/>
            <w:webHidden/>
          </w:rPr>
          <w:t>37</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8" w:history="1">
        <w:r w:rsidRPr="004E3F19">
          <w:rPr>
            <w:rStyle w:val="Hyperlink"/>
            <w:rFonts w:ascii="Cambria" w:hAnsi="Cambria" w:cs="Times New Roman"/>
            <w:bCs/>
            <w:i/>
            <w:noProof/>
            <w:lang w:val="en-GB"/>
          </w:rPr>
          <w:t>Soil fertility status based on select nutrients</w:t>
        </w:r>
        <w:r>
          <w:rPr>
            <w:noProof/>
            <w:webHidden/>
          </w:rPr>
          <w:tab/>
        </w:r>
        <w:r>
          <w:rPr>
            <w:noProof/>
            <w:webHidden/>
          </w:rPr>
          <w:fldChar w:fldCharType="begin"/>
        </w:r>
        <w:r>
          <w:rPr>
            <w:noProof/>
            <w:webHidden/>
          </w:rPr>
          <w:instrText xml:space="preserve"> PAGEREF _Toc391021438 \h </w:instrText>
        </w:r>
        <w:r>
          <w:rPr>
            <w:noProof/>
            <w:webHidden/>
          </w:rPr>
        </w:r>
        <w:r>
          <w:rPr>
            <w:noProof/>
            <w:webHidden/>
          </w:rPr>
          <w:fldChar w:fldCharType="separate"/>
        </w:r>
        <w:r>
          <w:rPr>
            <w:noProof/>
            <w:webHidden/>
          </w:rPr>
          <w:t>39</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39" w:history="1">
        <w:r w:rsidRPr="004E3F19">
          <w:rPr>
            <w:rStyle w:val="Hyperlink"/>
            <w:rFonts w:ascii="Cambria" w:hAnsi="Cambria" w:cs="Times New Roman"/>
            <w:bCs/>
            <w:i/>
            <w:noProof/>
            <w:lang w:val="en-GB"/>
          </w:rPr>
          <w:t>Soil bulk density as influenced by tillage, cover crop and N-rate</w:t>
        </w:r>
        <w:r>
          <w:rPr>
            <w:noProof/>
            <w:webHidden/>
          </w:rPr>
          <w:tab/>
        </w:r>
        <w:r>
          <w:rPr>
            <w:noProof/>
            <w:webHidden/>
          </w:rPr>
          <w:fldChar w:fldCharType="begin"/>
        </w:r>
        <w:r>
          <w:rPr>
            <w:noProof/>
            <w:webHidden/>
          </w:rPr>
          <w:instrText xml:space="preserve"> PAGEREF _Toc391021439 \h </w:instrText>
        </w:r>
        <w:r>
          <w:rPr>
            <w:noProof/>
            <w:webHidden/>
          </w:rPr>
        </w:r>
        <w:r>
          <w:rPr>
            <w:noProof/>
            <w:webHidden/>
          </w:rPr>
          <w:fldChar w:fldCharType="separate"/>
        </w:r>
        <w:r>
          <w:rPr>
            <w:noProof/>
            <w:webHidden/>
          </w:rPr>
          <w:t>41</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40" w:history="1">
        <w:r w:rsidRPr="004E3F19">
          <w:rPr>
            <w:rStyle w:val="Hyperlink"/>
            <w:noProof/>
          </w:rPr>
          <w:t>Status of Microbial Community Structure and Activity after 31 years of tillage, cover crops, and varying N rates</w:t>
        </w:r>
        <w:r>
          <w:rPr>
            <w:noProof/>
            <w:webHidden/>
          </w:rPr>
          <w:tab/>
        </w:r>
        <w:r>
          <w:rPr>
            <w:noProof/>
            <w:webHidden/>
          </w:rPr>
          <w:fldChar w:fldCharType="begin"/>
        </w:r>
        <w:r>
          <w:rPr>
            <w:noProof/>
            <w:webHidden/>
          </w:rPr>
          <w:instrText xml:space="preserve"> PAGEREF _Toc391021440 \h </w:instrText>
        </w:r>
        <w:r>
          <w:rPr>
            <w:noProof/>
            <w:webHidden/>
          </w:rPr>
        </w:r>
        <w:r>
          <w:rPr>
            <w:noProof/>
            <w:webHidden/>
          </w:rPr>
          <w:fldChar w:fldCharType="separate"/>
        </w:r>
        <w:r>
          <w:rPr>
            <w:noProof/>
            <w:webHidden/>
          </w:rPr>
          <w:t>42</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41" w:history="1">
        <w:r w:rsidRPr="004E3F19">
          <w:rPr>
            <w:rStyle w:val="Hyperlink"/>
            <w:noProof/>
          </w:rPr>
          <w:t>Soil quality index</w:t>
        </w:r>
        <w:r>
          <w:rPr>
            <w:noProof/>
            <w:webHidden/>
          </w:rPr>
          <w:tab/>
        </w:r>
        <w:r>
          <w:rPr>
            <w:noProof/>
            <w:webHidden/>
          </w:rPr>
          <w:fldChar w:fldCharType="begin"/>
        </w:r>
        <w:r>
          <w:rPr>
            <w:noProof/>
            <w:webHidden/>
          </w:rPr>
          <w:instrText xml:space="preserve"> PAGEREF _Toc391021441 \h </w:instrText>
        </w:r>
        <w:r>
          <w:rPr>
            <w:noProof/>
            <w:webHidden/>
          </w:rPr>
        </w:r>
        <w:r>
          <w:rPr>
            <w:noProof/>
            <w:webHidden/>
          </w:rPr>
          <w:fldChar w:fldCharType="separate"/>
        </w:r>
        <w:r>
          <w:rPr>
            <w:noProof/>
            <w:webHidden/>
          </w:rPr>
          <w:t>48</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42" w:history="1">
        <w:r w:rsidRPr="004E3F19">
          <w:rPr>
            <w:rStyle w:val="Hyperlink"/>
            <w:noProof/>
          </w:rPr>
          <w:t>Conclusions</w:t>
        </w:r>
        <w:r>
          <w:rPr>
            <w:noProof/>
            <w:webHidden/>
          </w:rPr>
          <w:tab/>
        </w:r>
        <w:r>
          <w:rPr>
            <w:noProof/>
            <w:webHidden/>
          </w:rPr>
          <w:fldChar w:fldCharType="begin"/>
        </w:r>
        <w:r>
          <w:rPr>
            <w:noProof/>
            <w:webHidden/>
          </w:rPr>
          <w:instrText xml:space="preserve"> PAGEREF _Toc391021442 \h </w:instrText>
        </w:r>
        <w:r>
          <w:rPr>
            <w:noProof/>
            <w:webHidden/>
          </w:rPr>
        </w:r>
        <w:r>
          <w:rPr>
            <w:noProof/>
            <w:webHidden/>
          </w:rPr>
          <w:fldChar w:fldCharType="separate"/>
        </w:r>
        <w:r>
          <w:rPr>
            <w:noProof/>
            <w:webHidden/>
          </w:rPr>
          <w:t>49</w:t>
        </w:r>
        <w:r>
          <w:rPr>
            <w:noProof/>
            <w:webHidden/>
          </w:rPr>
          <w:fldChar w:fldCharType="end"/>
        </w:r>
      </w:hyperlink>
    </w:p>
    <w:p w:rsidR="00DB5C50" w:rsidRPr="002542CF" w:rsidRDefault="00DB5C50">
      <w:pPr>
        <w:pStyle w:val="TOC1"/>
        <w:tabs>
          <w:tab w:val="left" w:pos="480"/>
          <w:tab w:val="right" w:leader="dot" w:pos="8630"/>
        </w:tabs>
        <w:rPr>
          <w:rFonts w:ascii="Calibri" w:hAnsi="Calibri" w:cs="Times New Roman"/>
          <w:noProof/>
          <w:sz w:val="22"/>
          <w:szCs w:val="22"/>
        </w:rPr>
      </w:pPr>
      <w:hyperlink w:anchor="_Toc391021443" w:history="1">
        <w:r w:rsidRPr="004E3F19">
          <w:rPr>
            <w:rStyle w:val="Hyperlink"/>
            <w:rFonts w:ascii="Calibri" w:eastAsia="Calibri" w:hAnsi="Calibri" w:cs="Times New Roman"/>
            <w:noProof/>
          </w:rPr>
          <w:t xml:space="preserve"> </w:t>
        </w:r>
        <w:r w:rsidRPr="004E3F19">
          <w:rPr>
            <w:rStyle w:val="Hyperlink"/>
            <w:rFonts w:ascii="Cambria" w:hAnsi="Cambria" w:cs="Times New Roman"/>
            <w:b/>
            <w:bCs/>
            <w:noProof/>
          </w:rPr>
          <w:t>References</w:t>
        </w:r>
        <w:r>
          <w:rPr>
            <w:noProof/>
            <w:webHidden/>
          </w:rPr>
          <w:tab/>
        </w:r>
        <w:r>
          <w:rPr>
            <w:noProof/>
            <w:webHidden/>
          </w:rPr>
          <w:fldChar w:fldCharType="begin"/>
        </w:r>
        <w:r>
          <w:rPr>
            <w:noProof/>
            <w:webHidden/>
          </w:rPr>
          <w:instrText xml:space="preserve"> PAGEREF _Toc391021443 \h </w:instrText>
        </w:r>
        <w:r>
          <w:rPr>
            <w:noProof/>
            <w:webHidden/>
          </w:rPr>
        </w:r>
        <w:r>
          <w:rPr>
            <w:noProof/>
            <w:webHidden/>
          </w:rPr>
          <w:fldChar w:fldCharType="separate"/>
        </w:r>
        <w:r>
          <w:rPr>
            <w:noProof/>
            <w:webHidden/>
          </w:rPr>
          <w:t>49</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44" w:history="1">
        <w:r w:rsidRPr="004E3F19">
          <w:rPr>
            <w:rStyle w:val="Hyperlink"/>
            <w:noProof/>
          </w:rPr>
          <w:t>Appendix</w:t>
        </w:r>
        <w:r>
          <w:rPr>
            <w:noProof/>
            <w:webHidden/>
          </w:rPr>
          <w:tab/>
        </w:r>
        <w:r>
          <w:rPr>
            <w:noProof/>
            <w:webHidden/>
          </w:rPr>
          <w:fldChar w:fldCharType="begin"/>
        </w:r>
        <w:r>
          <w:rPr>
            <w:noProof/>
            <w:webHidden/>
          </w:rPr>
          <w:instrText xml:space="preserve"> PAGEREF _Toc391021444 \h </w:instrText>
        </w:r>
        <w:r>
          <w:rPr>
            <w:noProof/>
            <w:webHidden/>
          </w:rPr>
        </w:r>
        <w:r>
          <w:rPr>
            <w:noProof/>
            <w:webHidden/>
          </w:rPr>
          <w:fldChar w:fldCharType="separate"/>
        </w:r>
        <w:r>
          <w:rPr>
            <w:noProof/>
            <w:webHidden/>
          </w:rPr>
          <w:t>54</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45" w:history="1">
        <w:r w:rsidRPr="004E3F19">
          <w:rPr>
            <w:rStyle w:val="Hyperlink"/>
            <w:noProof/>
          </w:rPr>
          <w:t>CHAPTER II Bacterial and Fungal Taxonomic Composition As Influenced By Different Cover Crops, Nitrogen Rates and Tillage Options in a Long Term (32 Years) Continuous Cotton Production in West Tennessee</w:t>
        </w:r>
        <w:r>
          <w:rPr>
            <w:noProof/>
            <w:webHidden/>
          </w:rPr>
          <w:tab/>
        </w:r>
        <w:r>
          <w:rPr>
            <w:noProof/>
            <w:webHidden/>
          </w:rPr>
          <w:fldChar w:fldCharType="begin"/>
        </w:r>
        <w:r>
          <w:rPr>
            <w:noProof/>
            <w:webHidden/>
          </w:rPr>
          <w:instrText xml:space="preserve"> PAGEREF _Toc391021445 \h </w:instrText>
        </w:r>
        <w:r>
          <w:rPr>
            <w:noProof/>
            <w:webHidden/>
          </w:rPr>
        </w:r>
        <w:r>
          <w:rPr>
            <w:noProof/>
            <w:webHidden/>
          </w:rPr>
          <w:fldChar w:fldCharType="separate"/>
        </w:r>
        <w:r>
          <w:rPr>
            <w:noProof/>
            <w:webHidden/>
          </w:rPr>
          <w:t>55</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46" w:history="1">
        <w:r w:rsidRPr="004E3F19">
          <w:rPr>
            <w:rStyle w:val="Hyperlink"/>
            <w:noProof/>
          </w:rPr>
          <w:t>Abstract</w:t>
        </w:r>
        <w:r>
          <w:rPr>
            <w:noProof/>
            <w:webHidden/>
          </w:rPr>
          <w:tab/>
        </w:r>
        <w:r>
          <w:rPr>
            <w:noProof/>
            <w:webHidden/>
          </w:rPr>
          <w:fldChar w:fldCharType="begin"/>
        </w:r>
        <w:r>
          <w:rPr>
            <w:noProof/>
            <w:webHidden/>
          </w:rPr>
          <w:instrText xml:space="preserve"> PAGEREF _Toc391021446 \h </w:instrText>
        </w:r>
        <w:r>
          <w:rPr>
            <w:noProof/>
            <w:webHidden/>
          </w:rPr>
        </w:r>
        <w:r>
          <w:rPr>
            <w:noProof/>
            <w:webHidden/>
          </w:rPr>
          <w:fldChar w:fldCharType="separate"/>
        </w:r>
        <w:r>
          <w:rPr>
            <w:noProof/>
            <w:webHidden/>
          </w:rPr>
          <w:t>56</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47" w:history="1">
        <w:r w:rsidRPr="004E3F19">
          <w:rPr>
            <w:rStyle w:val="Hyperlink"/>
            <w:noProof/>
          </w:rPr>
          <w:t>Introduction</w:t>
        </w:r>
        <w:r>
          <w:rPr>
            <w:noProof/>
            <w:webHidden/>
          </w:rPr>
          <w:tab/>
        </w:r>
        <w:r>
          <w:rPr>
            <w:noProof/>
            <w:webHidden/>
          </w:rPr>
          <w:fldChar w:fldCharType="begin"/>
        </w:r>
        <w:r>
          <w:rPr>
            <w:noProof/>
            <w:webHidden/>
          </w:rPr>
          <w:instrText xml:space="preserve"> PAGEREF _Toc391021447 \h </w:instrText>
        </w:r>
        <w:r>
          <w:rPr>
            <w:noProof/>
            <w:webHidden/>
          </w:rPr>
        </w:r>
        <w:r>
          <w:rPr>
            <w:noProof/>
            <w:webHidden/>
          </w:rPr>
          <w:fldChar w:fldCharType="separate"/>
        </w:r>
        <w:r>
          <w:rPr>
            <w:noProof/>
            <w:webHidden/>
          </w:rPr>
          <w:t>57</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48" w:history="1">
        <w:r w:rsidRPr="004E3F19">
          <w:rPr>
            <w:rStyle w:val="Hyperlink"/>
            <w:noProof/>
          </w:rPr>
          <w:t>Materials and Methods</w:t>
        </w:r>
        <w:r>
          <w:rPr>
            <w:noProof/>
            <w:webHidden/>
          </w:rPr>
          <w:tab/>
        </w:r>
        <w:r>
          <w:rPr>
            <w:noProof/>
            <w:webHidden/>
          </w:rPr>
          <w:fldChar w:fldCharType="begin"/>
        </w:r>
        <w:r>
          <w:rPr>
            <w:noProof/>
            <w:webHidden/>
          </w:rPr>
          <w:instrText xml:space="preserve"> PAGEREF _Toc391021448 \h </w:instrText>
        </w:r>
        <w:r>
          <w:rPr>
            <w:noProof/>
            <w:webHidden/>
          </w:rPr>
        </w:r>
        <w:r>
          <w:rPr>
            <w:noProof/>
            <w:webHidden/>
          </w:rPr>
          <w:fldChar w:fldCharType="separate"/>
        </w:r>
        <w:r>
          <w:rPr>
            <w:noProof/>
            <w:webHidden/>
          </w:rPr>
          <w:t>60</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49" w:history="1">
        <w:r w:rsidRPr="004E3F19">
          <w:rPr>
            <w:rStyle w:val="Hyperlink"/>
            <w:noProof/>
          </w:rPr>
          <w:t>Study Site and Soil Sampling</w:t>
        </w:r>
        <w:r>
          <w:rPr>
            <w:noProof/>
            <w:webHidden/>
          </w:rPr>
          <w:tab/>
        </w:r>
        <w:r>
          <w:rPr>
            <w:noProof/>
            <w:webHidden/>
          </w:rPr>
          <w:fldChar w:fldCharType="begin"/>
        </w:r>
        <w:r>
          <w:rPr>
            <w:noProof/>
            <w:webHidden/>
          </w:rPr>
          <w:instrText xml:space="preserve"> PAGEREF _Toc391021449 \h </w:instrText>
        </w:r>
        <w:r>
          <w:rPr>
            <w:noProof/>
            <w:webHidden/>
          </w:rPr>
        </w:r>
        <w:r>
          <w:rPr>
            <w:noProof/>
            <w:webHidden/>
          </w:rPr>
          <w:fldChar w:fldCharType="separate"/>
        </w:r>
        <w:r>
          <w:rPr>
            <w:noProof/>
            <w:webHidden/>
          </w:rPr>
          <w:t>60</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50" w:history="1">
        <w:r w:rsidRPr="004E3F19">
          <w:rPr>
            <w:rStyle w:val="Hyperlink"/>
            <w:noProof/>
          </w:rPr>
          <w:t>DNA Extraction, PCR Amplification and Sequencing</w:t>
        </w:r>
        <w:r>
          <w:rPr>
            <w:noProof/>
            <w:webHidden/>
          </w:rPr>
          <w:tab/>
        </w:r>
        <w:r>
          <w:rPr>
            <w:noProof/>
            <w:webHidden/>
          </w:rPr>
          <w:fldChar w:fldCharType="begin"/>
        </w:r>
        <w:r>
          <w:rPr>
            <w:noProof/>
            <w:webHidden/>
          </w:rPr>
          <w:instrText xml:space="preserve"> PAGEREF _Toc391021450 \h </w:instrText>
        </w:r>
        <w:r>
          <w:rPr>
            <w:noProof/>
            <w:webHidden/>
          </w:rPr>
        </w:r>
        <w:r>
          <w:rPr>
            <w:noProof/>
            <w:webHidden/>
          </w:rPr>
          <w:fldChar w:fldCharType="separate"/>
        </w:r>
        <w:r>
          <w:rPr>
            <w:noProof/>
            <w:webHidden/>
          </w:rPr>
          <w:t>61</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51" w:history="1">
        <w:r w:rsidRPr="004E3F19">
          <w:rPr>
            <w:rStyle w:val="Hyperlink"/>
            <w:noProof/>
          </w:rPr>
          <w:t>Quantitative PCR analysis of fungi and bacteria abundance</w:t>
        </w:r>
        <w:r>
          <w:rPr>
            <w:noProof/>
            <w:webHidden/>
          </w:rPr>
          <w:tab/>
        </w:r>
        <w:r>
          <w:rPr>
            <w:noProof/>
            <w:webHidden/>
          </w:rPr>
          <w:fldChar w:fldCharType="begin"/>
        </w:r>
        <w:r>
          <w:rPr>
            <w:noProof/>
            <w:webHidden/>
          </w:rPr>
          <w:instrText xml:space="preserve"> PAGEREF _Toc391021451 \h </w:instrText>
        </w:r>
        <w:r>
          <w:rPr>
            <w:noProof/>
            <w:webHidden/>
          </w:rPr>
        </w:r>
        <w:r>
          <w:rPr>
            <w:noProof/>
            <w:webHidden/>
          </w:rPr>
          <w:fldChar w:fldCharType="separate"/>
        </w:r>
        <w:r>
          <w:rPr>
            <w:noProof/>
            <w:webHidden/>
          </w:rPr>
          <w:t>62</w:t>
        </w:r>
        <w:r>
          <w:rPr>
            <w:noProof/>
            <w:webHidden/>
          </w:rPr>
          <w:fldChar w:fldCharType="end"/>
        </w:r>
      </w:hyperlink>
    </w:p>
    <w:p w:rsidR="00DB5C50" w:rsidRPr="002542CF" w:rsidRDefault="00DB5C50">
      <w:pPr>
        <w:pStyle w:val="TOC3"/>
        <w:tabs>
          <w:tab w:val="right" w:leader="dot" w:pos="8630"/>
        </w:tabs>
        <w:rPr>
          <w:rFonts w:ascii="Calibri" w:hAnsi="Calibri" w:cs="Times New Roman"/>
          <w:noProof/>
          <w:sz w:val="22"/>
          <w:szCs w:val="22"/>
        </w:rPr>
      </w:pPr>
      <w:hyperlink w:anchor="_Toc391021452" w:history="1">
        <w:r w:rsidRPr="004E3F19">
          <w:rPr>
            <w:rStyle w:val="Hyperlink"/>
            <w:noProof/>
          </w:rPr>
          <w:t>Bioinformatics and statistics</w:t>
        </w:r>
        <w:r>
          <w:rPr>
            <w:noProof/>
            <w:webHidden/>
          </w:rPr>
          <w:tab/>
        </w:r>
        <w:r>
          <w:rPr>
            <w:noProof/>
            <w:webHidden/>
          </w:rPr>
          <w:fldChar w:fldCharType="begin"/>
        </w:r>
        <w:r>
          <w:rPr>
            <w:noProof/>
            <w:webHidden/>
          </w:rPr>
          <w:instrText xml:space="preserve"> PAGEREF _Toc391021452 \h </w:instrText>
        </w:r>
        <w:r>
          <w:rPr>
            <w:noProof/>
            <w:webHidden/>
          </w:rPr>
        </w:r>
        <w:r>
          <w:rPr>
            <w:noProof/>
            <w:webHidden/>
          </w:rPr>
          <w:fldChar w:fldCharType="separate"/>
        </w:r>
        <w:r>
          <w:rPr>
            <w:noProof/>
            <w:webHidden/>
          </w:rPr>
          <w:t>63</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3" w:history="1">
        <w:r w:rsidRPr="004E3F19">
          <w:rPr>
            <w:rStyle w:val="Hyperlink"/>
            <w:noProof/>
          </w:rPr>
          <w:t>RESULTS</w:t>
        </w:r>
        <w:r>
          <w:rPr>
            <w:noProof/>
            <w:webHidden/>
          </w:rPr>
          <w:tab/>
        </w:r>
        <w:r>
          <w:rPr>
            <w:noProof/>
            <w:webHidden/>
          </w:rPr>
          <w:fldChar w:fldCharType="begin"/>
        </w:r>
        <w:r>
          <w:rPr>
            <w:noProof/>
            <w:webHidden/>
          </w:rPr>
          <w:instrText xml:space="preserve"> PAGEREF _Toc391021453 \h </w:instrText>
        </w:r>
        <w:r>
          <w:rPr>
            <w:noProof/>
            <w:webHidden/>
          </w:rPr>
        </w:r>
        <w:r>
          <w:rPr>
            <w:noProof/>
            <w:webHidden/>
          </w:rPr>
          <w:fldChar w:fldCharType="separate"/>
        </w:r>
        <w:r>
          <w:rPr>
            <w:noProof/>
            <w:webHidden/>
          </w:rPr>
          <w:t>64</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4" w:history="1">
        <w:r w:rsidRPr="004E3F19">
          <w:rPr>
            <w:rStyle w:val="Hyperlink"/>
            <w:noProof/>
          </w:rPr>
          <w:t>DISCUSSION</w:t>
        </w:r>
        <w:r>
          <w:rPr>
            <w:noProof/>
            <w:webHidden/>
          </w:rPr>
          <w:tab/>
        </w:r>
        <w:r>
          <w:rPr>
            <w:noProof/>
            <w:webHidden/>
          </w:rPr>
          <w:fldChar w:fldCharType="begin"/>
        </w:r>
        <w:r>
          <w:rPr>
            <w:noProof/>
            <w:webHidden/>
          </w:rPr>
          <w:instrText xml:space="preserve"> PAGEREF _Toc391021454 \h </w:instrText>
        </w:r>
        <w:r>
          <w:rPr>
            <w:noProof/>
            <w:webHidden/>
          </w:rPr>
        </w:r>
        <w:r>
          <w:rPr>
            <w:noProof/>
            <w:webHidden/>
          </w:rPr>
          <w:fldChar w:fldCharType="separate"/>
        </w:r>
        <w:r>
          <w:rPr>
            <w:noProof/>
            <w:webHidden/>
          </w:rPr>
          <w:t>70</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5" w:history="1">
        <w:r w:rsidRPr="004E3F19">
          <w:rPr>
            <w:rStyle w:val="Hyperlink"/>
            <w:noProof/>
          </w:rPr>
          <w:t>References</w:t>
        </w:r>
        <w:r>
          <w:rPr>
            <w:noProof/>
            <w:webHidden/>
          </w:rPr>
          <w:tab/>
        </w:r>
        <w:r>
          <w:rPr>
            <w:noProof/>
            <w:webHidden/>
          </w:rPr>
          <w:fldChar w:fldCharType="begin"/>
        </w:r>
        <w:r>
          <w:rPr>
            <w:noProof/>
            <w:webHidden/>
          </w:rPr>
          <w:instrText xml:space="preserve"> PAGEREF _Toc391021455 \h </w:instrText>
        </w:r>
        <w:r>
          <w:rPr>
            <w:noProof/>
            <w:webHidden/>
          </w:rPr>
        </w:r>
        <w:r>
          <w:rPr>
            <w:noProof/>
            <w:webHidden/>
          </w:rPr>
          <w:fldChar w:fldCharType="separate"/>
        </w:r>
        <w:r>
          <w:rPr>
            <w:noProof/>
            <w:webHidden/>
          </w:rPr>
          <w:t>71</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56" w:history="1">
        <w:r w:rsidRPr="004E3F19">
          <w:rPr>
            <w:rStyle w:val="Hyperlink"/>
            <w:noProof/>
          </w:rPr>
          <w:t>CHAPTER III Soils and Civilizations: Using a General Education Course to Teach Agricultural Relevance</w:t>
        </w:r>
        <w:r>
          <w:rPr>
            <w:noProof/>
            <w:webHidden/>
          </w:rPr>
          <w:tab/>
        </w:r>
        <w:r>
          <w:rPr>
            <w:noProof/>
            <w:webHidden/>
          </w:rPr>
          <w:fldChar w:fldCharType="begin"/>
        </w:r>
        <w:r>
          <w:rPr>
            <w:noProof/>
            <w:webHidden/>
          </w:rPr>
          <w:instrText xml:space="preserve"> PAGEREF _Toc391021456 \h </w:instrText>
        </w:r>
        <w:r>
          <w:rPr>
            <w:noProof/>
            <w:webHidden/>
          </w:rPr>
        </w:r>
        <w:r>
          <w:rPr>
            <w:noProof/>
            <w:webHidden/>
          </w:rPr>
          <w:fldChar w:fldCharType="separate"/>
        </w:r>
        <w:r>
          <w:rPr>
            <w:noProof/>
            <w:webHidden/>
          </w:rPr>
          <w:t>72</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7" w:history="1">
        <w:r w:rsidRPr="004E3F19">
          <w:rPr>
            <w:rStyle w:val="Hyperlink"/>
            <w:noProof/>
          </w:rPr>
          <w:t>Abstract</w:t>
        </w:r>
        <w:r>
          <w:rPr>
            <w:noProof/>
            <w:webHidden/>
          </w:rPr>
          <w:tab/>
        </w:r>
        <w:r>
          <w:rPr>
            <w:noProof/>
            <w:webHidden/>
          </w:rPr>
          <w:fldChar w:fldCharType="begin"/>
        </w:r>
        <w:r>
          <w:rPr>
            <w:noProof/>
            <w:webHidden/>
          </w:rPr>
          <w:instrText xml:space="preserve"> PAGEREF _Toc391021457 \h </w:instrText>
        </w:r>
        <w:r>
          <w:rPr>
            <w:noProof/>
            <w:webHidden/>
          </w:rPr>
        </w:r>
        <w:r>
          <w:rPr>
            <w:noProof/>
            <w:webHidden/>
          </w:rPr>
          <w:fldChar w:fldCharType="separate"/>
        </w:r>
        <w:r>
          <w:rPr>
            <w:noProof/>
            <w:webHidden/>
          </w:rPr>
          <w:t>73</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8" w:history="1">
        <w:r w:rsidRPr="004E3F19">
          <w:rPr>
            <w:rStyle w:val="Hyperlink"/>
            <w:noProof/>
          </w:rPr>
          <w:t>Introduction</w:t>
        </w:r>
        <w:r>
          <w:rPr>
            <w:noProof/>
            <w:webHidden/>
          </w:rPr>
          <w:tab/>
        </w:r>
        <w:r>
          <w:rPr>
            <w:noProof/>
            <w:webHidden/>
          </w:rPr>
          <w:fldChar w:fldCharType="begin"/>
        </w:r>
        <w:r>
          <w:rPr>
            <w:noProof/>
            <w:webHidden/>
          </w:rPr>
          <w:instrText xml:space="preserve"> PAGEREF _Toc391021458 \h </w:instrText>
        </w:r>
        <w:r>
          <w:rPr>
            <w:noProof/>
            <w:webHidden/>
          </w:rPr>
        </w:r>
        <w:r>
          <w:rPr>
            <w:noProof/>
            <w:webHidden/>
          </w:rPr>
          <w:fldChar w:fldCharType="separate"/>
        </w:r>
        <w:r>
          <w:rPr>
            <w:noProof/>
            <w:webHidden/>
          </w:rPr>
          <w:t>75</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59" w:history="1">
        <w:r w:rsidRPr="004E3F19">
          <w:rPr>
            <w:rStyle w:val="Hyperlink"/>
            <w:noProof/>
          </w:rPr>
          <w:t>Materials and Methods</w:t>
        </w:r>
        <w:r>
          <w:rPr>
            <w:noProof/>
            <w:webHidden/>
          </w:rPr>
          <w:tab/>
        </w:r>
        <w:r>
          <w:rPr>
            <w:noProof/>
            <w:webHidden/>
          </w:rPr>
          <w:fldChar w:fldCharType="begin"/>
        </w:r>
        <w:r>
          <w:rPr>
            <w:noProof/>
            <w:webHidden/>
          </w:rPr>
          <w:instrText xml:space="preserve"> PAGEREF _Toc391021459 \h </w:instrText>
        </w:r>
        <w:r>
          <w:rPr>
            <w:noProof/>
            <w:webHidden/>
          </w:rPr>
        </w:r>
        <w:r>
          <w:rPr>
            <w:noProof/>
            <w:webHidden/>
          </w:rPr>
          <w:fldChar w:fldCharType="separate"/>
        </w:r>
        <w:r>
          <w:rPr>
            <w:noProof/>
            <w:webHidden/>
          </w:rPr>
          <w:t>79</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60" w:history="1">
        <w:r w:rsidRPr="004E3F19">
          <w:rPr>
            <w:rStyle w:val="Hyperlink"/>
            <w:noProof/>
          </w:rPr>
          <w:t>Results and Discussion</w:t>
        </w:r>
        <w:r>
          <w:rPr>
            <w:noProof/>
            <w:webHidden/>
          </w:rPr>
          <w:tab/>
        </w:r>
        <w:r>
          <w:rPr>
            <w:noProof/>
            <w:webHidden/>
          </w:rPr>
          <w:fldChar w:fldCharType="begin"/>
        </w:r>
        <w:r>
          <w:rPr>
            <w:noProof/>
            <w:webHidden/>
          </w:rPr>
          <w:instrText xml:space="preserve"> PAGEREF _Toc391021460 \h </w:instrText>
        </w:r>
        <w:r>
          <w:rPr>
            <w:noProof/>
            <w:webHidden/>
          </w:rPr>
        </w:r>
        <w:r>
          <w:rPr>
            <w:noProof/>
            <w:webHidden/>
          </w:rPr>
          <w:fldChar w:fldCharType="separate"/>
        </w:r>
        <w:r>
          <w:rPr>
            <w:noProof/>
            <w:webHidden/>
          </w:rPr>
          <w:t>80</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61" w:history="1">
        <w:r w:rsidRPr="004E3F19">
          <w:rPr>
            <w:rStyle w:val="Hyperlink"/>
            <w:noProof/>
          </w:rPr>
          <w:t>Summary</w:t>
        </w:r>
        <w:r>
          <w:rPr>
            <w:noProof/>
            <w:webHidden/>
          </w:rPr>
          <w:tab/>
        </w:r>
        <w:r>
          <w:rPr>
            <w:noProof/>
            <w:webHidden/>
          </w:rPr>
          <w:fldChar w:fldCharType="begin"/>
        </w:r>
        <w:r>
          <w:rPr>
            <w:noProof/>
            <w:webHidden/>
          </w:rPr>
          <w:instrText xml:space="preserve"> PAGEREF _Toc391021461 \h </w:instrText>
        </w:r>
        <w:r>
          <w:rPr>
            <w:noProof/>
            <w:webHidden/>
          </w:rPr>
        </w:r>
        <w:r>
          <w:rPr>
            <w:noProof/>
            <w:webHidden/>
          </w:rPr>
          <w:fldChar w:fldCharType="separate"/>
        </w:r>
        <w:r>
          <w:rPr>
            <w:noProof/>
            <w:webHidden/>
          </w:rPr>
          <w:t>85</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62" w:history="1">
        <w:r w:rsidRPr="004E3F19">
          <w:rPr>
            <w:rStyle w:val="Hyperlink"/>
            <w:noProof/>
          </w:rPr>
          <w:t>References</w:t>
        </w:r>
        <w:r>
          <w:rPr>
            <w:noProof/>
            <w:webHidden/>
          </w:rPr>
          <w:tab/>
        </w:r>
        <w:r>
          <w:rPr>
            <w:noProof/>
            <w:webHidden/>
          </w:rPr>
          <w:fldChar w:fldCharType="begin"/>
        </w:r>
        <w:r>
          <w:rPr>
            <w:noProof/>
            <w:webHidden/>
          </w:rPr>
          <w:instrText xml:space="preserve"> PAGEREF _Toc391021462 \h </w:instrText>
        </w:r>
        <w:r>
          <w:rPr>
            <w:noProof/>
            <w:webHidden/>
          </w:rPr>
        </w:r>
        <w:r>
          <w:rPr>
            <w:noProof/>
            <w:webHidden/>
          </w:rPr>
          <w:fldChar w:fldCharType="separate"/>
        </w:r>
        <w:r>
          <w:rPr>
            <w:noProof/>
            <w:webHidden/>
          </w:rPr>
          <w:t>86</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63" w:history="1">
        <w:r w:rsidRPr="004E3F19">
          <w:rPr>
            <w:rStyle w:val="Hyperlink"/>
            <w:noProof/>
          </w:rPr>
          <w:t>CONCLUSION</w:t>
        </w:r>
        <w:r>
          <w:rPr>
            <w:noProof/>
            <w:webHidden/>
          </w:rPr>
          <w:tab/>
        </w:r>
        <w:r>
          <w:rPr>
            <w:noProof/>
            <w:webHidden/>
          </w:rPr>
          <w:fldChar w:fldCharType="begin"/>
        </w:r>
        <w:r>
          <w:rPr>
            <w:noProof/>
            <w:webHidden/>
          </w:rPr>
          <w:instrText xml:space="preserve"> PAGEREF _Toc391021463 \h </w:instrText>
        </w:r>
        <w:r>
          <w:rPr>
            <w:noProof/>
            <w:webHidden/>
          </w:rPr>
        </w:r>
        <w:r>
          <w:rPr>
            <w:noProof/>
            <w:webHidden/>
          </w:rPr>
          <w:fldChar w:fldCharType="separate"/>
        </w:r>
        <w:r>
          <w:rPr>
            <w:noProof/>
            <w:webHidden/>
          </w:rPr>
          <w:t>88</w:t>
        </w:r>
        <w:r>
          <w:rPr>
            <w:noProof/>
            <w:webHidden/>
          </w:rPr>
          <w:fldChar w:fldCharType="end"/>
        </w:r>
      </w:hyperlink>
    </w:p>
    <w:p w:rsidR="00DB5C50" w:rsidRPr="002542CF" w:rsidRDefault="00DB5C50">
      <w:pPr>
        <w:pStyle w:val="TOC2"/>
        <w:tabs>
          <w:tab w:val="right" w:leader="dot" w:pos="8630"/>
        </w:tabs>
        <w:rPr>
          <w:rFonts w:ascii="Calibri" w:hAnsi="Calibri" w:cs="Times New Roman"/>
          <w:noProof/>
          <w:sz w:val="22"/>
          <w:szCs w:val="22"/>
        </w:rPr>
      </w:pPr>
      <w:hyperlink w:anchor="_Toc391021464" w:history="1">
        <w:r w:rsidRPr="004E3F19">
          <w:rPr>
            <w:rStyle w:val="Hyperlink"/>
            <w:noProof/>
          </w:rPr>
          <w:t>Heading 2</w:t>
        </w:r>
        <w:r>
          <w:rPr>
            <w:noProof/>
            <w:webHidden/>
          </w:rPr>
          <w:tab/>
        </w:r>
        <w:r>
          <w:rPr>
            <w:noProof/>
            <w:webHidden/>
          </w:rPr>
          <w:fldChar w:fldCharType="begin"/>
        </w:r>
        <w:r>
          <w:rPr>
            <w:noProof/>
            <w:webHidden/>
          </w:rPr>
          <w:instrText xml:space="preserve"> PAGEREF _Toc391021464 \h </w:instrText>
        </w:r>
        <w:r>
          <w:rPr>
            <w:noProof/>
            <w:webHidden/>
          </w:rPr>
        </w:r>
        <w:r>
          <w:rPr>
            <w:noProof/>
            <w:webHidden/>
          </w:rPr>
          <w:fldChar w:fldCharType="separate"/>
        </w:r>
        <w:r>
          <w:rPr>
            <w:noProof/>
            <w:webHidden/>
          </w:rPr>
          <w:t>88</w:t>
        </w:r>
        <w:r>
          <w:rPr>
            <w:noProof/>
            <w:webHidden/>
          </w:rPr>
          <w:fldChar w:fldCharType="end"/>
        </w:r>
      </w:hyperlink>
    </w:p>
    <w:p w:rsidR="00DB5C50" w:rsidRPr="002542CF" w:rsidRDefault="00DB5C50">
      <w:pPr>
        <w:pStyle w:val="TOC1"/>
        <w:tabs>
          <w:tab w:val="right" w:leader="dot" w:pos="8630"/>
        </w:tabs>
        <w:rPr>
          <w:rFonts w:ascii="Calibri" w:hAnsi="Calibri" w:cs="Times New Roman"/>
          <w:noProof/>
          <w:sz w:val="22"/>
          <w:szCs w:val="22"/>
        </w:rPr>
      </w:pPr>
      <w:hyperlink w:anchor="_Toc391021465" w:history="1">
        <w:r w:rsidRPr="004E3F19">
          <w:rPr>
            <w:rStyle w:val="Hyperlink"/>
            <w:noProof/>
          </w:rPr>
          <w:t>VITA</w:t>
        </w:r>
        <w:r>
          <w:rPr>
            <w:noProof/>
            <w:webHidden/>
          </w:rPr>
          <w:tab/>
        </w:r>
        <w:r>
          <w:rPr>
            <w:noProof/>
            <w:webHidden/>
          </w:rPr>
          <w:fldChar w:fldCharType="begin"/>
        </w:r>
        <w:r>
          <w:rPr>
            <w:noProof/>
            <w:webHidden/>
          </w:rPr>
          <w:instrText xml:space="preserve"> PAGEREF _Toc391021465 \h </w:instrText>
        </w:r>
        <w:r>
          <w:rPr>
            <w:noProof/>
            <w:webHidden/>
          </w:rPr>
        </w:r>
        <w:r>
          <w:rPr>
            <w:noProof/>
            <w:webHidden/>
          </w:rPr>
          <w:fldChar w:fldCharType="separate"/>
        </w:r>
        <w:r>
          <w:rPr>
            <w:noProof/>
            <w:webHidden/>
          </w:rPr>
          <w:t>89</w:t>
        </w:r>
        <w:r>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387656" w:rsidRDefault="00387656" w:rsidP="00387656">
      <w:pPr>
        <w:pStyle w:val="Title"/>
      </w:pPr>
      <w:r>
        <w:t>LIST OF TABLES</w:t>
      </w:r>
    </w:p>
    <w:p w:rsidR="00387656" w:rsidRDefault="00387656" w:rsidP="00387656">
      <w:pPr>
        <w:pStyle w:val="Title"/>
      </w:pPr>
    </w:p>
    <w:p w:rsidR="007C55A7" w:rsidRPr="002542CF" w:rsidRDefault="00387656">
      <w:pPr>
        <w:pStyle w:val="TableofFigures"/>
        <w:tabs>
          <w:tab w:val="right" w:leader="dot" w:pos="8630"/>
        </w:tabs>
        <w:rPr>
          <w:rFonts w:ascii="Calibri" w:hAnsi="Calibri" w:cs="Times New Roman"/>
          <w:noProof/>
          <w:sz w:val="22"/>
          <w:szCs w:val="22"/>
        </w:rPr>
      </w:pPr>
      <w:r>
        <w:fldChar w:fldCharType="begin"/>
      </w:r>
      <w:r>
        <w:instrText xml:space="preserve"> TOC \h \z \c "Table" </w:instrText>
      </w:r>
      <w:r>
        <w:fldChar w:fldCharType="separate"/>
      </w:r>
      <w:hyperlink w:anchor="_Toc390954644" w:history="1">
        <w:r w:rsidR="007C55A7" w:rsidRPr="002A4CF9">
          <w:rPr>
            <w:rStyle w:val="Hyperlink"/>
            <w:noProof/>
          </w:rPr>
          <w:t>Table 1</w:t>
        </w:r>
        <w:r w:rsidR="007C55A7" w:rsidRPr="002A4CF9">
          <w:rPr>
            <w:rStyle w:val="Hyperlink"/>
            <w:noProof/>
          </w:rPr>
          <w:noBreakHyphen/>
          <w:t>1 Effect of tillage, cover crops and N fertilizer rate on selected soil chemical and physical properties</w:t>
        </w:r>
        <w:r w:rsidR="007C55A7">
          <w:rPr>
            <w:noProof/>
            <w:webHidden/>
          </w:rPr>
          <w:tab/>
        </w:r>
        <w:r w:rsidR="007C55A7">
          <w:rPr>
            <w:noProof/>
            <w:webHidden/>
          </w:rPr>
          <w:fldChar w:fldCharType="begin"/>
        </w:r>
        <w:r w:rsidR="007C55A7">
          <w:rPr>
            <w:noProof/>
            <w:webHidden/>
          </w:rPr>
          <w:instrText xml:space="preserve"> PAGEREF _Toc390954644 \h </w:instrText>
        </w:r>
        <w:r w:rsidR="007C55A7">
          <w:rPr>
            <w:noProof/>
            <w:webHidden/>
          </w:rPr>
        </w:r>
        <w:r w:rsidR="007C55A7">
          <w:rPr>
            <w:noProof/>
            <w:webHidden/>
          </w:rPr>
          <w:fldChar w:fldCharType="separate"/>
        </w:r>
        <w:r w:rsidR="007C55A7">
          <w:rPr>
            <w:noProof/>
            <w:webHidden/>
          </w:rPr>
          <w:t>24</w:t>
        </w:r>
        <w:r w:rsidR="007C55A7">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45" w:history="1">
        <w:r w:rsidRPr="002A4CF9">
          <w:rPr>
            <w:rStyle w:val="Hyperlink"/>
            <w:noProof/>
          </w:rPr>
          <w:t>Table 1</w:t>
        </w:r>
        <w:r w:rsidRPr="002A4CF9">
          <w:rPr>
            <w:rStyle w:val="Hyperlink"/>
            <w:noProof/>
          </w:rPr>
          <w:noBreakHyphen/>
          <w:t>2 Tillage, cover crops and N fertilizer rate effect on soil quality indicators based on the scores as determined by soil management assessment framework</w:t>
        </w:r>
        <w:r>
          <w:rPr>
            <w:noProof/>
            <w:webHidden/>
          </w:rPr>
          <w:tab/>
        </w:r>
        <w:r>
          <w:rPr>
            <w:noProof/>
            <w:webHidden/>
          </w:rPr>
          <w:fldChar w:fldCharType="begin"/>
        </w:r>
        <w:r>
          <w:rPr>
            <w:noProof/>
            <w:webHidden/>
          </w:rPr>
          <w:instrText xml:space="preserve"> PAGEREF _Toc390954645 \h </w:instrText>
        </w:r>
        <w:r>
          <w:rPr>
            <w:noProof/>
            <w:webHidden/>
          </w:rPr>
        </w:r>
        <w:r>
          <w:rPr>
            <w:noProof/>
            <w:webHidden/>
          </w:rPr>
          <w:fldChar w:fldCharType="separate"/>
        </w:r>
        <w:r>
          <w:rPr>
            <w:noProof/>
            <w:webHidden/>
          </w:rPr>
          <w:t>28</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46" w:history="1">
        <w:r w:rsidRPr="002A4CF9">
          <w:rPr>
            <w:rStyle w:val="Hyperlink"/>
            <w:noProof/>
          </w:rPr>
          <w:t>Table 1</w:t>
        </w:r>
        <w:r w:rsidRPr="002A4CF9">
          <w:rPr>
            <w:rStyle w:val="Hyperlink"/>
            <w:noProof/>
          </w:rPr>
          <w:noBreakHyphen/>
          <w:t>3: Relative abundance of FAME biomarkers microbial groups</w:t>
        </w:r>
        <w:r>
          <w:rPr>
            <w:noProof/>
            <w:webHidden/>
          </w:rPr>
          <w:tab/>
        </w:r>
        <w:r>
          <w:rPr>
            <w:noProof/>
            <w:webHidden/>
          </w:rPr>
          <w:fldChar w:fldCharType="begin"/>
        </w:r>
        <w:r>
          <w:rPr>
            <w:noProof/>
            <w:webHidden/>
          </w:rPr>
          <w:instrText xml:space="preserve"> PAGEREF _Toc390954646 \h </w:instrText>
        </w:r>
        <w:r>
          <w:rPr>
            <w:noProof/>
            <w:webHidden/>
          </w:rPr>
        </w:r>
        <w:r>
          <w:rPr>
            <w:noProof/>
            <w:webHidden/>
          </w:rPr>
          <w:fldChar w:fldCharType="separate"/>
        </w:r>
        <w:r>
          <w:rPr>
            <w:noProof/>
            <w:webHidden/>
          </w:rPr>
          <w:t>31</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47" w:history="1">
        <w:r w:rsidRPr="002A4CF9">
          <w:rPr>
            <w:rStyle w:val="Hyperlink"/>
            <w:noProof/>
          </w:rPr>
          <w:t>Table 0</w:t>
        </w:r>
        <w:r w:rsidRPr="002A4CF9">
          <w:rPr>
            <w:rStyle w:val="Hyperlink"/>
            <w:noProof/>
          </w:rPr>
          <w:noBreakHyphen/>
          <w:t>4: This Is The Second Table</w:t>
        </w:r>
        <w:r>
          <w:rPr>
            <w:noProof/>
            <w:webHidden/>
          </w:rPr>
          <w:tab/>
        </w:r>
        <w:r>
          <w:rPr>
            <w:noProof/>
            <w:webHidden/>
          </w:rPr>
          <w:fldChar w:fldCharType="begin"/>
        </w:r>
        <w:r>
          <w:rPr>
            <w:noProof/>
            <w:webHidden/>
          </w:rPr>
          <w:instrText xml:space="preserve"> PAGEREF _Toc390954647 \h </w:instrText>
        </w:r>
        <w:r>
          <w:rPr>
            <w:noProof/>
            <w:webHidden/>
          </w:rPr>
        </w:r>
        <w:r>
          <w:rPr>
            <w:noProof/>
            <w:webHidden/>
          </w:rPr>
          <w:fldChar w:fldCharType="separate"/>
        </w:r>
        <w:r>
          <w:rPr>
            <w:noProof/>
            <w:webHidden/>
          </w:rPr>
          <w:t>54</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48" w:history="1">
        <w:r w:rsidRPr="002A4CF9">
          <w:rPr>
            <w:rStyle w:val="Hyperlink"/>
            <w:noProof/>
          </w:rPr>
          <w:t>Table 2</w:t>
        </w:r>
        <w:r w:rsidRPr="002A4CF9">
          <w:rPr>
            <w:rStyle w:val="Hyperlink"/>
            <w:noProof/>
          </w:rPr>
          <w:noBreakHyphen/>
          <w:t>1: Alpha diversity index measures for both richness and evenness of the bacterial taxa composition across N-rate, cover crop and tillage treatments</w:t>
        </w:r>
        <w:r>
          <w:rPr>
            <w:noProof/>
            <w:webHidden/>
          </w:rPr>
          <w:tab/>
        </w:r>
        <w:r>
          <w:rPr>
            <w:noProof/>
            <w:webHidden/>
          </w:rPr>
          <w:fldChar w:fldCharType="begin"/>
        </w:r>
        <w:r>
          <w:rPr>
            <w:noProof/>
            <w:webHidden/>
          </w:rPr>
          <w:instrText xml:space="preserve"> PAGEREF _Toc390954648 \h </w:instrText>
        </w:r>
        <w:r>
          <w:rPr>
            <w:noProof/>
            <w:webHidden/>
          </w:rPr>
        </w:r>
        <w:r>
          <w:rPr>
            <w:noProof/>
            <w:webHidden/>
          </w:rPr>
          <w:fldChar w:fldCharType="separate"/>
        </w:r>
        <w:r>
          <w:rPr>
            <w:noProof/>
            <w:webHidden/>
          </w:rPr>
          <w:t>66</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49" w:history="1">
        <w:r w:rsidRPr="002A4CF9">
          <w:rPr>
            <w:rStyle w:val="Hyperlink"/>
            <w:noProof/>
          </w:rPr>
          <w:t>Table 2</w:t>
        </w:r>
        <w:r w:rsidRPr="002A4CF9">
          <w:rPr>
            <w:rStyle w:val="Hyperlink"/>
            <w:noProof/>
          </w:rPr>
          <w:noBreakHyphen/>
          <w:t>2 Relative abundance of phylum that are significantly different across N-rates (0, 34, 67 and 101 N-rate), cover crop (Hairy vetch, Winter wheat, and NoCover) and tillage options (NoTill and Till)</w:t>
        </w:r>
        <w:r>
          <w:rPr>
            <w:noProof/>
            <w:webHidden/>
          </w:rPr>
          <w:tab/>
        </w:r>
        <w:r>
          <w:rPr>
            <w:noProof/>
            <w:webHidden/>
          </w:rPr>
          <w:fldChar w:fldCharType="begin"/>
        </w:r>
        <w:r>
          <w:rPr>
            <w:noProof/>
            <w:webHidden/>
          </w:rPr>
          <w:instrText xml:space="preserve"> PAGEREF _Toc390954649 \h </w:instrText>
        </w:r>
        <w:r>
          <w:rPr>
            <w:noProof/>
            <w:webHidden/>
          </w:rPr>
        </w:r>
        <w:r>
          <w:rPr>
            <w:noProof/>
            <w:webHidden/>
          </w:rPr>
          <w:fldChar w:fldCharType="separate"/>
        </w:r>
        <w:r>
          <w:rPr>
            <w:noProof/>
            <w:webHidden/>
          </w:rPr>
          <w:t>69</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50" w:history="1">
        <w:r w:rsidRPr="002A4CF9">
          <w:rPr>
            <w:rStyle w:val="Hyperlink"/>
            <w:noProof/>
          </w:rPr>
          <w:t>Table 3</w:t>
        </w:r>
        <w:r w:rsidRPr="002A4CF9">
          <w:rPr>
            <w:rStyle w:val="Hyperlink"/>
            <w:noProof/>
          </w:rPr>
          <w:noBreakHyphen/>
          <w:t>1 Student responses at the end of 2012 Fall Semester using a Likert scale based are questions/statements asked with answers on a scale of importance</w:t>
        </w:r>
        <w:r>
          <w:rPr>
            <w:noProof/>
            <w:webHidden/>
          </w:rPr>
          <w:tab/>
        </w:r>
        <w:r>
          <w:rPr>
            <w:noProof/>
            <w:webHidden/>
          </w:rPr>
          <w:fldChar w:fldCharType="begin"/>
        </w:r>
        <w:r>
          <w:rPr>
            <w:noProof/>
            <w:webHidden/>
          </w:rPr>
          <w:instrText xml:space="preserve"> PAGEREF _Toc390954650 \h </w:instrText>
        </w:r>
        <w:r>
          <w:rPr>
            <w:noProof/>
            <w:webHidden/>
          </w:rPr>
        </w:r>
        <w:r>
          <w:rPr>
            <w:noProof/>
            <w:webHidden/>
          </w:rPr>
          <w:fldChar w:fldCharType="separate"/>
        </w:r>
        <w:r>
          <w:rPr>
            <w:noProof/>
            <w:webHidden/>
          </w:rPr>
          <w:t>82</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51" w:history="1">
        <w:r w:rsidRPr="002A4CF9">
          <w:rPr>
            <w:rStyle w:val="Hyperlink"/>
            <w:noProof/>
          </w:rPr>
          <w:t>Table 3</w:t>
        </w:r>
        <w:r w:rsidRPr="002A4CF9">
          <w:rPr>
            <w:rStyle w:val="Hyperlink"/>
            <w:noProof/>
          </w:rPr>
          <w:noBreakHyphen/>
          <w:t>2 Student responses at the end of 2012 Fall Semester using a Likert scale based are questions/statements asked with answers on a scale of importance</w:t>
        </w:r>
        <w:r>
          <w:rPr>
            <w:noProof/>
            <w:webHidden/>
          </w:rPr>
          <w:tab/>
        </w:r>
        <w:r>
          <w:rPr>
            <w:noProof/>
            <w:webHidden/>
          </w:rPr>
          <w:fldChar w:fldCharType="begin"/>
        </w:r>
        <w:r>
          <w:rPr>
            <w:noProof/>
            <w:webHidden/>
          </w:rPr>
          <w:instrText xml:space="preserve"> PAGEREF _Toc390954651 \h </w:instrText>
        </w:r>
        <w:r>
          <w:rPr>
            <w:noProof/>
            <w:webHidden/>
          </w:rPr>
        </w:r>
        <w:r>
          <w:rPr>
            <w:noProof/>
            <w:webHidden/>
          </w:rPr>
          <w:fldChar w:fldCharType="separate"/>
        </w:r>
        <w:r>
          <w:rPr>
            <w:noProof/>
            <w:webHidden/>
          </w:rPr>
          <w:t>82</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52" w:history="1">
        <w:r w:rsidRPr="002A4CF9">
          <w:rPr>
            <w:rStyle w:val="Hyperlink"/>
            <w:noProof/>
          </w:rPr>
          <w:t>Table 3</w:t>
        </w:r>
        <w:r w:rsidRPr="002A4CF9">
          <w:rPr>
            <w:rStyle w:val="Hyperlink"/>
            <w:noProof/>
          </w:rPr>
          <w:noBreakHyphen/>
          <w:t>3 Comparison of the mean responses to survey questions at the start and end of 2013 Spring Semester to questions based on the scale of importance shown in table 1</w:t>
        </w:r>
        <w:r>
          <w:rPr>
            <w:noProof/>
            <w:webHidden/>
          </w:rPr>
          <w:tab/>
        </w:r>
        <w:r>
          <w:rPr>
            <w:noProof/>
            <w:webHidden/>
          </w:rPr>
          <w:fldChar w:fldCharType="begin"/>
        </w:r>
        <w:r>
          <w:rPr>
            <w:noProof/>
            <w:webHidden/>
          </w:rPr>
          <w:instrText xml:space="preserve"> PAGEREF _Toc390954652 \h </w:instrText>
        </w:r>
        <w:r>
          <w:rPr>
            <w:noProof/>
            <w:webHidden/>
          </w:rPr>
        </w:r>
        <w:r>
          <w:rPr>
            <w:noProof/>
            <w:webHidden/>
          </w:rPr>
          <w:fldChar w:fldCharType="separate"/>
        </w:r>
        <w:r>
          <w:rPr>
            <w:noProof/>
            <w:webHidden/>
          </w:rPr>
          <w:t>84</w:t>
        </w:r>
        <w:r>
          <w:rPr>
            <w:noProof/>
            <w:webHidden/>
          </w:rPr>
          <w:fldChar w:fldCharType="end"/>
        </w:r>
      </w:hyperlink>
    </w:p>
    <w:p w:rsidR="007C55A7" w:rsidRPr="002542CF" w:rsidRDefault="007C55A7">
      <w:pPr>
        <w:pStyle w:val="TableofFigures"/>
        <w:tabs>
          <w:tab w:val="right" w:leader="dot" w:pos="8630"/>
        </w:tabs>
        <w:rPr>
          <w:rFonts w:ascii="Calibri" w:hAnsi="Calibri" w:cs="Times New Roman"/>
          <w:noProof/>
          <w:sz w:val="22"/>
          <w:szCs w:val="22"/>
        </w:rPr>
      </w:pPr>
      <w:hyperlink w:anchor="_Toc390954653" w:history="1">
        <w:r w:rsidRPr="002A4CF9">
          <w:rPr>
            <w:rStyle w:val="Hyperlink"/>
            <w:noProof/>
          </w:rPr>
          <w:t>Table 3</w:t>
        </w:r>
        <w:r w:rsidRPr="002A4CF9">
          <w:rPr>
            <w:rStyle w:val="Hyperlink"/>
            <w:noProof/>
          </w:rPr>
          <w:noBreakHyphen/>
          <w:t>4 : Comparison of the mean responses to survey statements at the start and end of 2013 Spring Semester to statements based on the scale of agreement shown in Table 2</w:t>
        </w:r>
        <w:r>
          <w:rPr>
            <w:noProof/>
            <w:webHidden/>
          </w:rPr>
          <w:tab/>
        </w:r>
        <w:r>
          <w:rPr>
            <w:noProof/>
            <w:webHidden/>
          </w:rPr>
          <w:fldChar w:fldCharType="begin"/>
        </w:r>
        <w:r>
          <w:rPr>
            <w:noProof/>
            <w:webHidden/>
          </w:rPr>
          <w:instrText xml:space="preserve"> PAGEREF _Toc390954653 \h </w:instrText>
        </w:r>
        <w:r>
          <w:rPr>
            <w:noProof/>
            <w:webHidden/>
          </w:rPr>
        </w:r>
        <w:r>
          <w:rPr>
            <w:noProof/>
            <w:webHidden/>
          </w:rPr>
          <w:fldChar w:fldCharType="separate"/>
        </w:r>
        <w:r>
          <w:rPr>
            <w:noProof/>
            <w:webHidden/>
          </w:rPr>
          <w:t>84</w:t>
        </w:r>
        <w:r>
          <w:rPr>
            <w:noProof/>
            <w:webHidden/>
          </w:rPr>
          <w:fldChar w:fldCharType="end"/>
        </w:r>
      </w:hyperlink>
    </w:p>
    <w:p w:rsidR="00236E6D" w:rsidRPr="00526151" w:rsidRDefault="00387656"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904969" w:rsidRDefault="00904969" w:rsidP="00F23367">
      <w:pPr>
        <w:pStyle w:val="Title"/>
        <w:jc w:val="left"/>
      </w:pPr>
      <w:r>
        <w:lastRenderedPageBreak/>
        <w:t xml:space="preserve">LIST OF </w:t>
      </w:r>
      <w:r w:rsidRPr="00904969">
        <w:t>FIGURES</w:t>
      </w:r>
    </w:p>
    <w:p w:rsidR="001504EF" w:rsidRPr="002542CF" w:rsidRDefault="00387656">
      <w:pPr>
        <w:pStyle w:val="TableofFigures"/>
        <w:tabs>
          <w:tab w:val="right" w:leader="dot" w:pos="8630"/>
        </w:tabs>
        <w:rPr>
          <w:rFonts w:ascii="Calibri" w:hAnsi="Calibri" w:cs="Times New Roman"/>
          <w:noProof/>
          <w:sz w:val="22"/>
          <w:szCs w:val="22"/>
        </w:rPr>
      </w:pPr>
      <w:r>
        <w:fldChar w:fldCharType="begin"/>
      </w:r>
      <w:r>
        <w:instrText xml:space="preserve"> TOC \h \z \c "Figure" </w:instrText>
      </w:r>
      <w:r>
        <w:fldChar w:fldCharType="separate"/>
      </w:r>
      <w:hyperlink w:anchor="_Toc390954664" w:history="1">
        <w:r w:rsidR="001504EF" w:rsidRPr="00570D6D">
          <w:rPr>
            <w:rStyle w:val="Hyperlink"/>
            <w:noProof/>
          </w:rPr>
          <w:t>Figure 1</w:t>
        </w:r>
        <w:r w:rsidR="001504EF" w:rsidRPr="00570D6D">
          <w:rPr>
            <w:rStyle w:val="Hyperlink"/>
            <w:noProof/>
          </w:rPr>
          <w:noBreakHyphen/>
          <w:t>1 Interaction effect of cover crop an N fertilizer rate on both total soil C and N across levels of tillage.</w:t>
        </w:r>
        <w:r w:rsidR="001504EF">
          <w:rPr>
            <w:noProof/>
            <w:webHidden/>
          </w:rPr>
          <w:tab/>
        </w:r>
        <w:r w:rsidR="001504EF">
          <w:rPr>
            <w:noProof/>
            <w:webHidden/>
          </w:rPr>
          <w:fldChar w:fldCharType="begin"/>
        </w:r>
        <w:r w:rsidR="001504EF">
          <w:rPr>
            <w:noProof/>
            <w:webHidden/>
          </w:rPr>
          <w:instrText xml:space="preserve"> PAGEREF _Toc390954664 \h </w:instrText>
        </w:r>
        <w:r w:rsidR="001504EF">
          <w:rPr>
            <w:noProof/>
            <w:webHidden/>
          </w:rPr>
        </w:r>
        <w:r w:rsidR="001504EF">
          <w:rPr>
            <w:noProof/>
            <w:webHidden/>
          </w:rPr>
          <w:fldChar w:fldCharType="separate"/>
        </w:r>
        <w:r w:rsidR="001504EF">
          <w:rPr>
            <w:noProof/>
            <w:webHidden/>
          </w:rPr>
          <w:t>26</w:t>
        </w:r>
        <w:r w:rsidR="001504EF">
          <w:rPr>
            <w:noProof/>
            <w:webHidden/>
          </w:rPr>
          <w:fldChar w:fldCharType="end"/>
        </w:r>
      </w:hyperlink>
    </w:p>
    <w:p w:rsidR="001504EF" w:rsidRPr="002542CF" w:rsidRDefault="001504EF">
      <w:pPr>
        <w:pStyle w:val="TableofFigures"/>
        <w:tabs>
          <w:tab w:val="right" w:leader="dot" w:pos="8630"/>
        </w:tabs>
        <w:rPr>
          <w:rFonts w:ascii="Calibri" w:hAnsi="Calibri" w:cs="Times New Roman"/>
          <w:noProof/>
          <w:sz w:val="22"/>
          <w:szCs w:val="22"/>
        </w:rPr>
      </w:pPr>
      <w:hyperlink r:id="rId9" w:anchor="_Toc390954665" w:history="1">
        <w:r w:rsidRPr="00570D6D">
          <w:rPr>
            <w:rStyle w:val="Hyperlink"/>
            <w:noProof/>
          </w:rPr>
          <w:t>Figure 1</w:t>
        </w:r>
        <w:r w:rsidRPr="00570D6D">
          <w:rPr>
            <w:rStyle w:val="Hyperlink"/>
            <w:noProof/>
          </w:rPr>
          <w:noBreakHyphen/>
          <w:t>2 Effect of tillage and cover crops on (a) total soil C and (b) on total soil N within each rate of N fertilizer.</w:t>
        </w:r>
        <w:r>
          <w:rPr>
            <w:noProof/>
            <w:webHidden/>
          </w:rPr>
          <w:tab/>
        </w:r>
        <w:r>
          <w:rPr>
            <w:noProof/>
            <w:webHidden/>
          </w:rPr>
          <w:fldChar w:fldCharType="begin"/>
        </w:r>
        <w:r>
          <w:rPr>
            <w:noProof/>
            <w:webHidden/>
          </w:rPr>
          <w:instrText xml:space="preserve"> PAGEREF _Toc390954665 \h </w:instrText>
        </w:r>
        <w:r>
          <w:rPr>
            <w:noProof/>
            <w:webHidden/>
          </w:rPr>
        </w:r>
        <w:r>
          <w:rPr>
            <w:noProof/>
            <w:webHidden/>
          </w:rPr>
          <w:fldChar w:fldCharType="separate"/>
        </w:r>
        <w:r>
          <w:rPr>
            <w:noProof/>
            <w:webHidden/>
          </w:rPr>
          <w:t>27</w:t>
        </w:r>
        <w:r>
          <w:rPr>
            <w:noProof/>
            <w:webHidden/>
          </w:rPr>
          <w:fldChar w:fldCharType="end"/>
        </w:r>
      </w:hyperlink>
    </w:p>
    <w:p w:rsidR="001504EF" w:rsidRPr="002542CF" w:rsidRDefault="001504EF">
      <w:pPr>
        <w:pStyle w:val="TableofFigures"/>
        <w:tabs>
          <w:tab w:val="right" w:leader="dot" w:pos="8630"/>
        </w:tabs>
        <w:rPr>
          <w:rFonts w:ascii="Calibri" w:hAnsi="Calibri" w:cs="Times New Roman"/>
          <w:noProof/>
          <w:sz w:val="22"/>
          <w:szCs w:val="22"/>
        </w:rPr>
      </w:pPr>
      <w:hyperlink r:id="rId10" w:anchor="_Toc390954666" w:history="1">
        <w:r w:rsidRPr="00570D6D">
          <w:rPr>
            <w:rStyle w:val="Hyperlink"/>
            <w:noProof/>
          </w:rPr>
          <w:t>Figure 2</w:t>
        </w:r>
        <w:r w:rsidRPr="00570D6D">
          <w:rPr>
            <w:rStyle w:val="Hyperlink"/>
            <w:noProof/>
          </w:rPr>
          <w:noBreakHyphen/>
          <w:t>1: Rarefaction curves showing the total sequence depth (left) and sub-sampling depth (right) based on treatment effects N-rate, cover crop and tillage.</w:t>
        </w:r>
        <w:r>
          <w:rPr>
            <w:noProof/>
            <w:webHidden/>
          </w:rPr>
          <w:tab/>
        </w:r>
        <w:r>
          <w:rPr>
            <w:noProof/>
            <w:webHidden/>
          </w:rPr>
          <w:fldChar w:fldCharType="begin"/>
        </w:r>
        <w:r>
          <w:rPr>
            <w:noProof/>
            <w:webHidden/>
          </w:rPr>
          <w:instrText xml:space="preserve"> PAGEREF _Toc390954666 \h </w:instrText>
        </w:r>
        <w:r>
          <w:rPr>
            <w:noProof/>
            <w:webHidden/>
          </w:rPr>
        </w:r>
        <w:r>
          <w:rPr>
            <w:noProof/>
            <w:webHidden/>
          </w:rPr>
          <w:fldChar w:fldCharType="separate"/>
        </w:r>
        <w:r>
          <w:rPr>
            <w:noProof/>
            <w:webHidden/>
          </w:rPr>
          <w:t>65</w:t>
        </w:r>
        <w:r>
          <w:rPr>
            <w:noProof/>
            <w:webHidden/>
          </w:rPr>
          <w:fldChar w:fldCharType="end"/>
        </w:r>
      </w:hyperlink>
    </w:p>
    <w:p w:rsidR="001504EF" w:rsidRPr="002542CF" w:rsidRDefault="001504EF">
      <w:pPr>
        <w:pStyle w:val="TableofFigures"/>
        <w:tabs>
          <w:tab w:val="right" w:leader="dot" w:pos="8630"/>
        </w:tabs>
        <w:rPr>
          <w:rFonts w:ascii="Calibri" w:hAnsi="Calibri" w:cs="Times New Roman"/>
          <w:noProof/>
          <w:sz w:val="22"/>
          <w:szCs w:val="22"/>
        </w:rPr>
      </w:pPr>
      <w:hyperlink w:anchor="_Toc390954667" w:history="1">
        <w:r w:rsidRPr="00570D6D">
          <w:rPr>
            <w:rStyle w:val="Hyperlink"/>
            <w:noProof/>
          </w:rPr>
          <w:t>Figure 2</w:t>
        </w:r>
        <w:r w:rsidRPr="00570D6D">
          <w:rPr>
            <w:rStyle w:val="Hyperlink"/>
            <w:noProof/>
          </w:rPr>
          <w:noBreakHyphen/>
          <w:t>2: Non-metric dimensional scaling representing the beta-diversity measures across all samples.</w:t>
        </w:r>
        <w:r>
          <w:rPr>
            <w:noProof/>
            <w:webHidden/>
          </w:rPr>
          <w:tab/>
        </w:r>
        <w:r>
          <w:rPr>
            <w:noProof/>
            <w:webHidden/>
          </w:rPr>
          <w:fldChar w:fldCharType="begin"/>
        </w:r>
        <w:r>
          <w:rPr>
            <w:noProof/>
            <w:webHidden/>
          </w:rPr>
          <w:instrText xml:space="preserve"> PAGEREF _Toc390954667 \h </w:instrText>
        </w:r>
        <w:r>
          <w:rPr>
            <w:noProof/>
            <w:webHidden/>
          </w:rPr>
        </w:r>
        <w:r>
          <w:rPr>
            <w:noProof/>
            <w:webHidden/>
          </w:rPr>
          <w:fldChar w:fldCharType="separate"/>
        </w:r>
        <w:r>
          <w:rPr>
            <w:noProof/>
            <w:webHidden/>
          </w:rPr>
          <w:t>67</w:t>
        </w:r>
        <w:r>
          <w:rPr>
            <w:noProof/>
            <w:webHidden/>
          </w:rPr>
          <w:fldChar w:fldCharType="end"/>
        </w:r>
      </w:hyperlink>
    </w:p>
    <w:p w:rsidR="001504EF" w:rsidRPr="002542CF" w:rsidRDefault="001504EF">
      <w:pPr>
        <w:pStyle w:val="TableofFigures"/>
        <w:tabs>
          <w:tab w:val="right" w:leader="dot" w:pos="8630"/>
        </w:tabs>
        <w:rPr>
          <w:rFonts w:ascii="Calibri" w:hAnsi="Calibri" w:cs="Times New Roman"/>
          <w:noProof/>
          <w:sz w:val="22"/>
          <w:szCs w:val="22"/>
        </w:rPr>
      </w:pPr>
      <w:hyperlink w:anchor="_Toc390954668" w:history="1">
        <w:r w:rsidRPr="00570D6D">
          <w:rPr>
            <w:rStyle w:val="Hyperlink"/>
            <w:noProof/>
          </w:rPr>
          <w:t>Figure 2</w:t>
        </w:r>
        <w:r w:rsidRPr="00570D6D">
          <w:rPr>
            <w:rStyle w:val="Hyperlink"/>
            <w:noProof/>
          </w:rPr>
          <w:noBreakHyphen/>
          <w:t xml:space="preserve">3 </w:t>
        </w:r>
        <w:r w:rsidRPr="00570D6D">
          <w:rPr>
            <w:rStyle w:val="Hyperlink"/>
            <w:rFonts w:ascii="Dutch801BT-Roman" w:hAnsi="Dutch801BT-Roman" w:cs="Dutch801BT-Roman"/>
            <w:noProof/>
          </w:rPr>
          <w:t>Relative abundances of dominant bacterial taxa under NoTill and Till and cover crops Hairy vetch, winter wheat and NoCover across all nitrogen fertilization rater (0, 34, 67 and 101N rates)</w:t>
        </w:r>
        <w:r>
          <w:rPr>
            <w:noProof/>
            <w:webHidden/>
          </w:rPr>
          <w:tab/>
        </w:r>
        <w:r>
          <w:rPr>
            <w:noProof/>
            <w:webHidden/>
          </w:rPr>
          <w:fldChar w:fldCharType="begin"/>
        </w:r>
        <w:r>
          <w:rPr>
            <w:noProof/>
            <w:webHidden/>
          </w:rPr>
          <w:instrText xml:space="preserve"> PAGEREF _Toc390954668 \h </w:instrText>
        </w:r>
        <w:r>
          <w:rPr>
            <w:noProof/>
            <w:webHidden/>
          </w:rPr>
        </w:r>
        <w:r>
          <w:rPr>
            <w:noProof/>
            <w:webHidden/>
          </w:rPr>
          <w:fldChar w:fldCharType="separate"/>
        </w:r>
        <w:r>
          <w:rPr>
            <w:noProof/>
            <w:webHidden/>
          </w:rPr>
          <w:t>68</w:t>
        </w:r>
        <w:r>
          <w:rPr>
            <w:noProof/>
            <w:webHidden/>
          </w:rPr>
          <w:fldChar w:fldCharType="end"/>
        </w:r>
      </w:hyperlink>
    </w:p>
    <w:p w:rsidR="00387656" w:rsidRPr="005E54E2" w:rsidRDefault="00387656" w:rsidP="00387656">
      <w:pPr>
        <w:pStyle w:val="Title"/>
      </w:pPr>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11"/>
          <w:pgSz w:w="12240" w:h="15840" w:code="1"/>
          <w:pgMar w:top="1440" w:right="1800" w:bottom="1872" w:left="1800" w:header="720" w:footer="1440" w:gutter="0"/>
          <w:pgNumType w:fmt="lowerRoman" w:start="1"/>
          <w:cols w:space="720"/>
          <w:noEndnote/>
          <w:titlePg/>
        </w:sectPr>
      </w:pPr>
    </w:p>
    <w:p w:rsidR="004C2071" w:rsidRDefault="00526151" w:rsidP="005E54E2">
      <w:pPr>
        <w:pStyle w:val="Heading1"/>
      </w:pPr>
      <w:bookmarkStart w:id="0" w:name="_Toc289175819"/>
      <w:bookmarkStart w:id="1" w:name="_Toc391021410"/>
      <w:r>
        <w:lastRenderedPageBreak/>
        <w:t>INTRODUCTION</w:t>
      </w:r>
      <w:bookmarkEnd w:id="0"/>
      <w:bookmarkEnd w:id="1"/>
      <w:r w:rsidR="00EE334C">
        <w:t xml:space="preserve"> </w:t>
      </w:r>
    </w:p>
    <w:p w:rsidR="00BF1DF3" w:rsidRDefault="00BF1DF3" w:rsidP="00BF1DF3">
      <w:pPr>
        <w:spacing w:line="480" w:lineRule="auto"/>
        <w:rPr>
          <w:rFonts w:cs="Calibri"/>
        </w:rPr>
      </w:pPr>
    </w:p>
    <w:p w:rsidR="000F03F1" w:rsidRDefault="000F03F1" w:rsidP="000F03F1">
      <w:pPr>
        <w:spacing w:line="480" w:lineRule="auto"/>
      </w:pPr>
      <w:r>
        <w:rPr>
          <w:rFonts w:cs="Calibri"/>
        </w:rPr>
        <w:t>Ongoing</w:t>
      </w:r>
      <w:r w:rsidRPr="009C3FC6">
        <w:rPr>
          <w:rFonts w:cs="Calibri"/>
        </w:rPr>
        <w:t xml:space="preserve"> climate change, depletion of natural resources and food security are the main factors </w:t>
      </w:r>
      <w:r w:rsidRPr="00557868">
        <w:rPr>
          <w:rFonts w:cs="Calibri"/>
        </w:rPr>
        <w:t>driving the need for sustainable</w:t>
      </w:r>
      <w:r>
        <w:rPr>
          <w:rFonts w:cs="Calibri"/>
        </w:rPr>
        <w:t xml:space="preserve"> agricultural management production systems. Conservation agricultural</w:t>
      </w:r>
      <w:r w:rsidR="00862A19">
        <w:rPr>
          <w:rFonts w:cs="Calibri"/>
        </w:rPr>
        <w:t xml:space="preserve"> (CA)</w:t>
      </w:r>
      <w:r>
        <w:rPr>
          <w:rFonts w:cs="Calibri"/>
        </w:rPr>
        <w:t xml:space="preserve"> principles are some of the main approaches being spearheaded as a means of mitigating the negative environmental impacts attributed to conventional agricultural practices while maintaining sustainable crop productivity. </w:t>
      </w:r>
      <w:r>
        <w:t xml:space="preserve">This dissertation presents research conducted to </w:t>
      </w:r>
      <w:r w:rsidR="009E79AD">
        <w:t xml:space="preserve">address some of knowledge gaps that exists in understanding </w:t>
      </w:r>
      <w:r w:rsidR="00862A19">
        <w:t>how different CA practices would influence microbial community dynamics due to their integral role in facilitating nutrient transformation</w:t>
      </w:r>
      <w:r w:rsidR="00D3551E">
        <w:t>, influence on soil physiochemical properties (soil quality),</w:t>
      </w:r>
      <w:r w:rsidR="00862A19">
        <w:t xml:space="preserve"> as well as plant growth promotion factors. </w:t>
      </w:r>
      <w:r>
        <w:t xml:space="preserve">The dissertation is broken down into chapters written in research paper outline form addressing specific objectives on microbial community dynamics as influenced by the long term implementation of different conservation agricultural practices in comparison to conventional practices. </w:t>
      </w:r>
    </w:p>
    <w:p w:rsidR="004B32CF" w:rsidRDefault="00862A19" w:rsidP="000F03F1">
      <w:pPr>
        <w:spacing w:line="480" w:lineRule="auto"/>
      </w:pPr>
      <w:r>
        <w:t xml:space="preserve">Chapter 1 </w:t>
      </w:r>
      <w:r w:rsidR="004B32CF">
        <w:t>is a paper being develope</w:t>
      </w:r>
      <w:r w:rsidR="004B32CF">
        <w:t xml:space="preserve">d for publication that focuses on the microbial community structure and the interplay between their activity and probable role in influencing the soil quality status after 31 years of tillage, cover crops and nitrogen fertilization rates. </w:t>
      </w:r>
    </w:p>
    <w:p w:rsidR="004B32CF" w:rsidRDefault="00A25690" w:rsidP="000F03F1">
      <w:pPr>
        <w:spacing w:line="480" w:lineRule="auto"/>
      </w:pPr>
      <w:r>
        <w:t>Chapter 2</w:t>
      </w:r>
      <w:r w:rsidR="004B32CF">
        <w:t xml:space="preserve"> is a paper that specifically focuses on characterizing the bacterial taxonomic species composition under these varying practices and how this may influence the overall soil functions and activity.</w:t>
      </w:r>
    </w:p>
    <w:p w:rsidR="008A2891" w:rsidRDefault="008A2891" w:rsidP="000F03F1">
      <w:pPr>
        <w:spacing w:line="480" w:lineRule="auto"/>
      </w:pPr>
      <w:r>
        <w:t xml:space="preserve">Chapter 3 is a paper entitled, “Soils and Civilizations: Using a General Education Course to Teach Agricultural Relevance,” published in a special September 2013 issue of the (North American Colleges and Teachers of Agriculture (NACTA) Journal featuring 24 peer-reviewed </w:t>
      </w:r>
      <w:r>
        <w:lastRenderedPageBreak/>
        <w:t>manuscripts dealing with the theme of “Globalization: Implications for teaching and learning in postsecondary agricultural education.”   This is a paper that I am a co-author in as part of my involvement as a graduate teaching assistant in a general education course unit taught at the university of Tennessee. The course is geared towards instigating the interest of    This paper summarizes an investigation of college student awareness of agriculture’s role in both food security and the environment to address student misconceptions about agriculture and the decline in enrollment of students to soil science and other the major scientific disciplines related to agriculture.  This study measured changes in student perception of population growth, food security and civilization stability and the relationship these concepts have with environmental sustainability in a general education college course called “Soils and Civilizations”.  The study showed that such a course can have an impact in student perception of agriculture and could be an important tool in raising awareness about the role of agriculture in food security and environmental sustainability and increasing enrollment in agricultural disciplines.</w:t>
      </w:r>
    </w:p>
    <w:p w:rsidR="000F03F1" w:rsidRDefault="000F03F1" w:rsidP="000F03F1">
      <w:pPr>
        <w:spacing w:line="480" w:lineRule="auto"/>
      </w:pPr>
      <w:r>
        <w:t>Included in this introductory section is a brief literature review that focuses on presenting an overview of the current knowledge base concerning microbial community dynamics under conservation agricultural practices, the knowledge gaps and the challenges and limitations towards</w:t>
      </w:r>
      <w:r w:rsidR="00A25690">
        <w:t xml:space="preserve"> understanding the role of microbial communities in agro-ecosystems. </w:t>
      </w:r>
      <w:r>
        <w:t xml:space="preserve"> </w:t>
      </w:r>
    </w:p>
    <w:p w:rsidR="00BF1DF3" w:rsidRDefault="00BF1DF3" w:rsidP="00BF1DF3">
      <w:pPr>
        <w:spacing w:line="480" w:lineRule="auto"/>
        <w:rPr>
          <w:rFonts w:cs="Calibri"/>
        </w:rPr>
      </w:pPr>
    </w:p>
    <w:p w:rsidR="000F03F1" w:rsidRDefault="000F03F1" w:rsidP="000F03F1">
      <w:pPr>
        <w:pStyle w:val="Heading2"/>
        <w:jc w:val="left"/>
      </w:pPr>
      <w:bookmarkStart w:id="2" w:name="_Toc391021411"/>
    </w:p>
    <w:p w:rsidR="000F03F1" w:rsidRDefault="000F03F1" w:rsidP="000F03F1"/>
    <w:p w:rsidR="000F03F1" w:rsidRPr="000F03F1" w:rsidRDefault="000F03F1" w:rsidP="000F03F1"/>
    <w:p w:rsidR="008A2891" w:rsidRPr="008A2891" w:rsidRDefault="008A2891" w:rsidP="008A2891"/>
    <w:p w:rsidR="00236E6D" w:rsidRDefault="00C97801" w:rsidP="005E54E2">
      <w:pPr>
        <w:pStyle w:val="Heading2"/>
      </w:pPr>
      <w:r>
        <w:lastRenderedPageBreak/>
        <w:t>Literature Review</w:t>
      </w:r>
      <w:bookmarkEnd w:id="2"/>
      <w:r w:rsidR="00236E6D">
        <w:t xml:space="preserve"> </w:t>
      </w:r>
    </w:p>
    <w:p w:rsidR="00BF1DF3" w:rsidRDefault="00BF1DF3" w:rsidP="00BF1DF3">
      <w:pPr>
        <w:spacing w:line="480" w:lineRule="auto"/>
        <w:rPr>
          <w:rFonts w:cs="Calibri"/>
        </w:rPr>
      </w:pPr>
      <w:bookmarkStart w:id="3" w:name="_Toc289175821"/>
      <w:r>
        <w:rPr>
          <w:rFonts w:cs="Calibri"/>
        </w:rPr>
        <w:t>Ongoing</w:t>
      </w:r>
      <w:r w:rsidRPr="009C3FC6">
        <w:rPr>
          <w:rFonts w:cs="Calibri"/>
        </w:rPr>
        <w:t xml:space="preserve"> climate change, depletion of natural resources and food security are the main factors </w:t>
      </w:r>
      <w:r w:rsidRPr="00557868">
        <w:rPr>
          <w:rFonts w:cs="Calibri"/>
        </w:rPr>
        <w:t>driving the need for sustainable</w:t>
      </w:r>
      <w:r>
        <w:rPr>
          <w:rFonts w:cs="Calibri"/>
        </w:rPr>
        <w:t xml:space="preserve"> agricultural management production systems. C</w:t>
      </w:r>
      <w:r w:rsidRPr="009C3FC6">
        <w:rPr>
          <w:rFonts w:cs="Calibri"/>
        </w:rPr>
        <w:t xml:space="preserve">onventional </w:t>
      </w:r>
      <w:r>
        <w:rPr>
          <w:rFonts w:cs="Calibri"/>
        </w:rPr>
        <w:t xml:space="preserve">agricultural </w:t>
      </w:r>
      <w:r w:rsidRPr="009C3FC6">
        <w:rPr>
          <w:rFonts w:cs="Calibri"/>
        </w:rPr>
        <w:t>practices employ several principles mainly aimed at maximizing production yields</w:t>
      </w:r>
      <w:r>
        <w:rPr>
          <w:rFonts w:cs="Calibri"/>
        </w:rPr>
        <w:t xml:space="preserve"> but at the expense of natural resources and the environment </w:t>
      </w:r>
      <w:r w:rsidRPr="009C3FC6">
        <w:rPr>
          <w:rFonts w:cs="Calibri"/>
          <w:noProof/>
        </w:rPr>
        <w:t>(Hobbs</w:t>
      </w:r>
      <w:r w:rsidRPr="009C3FC6">
        <w:rPr>
          <w:rFonts w:cs="Calibri"/>
          <w:i/>
          <w:noProof/>
        </w:rPr>
        <w:t xml:space="preserve"> et al.</w:t>
      </w:r>
      <w:r w:rsidRPr="009C3FC6">
        <w:rPr>
          <w:rFonts w:cs="Calibri"/>
          <w:noProof/>
        </w:rPr>
        <w:t>, 2008; Powlson</w:t>
      </w:r>
      <w:r w:rsidRPr="009C3FC6">
        <w:rPr>
          <w:rFonts w:cs="Calibri"/>
          <w:i/>
          <w:noProof/>
        </w:rPr>
        <w:t xml:space="preserve"> et al.</w:t>
      </w:r>
      <w:r w:rsidRPr="009C3FC6">
        <w:rPr>
          <w:rFonts w:cs="Calibri"/>
          <w:noProof/>
        </w:rPr>
        <w:t>, 2011)</w:t>
      </w:r>
      <w:r w:rsidRPr="009C3FC6">
        <w:rPr>
          <w:rFonts w:cs="Calibri"/>
        </w:rPr>
        <w:t>.</w:t>
      </w:r>
      <w:r>
        <w:rPr>
          <w:rFonts w:cs="Calibri"/>
        </w:rPr>
        <w:t xml:space="preserve"> These practices include clearing land, </w:t>
      </w:r>
      <w:r w:rsidRPr="009C3FC6">
        <w:rPr>
          <w:rFonts w:cs="Calibri"/>
        </w:rPr>
        <w:t xml:space="preserve">deep tillage </w:t>
      </w:r>
      <w:r>
        <w:rPr>
          <w:rFonts w:cs="Calibri"/>
        </w:rPr>
        <w:t>that incorporates crop</w:t>
      </w:r>
      <w:r w:rsidRPr="009C3FC6">
        <w:rPr>
          <w:rFonts w:cs="Calibri"/>
        </w:rPr>
        <w:t xml:space="preserve"> residues into the soil often using heavy machinery</w:t>
      </w:r>
      <w:r>
        <w:rPr>
          <w:rFonts w:cs="Calibri"/>
        </w:rPr>
        <w:t xml:space="preserve"> that compact the soil</w:t>
      </w:r>
      <w:r w:rsidRPr="009C3FC6">
        <w:rPr>
          <w:rFonts w:cs="Calibri"/>
        </w:rPr>
        <w:t>,</w:t>
      </w:r>
      <w:r>
        <w:rPr>
          <w:rFonts w:cs="Calibri"/>
        </w:rPr>
        <w:t xml:space="preserve"> and heavy </w:t>
      </w:r>
      <w:r w:rsidRPr="009C3FC6">
        <w:rPr>
          <w:rFonts w:cs="Calibri"/>
        </w:rPr>
        <w:t xml:space="preserve">reliance on additional inputs like mineral fertilizers and chemical pesticides. </w:t>
      </w:r>
      <w:r>
        <w:rPr>
          <w:rFonts w:cs="Calibri"/>
        </w:rPr>
        <w:t>Continuous tilling disrupts the soil structure, incorporates crop residues into the soil leaving the soil surface bare and prone to erosion. T</w:t>
      </w:r>
      <w:r>
        <w:t>he incorporation of surface residue material with soil through tillage also makes it more accessible to soil microbes and also increases higher oxygen diffusion into the soil resulting in higher rates of organic matter decomposition. The increased rates of decomposition result in higher emissions of carbon dioxide (CO</w:t>
      </w:r>
      <w:r w:rsidRPr="009B0BFA">
        <w:rPr>
          <w:vertAlign w:val="subscript"/>
        </w:rPr>
        <w:t>2</w:t>
      </w:r>
      <w:r>
        <w:t xml:space="preserve">) </w:t>
      </w:r>
      <w:r w:rsidRPr="009C3FC6">
        <w:rPr>
          <w:rFonts w:cs="Calibri"/>
        </w:rPr>
        <w:t xml:space="preserve">that </w:t>
      </w:r>
      <w:r>
        <w:rPr>
          <w:rFonts w:cs="Calibri"/>
        </w:rPr>
        <w:t xml:space="preserve">further contributes to the greenhouse effects </w:t>
      </w:r>
      <w:r>
        <w:fldChar w:fldCharType="begin" w:fldLock="1"/>
      </w:r>
      <w:r>
        <w:instrText>ADDIN CSL_CITATION { "citationItems" : [ { "id" : "ITEM-1", "itemData" : { "author" : [ { "dropping-particle" : "", "family" : "Halvorson", "given" : "Ardell", "non-dropping-particle" : "", "parse-names" : false, "suffix" : "" }, { "dropping-particle" : "", "family" : "Wienhold", "given" : "Brian J", "non-dropping-particle" : "", "parse-names" : false, "suffix" : "" }, { "dropping-particle" : "", "family" : "Black", "given" : "Alfred L", "non-dropping-particle" : "", "parse-names" : false, "suffix" : "" } ], "id" : "ITEM-1", "issued" : { "date-parts" : [ [ "2002" ] ] }, "title" : "Tillage , Nitrogen , and Cropping System Effects on Soil Carbon Sequestration Tillage , Nitrogen , and Cropping System Effects on Soil Carbon Sequestration", "type" : "article-journal" }, "uris" : [ "http://www.mendeley.com/documents/?uuid=6ee921dd-fbc7-444d-b0ed-65787ea3b3ea" ] } ], "mendeley" : { "manualFormatting" : "(Six et al., 2006; Roldan et al., 2007; Hobbs et al., 2008; Powlson et al., 2011)Halvorson et al., 2002)", "previouslyFormattedCitation" : "(Halvorson et al., 2002)" }, "properties" : { "noteIndex" : 0 }, "schema" : "https://github.com/citation-style-language/schema/raw/master/csl-citation.json" }</w:instrText>
      </w:r>
      <w:r>
        <w:fldChar w:fldCharType="separate"/>
      </w:r>
      <w:r w:rsidRPr="009C3FC6">
        <w:rPr>
          <w:rFonts w:cs="Calibri"/>
          <w:noProof/>
        </w:rPr>
        <w:t>(Six</w:t>
      </w:r>
      <w:r w:rsidRPr="009C3FC6">
        <w:rPr>
          <w:rFonts w:cs="Calibri"/>
          <w:i/>
          <w:noProof/>
        </w:rPr>
        <w:t xml:space="preserve"> </w:t>
      </w:r>
      <w:r w:rsidRPr="00984C7D">
        <w:rPr>
          <w:rFonts w:cs="Calibri"/>
          <w:noProof/>
        </w:rPr>
        <w:t>et al.</w:t>
      </w:r>
      <w:r w:rsidRPr="009C3FC6">
        <w:rPr>
          <w:rFonts w:cs="Calibri"/>
          <w:noProof/>
        </w:rPr>
        <w:t>, 2006; Roldan</w:t>
      </w:r>
      <w:r w:rsidRPr="009C3FC6">
        <w:rPr>
          <w:rFonts w:cs="Calibri"/>
          <w:i/>
          <w:noProof/>
        </w:rPr>
        <w:t xml:space="preserve"> </w:t>
      </w:r>
      <w:r w:rsidRPr="00984C7D">
        <w:rPr>
          <w:rFonts w:cs="Calibri"/>
          <w:noProof/>
        </w:rPr>
        <w:t>et al.,</w:t>
      </w:r>
      <w:r w:rsidRPr="009C3FC6">
        <w:rPr>
          <w:rFonts w:cs="Calibri"/>
          <w:noProof/>
        </w:rPr>
        <w:t xml:space="preserve"> 2007; Hobbs</w:t>
      </w:r>
      <w:r w:rsidRPr="009C3FC6">
        <w:rPr>
          <w:rFonts w:cs="Calibri"/>
          <w:i/>
          <w:noProof/>
        </w:rPr>
        <w:t xml:space="preserve"> </w:t>
      </w:r>
      <w:r w:rsidRPr="00984C7D">
        <w:rPr>
          <w:rFonts w:cs="Calibri"/>
          <w:noProof/>
        </w:rPr>
        <w:t>et al.,</w:t>
      </w:r>
      <w:r w:rsidRPr="009C3FC6">
        <w:rPr>
          <w:rFonts w:cs="Calibri"/>
          <w:noProof/>
        </w:rPr>
        <w:t xml:space="preserve"> 2008; Powlson</w:t>
      </w:r>
      <w:r w:rsidRPr="009C3FC6">
        <w:rPr>
          <w:rFonts w:cs="Calibri"/>
          <w:i/>
          <w:noProof/>
        </w:rPr>
        <w:t xml:space="preserve"> </w:t>
      </w:r>
      <w:r w:rsidRPr="00984C7D">
        <w:rPr>
          <w:rFonts w:cs="Calibri"/>
          <w:noProof/>
        </w:rPr>
        <w:t>et al.,</w:t>
      </w:r>
      <w:r>
        <w:rPr>
          <w:rFonts w:cs="Calibri"/>
          <w:noProof/>
        </w:rPr>
        <w:t xml:space="preserve"> 2011, </w:t>
      </w:r>
      <w:r w:rsidRPr="00A0015C">
        <w:rPr>
          <w:noProof/>
        </w:rPr>
        <w:t>Halvorson et al., 2002)</w:t>
      </w:r>
      <w:r>
        <w:fldChar w:fldCharType="end"/>
      </w:r>
      <w:r>
        <w:t xml:space="preserve">. </w:t>
      </w:r>
      <w:r>
        <w:rPr>
          <w:rFonts w:cs="Calibri"/>
        </w:rPr>
        <w:t>Exhaustion of soil organic matter as well as a decrease in natural biota leads to</w:t>
      </w:r>
      <w:r w:rsidRPr="009C3FC6">
        <w:rPr>
          <w:rFonts w:cs="Calibri"/>
        </w:rPr>
        <w:t xml:space="preserve"> </w:t>
      </w:r>
      <w:r>
        <w:rPr>
          <w:rFonts w:cs="Calibri"/>
        </w:rPr>
        <w:t xml:space="preserve">a </w:t>
      </w:r>
      <w:r w:rsidRPr="009C3FC6">
        <w:rPr>
          <w:rFonts w:cs="Calibri"/>
        </w:rPr>
        <w:t xml:space="preserve">reliance on </w:t>
      </w:r>
      <w:r>
        <w:rPr>
          <w:rFonts w:cs="Calibri"/>
        </w:rPr>
        <w:t xml:space="preserve">mineral fertilizers and </w:t>
      </w:r>
      <w:r w:rsidRPr="009C3FC6">
        <w:rPr>
          <w:rFonts w:cs="Calibri"/>
        </w:rPr>
        <w:t>chemical inputs for nutrient</w:t>
      </w:r>
      <w:r>
        <w:rPr>
          <w:rFonts w:cs="Calibri"/>
        </w:rPr>
        <w:t>s</w:t>
      </w:r>
      <w:r w:rsidRPr="009C3FC6">
        <w:rPr>
          <w:rFonts w:cs="Calibri"/>
        </w:rPr>
        <w:t xml:space="preserve">, </w:t>
      </w:r>
      <w:r>
        <w:rPr>
          <w:rFonts w:cs="Calibri"/>
        </w:rPr>
        <w:t>and pest and disease management. This</w:t>
      </w:r>
      <w:r w:rsidRPr="009C3FC6">
        <w:rPr>
          <w:rFonts w:cs="Calibri"/>
        </w:rPr>
        <w:t xml:space="preserve"> reliance on che</w:t>
      </w:r>
      <w:r>
        <w:rPr>
          <w:rFonts w:cs="Calibri"/>
        </w:rPr>
        <w:t>mical inputs can contribute</w:t>
      </w:r>
      <w:r w:rsidRPr="009C3FC6">
        <w:rPr>
          <w:rFonts w:cs="Calibri"/>
        </w:rPr>
        <w:t xml:space="preserve"> to build up of soil toxicity and environmental pollution </w:t>
      </w:r>
      <w:r w:rsidRPr="009C3FC6">
        <w:rPr>
          <w:rFonts w:cs="Calibri"/>
          <w:noProof/>
        </w:rPr>
        <w:t>(Govaerts</w:t>
      </w:r>
      <w:r w:rsidRPr="009C3FC6">
        <w:rPr>
          <w:rFonts w:cs="Calibri"/>
          <w:i/>
          <w:noProof/>
        </w:rPr>
        <w:t xml:space="preserve"> et al.</w:t>
      </w:r>
      <w:r w:rsidRPr="009C3FC6">
        <w:rPr>
          <w:rFonts w:cs="Calibri"/>
          <w:noProof/>
        </w:rPr>
        <w:t>, 2009)</w:t>
      </w:r>
      <w:r w:rsidRPr="009C3FC6">
        <w:rPr>
          <w:rFonts w:cs="Calibri"/>
        </w:rPr>
        <w:t xml:space="preserve">. It is in consideration of the above factors that policy makers are calling for the development of sustainable farming practices. The focus is to establish management practices that integrate the efficient use of natural resources and external inputs with an aim of </w:t>
      </w:r>
      <w:r>
        <w:rPr>
          <w:rFonts w:cs="Calibri"/>
        </w:rPr>
        <w:t xml:space="preserve">improving crop productivity while </w:t>
      </w:r>
      <w:r w:rsidRPr="009C3FC6">
        <w:rPr>
          <w:rFonts w:cs="Calibri"/>
        </w:rPr>
        <w:t xml:space="preserve">conserving the environment </w:t>
      </w:r>
      <w:r>
        <w:rPr>
          <w:rFonts w:cs="Calibri"/>
        </w:rPr>
        <w:t xml:space="preserve">and maintaining soil quality </w:t>
      </w:r>
      <w:r w:rsidRPr="009C3FC6">
        <w:rPr>
          <w:rFonts w:cs="Calibri"/>
          <w:noProof/>
        </w:rPr>
        <w:t>(Hobbs</w:t>
      </w:r>
      <w:r w:rsidRPr="009C3FC6">
        <w:rPr>
          <w:rFonts w:cs="Calibri"/>
          <w:i/>
          <w:noProof/>
        </w:rPr>
        <w:t xml:space="preserve"> et al.</w:t>
      </w:r>
      <w:r w:rsidRPr="009C3FC6">
        <w:rPr>
          <w:rFonts w:cs="Calibri"/>
          <w:noProof/>
        </w:rPr>
        <w:t>, 2008; Powlson</w:t>
      </w:r>
      <w:r w:rsidRPr="009C3FC6">
        <w:rPr>
          <w:rFonts w:cs="Calibri"/>
          <w:i/>
          <w:noProof/>
        </w:rPr>
        <w:t xml:space="preserve"> et al.</w:t>
      </w:r>
      <w:r w:rsidRPr="009C3FC6">
        <w:rPr>
          <w:rFonts w:cs="Calibri"/>
          <w:noProof/>
        </w:rPr>
        <w:t>, 2011)</w:t>
      </w:r>
      <w:r w:rsidRPr="009C3FC6">
        <w:rPr>
          <w:rFonts w:cs="Calibri"/>
        </w:rPr>
        <w:t xml:space="preserve">. </w:t>
      </w:r>
      <w:r>
        <w:rPr>
          <w:rFonts w:cs="Calibri"/>
        </w:rPr>
        <w:t xml:space="preserve">Soil quality has been defined as the capacity of a soil to sustain </w:t>
      </w:r>
      <w:r>
        <w:rPr>
          <w:rFonts w:cs="Calibri"/>
        </w:rPr>
        <w:lastRenderedPageBreak/>
        <w:t xml:space="preserve">biological productivity, support plant productivity and animal health, and maintain environmental quality within the ecosystem boundaries </w:t>
      </w:r>
      <w:r>
        <w:t>(SSSA, 1997; Doran et al., 2000).</w:t>
      </w:r>
      <w:r>
        <w:rPr>
          <w:rFonts w:cs="Calibri"/>
        </w:rPr>
        <w:t xml:space="preserve"> </w:t>
      </w:r>
    </w:p>
    <w:p w:rsidR="00BF1DF3" w:rsidRDefault="00BF1DF3" w:rsidP="00BF1DF3">
      <w:pPr>
        <w:spacing w:line="480" w:lineRule="auto"/>
        <w:rPr>
          <w:rFonts w:cs="Calibri"/>
        </w:rPr>
      </w:pPr>
      <w:r>
        <w:t xml:space="preserve">Conservation agricultural (ConsAg) management practices that include reduced tillage, cover cropping and crop rotation are some of the practices being </w:t>
      </w:r>
      <w:r>
        <w:rPr>
          <w:rFonts w:cs="Calibri"/>
        </w:rPr>
        <w:t xml:space="preserve">endorsed by policy makers to mitigate soil erosion, minimize the emission of greenhouse gasses, as well as increase soil quality and crop productivity </w:t>
      </w:r>
      <w:r>
        <w:rPr>
          <w:rFonts w:cs="Calibri"/>
        </w:rPr>
        <w:fldChar w:fldCharType="begin" w:fldLock="1"/>
      </w:r>
      <w:r>
        <w:rPr>
          <w:rFonts w:cs="Calibri"/>
        </w:rPr>
        <w:instrText>ADDIN CSL_CITATION { "citationItems" : [ { "id" : "ITEM-1", "itemData" : { "DOI" : "10.1098/rstb.2007.2169", "ISSN" : "0962-8436", "PMID" : "17720669", "abstract" : "The paper focuses on conservation agriculture (CA), defined as minimal soil disturbance (no-till, NT) and permanent soil cover (mulch) combined with rotations, as a more sustainable cultivation system for the future. Cultivation and tillage play an important role in agriculture. The benefits of tillage in agriculture are explored before introducing conservation tillage (CT), a practice that was borne out of the American dust bowl of the 1930s. The paper then describes the benefits of CA, a suggested improvement on CT, where NT, mulch and rotations significantly improve soil properties and other biotic factors. The paper concludes that CA is a more sustainable and environmentally friendly management system for cultivating crops. Case studies from the rice-wheat areas of the Indo-Gangetic Plains of South Asia and the irrigated maize-wheat systems of Northwest Mexico are used to describe how CA practices have been used in these two environments to raise production sustainably and profitably. Benefits in terms of greenhouse gas emissions and their effect on global warming are also discussed. The paper concludes that agriculture in the next decade will have to sustainably produce more food from less land through more efficient use of natural resources and with minimal impact on the environment in order to meet growing population demands. Promoting and adopting CA management systems can help meet this goal.", "author" : [ { "dropping-particle" : "", "family" : "Hobbs", "given" : "Peter R", "non-dropping-particle" : "", "parse-names" : false, "suffix" : "" }, { "dropping-particle" : "", "family" : "Sayre", "given" : "Ken", "non-dropping-particle" : "", "parse-names" : false, "suffix" : "" }, { "dropping-particle" : "", "family" : "Gupta", "given" : "Raj", "non-dropping-particle" : "", "parse-names" : false, "suffix" : "" } ], "container-title" : "Philosophical transactions of the Royal Society of London. Series B, Biological sciences", "id" : "ITEM-1", "issue" : "1491", "issued" : { "date-parts" : [ [ "2008", "2", "12" ] ] }, "page" : "543-55", "title" : "The role of conservation agriculture in sustainable agriculture.", "type" : "article-journal", "volume" : "363" }, "uris" : [ "http://www.mendeley.com/documents/?uuid=981e8265-5809-4fb8-92e1-3de1cf4166e9" ] } ], "properties" : { "noteIndex" : 0 }, "schema" : "https://github.com/citation-style-language/schema/raw/master/csl-citation.json" }</w:instrText>
      </w:r>
      <w:r>
        <w:rPr>
          <w:rFonts w:cs="Calibri"/>
        </w:rPr>
        <w:fldChar w:fldCharType="separate"/>
      </w:r>
      <w:r w:rsidRPr="00D30E28">
        <w:rPr>
          <w:rFonts w:cs="Calibri"/>
          <w:noProof/>
        </w:rPr>
        <w:t>(Hobbs et al., 2008</w:t>
      </w:r>
      <w:r>
        <w:rPr>
          <w:rFonts w:cs="Calibri"/>
          <w:noProof/>
        </w:rPr>
        <w:t>;</w:t>
      </w:r>
      <w:r w:rsidRPr="001965C8">
        <w:rPr>
          <w:rFonts w:cs="Calibri"/>
        </w:rPr>
        <w:t xml:space="preserve"> </w:t>
      </w:r>
      <w:r w:rsidRPr="009C3FC6">
        <w:rPr>
          <w:rFonts w:cs="Calibri"/>
        </w:rPr>
        <w:t xml:space="preserve">Govaerts </w:t>
      </w:r>
      <w:r w:rsidRPr="009D7A3D">
        <w:rPr>
          <w:rFonts w:cs="Calibri"/>
        </w:rPr>
        <w:t>et al.,</w:t>
      </w:r>
      <w:r w:rsidRPr="009C3FC6">
        <w:rPr>
          <w:rFonts w:cs="Calibri"/>
        </w:rPr>
        <w:t xml:space="preserve"> 2009</w:t>
      </w:r>
      <w:r w:rsidRPr="00D30E28">
        <w:rPr>
          <w:rFonts w:cs="Calibri"/>
          <w:noProof/>
        </w:rPr>
        <w:t>)</w:t>
      </w:r>
      <w:r>
        <w:rPr>
          <w:rFonts w:cs="Calibri"/>
        </w:rPr>
        <w:fldChar w:fldCharType="end"/>
      </w:r>
      <w:r>
        <w:rPr>
          <w:rFonts w:cs="Calibri"/>
        </w:rPr>
        <w:t xml:space="preserve">. </w:t>
      </w:r>
      <w:r w:rsidRPr="00DB50F2">
        <w:t xml:space="preserve">The replenishment of soil organic matter (SOM) and an increase in the abundance and activity of soil microbial communities are some of the factors attributed to improved soil quality under </w:t>
      </w:r>
      <w:r>
        <w:t>ConsAg</w:t>
      </w:r>
      <w:r w:rsidRPr="00DB50F2">
        <w:t xml:space="preserve"> </w:t>
      </w:r>
      <w:r w:rsidRPr="00DB50F2">
        <w:rPr>
          <w:noProof/>
        </w:rPr>
        <w:t xml:space="preserve">(Mohammadi </w:t>
      </w:r>
      <w:r w:rsidRPr="00DB50F2">
        <w:rPr>
          <w:i/>
          <w:noProof/>
        </w:rPr>
        <w:t>et al.,</w:t>
      </w:r>
      <w:r w:rsidRPr="00DB50F2">
        <w:rPr>
          <w:noProof/>
        </w:rPr>
        <w:t xml:space="preserve"> 2011; Tikhonovich and Provorov, 2011)</w:t>
      </w:r>
      <w:r w:rsidRPr="00DB50F2">
        <w:t>.</w:t>
      </w:r>
      <w:r w:rsidRPr="00DB50F2">
        <w:rPr>
          <w:rFonts w:cs="Calibri"/>
        </w:rPr>
        <w:t xml:space="preserve"> </w:t>
      </w:r>
    </w:p>
    <w:p w:rsidR="008A2891" w:rsidRDefault="008A2891" w:rsidP="00BF1DF3">
      <w:pPr>
        <w:spacing w:line="480" w:lineRule="auto"/>
        <w:rPr>
          <w:rFonts w:cs="Calibri"/>
        </w:rPr>
      </w:pPr>
    </w:p>
    <w:p w:rsidR="005250E6" w:rsidRPr="005250E6" w:rsidRDefault="005250E6" w:rsidP="005250E6">
      <w:pPr>
        <w:pStyle w:val="Heading3"/>
      </w:pPr>
      <w:bookmarkStart w:id="4" w:name="_Toc391021412"/>
      <w:r>
        <w:t>Characterization of soil</w:t>
      </w:r>
      <w:r w:rsidRPr="00F457CD">
        <w:t xml:space="preserve"> microbial </w:t>
      </w:r>
      <w:r>
        <w:t>community structure and its</w:t>
      </w:r>
      <w:r w:rsidRPr="00F457CD">
        <w:t xml:space="preserve"> importance in </w:t>
      </w:r>
      <w:r>
        <w:t>agro-ecosystems</w:t>
      </w:r>
      <w:bookmarkEnd w:id="4"/>
      <w:r>
        <w:t xml:space="preserve"> </w:t>
      </w:r>
    </w:p>
    <w:p w:rsidR="005250E6" w:rsidRDefault="005250E6" w:rsidP="00BF1DF3">
      <w:pPr>
        <w:spacing w:line="480" w:lineRule="auto"/>
      </w:pPr>
    </w:p>
    <w:p w:rsidR="005250E6" w:rsidRDefault="005250E6" w:rsidP="00BF1DF3">
      <w:pPr>
        <w:spacing w:line="480" w:lineRule="auto"/>
      </w:pPr>
    </w:p>
    <w:p w:rsidR="005250E6" w:rsidRDefault="005250E6" w:rsidP="00BF1DF3">
      <w:pPr>
        <w:spacing w:line="480" w:lineRule="auto"/>
      </w:pPr>
    </w:p>
    <w:p w:rsidR="005250E6" w:rsidRDefault="005250E6" w:rsidP="00BF1DF3">
      <w:pPr>
        <w:spacing w:line="480" w:lineRule="auto"/>
      </w:pPr>
    </w:p>
    <w:p w:rsidR="005250E6" w:rsidRPr="004C2071" w:rsidRDefault="005250E6" w:rsidP="00BF1DF3">
      <w:pPr>
        <w:spacing w:line="480" w:lineRule="auto"/>
      </w:pPr>
    </w:p>
    <w:p w:rsidR="00236E6D" w:rsidRDefault="005250E6" w:rsidP="005E54E2">
      <w:pPr>
        <w:pStyle w:val="Heading2"/>
      </w:pPr>
      <w:bookmarkStart w:id="5" w:name="_Toc391021413"/>
      <w:bookmarkEnd w:id="3"/>
      <w:r>
        <w:t>Overall objectives</w:t>
      </w:r>
      <w:bookmarkEnd w:id="5"/>
    </w:p>
    <w:p w:rsidR="00236E6D" w:rsidRPr="005E54E2" w:rsidRDefault="00236E6D" w:rsidP="005E54E2">
      <w:r w:rsidRPr="005E54E2">
        <w:tab/>
      </w:r>
      <w:r w:rsidRPr="005E54E2">
        <w:tab/>
        <w:t xml:space="preserve"> </w:t>
      </w:r>
    </w:p>
    <w:p w:rsidR="00236E6D" w:rsidRDefault="000166A9" w:rsidP="005E54E2">
      <w:r>
        <w:t>Use subheadings consistently. Check spacing, capitalization, and punctuation.</w:t>
      </w:r>
    </w:p>
    <w:p w:rsidR="00236E6D" w:rsidRPr="005E54E2" w:rsidRDefault="00236E6D" w:rsidP="005E54E2"/>
    <w:p w:rsidR="00236E6D" w:rsidRPr="005E54E2" w:rsidRDefault="00236E6D" w:rsidP="005E54E2"/>
    <w:p w:rsidR="00236E6D" w:rsidRDefault="005250E6" w:rsidP="005E54E2">
      <w:pPr>
        <w:pStyle w:val="Heading2"/>
      </w:pPr>
      <w:bookmarkStart w:id="6" w:name="_Toc391021414"/>
      <w:r>
        <w:t>Methodological approach</w:t>
      </w:r>
      <w:bookmarkEnd w:id="6"/>
    </w:p>
    <w:p w:rsidR="00236E6D" w:rsidRPr="005E54E2" w:rsidRDefault="00236E6D" w:rsidP="005E54E2">
      <w:r>
        <w:tab/>
      </w:r>
    </w:p>
    <w:p w:rsidR="005250E6" w:rsidRPr="00334400" w:rsidRDefault="005250E6" w:rsidP="005250E6">
      <w:pPr>
        <w:pStyle w:val="Heading3"/>
      </w:pPr>
      <w:bookmarkStart w:id="7" w:name="_Toc391021415"/>
      <w:r>
        <w:lastRenderedPageBreak/>
        <w:t>Preliminary results</w:t>
      </w:r>
      <w:bookmarkEnd w:id="7"/>
      <w:r>
        <w:t xml:space="preserve"> </w:t>
      </w:r>
    </w:p>
    <w:p w:rsidR="005250E6" w:rsidRDefault="005250E6" w:rsidP="002A3264"/>
    <w:p w:rsidR="003D07F7" w:rsidRDefault="00DD00DE" w:rsidP="005E54E2">
      <w:r w:rsidRPr="005E54E2">
        <w:br w:type="page"/>
      </w:r>
    </w:p>
    <w:p w:rsidR="00003F6A" w:rsidRDefault="003C7FC5" w:rsidP="005E54E2">
      <w:pPr>
        <w:pStyle w:val="Heading1"/>
      </w:pPr>
      <w:bookmarkStart w:id="8" w:name="_Toc289175825"/>
      <w:bookmarkStart w:id="9" w:name="_Toc391021416"/>
      <w:r>
        <w:t>CHAPTER I</w:t>
      </w:r>
      <w:bookmarkEnd w:id="8"/>
      <w:bookmarkEnd w:id="9"/>
    </w:p>
    <w:p w:rsidR="002600E7" w:rsidRPr="00A03AB9" w:rsidRDefault="00A03AB9" w:rsidP="00A03AB9">
      <w:pPr>
        <w:pStyle w:val="Heading1"/>
      </w:pPr>
      <w:bookmarkStart w:id="10" w:name="_Toc391021417"/>
      <w:r w:rsidRPr="00A03AB9">
        <w:rPr>
          <w:caps w:val="0"/>
        </w:rPr>
        <w:t>Soil Quality and Microbial Community Struct</w:t>
      </w:r>
      <w:r>
        <w:rPr>
          <w:caps w:val="0"/>
        </w:rPr>
        <w:t>ure After Long-Term (31 Years) o</w:t>
      </w:r>
      <w:r w:rsidRPr="00A03AB9">
        <w:rPr>
          <w:caps w:val="0"/>
        </w:rPr>
        <w:t>f Different Tillage Options, Cover Crops and Nitrogen Fertilization Rates under Continuous Cotton Production In West Tennessee</w:t>
      </w:r>
      <w:bookmarkEnd w:id="10"/>
    </w:p>
    <w:p w:rsidR="00FF1665" w:rsidRPr="005E54E2" w:rsidRDefault="00CE3A3E" w:rsidP="005E54E2">
      <w:r w:rsidRPr="005E54E2">
        <w:t>(B</w:t>
      </w:r>
      <w:r w:rsidR="00FF1665" w:rsidRPr="005E54E2">
        <w:t>eyond the title</w:t>
      </w:r>
      <w:r w:rsidR="00526151" w:rsidRPr="005E54E2">
        <w:t>,</w:t>
      </w:r>
      <w:r w:rsidR="00FF1665" w:rsidRPr="005E54E2">
        <w:t xml:space="preserve"> this page should be blank. The publication statement, abstract, and the rest of the chapter should begin on the next page.)</w:t>
      </w:r>
    </w:p>
    <w:p w:rsidR="00003F6A" w:rsidRPr="00334400" w:rsidRDefault="00003F6A" w:rsidP="00334400">
      <w:pPr>
        <w:pStyle w:val="Heading3"/>
      </w:pPr>
      <w:r w:rsidRPr="00334400">
        <w:br w:type="page"/>
      </w:r>
    </w:p>
    <w:p w:rsidR="00FA75A5" w:rsidRPr="000F03F1" w:rsidRDefault="00FA75A5" w:rsidP="005E54E2">
      <w:pPr>
        <w:rPr>
          <w:highlight w:val="lightGray"/>
        </w:rPr>
      </w:pPr>
      <w:r w:rsidRPr="005E54E2">
        <w:tab/>
      </w:r>
      <w:r w:rsidRPr="000F03F1">
        <w:rPr>
          <w:highlight w:val="lightGray"/>
        </w:rPr>
        <w:t>A version of this chapter was originally published by John X. Doe and Juanita Q. Vera:</w:t>
      </w:r>
    </w:p>
    <w:p w:rsidR="00FA75A5" w:rsidRPr="000F03F1" w:rsidRDefault="00FA75A5" w:rsidP="005E54E2">
      <w:pPr>
        <w:rPr>
          <w:highlight w:val="lightGray"/>
        </w:rPr>
      </w:pPr>
      <w:r w:rsidRPr="000F03F1">
        <w:rPr>
          <w:highlight w:val="lightGray"/>
        </w:rPr>
        <w:tab/>
        <w:t xml:space="preserve">John X. Doe, Juanita Q. Vera. “Towards A Theory of Page Rage.” </w:t>
      </w:r>
      <w:r w:rsidRPr="000F03F1">
        <w:rPr>
          <w:i/>
          <w:highlight w:val="lightGray"/>
        </w:rPr>
        <w:t xml:space="preserve">Journal of Infomatic Bloat </w:t>
      </w:r>
      <w:r w:rsidRPr="000F03F1">
        <w:rPr>
          <w:highlight w:val="lightGray"/>
        </w:rPr>
        <w:t xml:space="preserve">221 (2009): 102-105. </w:t>
      </w:r>
    </w:p>
    <w:p w:rsidR="00387656" w:rsidRPr="000F03F1" w:rsidRDefault="00387656" w:rsidP="005E54E2">
      <w:pPr>
        <w:rPr>
          <w:highlight w:val="lightGray"/>
        </w:rPr>
      </w:pPr>
    </w:p>
    <w:p w:rsidR="00FA75A5" w:rsidRPr="005E54E2" w:rsidRDefault="00FF1665" w:rsidP="00611B90">
      <w:pPr>
        <w:ind w:firstLine="720"/>
      </w:pPr>
      <w:r w:rsidRPr="000F03F1">
        <w:rPr>
          <w:highlight w:val="lightGray"/>
        </w:rPr>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FA75A5" w:rsidRPr="005E54E2" w:rsidRDefault="00FA75A5" w:rsidP="005E54E2"/>
    <w:p w:rsidR="002600E7" w:rsidRPr="002600E7" w:rsidRDefault="002600E7" w:rsidP="002600E7">
      <w:pPr>
        <w:spacing w:line="480" w:lineRule="auto"/>
        <w:rPr>
          <w:rFonts w:ascii="Calibri" w:eastAsia="Calibri" w:hAnsi="Calibri" w:cs="Times New Roman"/>
          <w:b/>
          <w:sz w:val="22"/>
          <w:szCs w:val="22"/>
        </w:rPr>
      </w:pPr>
    </w:p>
    <w:p w:rsidR="002600E7" w:rsidRPr="002600E7" w:rsidRDefault="002600E7" w:rsidP="002600E7">
      <w:pPr>
        <w:spacing w:after="200" w:line="480" w:lineRule="auto"/>
        <w:rPr>
          <w:rFonts w:ascii="Calibri" w:eastAsia="Calibri" w:hAnsi="Calibri" w:cs="Times New Roman"/>
          <w:b/>
          <w:sz w:val="22"/>
          <w:szCs w:val="22"/>
        </w:rPr>
      </w:pPr>
    </w:p>
    <w:p w:rsidR="002600E7" w:rsidRPr="001276F6" w:rsidRDefault="002600E7" w:rsidP="001276F6">
      <w:pPr>
        <w:pStyle w:val="Heading2"/>
      </w:pPr>
      <w:r w:rsidRPr="002600E7">
        <w:rPr>
          <w:rFonts w:ascii="Calibri" w:eastAsia="Calibri" w:hAnsi="Calibri" w:cs="Times New Roman"/>
          <w:sz w:val="22"/>
          <w:szCs w:val="22"/>
        </w:rPr>
        <w:br w:type="page"/>
      </w:r>
      <w:r w:rsidRPr="002600E7">
        <w:rPr>
          <w:rFonts w:ascii="Calibri" w:eastAsia="Calibri" w:hAnsi="Calibri" w:cs="Times New Roman"/>
          <w:b w:val="0"/>
          <w:sz w:val="22"/>
          <w:szCs w:val="22"/>
          <w:u w:val="single"/>
        </w:rPr>
        <w:lastRenderedPageBreak/>
        <w:t xml:space="preserve"> </w:t>
      </w:r>
      <w:bookmarkStart w:id="11" w:name="_Toc391021418"/>
      <w:r w:rsidRPr="001276F6">
        <w:t>Abstract</w:t>
      </w:r>
      <w:bookmarkEnd w:id="11"/>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long term effects of conservation agricultural (ConsAg) practices on soil microbial community structure and their interrelation to soil physicochemical properties are yet to be fully understood. This study therefore aimed to characterize the soil microbial community structure and activity as well as the soil physicochemical properties as influenced by the interactions of tillage (Till and NoTill), cover crops (vetch</w:t>
      </w:r>
      <w:r w:rsidRPr="002600E7">
        <w:rPr>
          <w:rFonts w:ascii="Calibri" w:eastAsia="Calibri" w:hAnsi="Calibri" w:cs="Times New Roman"/>
          <w:i/>
          <w:sz w:val="22"/>
          <w:szCs w:val="22"/>
        </w:rPr>
        <w:t>-</w:t>
      </w:r>
      <w:r w:rsidRPr="002600E7">
        <w:rPr>
          <w:rFonts w:ascii="Calibri" w:eastAsia="Calibri" w:hAnsi="Calibri" w:cs="Times New Roman"/>
          <w:b/>
          <w:bCs/>
          <w:i/>
          <w:iCs/>
          <w:color w:val="000000"/>
          <w:kern w:val="24"/>
          <w:sz w:val="28"/>
          <w:szCs w:val="28"/>
        </w:rPr>
        <w:t xml:space="preserve"> </w:t>
      </w:r>
      <w:r w:rsidRPr="002600E7">
        <w:rPr>
          <w:rFonts w:ascii="Calibri" w:eastAsia="Calibri" w:hAnsi="Calibri" w:cs="Times New Roman"/>
          <w:i/>
          <w:sz w:val="22"/>
          <w:szCs w:val="22"/>
        </w:rPr>
        <w:t>Vicia villosa</w:t>
      </w:r>
      <w:r w:rsidRPr="002600E7">
        <w:rPr>
          <w:rFonts w:ascii="Calibri" w:eastAsia="Calibri" w:hAnsi="Calibri" w:cs="Times New Roman"/>
          <w:sz w:val="22"/>
          <w:szCs w:val="22"/>
        </w:rPr>
        <w:t xml:space="preserve"> and wheat- </w:t>
      </w:r>
      <w:r w:rsidRPr="002600E7">
        <w:rPr>
          <w:rFonts w:ascii="Calibri" w:eastAsia="Calibri" w:hAnsi="Calibri" w:cs="Times New Roman"/>
          <w:i/>
          <w:sz w:val="22"/>
          <w:szCs w:val="22"/>
        </w:rPr>
        <w:t xml:space="preserve">Triticum aestivum, </w:t>
      </w:r>
      <w:r w:rsidRPr="002600E7">
        <w:rPr>
          <w:rFonts w:ascii="Calibri" w:eastAsia="Calibri" w:hAnsi="Calibri" w:cs="Times New Roman"/>
          <w:sz w:val="22"/>
          <w:szCs w:val="22"/>
        </w:rPr>
        <w:t>and a no cover control</w:t>
      </w:r>
      <w:r w:rsidRPr="002600E7">
        <w:rPr>
          <w:rFonts w:ascii="Calibri" w:eastAsia="Calibri" w:hAnsi="Calibri" w:cs="Times New Roman"/>
          <w:bCs/>
          <w:iCs/>
          <w:sz w:val="22"/>
          <w:szCs w:val="22"/>
        </w:rPr>
        <w:t xml:space="preserve">) </w:t>
      </w:r>
      <w:r w:rsidRPr="002600E7">
        <w:rPr>
          <w:rFonts w:ascii="Calibri" w:eastAsia="Calibri" w:hAnsi="Calibri" w:cs="Times New Roman"/>
          <w:sz w:val="22"/>
          <w:szCs w:val="22"/>
        </w:rPr>
        <w:t>and nitrogen fertilizer rates (0, 34, 67 and 101 kg/ha N-rate), under</w:t>
      </w:r>
      <w:r w:rsidRPr="002600E7">
        <w:rPr>
          <w:rFonts w:ascii="Calibri" w:eastAsia="Calibri" w:hAnsi="Calibri" w:cs="Times New Roman"/>
          <w:bCs/>
          <w:iCs/>
          <w:sz w:val="22"/>
          <w:szCs w:val="22"/>
        </w:rPr>
        <w:t xml:space="preserve"> long</w:t>
      </w:r>
      <w:r w:rsidRPr="002600E7">
        <w:rPr>
          <w:rFonts w:ascii="Calibri" w:eastAsia="Calibri" w:hAnsi="Calibri" w:cs="Times New Roman"/>
          <w:sz w:val="22"/>
          <w:szCs w:val="22"/>
        </w:rPr>
        <w:t xml:space="preserve">-term (31 yrs) ConsAg plots on a </w:t>
      </w:r>
      <w:r w:rsidRPr="002600E7">
        <w:rPr>
          <w:rFonts w:ascii="Calibri" w:eastAsia="Calibri" w:hAnsi="Calibri" w:cs="Times New Roman"/>
          <w:bCs/>
          <w:iCs/>
          <w:sz w:val="22"/>
          <w:szCs w:val="22"/>
        </w:rPr>
        <w:t>continuous cotton production</w:t>
      </w:r>
      <w:r w:rsidRPr="002600E7">
        <w:rPr>
          <w:rFonts w:ascii="Calibri" w:eastAsia="Calibri" w:hAnsi="Calibri" w:cs="Times New Roman"/>
          <w:sz w:val="22"/>
          <w:szCs w:val="22"/>
        </w:rPr>
        <w:t xml:space="preserve"> located at Jackson, West Tennessee.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Microbial structure was assessed by Fatty Acid Methyl Ester (FAME) extractions and activity measured through respiration and selected enzyme assays. As an indicator of changes in soil quality, select soil physicochemical properties were assessed that included total carbon (C) and nitrogen (N), bulk density (BD), soil pH, and the availability of the major plant nutrients.</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microbial community structure revealed the abundance of the arbuscular mycorrhiza fungi (AMF) biomarker (16:1</w:t>
      </w:r>
      <w:r w:rsidRPr="002600E7">
        <w:rPr>
          <w:rFonts w:ascii="Symbol" w:eastAsia="Calibri" w:hAnsi="Symbol" w:cs="Times New Roman"/>
          <w:sz w:val="22"/>
          <w:szCs w:val="22"/>
        </w:rPr>
        <w:t></w:t>
      </w:r>
      <w:r w:rsidRPr="002600E7">
        <w:rPr>
          <w:rFonts w:ascii="Calibri" w:eastAsia="Calibri" w:hAnsi="Calibri" w:cs="Times New Roman"/>
          <w:sz w:val="22"/>
          <w:szCs w:val="22"/>
        </w:rPr>
        <w:t xml:space="preserve">5c), the gram + bacteria (i15:0, a15:0, i16:0, </w:t>
      </w:r>
      <w:r w:rsidRPr="002600E7">
        <w:rPr>
          <w:rFonts w:ascii="Calibri" w:eastAsia="Calibri" w:hAnsi="Calibri" w:cs="Times New Roman"/>
          <w:sz w:val="22"/>
          <w:szCs w:val="22"/>
          <w:lang w:val="en-GB"/>
        </w:rPr>
        <w:t>a17:0</w:t>
      </w:r>
      <w:r w:rsidRPr="002600E7">
        <w:rPr>
          <w:rFonts w:ascii="Calibri" w:eastAsia="Calibri" w:hAnsi="Calibri" w:cs="Times New Roman"/>
          <w:sz w:val="22"/>
          <w:szCs w:val="22"/>
        </w:rPr>
        <w:t xml:space="preserve">), </w:t>
      </w:r>
      <w:r w:rsidRPr="002600E7">
        <w:rPr>
          <w:rFonts w:ascii="Calibri" w:eastAsia="Calibri" w:hAnsi="Calibri" w:cs="Times New Roman"/>
          <w:sz w:val="22"/>
          <w:szCs w:val="22"/>
          <w:lang w:val="en-GB"/>
        </w:rPr>
        <w:t>g</w:t>
      </w:r>
      <w:r w:rsidRPr="002600E7">
        <w:rPr>
          <w:rFonts w:ascii="Calibri" w:eastAsia="Calibri" w:hAnsi="Calibri" w:cs="Times New Roman"/>
          <w:sz w:val="22"/>
          <w:szCs w:val="22"/>
        </w:rPr>
        <w:t xml:space="preserve">ram- bacteria </w:t>
      </w:r>
      <w:r w:rsidRPr="002600E7">
        <w:rPr>
          <w:rFonts w:ascii="Calibri" w:eastAsia="Calibri" w:hAnsi="Calibri" w:cs="Times New Roman"/>
          <w:sz w:val="22"/>
          <w:szCs w:val="22"/>
          <w:lang w:val="en-GB"/>
        </w:rPr>
        <w:t xml:space="preserve">(cy17:0, cy19:0) and </w:t>
      </w:r>
      <w:r w:rsidRPr="002600E7">
        <w:rPr>
          <w:rFonts w:ascii="Calibri" w:eastAsia="Calibri" w:hAnsi="Calibri" w:cs="Times New Roman"/>
          <w:sz w:val="22"/>
          <w:szCs w:val="22"/>
        </w:rPr>
        <w:t xml:space="preserve">actinomycetes </w:t>
      </w:r>
      <w:r w:rsidRPr="002600E7">
        <w:rPr>
          <w:rFonts w:ascii="Calibri" w:eastAsia="Calibri" w:hAnsi="Calibri" w:cs="Times New Roman"/>
          <w:sz w:val="22"/>
          <w:szCs w:val="22"/>
          <w:lang w:val="en-GB"/>
        </w:rPr>
        <w:t>(10Me17:0, 10Me18:0)</w:t>
      </w:r>
      <w:r w:rsidRPr="002600E7">
        <w:rPr>
          <w:rFonts w:ascii="Calibri" w:eastAsia="Calibri" w:hAnsi="Calibri" w:cs="Times New Roman"/>
          <w:sz w:val="22"/>
          <w:szCs w:val="22"/>
        </w:rPr>
        <w:t xml:space="preserve"> to be more associated with NoTill and vetch treatments. In contrast, the saprophytic fungi biomarkers (18:3</w:t>
      </w:r>
      <w:r w:rsidRPr="002600E7">
        <w:rPr>
          <w:rFonts w:ascii="Symbol" w:eastAsia="Calibri" w:hAnsi="Symbol" w:cs="Times New Roman"/>
          <w:sz w:val="22"/>
          <w:szCs w:val="22"/>
        </w:rPr>
        <w:t></w:t>
      </w:r>
      <w:r w:rsidRPr="002600E7">
        <w:rPr>
          <w:rFonts w:ascii="Calibri" w:eastAsia="Calibri" w:hAnsi="Calibri" w:cs="Times New Roman"/>
          <w:sz w:val="22"/>
          <w:szCs w:val="22"/>
        </w:rPr>
        <w:t xml:space="preserve">6c, </w:t>
      </w:r>
      <w:r w:rsidRPr="002600E7">
        <w:rPr>
          <w:rFonts w:ascii="Calibri" w:eastAsia="Calibri" w:hAnsi="Calibri" w:cs="Times New Roman"/>
          <w:sz w:val="22"/>
          <w:szCs w:val="22"/>
          <w:lang w:val="en-GB"/>
        </w:rPr>
        <w:t>18:2</w:t>
      </w:r>
      <w:r w:rsidRPr="002600E7">
        <w:rPr>
          <w:rFonts w:ascii="Symbol" w:eastAsia="Calibri" w:hAnsi="Symbol" w:cs="Times New Roman"/>
          <w:sz w:val="22"/>
          <w:szCs w:val="22"/>
        </w:rPr>
        <w:t></w:t>
      </w:r>
      <w:r w:rsidRPr="002600E7">
        <w:rPr>
          <w:rFonts w:ascii="Calibri" w:eastAsia="Calibri" w:hAnsi="Calibri" w:cs="Times New Roman"/>
          <w:sz w:val="22"/>
          <w:szCs w:val="22"/>
          <w:lang w:val="en-GB"/>
        </w:rPr>
        <w:t>6c</w:t>
      </w:r>
      <w:r w:rsidRPr="002600E7">
        <w:rPr>
          <w:rFonts w:ascii="Calibri" w:eastAsia="Calibri" w:hAnsi="Calibri" w:cs="Times New Roman"/>
          <w:sz w:val="22"/>
          <w:szCs w:val="22"/>
        </w:rPr>
        <w:t xml:space="preserve">) and one actinomycetes </w:t>
      </w:r>
      <w:r w:rsidRPr="002600E7">
        <w:rPr>
          <w:rFonts w:ascii="Calibri" w:eastAsia="Calibri" w:hAnsi="Calibri" w:cs="Times New Roman"/>
          <w:sz w:val="22"/>
          <w:szCs w:val="22"/>
          <w:lang w:val="en-GB"/>
        </w:rPr>
        <w:t xml:space="preserve">(10Me16:0) associated more with the Till, nocover and wheat treatments.   </w:t>
      </w:r>
      <w:r w:rsidRPr="002600E7">
        <w:rPr>
          <w:rFonts w:ascii="Calibri" w:eastAsia="Calibri" w:hAnsi="Calibri" w:cs="Times New Roman"/>
          <w:sz w:val="22"/>
          <w:szCs w:val="22"/>
        </w:rPr>
        <w:t>The overall relative abundance of fungi to bacteria (F: B) ratio was surprisingly higher in Till treatments. N-rate had a strong influence on the relative abundance of the AMF biomarker (16:1</w:t>
      </w:r>
      <w:r w:rsidRPr="002600E7">
        <w:rPr>
          <w:rFonts w:ascii="Symbol" w:eastAsia="Calibri" w:hAnsi="Symbol" w:cs="Times New Roman"/>
          <w:sz w:val="22"/>
          <w:szCs w:val="22"/>
        </w:rPr>
        <w:t></w:t>
      </w:r>
      <w:r w:rsidRPr="002600E7">
        <w:rPr>
          <w:rFonts w:ascii="Calibri" w:eastAsia="Calibri" w:hAnsi="Calibri" w:cs="Times New Roman"/>
          <w:sz w:val="22"/>
          <w:szCs w:val="22"/>
        </w:rPr>
        <w:t xml:space="preserve">5c) which decreased with increasing N-rate. </w:t>
      </w:r>
    </w:p>
    <w:p w:rsidR="00886BA4" w:rsidRPr="00886BA4" w:rsidRDefault="002600E7" w:rsidP="002600E7">
      <w:pPr>
        <w:spacing w:after="200" w:line="480" w:lineRule="auto"/>
        <w:rPr>
          <w:rFonts w:ascii="Calibri" w:eastAsia="Calibri" w:hAnsi="Calibri" w:cs="Times New Roman"/>
          <w:b/>
          <w:sz w:val="22"/>
          <w:szCs w:val="22"/>
          <w:u w:val="single"/>
        </w:rPr>
      </w:pPr>
      <w:r w:rsidRPr="002600E7">
        <w:rPr>
          <w:rFonts w:ascii="Calibri" w:eastAsia="Calibri" w:hAnsi="Calibri" w:cs="Times New Roman"/>
          <w:sz w:val="22"/>
          <w:szCs w:val="22"/>
        </w:rPr>
        <w:t xml:space="preserve">NoTill and cover crop treatments had higher total C and N, with the NoTill treatments also having a higher availability of extractable P, K, and Ca, higher microbial respiration rate and enzymatic activity indicating an improvement in soil quality and fertility. N-rate also had a significant influence on the </w:t>
      </w:r>
      <w:r w:rsidRPr="002600E7">
        <w:rPr>
          <w:rFonts w:ascii="Calibri" w:eastAsia="Calibri" w:hAnsi="Calibri" w:cs="Times New Roman"/>
          <w:sz w:val="22"/>
          <w:szCs w:val="22"/>
        </w:rPr>
        <w:lastRenderedPageBreak/>
        <w:t xml:space="preserve">buildup of C and N which was highest at the high N-rate (101N) but led to a decrease in the availability of extractable P, K, Ca and soil pH which reduced with increase in N rate. </w:t>
      </w:r>
    </w:p>
    <w:p w:rsidR="002600E7" w:rsidRPr="001276F6" w:rsidRDefault="002600E7" w:rsidP="001276F6">
      <w:pPr>
        <w:pStyle w:val="Heading1"/>
      </w:pPr>
      <w:bookmarkStart w:id="12" w:name="_Toc391021419"/>
      <w:r w:rsidRPr="001276F6">
        <w:t>Introduction</w:t>
      </w:r>
      <w:bookmarkEnd w:id="12"/>
    </w:p>
    <w:p w:rsidR="002600E7" w:rsidRPr="002600E7" w:rsidRDefault="002600E7" w:rsidP="002600E7">
      <w:pPr>
        <w:spacing w:after="200" w:line="480" w:lineRule="auto"/>
        <w:rPr>
          <w:rFonts w:ascii="Calibri" w:eastAsia="Calibri" w:hAnsi="Calibri" w:cs="Calibri"/>
          <w:sz w:val="22"/>
          <w:szCs w:val="22"/>
        </w:rPr>
      </w:pPr>
      <w:r w:rsidRPr="002600E7">
        <w:rPr>
          <w:rFonts w:ascii="Calibri" w:eastAsia="Calibri" w:hAnsi="Calibri" w:cs="Times New Roman"/>
          <w:sz w:val="22"/>
          <w:szCs w:val="22"/>
        </w:rPr>
        <w:t xml:space="preserve">Conservation agricultural (ConsAg) management practices that include reduced tillage, cover cropping and crop rotation are practices being </w:t>
      </w:r>
      <w:r w:rsidRPr="002600E7">
        <w:rPr>
          <w:rFonts w:ascii="Calibri" w:eastAsia="Calibri" w:hAnsi="Calibri" w:cs="Calibri"/>
          <w:sz w:val="22"/>
          <w:szCs w:val="22"/>
        </w:rPr>
        <w:t xml:space="preserve">endorsed by policy makers to mitigate soil erosion, minimize the emission of greenhouse gasses, as well as increase crop productivity and soil quality </w:t>
      </w:r>
      <w:r w:rsidRPr="002600E7">
        <w:rPr>
          <w:rFonts w:ascii="Calibri" w:eastAsia="Calibri" w:hAnsi="Calibri" w:cs="Calibri"/>
          <w:sz w:val="22"/>
          <w:szCs w:val="22"/>
        </w:rPr>
        <w:fldChar w:fldCharType="begin" w:fldLock="1"/>
      </w:r>
      <w:r w:rsidRPr="002600E7">
        <w:rPr>
          <w:rFonts w:ascii="Calibri" w:eastAsia="Calibri" w:hAnsi="Calibri" w:cs="Calibri"/>
          <w:sz w:val="22"/>
          <w:szCs w:val="22"/>
        </w:rPr>
        <w:instrText>ADDIN CSL_CITATION { "citationItems" : [ { "id" : "ITEM-1", "itemData" : { "DOI" : "10.1098/rstb.2007.2169", "ISSN" : "0962-8436", "PMID" : "17720669", "abstract" : "The paper focuses on conservation agriculture (CA), defined as minimal soil disturbance (no-till, NT) and permanent soil cover (mulch) combined with rotations, as a more sustainable cultivation system for the future. Cultivation and tillage play an important role in agriculture. The benefits of tillage in agriculture are explored before introducing conservation tillage (CT), a practice that was borne out of the American dust bowl of the 1930s. The paper then describes the benefits of CA, a suggested improvement on CT, where NT, mulch and rotations significantly improve soil properties and other biotic factors. The paper concludes that CA is a more sustainable and environmentally friendly management system for cultivating crops. Case studies from the rice-wheat areas of the Indo-Gangetic Plains of South Asia and the irrigated maize-wheat systems of Northwest Mexico are used to describe how CA practices have been used in these two environments to raise production sustainably and profitably. Benefits in terms of greenhouse gas emissions and their effect on global warming are also discussed. The paper concludes that agriculture in the next decade will have to sustainably produce more food from less land through more efficient use of natural resources and with minimal impact on the environment in order to meet growing population demands. Promoting and adopting CA management systems can help meet this goal.", "author" : [ { "dropping-particle" : "", "family" : "Hobbs", "given" : "Peter R", "non-dropping-particle" : "", "parse-names" : false, "suffix" : "" }, { "dropping-particle" : "", "family" : "Sayre", "given" : "Ken", "non-dropping-particle" : "", "parse-names" : false, "suffix" : "" }, { "dropping-particle" : "", "family" : "Gupta", "given" : "Raj", "non-dropping-particle" : "", "parse-names" : false, "suffix" : "" } ], "container-title" : "Philosophical transactions of the Royal Society of London. Series B, Biological sciences", "id" : "ITEM-1", "issue" : "1491", "issued" : { "date-parts" : [ [ "2008", "2", "12" ] ] }, "page" : "543-55", "title" : "The role of conservation agriculture in sustainable agriculture.", "type" : "article-journal", "volume" : "363" }, "uris" : [ "http://www.mendeley.com/documents/?uuid=981e8265-5809-4fb8-92e1-3de1cf4166e9" ] } ], "properties" : { "noteIndex" : 0 }, "schema" : "https://github.com/citation-style-language/schema/raw/master/csl-citation.json" }</w:instrText>
      </w:r>
      <w:r w:rsidRPr="002600E7">
        <w:rPr>
          <w:rFonts w:ascii="Calibri" w:eastAsia="Calibri" w:hAnsi="Calibri" w:cs="Calibri"/>
          <w:sz w:val="22"/>
          <w:szCs w:val="22"/>
        </w:rPr>
        <w:fldChar w:fldCharType="separate"/>
      </w:r>
      <w:r w:rsidRPr="002600E7">
        <w:rPr>
          <w:rFonts w:ascii="Calibri" w:eastAsia="Calibri" w:hAnsi="Calibri" w:cs="Calibri"/>
          <w:noProof/>
          <w:sz w:val="22"/>
          <w:szCs w:val="22"/>
        </w:rPr>
        <w:t>(Hobbs et al., 2008;</w:t>
      </w:r>
      <w:r w:rsidRPr="002600E7">
        <w:rPr>
          <w:rFonts w:ascii="Calibri" w:eastAsia="Calibri" w:hAnsi="Calibri" w:cs="Calibri"/>
          <w:sz w:val="22"/>
          <w:szCs w:val="22"/>
        </w:rPr>
        <w:t xml:space="preserve"> Govaerts et al., 2009</w:t>
      </w:r>
      <w:r w:rsidRPr="002600E7">
        <w:rPr>
          <w:rFonts w:ascii="Calibri" w:eastAsia="Calibri" w:hAnsi="Calibri" w:cs="Calibri"/>
          <w:noProof/>
          <w:sz w:val="22"/>
          <w:szCs w:val="22"/>
        </w:rPr>
        <w:t>)</w:t>
      </w:r>
      <w:r w:rsidRPr="002600E7">
        <w:rPr>
          <w:rFonts w:ascii="Calibri" w:eastAsia="Calibri" w:hAnsi="Calibri" w:cs="Calibri"/>
          <w:sz w:val="22"/>
          <w:szCs w:val="22"/>
        </w:rPr>
        <w:fldChar w:fldCharType="end"/>
      </w:r>
      <w:r w:rsidRPr="002600E7">
        <w:rPr>
          <w:rFonts w:ascii="Calibri" w:eastAsia="Calibri" w:hAnsi="Calibri" w:cs="Calibri"/>
          <w:sz w:val="22"/>
          <w:szCs w:val="22"/>
        </w:rPr>
        <w:t xml:space="preserve">. Soil quality has been defined as “the capacity of a soil to sustain biological productivity, support plant productivity and animal health, and maintain environmental quality within the ecosystem boundaries” </w:t>
      </w:r>
      <w:r w:rsidRPr="002600E7">
        <w:rPr>
          <w:rFonts w:ascii="Calibri" w:eastAsia="Calibri" w:hAnsi="Calibri" w:cs="Times New Roman"/>
          <w:sz w:val="22"/>
          <w:szCs w:val="22"/>
        </w:rPr>
        <w:t>(SSSA, 1997; Doran et al., 2000).</w:t>
      </w:r>
      <w:r w:rsidRPr="002600E7">
        <w:rPr>
          <w:rFonts w:ascii="Calibri" w:eastAsia="Calibri" w:hAnsi="Calibri" w:cs="Calibri"/>
          <w:sz w:val="22"/>
          <w:szCs w:val="22"/>
        </w:rPr>
        <w:t xml:space="preserve"> </w:t>
      </w:r>
    </w:p>
    <w:p w:rsidR="002600E7" w:rsidRPr="002600E7" w:rsidRDefault="002600E7" w:rsidP="002600E7">
      <w:pPr>
        <w:spacing w:after="200" w:line="480" w:lineRule="auto"/>
        <w:rPr>
          <w:rFonts w:ascii="Calibri" w:eastAsia="Calibri" w:hAnsi="Calibri" w:cs="Calibri"/>
          <w:sz w:val="22"/>
          <w:szCs w:val="22"/>
        </w:rPr>
      </w:pPr>
      <w:r w:rsidRPr="002600E7">
        <w:rPr>
          <w:rFonts w:ascii="Calibri" w:eastAsia="Calibri" w:hAnsi="Calibri" w:cs="Times New Roman"/>
          <w:sz w:val="22"/>
          <w:szCs w:val="22"/>
        </w:rPr>
        <w:t xml:space="preserve">The replenishment of soil organic matter (SOM) and an increase in the abundance and activity of soil microbial communities are some of the factors attributed to improved soil quality under ConsAg </w:t>
      </w:r>
      <w:r w:rsidRPr="002600E7">
        <w:rPr>
          <w:rFonts w:ascii="Calibri" w:eastAsia="Calibri" w:hAnsi="Calibri" w:cs="Times New Roman"/>
          <w:noProof/>
          <w:sz w:val="22"/>
          <w:szCs w:val="22"/>
        </w:rPr>
        <w:t xml:space="preserve">(Mohammadi </w:t>
      </w:r>
      <w:r w:rsidRPr="002600E7">
        <w:rPr>
          <w:rFonts w:ascii="Calibri" w:eastAsia="Calibri" w:hAnsi="Calibri" w:cs="Times New Roman"/>
          <w:i/>
          <w:noProof/>
          <w:sz w:val="22"/>
          <w:szCs w:val="22"/>
        </w:rPr>
        <w:t>et al.,</w:t>
      </w:r>
      <w:r w:rsidRPr="002600E7">
        <w:rPr>
          <w:rFonts w:ascii="Calibri" w:eastAsia="Calibri" w:hAnsi="Calibri" w:cs="Times New Roman"/>
          <w:noProof/>
          <w:sz w:val="22"/>
          <w:szCs w:val="22"/>
        </w:rPr>
        <w:t xml:space="preserve"> 2011; Tikhonovich and Provorov, 2011)</w:t>
      </w:r>
      <w:r w:rsidRPr="002600E7">
        <w:rPr>
          <w:rFonts w:ascii="Calibri" w:eastAsia="Calibri" w:hAnsi="Calibri" w:cs="Times New Roman"/>
          <w:sz w:val="22"/>
          <w:szCs w:val="22"/>
        </w:rPr>
        <w:t>.</w:t>
      </w:r>
      <w:r w:rsidRPr="002600E7">
        <w:rPr>
          <w:rFonts w:ascii="Calibri" w:eastAsia="Calibri" w:hAnsi="Calibri" w:cs="Calibri"/>
          <w:sz w:val="22"/>
          <w:szCs w:val="22"/>
        </w:rPr>
        <w:t xml:space="preserve"> The significance given to SOM and microbial communities is due to their critical role in governing key soil functions and properties. Changes in SOM and microbial abundance are known to have an influence on </w:t>
      </w:r>
      <w:r w:rsidRPr="002600E7">
        <w:rPr>
          <w:rFonts w:ascii="Calibri" w:eastAsia="Calibri" w:hAnsi="Calibri" w:cs="Times New Roman"/>
          <w:sz w:val="22"/>
          <w:szCs w:val="22"/>
        </w:rPr>
        <w:t xml:space="preserve">soil nutrient cycling and retention, soil structural build up, soil aeration, water holding capacity, and root proliferation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"10.1016/j.apsoil.2005.02.014", "ISSN" : "09291393", "abstract" : "A wide range of tillage systems have been used by producers in the Corn-Belt in the United States during the past decade due to their economic and environmental benefits. However, changes in soil organic carbon (SOC) and nitrogen (SON) and crop responses to these tillage systems are not well documented in a corn\u2013soybean rotation. Two experiments were conducted to evaluate the effects of different tillage systems on SOC and SON, residue C and N inputs, and corn and soybean yields across Iowa. The first experiment consisted of no-tillage (NT) and chisel plow (CP) treatments, established in 1994 in Clarion\u2013Nicollet\u2013Webster (CNW), Galva\u2013Primghar\u2013Sac (GPS), Kenyon\u2013Floyd\u2013Clyde (KFC), Marshall (M), and Otley\u2013Mahaska\u2013Taintor (OMT) soil associations. The second experiment consisted of NT, strip-tillage (ST), CP, deep rip (DR), and moldboard plow (MP) treatments, established in 1998 in the CNW soil association. Both corn and soybean yields of NT were statistically comparable to those of CP treatment for each soil association in a corn\u2013soybean rotation during the 7 years of tillage practices. The NT, ST, CP, and DR treatments produced similar corn and soybean yields as MP treatment in a corn\u2013soybean rotation during the 3 years of tillage implementation of the second experiment. Significant increases in SOC of 17.3, 19.5, 6.1, and 19.3% with NT over CP treatment were observed at the top 15-cm soil depth in CNW, KFC, M, and OMT soil associations, respectively, except for the GPS soil association in a corn\u2013soybean rotation at the end of 7 years. The NT and ST resulted in significant increases in SOC of 14.7 and 11.4%, respectively, compared with MP treatment after 3 years. Changes in SON due to tillage were similar to those observed with SOC in both experiments. The increases in SOC and SON in NT treatment were not attributed to the vertical stratification of organic C and N in the soil profile or annual C and N inputs from crop residue, but most likely due to the decrease in soil organic matter mineralization in wet and cold soil conditions. It was concluded that NT and ST are superior to CP and MP in increasing SOC and SON in the top 15cm in the short-term. The adoption of NT or CP can be an effective strategy in increasing SOC and SON in the Corn-Belt soils without significant adverse impact on corn and soybean yields in a corn\u2013soybean rotation.", "author" : [ { "dropping-particle" : "", "family" : "Al-Kaisi", "given" : "Mahdi M.", "non-dropping-particle" : "", "parse-names" : false, "suffix" : "" }, { "dropping-particle" : "", "family" : "Yin", "given" : "Xinhua", "non-dropping-particle" : "", "parse-names" : false, "suffix" : "" }, { "dropping-particle" : "", "family" : "Licht", "given" : "Mark A.", "non-dropping-particle" : "", "parse-names" : false, "suffix" : "" } ], "container-title" : "Applied Soil Ecology", "id" : "ITEM-1", "issue" : "3", "issued" : { "date-parts" : [ [ "2005", "11" ] ] }, "page" : "174-191", "title" : "Soil carbon and nitrogen changes as affected by tillage system and crop biomass in a corn\u2013soybean rotation", "type" : "article-journal", "volume" : "30" }, "uris" : [ "http://www.mendeley.com/documents/?uuid=5c68f4a1-b690-4b6b-94a9-54ed9d4fed6e" ] } ], "mendeley" : { "manualFormatting" : "(Al-Kaisi, Yin, &amp; Licht, 2005; Sainju and Good, 1993)", "previouslyFormattedCitation" : "(Al-Kaisi et al., 2005)"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 xml:space="preserve">(Al-Kaisi, Yin, &amp; Licht, 2005; </w:t>
      </w:r>
      <w:r w:rsidRPr="002600E7">
        <w:rPr>
          <w:rFonts w:ascii="Calibri" w:eastAsia="Calibri" w:hAnsi="Calibri" w:cs="Times New Roman"/>
          <w:noProof/>
          <w:sz w:val="22"/>
          <w:szCs w:val="22"/>
          <w:highlight w:val="cyan"/>
        </w:rPr>
        <w:t>Sainju and Good, 1993</w:t>
      </w:r>
      <w:r w:rsidRPr="002600E7">
        <w:rPr>
          <w:rFonts w:ascii="Calibri" w:eastAsia="Calibri" w:hAnsi="Calibri" w:cs="Times New Roman"/>
          <w:noProof/>
          <w:sz w:val="22"/>
          <w:szCs w:val="22"/>
        </w:rPr>
        <w:t>)</w:t>
      </w:r>
      <w:r w:rsidRPr="002600E7">
        <w:rPr>
          <w:rFonts w:ascii="Calibri" w:eastAsia="Calibri" w:hAnsi="Calibri" w:cs="Times New Roman"/>
          <w:sz w:val="22"/>
          <w:szCs w:val="22"/>
        </w:rPr>
        <w:fldChar w:fldCharType="end"/>
      </w:r>
      <w:r w:rsidRPr="002600E7">
        <w:rPr>
          <w:rFonts w:ascii="Calibri" w:eastAsia="Calibri" w:hAnsi="Calibri" w:cs="Calibri"/>
          <w:sz w:val="22"/>
          <w:szCs w:val="22"/>
        </w:rPr>
        <w:t xml:space="preserve">. Consequently, changes occurring in the soil physical and biochemical properties of soil due to these management practices are not only mediated by, as much as they are also mediators of microbial community and their functions. </w:t>
      </w:r>
    </w:p>
    <w:p w:rsidR="002600E7" w:rsidRPr="002600E7" w:rsidRDefault="002600E7" w:rsidP="002600E7">
      <w:pPr>
        <w:spacing w:after="200" w:line="480" w:lineRule="auto"/>
        <w:rPr>
          <w:rFonts w:ascii="Calibri" w:eastAsia="Calibri" w:hAnsi="Calibri" w:cs="Calibri"/>
          <w:sz w:val="22"/>
          <w:szCs w:val="22"/>
        </w:rPr>
      </w:pPr>
      <w:r w:rsidRPr="002600E7">
        <w:rPr>
          <w:rFonts w:ascii="Calibri" w:eastAsia="Calibri" w:hAnsi="Calibri" w:cs="Calibri"/>
          <w:sz w:val="22"/>
          <w:szCs w:val="22"/>
        </w:rPr>
        <w:t xml:space="preserve">Evaluation of </w:t>
      </w:r>
      <w:r w:rsidRPr="002600E7">
        <w:rPr>
          <w:rFonts w:ascii="Calibri" w:eastAsia="Calibri" w:hAnsi="Calibri" w:cs="Times New Roman"/>
          <w:sz w:val="22"/>
          <w:szCs w:val="22"/>
        </w:rPr>
        <w:t xml:space="preserve">ConsAg can be based on assessing changes in SOM, and the abundance, distribution and activity of microbial communities </w:t>
      </w:r>
      <w:r w:rsidRPr="002600E7">
        <w:rPr>
          <w:rFonts w:ascii="Calibri" w:eastAsia="Calibri" w:hAnsi="Calibri" w:cs="Times New Roman"/>
          <w:noProof/>
          <w:sz w:val="22"/>
          <w:szCs w:val="22"/>
        </w:rPr>
        <w:t xml:space="preserve">(Mohammadi </w:t>
      </w:r>
      <w:r w:rsidRPr="002600E7">
        <w:rPr>
          <w:rFonts w:ascii="Calibri" w:eastAsia="Calibri" w:hAnsi="Calibri" w:cs="Times New Roman"/>
          <w:i/>
          <w:noProof/>
          <w:sz w:val="22"/>
          <w:szCs w:val="22"/>
        </w:rPr>
        <w:t>et al.,</w:t>
      </w:r>
      <w:r w:rsidRPr="002600E7">
        <w:rPr>
          <w:rFonts w:ascii="Calibri" w:eastAsia="Calibri" w:hAnsi="Calibri" w:cs="Times New Roman"/>
          <w:noProof/>
          <w:sz w:val="22"/>
          <w:szCs w:val="22"/>
        </w:rPr>
        <w:t xml:space="preserve"> 2011; Tikhonovich and Provorov, 2011)</w:t>
      </w:r>
      <w:r w:rsidRPr="002600E7">
        <w:rPr>
          <w:rFonts w:ascii="Calibri" w:eastAsia="Calibri" w:hAnsi="Calibri" w:cs="Times New Roman"/>
          <w:sz w:val="22"/>
          <w:szCs w:val="22"/>
        </w:rPr>
        <w:t>.</w:t>
      </w:r>
      <w:r w:rsidRPr="002600E7">
        <w:rPr>
          <w:rFonts w:ascii="Calibri" w:eastAsia="Calibri" w:hAnsi="Calibri" w:cs="Calibri"/>
          <w:sz w:val="22"/>
          <w:szCs w:val="22"/>
        </w:rPr>
        <w:t xml:space="preserve"> Because soil microbial biomass (SMB) is the living component of SOM, assessing the changes in the SMB is used as an early indicator of improvements in soil quality as it responds more quickly to changing soil conditions (Brooks, 2001). In general, it is accepted that an increase in SMB would be beneficial to the </w:t>
      </w:r>
      <w:r w:rsidRPr="002600E7">
        <w:rPr>
          <w:rFonts w:ascii="Calibri" w:eastAsia="Calibri" w:hAnsi="Calibri" w:cs="Calibri"/>
          <w:sz w:val="22"/>
          <w:szCs w:val="22"/>
        </w:rPr>
        <w:lastRenderedPageBreak/>
        <w:t xml:space="preserve">functioning of a given ecosystem.  It is based on this expectation that the evaluation of SMB can be used as a comparative measure of improvements in soil quality between different management practices. However, questions have been raised on the interpretation and meaning of the values of SMB (Carter et al., 1999; Gonzales-Quinones et al., 2011). The challenge lies in the fact that there are no set/defined target baseline values of SMB that reflect the normal functioning of a given soil ecosystem (Gonzales-Quinones et al., 2011). SMB is also prone to a lot of variability due to its sensitivity to seasonal environmental factors, soil types, and soil sampling and handling which further confounds its interpretations (Carter et al., 1999; Gonzales-Quinones et al., 2011). It is agreeable that having a clear understanding of desirable range of SMB for maintaining normal soil ecological functions would be more beneficial in the monitoring and evaluation of soil quality as influenced by management practices. Scoring of SMB by factoring/constraining it to inherent soil characteristics and site climatic factors has been proposed as one approach of determining critical attainable SMB values within a given soil ecosystem (Gonzales-Quinones et al., 2011).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Calibri"/>
          <w:sz w:val="22"/>
          <w:szCs w:val="22"/>
        </w:rPr>
        <w:t xml:space="preserve">Characterization of the microbial community structure and activity provides an added avenue of further understanding the role of microbes in influencing key soil ecological functions. Several studies have demonstrated changes in microbial community structure and activity upon shifting to </w:t>
      </w:r>
      <w:r w:rsidRPr="002600E7">
        <w:rPr>
          <w:rFonts w:ascii="Calibri" w:eastAsia="Calibri" w:hAnsi="Calibri" w:cs="Times New Roman"/>
          <w:sz w:val="22"/>
          <w:szCs w:val="22"/>
        </w:rPr>
        <w:t>ConsAg</w:t>
      </w:r>
      <w:r w:rsidRPr="002600E7">
        <w:rPr>
          <w:rFonts w:ascii="Calibri" w:eastAsia="Calibri" w:hAnsi="Calibri" w:cs="Calibri"/>
          <w:sz w:val="22"/>
          <w:szCs w:val="22"/>
        </w:rPr>
        <w:t xml:space="preserve"> management practices. Some of the studies have also demonstrated the possible implications of these changes on soil properties and functions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"10.2134/jeq1988.00472425001700040011x", "ISSN" : "0047-2425", "author" : [ { "dropping-particle" : "", "family" : "Fraser", "given" : "D. G.", "non-dropping-particle" : "", "parse-names" : false, "suffix" : "" }, { "dropping-particle" : "", "family" : "Doran", "given" : "J. W.", "non-dropping-particle" : "", "parse-names" : false, "suffix" : "" }, { "dropping-particle" : "", "family" : "Sahs", "given" : "W. W.", "non-dropping-particle" : "", "parse-names" : false, "suffix" : "" }, { "dropping-particle" : "", "family" : "Lesoing", "given" : "G. W.", "non-dropping-particle" : "", "parse-names" : false, "suffix" : "" } ], "container-title" : "Journal of Environment Quality", "id" : "ITEM-1", "issue" : "4", "issued" : { "date-parts" : [ [ "1988" ] ] }, "page" : "585", "title" : "Soil Microbial Populations and Activities under Conventional and Organic Management", "type" : "article-journal", "volume" : "17" }, "uris" : [ "http://www.mendeley.com/documents/?uuid=e35f7879-3376-4fa6-a371-6a26fa603ffd" ] }, { "id" : "ITEM-2", "itemData" : { "DOI" : "10.2136/sssaj1980.03615995004400030016x", "ISSN" : "0361-5995", "author" : [ { "dropping-particle" : "", "family" : "Doran", "given" : "J.W.", "non-dropping-particle" : "", "parse-names" : false, "suffix" : "" } ], "container-title" : "Soil Science Society of America Journal", "id" : "ITEM-2", "issue" : "3", "issued" : { "date-parts" : [ [ "1980", "1", "29" ] ] }, "page" : "518-524", "publisher" : "Soil Science Society of America", "title" : "Microbial Changes Associated with Residue Management with Reduced Tillage1", "type" : "article-journal", "volume" : "44" }, "uris" : [ "http://www.mendeley.com/documents/?uuid=eae4d79c-9444-4392-93ff-ef4b23acabc8" ] }, { "id" : "ITEM-3", "itemData" : { "DOI" : "10.1016/S0929-1393(00)00067-6", "ISSN" : "09291393", "author" : [ { "dropping-particle" : "", "family" : "Doran", "given" : "John W.", "non-dropping-particle" : "", "parse-names" : false, "suffix" : "" }, { "dropping-particle" : "", "family" : "Zeiss", "given" : "Michael R.", "non-dropping-particle" : "", "parse-names" : false, "suffix" : "" } ], "container-title" : "Applied Soil Ecology", "id" : "ITEM-3", "issue" : "1", "issued" : { "date-parts" : [ [ "2000", "8" ] ] }, "page" : "3-11", "title" : "Soil health and sustainability: managing the biotic component of soil quality", "type" : "article-journal", "volume" : "15" }, "uris" : [ "http://www.mendeley.com/documents/?uuid=ea291dce-cd16-46b0-83dd-67a08b072d69" ] }, { "id" : "ITEM-4", "itemData" : { "DOI" : "10.1016/S0038-0717(00)00060-2", "ISSN" : "00380717", "author" : [ { "dropping-particle" : "", "family" : "Drijber", "given" : "R.A.", "non-dropping-particle" : "", "parse-names" : false, "suffix" : "" }, { "dropping-particle" : "", "family" : "Doran", "given" : "J.W.", "non-dropping-particle" : "", "parse-names" : false, "suffix" : "" }, { "dropping-particle" : "", "family" : "Parkhurst", "given" : "A.M.", "non-dropping-particle" : "", "parse-names" : false, "suffix" : "" }, { "dropping-particle" : "", "family" : "Lyon", "given" : "D.J.", "non-dropping-particle" : "", "parse-names" : false, "suffix" : "" } ], "container-title" : "Soil Biology and Biochemistry", "id" : "ITEM-4", "issue" : "10", "issued" : { "date-parts" : [ [ "2000", "9" ] ] }, "page" : "1419-1430", "title" : "Changes in soil microbial community structure with tillage under long-term wheat-fallow management", "type" : "article-journal", "volume" : "32" }, "uris" : [ "http://www.mendeley.com/documents/?uuid=1bddb9ee-2aed-4a41-851d-e0152afd5418" ] }, { "id" : "ITEM-5", "itemData" : { "DOI" : "10.1007/BF00264349", "ISSN" : "0178-2762", "author" : [ { "dropping-particle" : "", "family" : "Doran", "given" : "J.W.", "non-dropping-particle" : "", "parse-names" : false, "suffix" : "" } ], "container-title" : "Biology and Fertility of Soils", "id" : "ITEM-5", "issue" : "1", "issued" : { "date-parts" : [ [ "1987", "10" ] ] }, "title" : "Microbial biomass and mineralizable nitrogen distributions in no-tillage and plowed soils", "type" : "article-journal", "volume" : "5" }, "uris" : [ "http://www.mendeley.com/documents/?uuid=4e741a46-63f3-4003-a9f2-7fed25308f80" ] }, { "id" : "ITEM-6", "itemData" : { "author" : [ { "dropping-particle" : "", "family" : "Doran", "given" : "J. W.", "non-dropping-particle" : "", "parse-names" : false, "suffix" : "" } ], "container-title" : "Soil Science Society of America Journal", "id" : "ITEM-6", "issue" : "4", "issued" : { "date-parts" : [ [ "1980" ] ] }, "page" : "765-771", "title" : "Soil microbial and biochemical changes associated with reduced tillage", "type" : "article-journal", "volume" : "44" }, "uris" : [ "http://www.mendeley.com/documents/?uuid=274a90f5-87e5-4a1b-9335-c98c343d1d83" ] }, { "id" : "ITEM-7", "itemData" : { "DOI" : "10.1016/S0167-1987(99)00106-3", "ISBN" : "4413825624", "ISSN" : "01671987", "author" : [ { "dropping-particle" : "", "family" : "Young", "given" : "I.M", "non-dropping-particle" : "", "parse-names" : false, "suffix" : "" }, { "dropping-particle" : "", "family" : "Ritz", "given" : "K", "non-dropping-particle" : "", "parse-names" : false, "suffix" : "" } ], "container-title" : "Soil and Tillage Research", "id" : "ITEM-7", "issue" : "3-4", "issued" : { "date-parts" : [ [ "2000", "2" ] ] }, "page" : "201-213", "title" : "Tillage, habitat space and function of soil microbes", "type" : "article-journal", "volume" : "53" }, "uris" : [ "http://www.mendeley.com/documents/?uuid=01c4ee74-a579-4900-9002-56bb511ee222" ] } ], "mendeley" : { "previouslyFormattedCitation" : "(Doran, 1980a; b, 1987; Fraser et al., 1988; Young and Ritz, 2000; Doran and Zeiss, 2000; Drijber et al., 2000)"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(Doran, 1980a; b, 1987; Fraser et al., 1988; Young and Ritz, 2000; Doran and Zeiss, 2000; Drijber et al., 2000)</w:t>
      </w:r>
      <w:r w:rsidRPr="002600E7">
        <w:rPr>
          <w:rFonts w:ascii="Calibri" w:eastAsia="Calibri" w:hAnsi="Calibri" w:cs="Times New Roman"/>
          <w:sz w:val="22"/>
          <w:szCs w:val="22"/>
        </w:rPr>
        <w:fldChar w:fldCharType="end"/>
      </w:r>
      <w:r w:rsidRPr="002600E7">
        <w:rPr>
          <w:rFonts w:ascii="Calibri" w:eastAsia="Calibri" w:hAnsi="Calibri" w:cs="Calibri"/>
          <w:sz w:val="22"/>
          <w:szCs w:val="22"/>
        </w:rPr>
        <w:t xml:space="preserve">. Due to the interrelations of soil physical and biochemical soil properties with microbial communities in influencing soil functions, </w:t>
      </w:r>
      <w:r w:rsidRPr="002600E7">
        <w:rPr>
          <w:rFonts w:ascii="Calibri" w:eastAsia="Calibri" w:hAnsi="Calibri" w:cs="Times New Roman"/>
          <w:sz w:val="22"/>
          <w:szCs w:val="22"/>
        </w:rPr>
        <w:t xml:space="preserve">the inclusion of different soil properties therefore provides a more comprehensive assessment of soil quality. These include properties like soil C and N, soil bulk density, soil pH, electrical conductivity, and extractable crop nutrients like N, P and K to mention but a few (Arshad and Martin 2002; Arias et al., 2005).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Calibri"/>
          <w:sz w:val="22"/>
          <w:szCs w:val="22"/>
        </w:rPr>
        <w:lastRenderedPageBreak/>
        <w:t xml:space="preserve">Often, the effects of management practices on many of these soil quality indicators are dependent on time </w:t>
      </w:r>
      <w:r w:rsidRPr="002600E7">
        <w:rPr>
          <w:rFonts w:ascii="Calibri" w:eastAsia="Calibri" w:hAnsi="Calibri" w:cs="Times New Roman"/>
          <w:sz w:val="22"/>
          <w:szCs w:val="22"/>
        </w:rPr>
        <w:t>(Al-Kaisi et al., 2005)</w:t>
      </w:r>
      <w:r w:rsidRPr="002600E7">
        <w:rPr>
          <w:rFonts w:ascii="Calibri" w:eastAsia="Calibri" w:hAnsi="Calibri" w:cs="Calibri"/>
          <w:sz w:val="22"/>
          <w:szCs w:val="22"/>
        </w:rPr>
        <w:t xml:space="preserve">. For example, </w:t>
      </w:r>
      <w:r w:rsidRPr="002600E7">
        <w:rPr>
          <w:rFonts w:ascii="Calibri" w:eastAsia="Calibri" w:hAnsi="Calibri" w:cs="Times New Roman"/>
          <w:sz w:val="22"/>
          <w:szCs w:val="22"/>
        </w:rPr>
        <w:t>a change or increase in soil C and N upon shifting to ConsAg practices (no-till, cover cropping and N fertilization) becomes apparent after 10 years, while a time period of less than 10 years may result in varying and conflicting results (Halvin et al., 1990). Nevertheless, several studies have been able to detect changes in soil organic C and N within a period of less than 10 years (Blevins et al., 1983, 1977; Higashi et al., 2014). After 5 years of implementation of no-till, Blevins et al. (1977) were able to detect an increase in both soil organic C and N with no-till having higher concentration than till. Also, Blevins et al. (1983) after 10 years of no-till and N fertilization saw an increase in soil organic C levels and no-till resulted with almost twice as much organic C than till. Higashi et al. (2014) in Japan observed increase in soil organic C after 9 years from the conversion of conventional till to no-till with the mixture of cover crops.</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Although it has been widely published that no-till, cover crops and N fertilization result in changes on soil microbial structure, and soil physical and biochemical properties, there is still paucity of information on how these practices interact together over long-term (&gt; 30 years) on soil microbial dynamics and overall soil quality for cotton cropping systems, especially under the humid temperate climate of the US. This is in part because most of the other regions where cotton is produced (e.g. the Northern Great Plains) face water limitations that challenges the inclusion of cover crops </w:t>
      </w:r>
      <w:r w:rsidRPr="002600E7">
        <w:rPr>
          <w:rFonts w:ascii="Calibri" w:eastAsia="Calibri" w:hAnsi="Calibri" w:cs="Times New Roman"/>
          <w:sz w:val="22"/>
          <w:szCs w:val="22"/>
          <w:highlight w:val="yellow"/>
        </w:rPr>
        <w:t>(references-Halvorson et al., 2002).</w:t>
      </w:r>
      <w:r w:rsidRPr="002600E7">
        <w:rPr>
          <w:rFonts w:ascii="Calibri" w:eastAsia="Calibri" w:hAnsi="Calibri" w:cs="Times New Roman"/>
          <w:sz w:val="22"/>
          <w:szCs w:val="22"/>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research presented here therefore aimed to determine the changes in soil microbial community structure after the long-term implementation of consAg practices and their interrelation to soil properties and functions.   This is based on a long term ConsAg research project under continuous cotton production in West Tennessee, representing a humid temperate climate. The research plots were set up in 1981 in a randomized block split-split plot experimental design consisting of N-fertilization </w:t>
      </w:r>
      <w:r w:rsidRPr="002600E7">
        <w:rPr>
          <w:rFonts w:ascii="Calibri" w:eastAsia="Calibri" w:hAnsi="Calibri" w:cs="Times New Roman"/>
          <w:sz w:val="22"/>
          <w:szCs w:val="22"/>
        </w:rPr>
        <w:lastRenderedPageBreak/>
        <w:t xml:space="preserve">rates as the main plot, tillage as the split plot and cover crop as the split-split plot. The mean annual precipitation of this region is 1375 mm and soils are of a silt loam texture.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specific objectives of this study were to: 1) Evaluate the microbial dynamics as affected by the different ConsAg management practices according to the individual response indicators such as microbial biomass C and N, microbial community structure (via fatty acid methyl ester (FAME) analysis) and microbial activity based on microbial respiration through soil incubation and measurement of select enzyme activities (EAs) of C, N and P cycling;  2) Evaluate the long-term effects of the different ConsAg practices on selected soil physicochemical properties that included total C and N, extractable chemical nutrients (P, Ca, K and Mg), soil pH, and bulk density; 3) Consider how the microbial dynamics may have influenced the overall changes in the soil physicochemical properties and functions; 4)  Use the soil management assessment framework (SMAF) tool to score the different soil properties evaluated into quality indices representing their different soil functions (Andrews et al., 2004)</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scoring of soil quality indicators based on site specific factors and their correlation to specific identifiable ecosystem services has been propositioned as an accepted methodology of monitoring and assessment of changes in soil quality (Doran and Perkin 1994; Karlen and Stott, 1994; Andrews et al., 2004; Karlen et al., 2004; Sojka et al., 2003; Zobeck et al., 2008). The SMAF is based on modelling of dynamic soil quality indicators by integrating site specific soil inherent properties, climatic factors, and requirements of crops under production to obtain unit less values ranging from 0-1</w:t>
      </w:r>
      <w:r w:rsidRPr="002600E7">
        <w:rPr>
          <w:rFonts w:ascii="Calibri" w:eastAsia="Calibri" w:hAnsi="Calibri" w:cs="Times New Roman"/>
          <w:sz w:val="22"/>
          <w:szCs w:val="22"/>
          <w:lang w:val="en-GB"/>
        </w:rPr>
        <w:t xml:space="preserve"> </w:t>
      </w:r>
      <w:r w:rsidRPr="002600E7">
        <w:rPr>
          <w:rFonts w:ascii="Calibri" w:eastAsia="Calibri" w:hAnsi="Calibri" w:cs="Times New Roman"/>
          <w:sz w:val="22"/>
          <w:szCs w:val="22"/>
        </w:rPr>
        <w:t xml:space="preserve">representing increment of attaining associated soil potential functions. The SMAF currently avails scoring curves for calculating soil indices for thirteen soil properties and offers the option of selecting the most suitable depending on the purpose of study. Out of the thirteen soil properties, this project was able to evaluate 7 of them. These included soil pH, bulk density, β-glucosidase activity, total soil C converted to SOM, soil extractable P, and K, and microbial biomass carbon.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lastRenderedPageBreak/>
        <w:t xml:space="preserve">The indicators are selected on the basis of how they contribute to both crop productivity and environmental quality. Organic matter helps to define soil fertility, retention and cycling of nutrients, pH determines nutrient availability and the mobility while extractable nutrients demonstrate the capacity to support plant growth (Arshad and Martin 2002).  Interpretation of soil quality indicators could be based either on each indicator or their integration into what is known as the soil quality index (Doran and Parkin 1994; Arshad and Martin 2002). While it is easy to interpret each individual indicator depending on their set critical limits, it is challenging to interpret the integrated quality index as there are no baseline set and conclusions are made on a higher is better basis (Sojka et al., 2003). Nevertheless the information on the individual indices would still be valuable in informing (determining) some of the limitations of the soils under study. This information can be incorporated as a provision for offering management recommendations on ways of maximizing the potential of the measured soil quality properties as well as informing policies. </w:t>
      </w:r>
    </w:p>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sz w:val="22"/>
          <w:szCs w:val="22"/>
        </w:rPr>
        <w:br w:type="page"/>
      </w:r>
    </w:p>
    <w:p w:rsidR="002600E7" w:rsidRPr="00886BA4" w:rsidRDefault="002600E7" w:rsidP="00886BA4">
      <w:pPr>
        <w:pStyle w:val="Heading1"/>
      </w:pPr>
      <w:bookmarkStart w:id="13" w:name="_Toc391021420"/>
      <w:r w:rsidRPr="00886BA4">
        <w:t>Materials and Methods</w:t>
      </w:r>
      <w:bookmarkEnd w:id="13"/>
    </w:p>
    <w:p w:rsidR="002600E7" w:rsidRPr="001276F6" w:rsidRDefault="002600E7" w:rsidP="001276F6">
      <w:pPr>
        <w:pStyle w:val="Heading3"/>
      </w:pPr>
      <w:bookmarkStart w:id="14" w:name="_Toc391021421"/>
      <w:r w:rsidRPr="001276F6">
        <w:t>Study Site and Soil Sampling</w:t>
      </w:r>
      <w:bookmarkEnd w:id="14"/>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This study was conducted on long-term conservation agriculture research plots under continuous cotton (</w:t>
      </w:r>
      <w:r w:rsidRPr="002600E7">
        <w:rPr>
          <w:rFonts w:ascii="Calibri" w:eastAsia="Calibri" w:hAnsi="Calibri" w:cs="Times New Roman"/>
          <w:i/>
          <w:sz w:val="22"/>
          <w:szCs w:val="22"/>
        </w:rPr>
        <w:t>Gossypium hirsutum</w:t>
      </w:r>
      <w:r w:rsidRPr="002600E7">
        <w:rPr>
          <w:rFonts w:ascii="Calibri" w:eastAsia="Calibri" w:hAnsi="Calibri" w:cs="Times New Roman"/>
          <w:sz w:val="22"/>
          <w:szCs w:val="22"/>
        </w:rPr>
        <w:t xml:space="preserve"> .L) at West Tennessee research and education center (WREC), Jackson.   The soil at the site are classified as Lexington silt loam (fine-silty, mixed, thermic, Ultic Hapludalf), well-drained with a 0 to2 percent slope. The soils are derived from red marine deposit overlaid by loess deposits.  (Mention the mean annual temperature and rain fall).  The research plots under this study were established in 1981 focused on the assessment of different tillage systems (no-till and conventional till),  cover crops: no cover, winter wheat (</w:t>
      </w:r>
      <w:r w:rsidRPr="002600E7">
        <w:rPr>
          <w:rFonts w:ascii="Calibri" w:eastAsia="Calibri" w:hAnsi="Calibri" w:cs="Times New Roman"/>
          <w:i/>
          <w:sz w:val="22"/>
          <w:szCs w:val="22"/>
        </w:rPr>
        <w:t>Triticum aestivum</w:t>
      </w:r>
      <w:r w:rsidRPr="002600E7">
        <w:rPr>
          <w:rFonts w:ascii="Calibri" w:eastAsia="Calibri" w:hAnsi="Calibri" w:cs="Times New Roman"/>
          <w:sz w:val="22"/>
          <w:szCs w:val="22"/>
        </w:rPr>
        <w:t>. L), hairy vetch (</w:t>
      </w:r>
      <w:r w:rsidRPr="002600E7">
        <w:rPr>
          <w:rFonts w:ascii="Calibri" w:eastAsia="Calibri" w:hAnsi="Calibri" w:cs="Times New Roman"/>
          <w:i/>
          <w:sz w:val="22"/>
          <w:szCs w:val="22"/>
        </w:rPr>
        <w:t>Vicia villosa</w:t>
      </w:r>
      <w:r w:rsidRPr="002600E7">
        <w:rPr>
          <w:rFonts w:ascii="Calibri" w:eastAsia="Calibri" w:hAnsi="Calibri" w:cs="Times New Roman"/>
          <w:sz w:val="22"/>
          <w:szCs w:val="22"/>
        </w:rPr>
        <w:t>), and crimson clover (</w:t>
      </w:r>
      <w:r w:rsidRPr="002600E7">
        <w:rPr>
          <w:rFonts w:ascii="Calibri" w:eastAsia="Calibri" w:hAnsi="Calibri" w:cs="Times New Roman"/>
          <w:i/>
          <w:sz w:val="22"/>
          <w:szCs w:val="22"/>
        </w:rPr>
        <w:t>Trifolium incarnatum</w:t>
      </w:r>
      <w:r w:rsidRPr="002600E7">
        <w:rPr>
          <w:rFonts w:ascii="Calibri" w:eastAsia="Calibri" w:hAnsi="Calibri" w:cs="Times New Roman"/>
          <w:sz w:val="22"/>
          <w:szCs w:val="22"/>
        </w:rPr>
        <w:t xml:space="preserve">) and different nitrogen (N) fertilizer rates (0, 34, 67, 101 kg N ha-1) on cotton production.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treatment and experimental design were set up in a randomized complete block design (RCBD) with a split-split plot. The whole plot was N rates with 4 levels (0 Kg Nha-1, 34 kg Nha-1 , 67 kg N ha-1and 101 Kg Nha-1), the split plot was cover crops with three levels ( Hairy Vetch, Winter wheat, and No cover crop) and the split-split plot was tillage systems with two levels (no-till and conventional tillage). Each treatment factor had four replications with the experimental units of 12 m by 8 m in size having 8 rows of cotton. Tillage is usually done two times before planting by a standard disc harrow followed by smoothing and breaking up of clods by a triple-K harrow.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Field operations on the sampled plots were carried out in May 2013. The plots that are under conventional tillage were ploughed on the 16th May and on the 17th of May all the plots including those under no – till were planted; the cotton variety that was planted was Phytogen 375 WRE. Fertilizer was applied on the 17th May, both phosphorus (P) and potassium (K) fertilizers were applied at uniform rate </w:t>
      </w:r>
      <w:r w:rsidRPr="002600E7">
        <w:rPr>
          <w:rFonts w:ascii="Calibri" w:eastAsia="Calibri" w:hAnsi="Calibri" w:cs="Times New Roman"/>
          <w:sz w:val="22"/>
          <w:szCs w:val="22"/>
        </w:rPr>
        <w:lastRenderedPageBreak/>
        <w:t xml:space="preserve">across all the treatments. Phosphorus was applied as triple superphosphate at 101 kg P ha-1 and K was applied as murrate of potash at 134 kg K ha-1. Nitrogen fertilizer was applied as NH4NO3 four days after planting (21st May) in accordance to the N-rate treatment levels of 0 kg N ha-1; 34 kg N ha-1 , 67 kg N ha-1and 101 kg N ha-1.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Soils were sampled on June 12 2013 after the cotton plants had established. Soil was sampled at a 7.5 cm using a 2.5 cm diameter soil probe. Sampling was done randomly within the plot approximately 10 -15 cm away from the crop with approximately 20-25 sub-samples. The sub samples from each plot were mixed together into one composite sample. Sampling for bulk density was done in October in order to minimize any confounding effects of tilling from the current season. </w:t>
      </w:r>
    </w:p>
    <w:p w:rsidR="002600E7" w:rsidRPr="00886BA4" w:rsidRDefault="002600E7" w:rsidP="00886BA4">
      <w:pPr>
        <w:pStyle w:val="Heading3"/>
      </w:pPr>
      <w:bookmarkStart w:id="15" w:name="_Toc391021422"/>
      <w:r w:rsidRPr="00886BA4">
        <w:t>Characterization of Soil Chemical and Physical Properties</w:t>
      </w:r>
      <w:bookmarkEnd w:id="15"/>
    </w:p>
    <w:p w:rsidR="002600E7" w:rsidRPr="002600E7" w:rsidRDefault="002600E7" w:rsidP="002600E7">
      <w:pPr>
        <w:spacing w:after="100" w:afterAutospacing="1"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Soil sampling for the analysis of total C and N, and soil elemental composition was done at the beginning of the cotton growing season in June of 2013. Sub-samples of soils were sent to the University of Tennessee, Soil, Plant, and Pest Center laboratories in Nashville for analysis. TC and TN were measured using a Thermo Flash EA 1112 NC combustion analyzer after samples had been dried and sieved through a 30um sieve. Soil elemental analysis was done for extractable phosphorus (P), potassium (K), calcium (Ca), and magnesium (Mg) based on a Mehlich 1 extraction and measured using a Perkin-Elmer 5300 &amp; 7300 DV Inductively Coupled Plasma (ICP) unit. Soil pH was measured using a 1:1 soil/water suspension and the buffer capacity subsequently determined by adding 10ml Moore-Sikora buffer (Sikora and Moore, 2008).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Soil bulk density was calculated based on the dry soil mass of intact soil cores of a known volume (7.5 cm long and 7.5 cm diameter metal cylinder) after drying at 105°C for 24 hours based on the soil core method (Hartge et al., 1986). The bulk density values were then used to calculate the soil C and N to a volume/area basis (tons/ha).</w:t>
      </w:r>
    </w:p>
    <w:p w:rsidR="002600E7" w:rsidRPr="00886BA4" w:rsidRDefault="002600E7" w:rsidP="00886BA4">
      <w:pPr>
        <w:pStyle w:val="Heading3"/>
      </w:pPr>
      <w:bookmarkStart w:id="16" w:name="_Toc391021423"/>
      <w:r w:rsidRPr="00886BA4">
        <w:lastRenderedPageBreak/>
        <w:t>Characterization of soil biological properties</w:t>
      </w:r>
      <w:bookmarkEnd w:id="16"/>
      <w:r w:rsidRPr="00886BA4">
        <w:t xml:space="preserve"> </w:t>
      </w:r>
    </w:p>
    <w:p w:rsidR="002600E7" w:rsidRPr="002600E7" w:rsidRDefault="002600E7" w:rsidP="002600E7">
      <w:pPr>
        <w:autoSpaceDE w:val="0"/>
        <w:autoSpaceDN w:val="0"/>
        <w:adjustRightInd w:val="0"/>
        <w:spacing w:after="100" w:afterAutospacing="1" w:line="480" w:lineRule="auto"/>
        <w:rPr>
          <w:rFonts w:ascii="Calibri" w:eastAsia="Calibri" w:hAnsi="Calibri" w:cs="Times New Roman"/>
          <w:sz w:val="22"/>
          <w:szCs w:val="22"/>
        </w:rPr>
      </w:pPr>
      <w:r w:rsidRPr="002600E7">
        <w:rPr>
          <w:rFonts w:ascii="Calibri" w:eastAsia="Calibri" w:hAnsi="Calibri" w:cs="Times New Roman"/>
          <w:sz w:val="22"/>
          <w:szCs w:val="22"/>
        </w:rPr>
        <w:t>Microbial biomass C and N was determined using the chloroform fumigation direct extraction (CFDE) method on 10 g oven-dry equivalent samples (Horwarth and Paul, 1994). Samples were fumigated in the dark for 48hrs after which C and N of fumigated and non-fumigated samples were extracted using 0.5 M K</w:t>
      </w:r>
      <w:r w:rsidRPr="002600E7">
        <w:rPr>
          <w:rFonts w:ascii="Calibri" w:eastAsia="Calibri" w:hAnsi="Calibri" w:cs="Times New Roman"/>
          <w:sz w:val="22"/>
          <w:szCs w:val="22"/>
          <w:vertAlign w:val="subscript"/>
        </w:rPr>
        <w:t>2</w:t>
      </w:r>
      <w:r w:rsidRPr="002600E7">
        <w:rPr>
          <w:rFonts w:ascii="Calibri" w:eastAsia="Calibri" w:hAnsi="Calibri" w:cs="Times New Roman"/>
          <w:sz w:val="22"/>
          <w:szCs w:val="22"/>
        </w:rPr>
        <w:t>SO</w:t>
      </w:r>
      <w:r w:rsidRPr="002600E7">
        <w:rPr>
          <w:rFonts w:ascii="Calibri" w:eastAsia="Calibri" w:hAnsi="Calibri" w:cs="Times New Roman"/>
          <w:sz w:val="22"/>
          <w:szCs w:val="22"/>
          <w:vertAlign w:val="subscript"/>
        </w:rPr>
        <w:t>4</w:t>
      </w:r>
      <w:r w:rsidRPr="002600E7">
        <w:rPr>
          <w:rFonts w:ascii="Calibri" w:eastAsia="Calibri" w:hAnsi="Calibri" w:cs="Times New Roman"/>
          <w:sz w:val="22"/>
          <w:szCs w:val="22"/>
        </w:rPr>
        <w:t xml:space="preserve">. </w:t>
      </w:r>
      <w:r w:rsidRPr="002600E7">
        <w:rPr>
          <w:rFonts w:ascii="Calibri" w:eastAsia="Calibri" w:hAnsi="Calibri" w:cs="Times New Roman"/>
          <w:sz w:val="23"/>
          <w:szCs w:val="23"/>
        </w:rPr>
        <w:t xml:space="preserve">Total dissolved organic carbon (DOC) and </w:t>
      </w:r>
      <w:r w:rsidRPr="002600E7">
        <w:rPr>
          <w:rFonts w:ascii="Calibri" w:eastAsia="Calibri" w:hAnsi="Calibri" w:cs="Times New Roman"/>
          <w:sz w:val="22"/>
          <w:szCs w:val="22"/>
        </w:rPr>
        <w:t>total extractable N</w:t>
      </w:r>
      <w:r w:rsidRPr="002600E7">
        <w:rPr>
          <w:rFonts w:ascii="Calibri" w:eastAsia="Calibri" w:hAnsi="Calibri" w:cs="Times New Roman"/>
          <w:sz w:val="23"/>
          <w:szCs w:val="23"/>
        </w:rPr>
        <w:t xml:space="preserve"> </w:t>
      </w:r>
      <w:r w:rsidRPr="002600E7">
        <w:rPr>
          <w:rFonts w:ascii="Calibri" w:eastAsia="Calibri" w:hAnsi="Calibri" w:cs="Times New Roman"/>
          <w:sz w:val="22"/>
          <w:szCs w:val="22"/>
        </w:rPr>
        <w:t>was measured on a Shimadzu TOC/TN analyzer. Values for non-fumigated samples were then subtracted from fumigated samples and a K</w:t>
      </w:r>
      <w:r w:rsidRPr="002600E7">
        <w:rPr>
          <w:rFonts w:ascii="Calibri" w:eastAsia="Calibri" w:hAnsi="Calibri" w:cs="Times New Roman"/>
          <w:vertAlign w:val="subscript"/>
        </w:rPr>
        <w:t>ec</w:t>
      </w:r>
      <w:r w:rsidRPr="002600E7">
        <w:rPr>
          <w:rFonts w:ascii="Calibri" w:eastAsia="Calibri" w:hAnsi="Calibri" w:cs="Times New Roman"/>
          <w:sz w:val="22"/>
          <w:szCs w:val="22"/>
        </w:rPr>
        <w:t>/K</w:t>
      </w:r>
      <w:r w:rsidRPr="002600E7">
        <w:rPr>
          <w:rFonts w:ascii="Calibri" w:eastAsia="Calibri" w:hAnsi="Calibri" w:cs="Times New Roman"/>
          <w:vertAlign w:val="subscript"/>
        </w:rPr>
        <w:t>en</w:t>
      </w:r>
      <w:r w:rsidRPr="002600E7">
        <w:rPr>
          <w:rFonts w:ascii="Calibri" w:eastAsia="Calibri" w:hAnsi="Calibri" w:cs="Times New Roman"/>
          <w:sz w:val="22"/>
          <w:szCs w:val="22"/>
        </w:rPr>
        <w:t xml:space="preserve"> of 0.35 for C and N respectively applied (Voroney et al. 1991). </w:t>
      </w:r>
    </w:p>
    <w:p w:rsidR="002600E7" w:rsidRPr="002600E7" w:rsidRDefault="002600E7" w:rsidP="002600E7">
      <w:pPr>
        <w:autoSpaceDE w:val="0"/>
        <w:autoSpaceDN w:val="0"/>
        <w:adjustRightInd w:val="0"/>
        <w:spacing w:after="100" w:afterAutospacing="1" w:line="480" w:lineRule="auto"/>
        <w:rPr>
          <w:rFonts w:ascii="Calibri" w:eastAsia="Calibri" w:hAnsi="Calibri" w:cs="Times New Roman"/>
          <w:sz w:val="22"/>
          <w:szCs w:val="22"/>
        </w:rPr>
      </w:pPr>
      <w:r w:rsidRPr="002600E7">
        <w:rPr>
          <w:rFonts w:ascii="Calibri" w:eastAsia="Calibri" w:hAnsi="Calibri" w:cs="Times New Roman"/>
          <w:sz w:val="22"/>
          <w:szCs w:val="22"/>
        </w:rPr>
        <w:t>Microbial respiration was determined based on soil incubation in 500ml mason jars and sampling the headspace for CO</w:t>
      </w:r>
      <w:r w:rsidRPr="002600E7">
        <w:rPr>
          <w:rFonts w:ascii="Calibri" w:eastAsia="Calibri" w:hAnsi="Calibri" w:cs="Times New Roman"/>
          <w:sz w:val="22"/>
          <w:szCs w:val="22"/>
          <w:vertAlign w:val="subscript"/>
        </w:rPr>
        <w:t>2</w:t>
      </w:r>
      <w:r w:rsidRPr="002600E7">
        <w:rPr>
          <w:rFonts w:ascii="Calibri" w:eastAsia="Calibri" w:hAnsi="Calibri" w:cs="Times New Roman"/>
          <w:sz w:val="22"/>
          <w:szCs w:val="22"/>
        </w:rPr>
        <w:t xml:space="preserve">:  50g moist soil (field condition) was placed into the jar and sealed tightly with a cap fitted with a septum suitable for gas sampling. Jars were then sampled with a needle attached to a 1ml syringe and measured with an infrared gas analyzer (). The samples were then incubated at 25 </w:t>
      </w:r>
      <w:r w:rsidRPr="002600E7">
        <w:rPr>
          <w:rFonts w:ascii="Calibri" w:eastAsia="Calibri" w:hAnsi="Calibri" w:cs="Times New Roman"/>
          <w:sz w:val="22"/>
          <w:szCs w:val="22"/>
          <w:vertAlign w:val="superscript"/>
        </w:rPr>
        <w:t xml:space="preserve">0 </w:t>
      </w:r>
      <w:r w:rsidRPr="002600E7">
        <w:rPr>
          <w:rFonts w:ascii="Calibri" w:eastAsia="Calibri" w:hAnsi="Calibri" w:cs="Times New Roman"/>
          <w:sz w:val="22"/>
          <w:szCs w:val="22"/>
        </w:rPr>
        <w:t>C and resampled every other day for a period of two weeks.  CO</w:t>
      </w:r>
      <w:r w:rsidRPr="002600E7">
        <w:rPr>
          <w:rFonts w:ascii="Calibri" w:eastAsia="Calibri" w:hAnsi="Calibri" w:cs="Times New Roman"/>
          <w:sz w:val="22"/>
          <w:szCs w:val="22"/>
          <w:vertAlign w:val="subscript"/>
        </w:rPr>
        <w:t>2</w:t>
      </w:r>
      <w:r w:rsidRPr="002600E7">
        <w:rPr>
          <w:rFonts w:ascii="Calibri" w:eastAsia="Calibri" w:hAnsi="Calibri" w:cs="Times New Roman"/>
          <w:sz w:val="22"/>
          <w:szCs w:val="22"/>
        </w:rPr>
        <w:t xml:space="preserve"> was calculated in comparison to CO</w:t>
      </w:r>
      <w:r w:rsidRPr="002600E7">
        <w:rPr>
          <w:rFonts w:ascii="Calibri" w:eastAsia="Calibri" w:hAnsi="Calibri" w:cs="Times New Roman"/>
          <w:sz w:val="22"/>
          <w:szCs w:val="22"/>
          <w:vertAlign w:val="superscript"/>
        </w:rPr>
        <w:t>2</w:t>
      </w:r>
      <w:r w:rsidRPr="002600E7">
        <w:rPr>
          <w:rFonts w:ascii="Calibri" w:eastAsia="Calibri" w:hAnsi="Calibri" w:cs="Times New Roman"/>
          <w:sz w:val="22"/>
          <w:szCs w:val="22"/>
        </w:rPr>
        <w:t xml:space="preserve"> standards of known concentration that were measured at each of the CO</w:t>
      </w:r>
      <w:r w:rsidRPr="002600E7">
        <w:rPr>
          <w:rFonts w:ascii="Calibri" w:eastAsia="Calibri" w:hAnsi="Calibri" w:cs="Times New Roman"/>
          <w:sz w:val="22"/>
          <w:szCs w:val="22"/>
          <w:vertAlign w:val="superscript"/>
        </w:rPr>
        <w:t>2</w:t>
      </w:r>
      <w:r w:rsidRPr="002600E7">
        <w:rPr>
          <w:rFonts w:ascii="Calibri" w:eastAsia="Calibri" w:hAnsi="Calibri" w:cs="Times New Roman"/>
          <w:sz w:val="22"/>
          <w:szCs w:val="22"/>
        </w:rPr>
        <w:t xml:space="preserve"> samplings to generate a standard curve.  </w:t>
      </w:r>
    </w:p>
    <w:p w:rsidR="002600E7" w:rsidRPr="002600E7" w:rsidRDefault="002600E7" w:rsidP="002600E7">
      <w:pPr>
        <w:autoSpaceDE w:val="0"/>
        <w:autoSpaceDN w:val="0"/>
        <w:adjustRightInd w:val="0"/>
        <w:spacing w:after="100" w:afterAutospacing="1" w:line="480" w:lineRule="auto"/>
        <w:rPr>
          <w:rFonts w:ascii="Calibri" w:eastAsia="Calibri" w:hAnsi="Calibri" w:cs="Times New Roman"/>
          <w:iCs/>
          <w:sz w:val="23"/>
          <w:szCs w:val="23"/>
        </w:rPr>
      </w:pPr>
      <w:r w:rsidRPr="002600E7">
        <w:rPr>
          <w:rFonts w:ascii="Calibri" w:eastAsia="Calibri" w:hAnsi="Calibri" w:cs="Times New Roman"/>
          <w:sz w:val="22"/>
          <w:szCs w:val="22"/>
          <w:highlight w:val="cyan"/>
        </w:rPr>
        <w:t xml:space="preserve">Soil potential biogeochemical cycling was evaluated according to </w:t>
      </w:r>
      <w:r w:rsidRPr="002600E7">
        <w:rPr>
          <w:rFonts w:ascii="Calibri" w:eastAsia="Calibri" w:hAnsi="Calibri" w:cs="Times New Roman"/>
          <w:sz w:val="22"/>
          <w:szCs w:val="22"/>
        </w:rPr>
        <w:t>the activities of select enzyme, i.e. acid phosphatase, β-glucosidase and β-glucosaminidase using air-dried soil (0.5 g &lt;5 mm) with their appropriate substrate (p-nitrophenyl derivate) and incubated (37 °C) at their optimal pH following the assay conditions described in Tabatabai (1994) or Parham and Deng (2000). The EAs determined according to the release from p-nitrophenol as the reaction product were expressed in mg of p-nitrophenol released kg</w:t>
      </w:r>
      <w:r w:rsidRPr="002600E7">
        <w:rPr>
          <w:rFonts w:ascii="Calibri" w:eastAsia="Calibri" w:hAnsi="Calibri" w:cs="Times New Roman"/>
          <w:sz w:val="22"/>
          <w:szCs w:val="22"/>
          <w:vertAlign w:val="superscript"/>
        </w:rPr>
        <w:t>−1</w:t>
      </w:r>
      <w:r w:rsidRPr="002600E7">
        <w:rPr>
          <w:rFonts w:ascii="Calibri" w:eastAsia="Calibri" w:hAnsi="Calibri" w:cs="Times New Roman"/>
          <w:sz w:val="22"/>
          <w:szCs w:val="22"/>
        </w:rPr>
        <w:t xml:space="preserve"> soil h</w:t>
      </w:r>
      <w:r w:rsidRPr="002600E7">
        <w:rPr>
          <w:rFonts w:ascii="Calibri" w:eastAsia="Calibri" w:hAnsi="Calibri" w:cs="Times New Roman"/>
          <w:sz w:val="22"/>
          <w:szCs w:val="22"/>
          <w:vertAlign w:val="superscript"/>
        </w:rPr>
        <w:t>−1</w:t>
      </w:r>
      <w:r w:rsidRPr="002600E7">
        <w:rPr>
          <w:rFonts w:ascii="Calibri" w:eastAsia="Calibri" w:hAnsi="Calibri" w:cs="Times New Roman"/>
          <w:sz w:val="22"/>
          <w:szCs w:val="22"/>
        </w:rPr>
        <w:t>. All EAs were assayed in duplicate with one control, to which substrate was added after incubation and subtracted from a sample value.</w:t>
      </w:r>
    </w:p>
    <w:p w:rsidR="002600E7" w:rsidRPr="002600E7" w:rsidRDefault="002600E7" w:rsidP="002600E7">
      <w:pPr>
        <w:spacing w:after="100" w:afterAutospacing="1" w:line="480" w:lineRule="auto"/>
        <w:rPr>
          <w:rFonts w:ascii="Calibri" w:eastAsia="Calibri" w:hAnsi="Calibri" w:cs="Times New Roman"/>
          <w:sz w:val="22"/>
          <w:szCs w:val="22"/>
          <w:lang w:val="en-GB"/>
        </w:rPr>
      </w:pPr>
      <w:r w:rsidRPr="002600E7">
        <w:rPr>
          <w:rFonts w:ascii="Calibri" w:eastAsia="Calibri" w:hAnsi="Calibri" w:cs="Times New Roman"/>
          <w:sz w:val="22"/>
          <w:szCs w:val="22"/>
        </w:rPr>
        <w:lastRenderedPageBreak/>
        <w:t>Soil microbial community structure was determined based on Ester-linked Fatty Acid Methyl Ester (EL-FAME) analysis method (Schutter and Dick 2000). S</w:t>
      </w:r>
      <w:r w:rsidRPr="002600E7">
        <w:rPr>
          <w:rFonts w:ascii="Calibri" w:eastAsia="Calibri" w:hAnsi="Calibri" w:cs="Times New Roman"/>
          <w:sz w:val="22"/>
          <w:szCs w:val="22"/>
          <w:lang w:val="en-GB"/>
        </w:rPr>
        <w:t xml:space="preserve">aponification and methylation of ester-linked fatty acids (FA’s) is done by incubation of 3 g of </w:t>
      </w:r>
      <w:r w:rsidRPr="002600E7">
        <w:rPr>
          <w:rFonts w:ascii="Calibri" w:eastAsia="Calibri" w:hAnsi="Calibri" w:cs="Times New Roman"/>
          <w:sz w:val="22"/>
          <w:szCs w:val="22"/>
        </w:rPr>
        <w:t xml:space="preserve">moist equivalent </w:t>
      </w:r>
      <w:r w:rsidRPr="002600E7">
        <w:rPr>
          <w:rFonts w:ascii="Calibri" w:eastAsia="Calibri" w:hAnsi="Calibri" w:cs="Times New Roman"/>
          <w:sz w:val="22"/>
          <w:szCs w:val="22"/>
          <w:lang w:val="en-GB"/>
        </w:rPr>
        <w:t xml:space="preserve">soil in 15 mL of 0.2 M KOH in methanol at 37 </w:t>
      </w:r>
      <w:r w:rsidRPr="002600E7">
        <w:rPr>
          <w:rFonts w:ascii="Calibri" w:eastAsia="Calibri" w:hAnsi="Calibri" w:cs="Times New Roman"/>
          <w:sz w:val="22"/>
          <w:szCs w:val="22"/>
          <w:vertAlign w:val="superscript"/>
          <w:lang w:val="en-GB"/>
        </w:rPr>
        <w:t xml:space="preserve">o </w:t>
      </w:r>
      <w:r w:rsidRPr="002600E7">
        <w:rPr>
          <w:rFonts w:ascii="Calibri" w:eastAsia="Calibri" w:hAnsi="Calibri" w:cs="Times New Roman"/>
          <w:sz w:val="22"/>
          <w:szCs w:val="22"/>
          <w:lang w:val="en-GB"/>
        </w:rPr>
        <w:t xml:space="preserve">C for 1 h with vortexing done every 10mins; neutralisation of the extracts is then done by adding 3ml of 1.0M acetic acid and the FA’s are then partitioned into an organic phase using 10ml of hexane followed by centrifugation at 480 x g for 15mins; the organic layer is transferred to a clean glass test tube and the hexane is evaporated under a stream of nitrogen gas; the FA’s are then re-dissolved in 0.5 mL of 1:1 hexane:methyl-tert butyl ether containing methyl nonadecanoate (19:0) as an internal standard, transferred to 2ml GC glass vials and FA’s concentrations measured using an Agilent 6890 N gas chromatograph with a 25m×0.32mm×0.25 μm (5 % phenyl)-methylpolysiloxane Agilent HP-5 fused silica capillary column (Agilent, Santa Clara, CA) and flame ionization detector (Hewlett Packard, Palo Alto, CA) with ultra-high purity hydrogen as the carrier gas. Absolute amounts of FAs (nmolg−1 soil) were calculated according to Zelles (1996) using the 19:0 internal standard which was then used to calculate molar percent (mol %).  Twenty-six fatty acids (FA’s) that were consistently present in all samples were used for the data analysis with fourteen of these identified as FA’s representing different bacteria and fungi biomarkers as described in previous </w:t>
      </w:r>
      <w:r w:rsidRPr="002600E7">
        <w:rPr>
          <w:rFonts w:ascii="Calibri" w:eastAsia="Calibri" w:hAnsi="Calibri" w:cs="Times New Roman"/>
          <w:sz w:val="22"/>
          <w:szCs w:val="22"/>
          <w:highlight w:val="cyan"/>
          <w:lang w:val="en-GB"/>
        </w:rPr>
        <w:t xml:space="preserve">studies  </w:t>
      </w:r>
      <w:r w:rsidRPr="002600E7">
        <w:rPr>
          <w:rFonts w:ascii="Calibri" w:eastAsia="Calibri" w:hAnsi="Calibri" w:cs="Times New Roman"/>
          <w:sz w:val="22"/>
          <w:szCs w:val="22"/>
          <w:highlight w:val="cyan"/>
          <w:lang w:val="en-GB"/>
        </w:rPr>
        <w:fldChar w:fldCharType="begin" w:fldLock="1"/>
      </w:r>
      <w:r w:rsidRPr="002600E7">
        <w:rPr>
          <w:rFonts w:ascii="Calibri" w:eastAsia="Calibri" w:hAnsi="Calibri" w:cs="Times New Roman"/>
          <w:sz w:val="22"/>
          <w:szCs w:val="22"/>
          <w:highlight w:val="cyan"/>
          <w:lang w:val="en-GB"/>
        </w:rPr>
        <w:instrText>ADDIN CSL_CITATION { "citationItems" : [ { "id" : "ITEM-1", "itemData" : { "PMID" : "10422254", "abstract" : "Fatty acid profiles obtained from single cultured organisms have been used to estimate which taxonomic groups are actually represented. The lipid extraction was modified to liberate fatty acids with ester-linkages, as well as those with non-ester-linkages and classify them in different chemically relevant groups. The discriminatory power of fatty acids, in different chemically relevant fractions and subfractions varied considerably. Saturated fatty acids were least able to predict actual group membership (ca. 75%), while nonester-linked hydroxy fatty acids, which largely go undetected by the simple extraction procedure, gave the highest predictability values (ca. 94%). The discriminatory power of the method used was enhanced by increasing the number of well-defined fatty acid methyl esters. The estimation capacity of the results was improved, when the fatty acids, which were presumed to be common and widespread, were excluded from the whole-community fatty acid profiles prior to multivariate analysis.", "author" : [ { "dropping-particle" : "", "family" : "Zelles", "given" : "L", "non-dropping-particle" : "", "parse-names" : false, "suffix" : "" } ], "container-title" : "Chemosphere", "id" : "ITEM-1", "issued" : { "date-parts" : [ [ "1999" ] ] }, "page" : "665-682", "title" : "Identification of single cultured micro-organisms based on their whole-community fatty acid profiles, using an extended extraction procedure.", "type" : "article-journal", "volume" : "39" }, "uris" : [ "http://www.mendeley.com/documents/?uuid=0eeb2289-3c44-4595-8ca2-932536124479" ] }, { "id" : "ITEM-2", "itemData" : { "author" : [ { "dropping-particle" : "", "family" : "Zelles", "given" : "L", "non-dropping-particle" : "", "parse-names" : false, "suffix" : "" } ], "container-title" : "Chemosphere", "id" : "ITEM-2", "issue" : "97", "issued" : { "date-parts" : [ [ "1997" ] ] }, "page" : "275-294", "title" : "PHOSPHOLIPID FATTY ACID PROFILES IN SELECTED MEMBERS OF SOIL MICROBIAL COMMUNlTIES", "type" : "article-journal", "volume" : "6535" }, "uris" : [ "http://www.mendeley.com/documents/?uuid=8b77d398-504e-41c7-a9b8-7f329bdc08e5" ] }, { "id" : "ITEM-3", "itemData" : { "DOI" : "10.1016/j.soilbio.2003.08.016", "ISSN" : "00380717", "author" : [ { "dropping-particle" : "", "family" : "Feng", "given" : "Y.", "non-dropping-particle" : "", "parse-names" : false, "suffix" : "" }, { "dropping-particle" : "", "family" : "Motta", "given" : "a.C.", "non-dropping-particle" : "", "parse-names" : false, "suffix" : "" }, { "dropping-particle" : "", "family" : "Reeves", "given" : "D.W.", "non-dropping-particle" : "", "parse-names" : false, "suffix" : "" }, { "dropping-particle" : "", "family" : "Burmester", "given" : "C.H.", "non-dropping-particle" : "", "parse-names" : false, "suffix" : "" }, { "dropping-particle" : "", "family" : "Santen", "given" : "E.", "non-dropping-particle" : "van", "parse-names" : false, "suffix" : "" }, { "dropping-particle" : "", "family" : "Osborne", "given" : "J.a.", "non-dropping-particle" : "", "parse-names" : false, "suffix" : "" } ], "container-title" : "Soil Biology and Biochemistry", "id" : "ITEM-3", "issue" : "12", "issued" : { "date-parts" : [ [ "2003", "12" ] ] }, "page" : "1693-1703", "title" : "Soil microbial communities under conventional-till and no-till continuous cotton systems", "type" : "article-journal", "volume" : "35" }, "uris" : [ "http://www.mendeley.com/documents/?uuid=2b39d351-1ec5-4e55-a5fd-743fff783b1f" ] }, { "id" : "ITEM-4", "itemData" : { "DOI" : "10.1155/2012/548620", "ISSN" : "1687-7667", "author" : [ { "dropping-particle" : "", "family" : "Mathew", "given" : "Reji P.", "non-dropping-particle" : "", "parse-names" : false, "suffix" : "" }, { "dropping-particle" : "", "family" : "Feng", "given" : "Yucheng", "non-dropping-particle" : "", "parse-names" : false, "suffix" : "" }, { "dropping-particle" : "", "family" : "Githinji", "given" : "Leonard", "non-dropping-particle" : "", "parse-names" : false, "suffix" : "" }, { "dropping-particle" : "", "family" : "Ankumah", "given" : "Ramble", "non-dropping-particle" : "", "parse-names" : false, "suffix" : "" }, { "dropping-particle" : "", "family" : "Balkcom", "given" : "Kipling S.", "non-dropping-particle" : "", "parse-names" : false, "suffix" : "" } ], "container-title" : "Applied and Environmental Soil Science", "id" : "ITEM-4", "issued" : { "date-parts" : [ [ "2012" ] ] }, "page" : "1-10", "title" : "Impact of No-Tillage and Conventional Tillage Systems on Soil Microbial Communities", "type" : "article-journal", "volume" : "2012" }, "uris" : [ "http://www.mendeley.com/documents/?uuid=96c0251a-a41e-4b60-a48d-67010bbbba89" ] }, { "id" : "ITEM-5", "itemData" : { "DOI" : "10.1007/BF00384433", "ISSN" : "0178-2762", "author" : [ { "dropping-particle" : "", "family" : "Frostegard", "given" : "A.", "non-dropping-particle" : "", "parse-names" : false, "suffix" : "" }, { "dropping-particle" : "", "family" : "Baath", "given" : "E.", "non-dropping-particle" : "", "parse-names" : false, "suffix" : "" } ], "container-title" : "Biology and Fertility of Soils", "id" : "ITEM-5", "issue" : "1-2", "issued" : { "date-parts" : [ [ "1996", "4" ] ] }, "page" : "59-65", "title" : "The use of phospholipid fatty acid analysis to estimate bacterial and fungal biomass in soil", "type" : "article-journal", "volume" : "22" }, "uris" : [ "http://www.mendeley.com/documents/?uuid=b47f6d05-c928-4226-9103-0f180d190948" ] } ], "mendeley" : { "previouslyFormattedCitation" : "(Frostegard and Baath, 1996; Zelles, 1997, 1999; Feng et al., 2003; Mathew et al., 2012)" }, "properties" : { "noteIndex" : 0 }, "schema" : "https://github.com/citation-style-language/schema/raw/master/csl-citation.json" }</w:instrText>
      </w:r>
      <w:r w:rsidRPr="002600E7">
        <w:rPr>
          <w:rFonts w:ascii="Calibri" w:eastAsia="Calibri" w:hAnsi="Calibri" w:cs="Times New Roman"/>
          <w:sz w:val="22"/>
          <w:szCs w:val="22"/>
          <w:highlight w:val="cyan"/>
          <w:lang w:val="en-GB"/>
        </w:rPr>
        <w:fldChar w:fldCharType="separate"/>
      </w:r>
      <w:r w:rsidRPr="002600E7">
        <w:rPr>
          <w:rFonts w:ascii="Calibri" w:eastAsia="Calibri" w:hAnsi="Calibri" w:cs="Times New Roman"/>
          <w:noProof/>
          <w:sz w:val="22"/>
          <w:szCs w:val="22"/>
          <w:highlight w:val="cyan"/>
          <w:lang w:val="en-GB"/>
        </w:rPr>
        <w:t>(Frostegard and Baath, 1996; Zelles, 1997, 1999; Feng et al., 2003; Mathew et al., 2012)</w:t>
      </w:r>
      <w:r w:rsidRPr="002600E7">
        <w:rPr>
          <w:rFonts w:ascii="Calibri" w:eastAsia="Calibri" w:hAnsi="Calibri" w:cs="Times New Roman"/>
          <w:sz w:val="22"/>
          <w:szCs w:val="22"/>
          <w:highlight w:val="cyan"/>
          <w:lang w:val="en-GB"/>
        </w:rPr>
        <w:fldChar w:fldCharType="end"/>
      </w:r>
      <w:r w:rsidRPr="002600E7">
        <w:rPr>
          <w:rFonts w:ascii="Calibri" w:eastAsia="Calibri" w:hAnsi="Calibri" w:cs="Times New Roman"/>
          <w:sz w:val="22"/>
          <w:szCs w:val="22"/>
          <w:highlight w:val="cyan"/>
          <w:lang w:val="en-GB"/>
        </w:rPr>
        <w:t>. FA’s having the length of 14 carbon chain and higher were used to calculate total FAME (nmolg</w:t>
      </w:r>
      <w:r w:rsidRPr="002600E7">
        <w:rPr>
          <w:rFonts w:ascii="Calibri" w:eastAsia="Calibri" w:hAnsi="Calibri" w:cs="Times New Roman"/>
          <w:sz w:val="22"/>
          <w:szCs w:val="22"/>
          <w:highlight w:val="cyan"/>
          <w:vertAlign w:val="superscript"/>
          <w:lang w:val="en-GB"/>
        </w:rPr>
        <w:t>−1</w:t>
      </w:r>
      <w:r w:rsidRPr="002600E7">
        <w:rPr>
          <w:rFonts w:ascii="Calibri" w:eastAsia="Calibri" w:hAnsi="Calibri" w:cs="Times New Roman"/>
          <w:sz w:val="22"/>
          <w:szCs w:val="22"/>
          <w:highlight w:val="cyan"/>
          <w:lang w:val="en-GB"/>
        </w:rPr>
        <w:t xml:space="preserve"> soil), which is usually used as an estimate of microbial biomass.</w:t>
      </w:r>
      <w:r w:rsidRPr="002600E7">
        <w:rPr>
          <w:rFonts w:ascii="Calibri" w:eastAsia="Calibri" w:hAnsi="Calibri" w:cs="Times New Roman"/>
          <w:sz w:val="22"/>
          <w:szCs w:val="22"/>
          <w:lang w:val="en-GB"/>
        </w:rPr>
        <w:t xml:space="preserve"> The bacteria biomarkers identified included five Gram positive (Gram+) bacteria (i15:0, a15:0,</w:t>
      </w:r>
      <w:r w:rsidRPr="002600E7">
        <w:rPr>
          <w:rFonts w:ascii="Calibri" w:eastAsia="Calibri" w:hAnsi="Calibri" w:cs="Times New Roman"/>
          <w:sz w:val="22"/>
          <w:szCs w:val="22"/>
        </w:rPr>
        <w:t xml:space="preserve"> </w:t>
      </w:r>
      <w:r w:rsidRPr="002600E7">
        <w:rPr>
          <w:rFonts w:ascii="Calibri" w:eastAsia="Calibri" w:hAnsi="Calibri" w:cs="Times New Roman"/>
          <w:sz w:val="22"/>
          <w:szCs w:val="22"/>
          <w:lang w:val="en-GB"/>
        </w:rPr>
        <w:t xml:space="preserve">i16:0, i17:0, a17:0); three Gram negative (Gram-) bacteria (cy17:0, cy19:0, 16:1w7c) and three actinomycetes (10Me16:0, 10Me17:0, 10Me18:0). The bacterial sum was calculated based on the summation of the gram +, gram- and actinomycetes biomarkers.  Fungal markers included two saprophytic biomarkers (18:2ω6c, 18:3ω6c) and an arbuscular mycorrhizal fungi (AMF) associated biomarker (16:1ω5c). The fungal sum was calculated based on the summation of the 18:2ω6c and 18:3ω6c. The AMF biomarker </w:t>
      </w:r>
      <w:r w:rsidRPr="002600E7">
        <w:rPr>
          <w:rFonts w:ascii="Calibri" w:eastAsia="Calibri" w:hAnsi="Calibri" w:cs="Times New Roman"/>
          <w:sz w:val="22"/>
          <w:szCs w:val="22"/>
          <w:lang w:val="en-GB"/>
        </w:rPr>
        <w:lastRenderedPageBreak/>
        <w:t xml:space="preserve">was not included in the fungi summation as it is not considered to play a significant role in organic matter degradation. The fungal/bacterial ratio was calculated by dividing the fungal sum by the bacterial sum.  </w:t>
      </w:r>
    </w:p>
    <w:p w:rsidR="002600E7" w:rsidRPr="00886BA4" w:rsidRDefault="002600E7" w:rsidP="00886BA4">
      <w:pPr>
        <w:pStyle w:val="Heading3"/>
      </w:pPr>
      <w:bookmarkStart w:id="17" w:name="_Toc391021424"/>
      <w:r w:rsidRPr="00886BA4">
        <w:t>Calculation of the soil management assessment framework (SMAF) quality indices</w:t>
      </w:r>
      <w:bookmarkEnd w:id="17"/>
      <w:r w:rsidRPr="00886BA4">
        <w:t xml:space="preserve"> </w:t>
      </w:r>
    </w:p>
    <w:p w:rsidR="00CA73D6"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lang w:val="en-GB"/>
        </w:rPr>
        <w:t xml:space="preserve">Soil quality indices were calculated based on the soil management assessment framework (SMAF) as described in Andrews et al.(2004). Seven of the 13 indices with scoring algorithms that are currently available under the SMAF quality scoring algorithms were used for this study. These include, </w:t>
      </w:r>
      <w:r w:rsidRPr="002600E7">
        <w:rPr>
          <w:rFonts w:ascii="Calibri" w:eastAsia="Calibri" w:hAnsi="Calibri" w:cs="Times New Roman"/>
          <w:sz w:val="22"/>
          <w:szCs w:val="22"/>
        </w:rPr>
        <w:t>Organic C estimated from the total C</w:t>
      </w:r>
      <w:r w:rsidRPr="002600E7">
        <w:rPr>
          <w:rFonts w:ascii="Calibri" w:eastAsia="Calibri" w:hAnsi="Calibri" w:cs="Times New Roman"/>
          <w:sz w:val="22"/>
          <w:szCs w:val="22"/>
          <w:lang w:val="en-GB"/>
        </w:rPr>
        <w:t xml:space="preserve">, soil pH, bulk density, </w:t>
      </w:r>
      <w:r w:rsidRPr="002600E7">
        <w:rPr>
          <w:rFonts w:ascii="Calibri" w:eastAsia="Calibri" w:hAnsi="Calibri" w:cs="Times New Roman"/>
          <w:sz w:val="22"/>
          <w:szCs w:val="22"/>
        </w:rPr>
        <w:t>soil extractable P, and K, microbial biomass (MBC) and β-glucosidase activity</w:t>
      </w:r>
      <w:r w:rsidR="00CA73D6">
        <w:rPr>
          <w:rFonts w:ascii="Calibri" w:eastAsia="Calibri" w:hAnsi="Calibri" w:cs="Times New Roman"/>
          <w:sz w:val="22"/>
          <w:szCs w:val="22"/>
        </w:rPr>
        <w:t xml:space="preserve"> (BG)</w:t>
      </w:r>
      <w:r w:rsidRPr="002600E7">
        <w:rPr>
          <w:rFonts w:ascii="Calibri" w:eastAsia="Calibri" w:hAnsi="Calibri" w:cs="Times New Roman"/>
          <w:sz w:val="22"/>
          <w:szCs w:val="22"/>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selection of the SMAF indices is based on their role in certain soil functions that can be used as measures for attaining specific management goals. MBC, soil pH, P, K and β-glucosidase activity are indices selected for their role in nutrient cycling. Organic C and BD are selected for their role in soil-water relations, aggregate stability as well as filtering and buffering. All the selected indices are measures used for the assessment of crop productivity and ecosystem functioning (</w:t>
      </w:r>
      <w:r w:rsidRPr="002600E7">
        <w:rPr>
          <w:rFonts w:ascii="Calibri" w:eastAsia="Calibri" w:hAnsi="Calibri" w:cs="Times New Roman"/>
          <w:sz w:val="22"/>
          <w:szCs w:val="22"/>
          <w:lang w:val="en-GB"/>
        </w:rPr>
        <w:t>Andrews et al., 2004)</w:t>
      </w:r>
      <w:r w:rsidRPr="002600E7">
        <w:rPr>
          <w:rFonts w:ascii="Calibri" w:eastAsia="Calibri" w:hAnsi="Calibri" w:cs="Times New Roman"/>
          <w:sz w:val="22"/>
          <w:szCs w:val="22"/>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soil quality indices are calculated based on modelled nonlinear scoring curves developed for each indicator consisting of algorithms and logical statements that factor in the relationship of normalized scores of the empirical values of the indicator to controlling factors that limit or enhance its performance for the representative soil function. Based on the scoring algorithm used, each indicator is then transformed into unitless scores ranging from 0-1 with a score of 1 representing the highest potential of the indicator for its associated function within the given system (</w:t>
      </w:r>
      <w:r w:rsidRPr="002600E7">
        <w:rPr>
          <w:rFonts w:ascii="Calibri" w:eastAsia="Calibri" w:hAnsi="Calibri" w:cs="Times New Roman"/>
          <w:sz w:val="22"/>
          <w:szCs w:val="22"/>
          <w:lang w:val="en-GB"/>
        </w:rPr>
        <w:t>Andrews et al., 2004)</w:t>
      </w:r>
      <w:r w:rsidRPr="002600E7">
        <w:rPr>
          <w:rFonts w:ascii="Calibri" w:eastAsia="Calibri" w:hAnsi="Calibri" w:cs="Times New Roman"/>
          <w:sz w:val="22"/>
          <w:szCs w:val="22"/>
        </w:rPr>
        <w:t xml:space="preserve">. The factors taken into consideration for determining the scoring curves include the inherent soil properties, climatic factors, and cropping history.  The relationship between the indicator and controlling factors </w:t>
      </w:r>
      <w:r w:rsidRPr="002600E7">
        <w:rPr>
          <w:rFonts w:ascii="Calibri" w:eastAsia="Calibri" w:hAnsi="Calibri" w:cs="Times New Roman"/>
          <w:sz w:val="22"/>
          <w:szCs w:val="22"/>
        </w:rPr>
        <w:lastRenderedPageBreak/>
        <w:t xml:space="preserve">determines the fitting of the model to known predictor modelling curves that determine the interpretation of each indicator. These include the upper asymptotic sigmoid curve that assumes that more-is-better, lower asymptote curve that factors less-to be better, and the Guassian function that factors a mid-point optimum. The scores obtained from each indicator are then integrated into a soil quality index by dividing their sum by the total number of indicators used and multiplying that by 100. An excel sheet containing the modeled algorithms for each SMAF indicator is available from the developers of the SMAF index and was used for the calculation in this study.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factor class groupings used for this study based on the provisions of the SMAF modelling for inherent soil properties, climatic factors and cropping consideration were as follows: Organic matter class 3 that is determined based on the soil taxonomic sub-order in this case udalfs; textural class 3 (silt loam and silt); climate class 1, which is based on the average annual temperature and precipitation; season class 1, that is based on the sampling time; Regional class 2, for humid LRR’s; crop code 1 which groups crops based on soil pH, electrical conductivity,  and P requirements; other factors included a weathering class, a slope class and the P extracting method. These factors were used as necessary for the fitting of the scoring curves for each individual soil indicator. For example, for the fitting of organic C, the factors put into consideration include the taxonomic sub-order, textural class, weathering class, climate class and regional class.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The interpretation of MBC, organic C, and extractable K, are based on the more-is-better asymptote curve,  that for BD is based on the less-is-better function, with the mid-optimum curve used for P. A less-is-better function is used for BD based on the assumption that high BD would have inhibitory effect for root growth and porosity. The mid-optimum curve criteria was selected for P based on the balance between its availability for the seasonal crop need and minimizing risk of surface water contamination through run off .</w:t>
      </w:r>
    </w:p>
    <w:p w:rsidR="002600E7" w:rsidRPr="00886BA4" w:rsidRDefault="002600E7" w:rsidP="00886BA4">
      <w:pPr>
        <w:pStyle w:val="Heading3"/>
      </w:pPr>
      <w:bookmarkStart w:id="18" w:name="_Toc391021425"/>
      <w:r w:rsidRPr="00886BA4">
        <w:lastRenderedPageBreak/>
        <w:t>Data Analysis</w:t>
      </w:r>
      <w:bookmarkEnd w:id="18"/>
      <w:r w:rsidRPr="00886BA4">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Data were analyzed by a mixed model analysis of variance (ANOVA) and means separated using Fisher’s protected LSD using SAS (SAS Institute, Cary, NJ, 2012). Given the experimental design it was possible to split the analysis in order to determine how tillage and cover crop treatments under varying N-rates would influence soil properties and then determine the response of increasing N-fertilization rates on soil properties. To achieve this, analysis was first done based on each N rates after which </w:t>
      </w:r>
      <w:r w:rsidRPr="002600E7">
        <w:rPr>
          <w:rFonts w:ascii="Calibri" w:eastAsia="Calibri" w:hAnsi="Calibri" w:cs="Times New Roman"/>
          <w:sz w:val="22"/>
          <w:szCs w:val="22"/>
          <w:highlight w:val="cyan"/>
          <w:lang w:val="en-GB"/>
        </w:rPr>
        <w:t xml:space="preserve">the full RBD split-split plot model was run specifically focusing on the effect of the main effect which was N-rate.  </w:t>
      </w:r>
      <w:r w:rsidRPr="002600E7">
        <w:rPr>
          <w:rFonts w:ascii="Calibri" w:eastAsia="Calibri" w:hAnsi="Calibri" w:cs="Times New Roman"/>
          <w:sz w:val="22"/>
          <w:szCs w:val="22"/>
          <w:lang w:val="en-GB"/>
        </w:rPr>
        <w:t xml:space="preserve">Exploratory principal component analysis (PCA) performed on a correlation matrix using the Vegan package (ver. 2.0-2) in R (Oksanen et al. 2011) was used to distinguish treatment separation first based on the selected soil quality index indicators (TC, TN, MBC, MBN, soil pH, glucosidase activity). </w:t>
      </w:r>
    </w:p>
    <w:p w:rsidR="002600E7" w:rsidRPr="002600E7" w:rsidRDefault="002600E7" w:rsidP="002600E7">
      <w:pPr>
        <w:spacing w:after="200" w:line="480" w:lineRule="auto"/>
        <w:rPr>
          <w:rFonts w:ascii="Calibri" w:eastAsia="Calibri" w:hAnsi="Calibri" w:cs="Times New Roman"/>
          <w:sz w:val="22"/>
          <w:szCs w:val="22"/>
          <w:lang w:val="en-GB"/>
        </w:rPr>
      </w:pPr>
    </w:p>
    <w:p w:rsidR="002600E7" w:rsidRPr="002600E7" w:rsidRDefault="002600E7" w:rsidP="002600E7">
      <w:pPr>
        <w:spacing w:after="200" w:line="480" w:lineRule="auto"/>
        <w:rPr>
          <w:rFonts w:ascii="Calibri" w:eastAsia="Calibri" w:hAnsi="Calibri" w:cs="Times New Roman"/>
          <w:sz w:val="22"/>
          <w:szCs w:val="22"/>
          <w:lang w:val="en-GB"/>
        </w:rPr>
      </w:pPr>
    </w:p>
    <w:p w:rsidR="002600E7" w:rsidRDefault="002600E7" w:rsidP="002600E7">
      <w:pPr>
        <w:spacing w:after="200" w:line="480" w:lineRule="auto"/>
        <w:rPr>
          <w:rFonts w:ascii="Calibri" w:eastAsia="Calibri" w:hAnsi="Calibri" w:cs="Times New Roman"/>
          <w:sz w:val="22"/>
          <w:szCs w:val="22"/>
          <w:lang w:val="en-GB"/>
        </w:rPr>
      </w:pPr>
    </w:p>
    <w:p w:rsidR="00AE0605" w:rsidRDefault="00AE0605" w:rsidP="002600E7">
      <w:pPr>
        <w:spacing w:after="200" w:line="480" w:lineRule="auto"/>
        <w:rPr>
          <w:rFonts w:ascii="Calibri" w:eastAsia="Calibri" w:hAnsi="Calibri" w:cs="Times New Roman"/>
          <w:sz w:val="22"/>
          <w:szCs w:val="22"/>
          <w:lang w:val="en-GB"/>
        </w:rPr>
      </w:pPr>
    </w:p>
    <w:p w:rsidR="00AE0605" w:rsidRDefault="00AE0605" w:rsidP="002600E7">
      <w:pPr>
        <w:spacing w:after="200" w:line="480" w:lineRule="auto"/>
        <w:rPr>
          <w:rFonts w:ascii="Calibri" w:eastAsia="Calibri" w:hAnsi="Calibri" w:cs="Times New Roman"/>
          <w:sz w:val="22"/>
          <w:szCs w:val="22"/>
          <w:lang w:val="en-GB"/>
        </w:rPr>
      </w:pPr>
    </w:p>
    <w:p w:rsidR="00AE0605" w:rsidRDefault="00AE0605" w:rsidP="002600E7">
      <w:pPr>
        <w:spacing w:after="200" w:line="480" w:lineRule="auto"/>
        <w:rPr>
          <w:rFonts w:ascii="Calibri" w:eastAsia="Calibri" w:hAnsi="Calibri" w:cs="Times New Roman"/>
          <w:sz w:val="22"/>
          <w:szCs w:val="22"/>
          <w:lang w:val="en-GB"/>
        </w:rPr>
      </w:pPr>
    </w:p>
    <w:p w:rsidR="00AE0605" w:rsidRDefault="00AE0605" w:rsidP="002600E7">
      <w:pPr>
        <w:spacing w:after="200" w:line="480" w:lineRule="auto"/>
        <w:rPr>
          <w:rFonts w:ascii="Calibri" w:eastAsia="Calibri" w:hAnsi="Calibri" w:cs="Times New Roman"/>
          <w:sz w:val="22"/>
          <w:szCs w:val="22"/>
          <w:lang w:val="en-GB"/>
        </w:rPr>
      </w:pPr>
    </w:p>
    <w:p w:rsidR="00AE0605" w:rsidRPr="002600E7" w:rsidRDefault="00AE0605" w:rsidP="002600E7">
      <w:pPr>
        <w:spacing w:after="200" w:line="480" w:lineRule="auto"/>
        <w:rPr>
          <w:rFonts w:ascii="Calibri" w:eastAsia="Calibri" w:hAnsi="Calibri" w:cs="Times New Roman"/>
          <w:sz w:val="22"/>
          <w:szCs w:val="22"/>
          <w:lang w:val="en-GB"/>
        </w:rPr>
      </w:pPr>
    </w:p>
    <w:p w:rsidR="002600E7" w:rsidRPr="00886BA4" w:rsidRDefault="002600E7" w:rsidP="00886BA4">
      <w:pPr>
        <w:pStyle w:val="Heading1"/>
      </w:pPr>
      <w:bookmarkStart w:id="19" w:name="_Toc391021426"/>
      <w:r w:rsidRPr="00886BA4">
        <w:t>RESULTS</w:t>
      </w:r>
      <w:bookmarkEnd w:id="19"/>
    </w:p>
    <w:p w:rsidR="002600E7" w:rsidRPr="00AE0605" w:rsidRDefault="002600E7" w:rsidP="00AE0605">
      <w:pPr>
        <w:pStyle w:val="Heading3"/>
      </w:pPr>
      <w:bookmarkStart w:id="20" w:name="_Toc391021427"/>
      <w:r w:rsidRPr="00AE0605">
        <w:lastRenderedPageBreak/>
        <w:t>Soil chemical and physical properties</w:t>
      </w:r>
      <w:bookmarkEnd w:id="20"/>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21" w:name="_Toc391021428"/>
      <w:r w:rsidRPr="00BF1DF3">
        <w:rPr>
          <w:rFonts w:ascii="Cambria" w:hAnsi="Cambria" w:cs="Times New Roman"/>
          <w:bCs/>
          <w:i/>
          <w:sz w:val="22"/>
          <w:szCs w:val="22"/>
          <w:lang w:val="en-GB"/>
        </w:rPr>
        <w:t>Total Soil Carbon (C) and Nitrogen (N)</w:t>
      </w:r>
      <w:bookmarkEnd w:id="21"/>
      <w:r w:rsidRPr="00BF1DF3">
        <w:rPr>
          <w:rFonts w:ascii="Cambria" w:hAnsi="Cambria" w:cs="Times New Roman"/>
          <w:bCs/>
          <w:i/>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Tillage practice (NoTill and Till) and cover crops (vetch, wheat or no cover) had an influence on the soil C and N with the effect varying based on nitrogen application rate (N-rate) (Figure 1).  NoTill treatments tended to have significantly higher levels of soil C and N than till (P&lt; 0.05). There was also an interaction between tillage and cover crops with treatments having cover crop (vetch or wheat cover) under lower N-rates (0, 34 and 67N) having significantly higher soil C and N.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highest soil C and N levels were recorded in treatments under the highest N-rate (101N Kg/ha) (Table 1b) regardless of cover crop or tillage. We also observed an interaction of N-rate with cover crop treatments on soil C and N (Figure 2a, and 2b). It is interesting to note that in treatments having vetch cover crop, increasing N-rate did not make a difference in the levels of soil C and N. Soil C and N in treatments under wheat showed a response to N-rate increment with a drastic increase at the 34N rate, a decline at the 67 N-rate then increased at 101N-rate having highest levels. Soil C and N in treatments under no cover did not have differences between 0N, 34N and 67N but showed a drastic increase at 101 N-rate.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22" w:name="_Toc391021429"/>
      <w:r w:rsidRPr="00BF1DF3">
        <w:rPr>
          <w:rFonts w:ascii="Cambria" w:hAnsi="Cambria" w:cs="Times New Roman"/>
          <w:bCs/>
          <w:i/>
          <w:sz w:val="22"/>
          <w:szCs w:val="22"/>
          <w:lang w:val="en-GB"/>
        </w:rPr>
        <w:t>Availability of selected soil nutrient elements and soil pH</w:t>
      </w:r>
      <w:bookmarkEnd w:id="22"/>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Among the extractable (Ex) soil nutrient elements analyzed, Ex. P, Ca, and K were higher in the NoTill treatments but this was dependent on N-rate (Table 1a). For instance, Ex. P and Ca were higher in NoTill treatments within the 0N, 34N and 101N rates, while Ex. K was significantly higher only within the 0N rate for all the cover crops and was actually lower in treatments under the 67N-rate (Table 1a).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Cover crop influenced the availability of Ex. P, K and Ca but this was also dependent on N-rate. Vetch treatments within the lower N-rates (0 N and 34 N) had significantly lower Ex. P and K than those under </w:t>
      </w:r>
      <w:r w:rsidRPr="002600E7">
        <w:rPr>
          <w:rFonts w:ascii="Calibri" w:eastAsia="Calibri" w:hAnsi="Calibri" w:cs="Times New Roman"/>
          <w:sz w:val="22"/>
          <w:szCs w:val="22"/>
        </w:rPr>
        <w:lastRenderedPageBreak/>
        <w:t xml:space="preserve">wheat and no cover treatments. Ex. Ca levels on the other hand were highest under the vetch treatment only under the 0 N-rate and were only significantly higher from the wheat treatments.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concentrations of Ex. P, K, and Ca showed a decreasing trend with increasing N-rate (Table 1b). Ex. P levels were highest at 0 N-rate significantly and decreased with the input of N-fertilizer but were not significantly different between 34 N, 67N and 101N. Ex. K levels were highest at 0 N-rate, significantly decreased between 0 N, 34 N and 67 N with no significant differences between the 67N and 101 N. Ex. Ca was also highest at the 0N, declined at 34 N which did not differ from 67 N and was significantly lowest at 101 N. Surprisingly, the concentration of Ex. Mg did not differ based on tillage, cover crop or N-rate.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Among the treatment factors: tillage, cover crop and N-rate, only N-rate had a significant effect on soil pH.  Soil pH showed a negative correlation with increasing N-rate with significantly lower pH recorded at 67 N and more so at 101 N (Table 1a).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23" w:name="_Toc391021430"/>
      <w:r w:rsidRPr="00BF1DF3">
        <w:rPr>
          <w:rFonts w:ascii="Cambria" w:hAnsi="Cambria" w:cs="Times New Roman"/>
          <w:bCs/>
          <w:i/>
          <w:sz w:val="22"/>
          <w:szCs w:val="22"/>
          <w:lang w:val="en-GB"/>
        </w:rPr>
        <w:t>Bulk Density</w:t>
      </w:r>
      <w:bookmarkEnd w:id="23"/>
      <w:r w:rsidRPr="00BF1DF3">
        <w:rPr>
          <w:rFonts w:ascii="Cambria" w:hAnsi="Cambria" w:cs="Times New Roman"/>
          <w:bCs/>
          <w:i/>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 Bulk density (BD) also differed significantly between the two tillage systems independent of the cover crop. The NoTill treatments generally had significantly higher BD but only within the lower N-rates (0N, 34N and 67N) (Table 1). </w:t>
      </w:r>
    </w:p>
    <w:p w:rsidR="002600E7" w:rsidRPr="00AE0605" w:rsidRDefault="002600E7" w:rsidP="00AE0605">
      <w:pPr>
        <w:pStyle w:val="Heading3"/>
      </w:pPr>
      <w:bookmarkStart w:id="24" w:name="_Toc391021431"/>
      <w:r w:rsidRPr="00AE0605">
        <w:t>Soil microbial community size, structure and activity</w:t>
      </w:r>
      <w:bookmarkEnd w:id="24"/>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Treatment effects on soil microbial biomass (MBN) were only significantly different for the microbial biomass N (MBN) due to cover crop, which was highest under vetch cover (Table 3). Calculation of total FAMEs (all FA’s having &gt; 14 C ), which also represents microbial community size, was similarly only significantly higher under vetch cover but also showed an increasing trend with N-rate (Table 4). FAMEs indicators for G</w:t>
      </w:r>
      <w:r w:rsidRPr="002600E7">
        <w:rPr>
          <w:rFonts w:ascii="Calibri" w:eastAsia="Calibri" w:hAnsi="Calibri" w:cs="Times New Roman"/>
          <w:sz w:val="22"/>
          <w:szCs w:val="22"/>
          <w:lang w:val="en-GB"/>
        </w:rPr>
        <w:t>ram + bacteria (sum of FA’s: i15:0, a15:0,</w:t>
      </w:r>
      <w:r w:rsidRPr="002600E7">
        <w:rPr>
          <w:rFonts w:ascii="Calibri" w:eastAsia="Calibri" w:hAnsi="Calibri" w:cs="Times New Roman"/>
          <w:sz w:val="22"/>
          <w:szCs w:val="22"/>
        </w:rPr>
        <w:t xml:space="preserve"> </w:t>
      </w:r>
      <w:r w:rsidRPr="002600E7">
        <w:rPr>
          <w:rFonts w:ascii="Calibri" w:eastAsia="Calibri" w:hAnsi="Calibri" w:cs="Times New Roman"/>
          <w:sz w:val="22"/>
          <w:szCs w:val="22"/>
          <w:lang w:val="en-GB"/>
        </w:rPr>
        <w:t xml:space="preserve">i16:0, i17:0, a17:0), actinomycetes (sum of FA’s: 10Me16:0, 10Me17:0, 10Me18:0), and the mycorrhiza fungi (FA: 16:1ω5c) were significantly higher in </w:t>
      </w:r>
      <w:r w:rsidRPr="002600E7">
        <w:rPr>
          <w:rFonts w:ascii="Calibri" w:eastAsia="Calibri" w:hAnsi="Calibri" w:cs="Times New Roman"/>
          <w:sz w:val="22"/>
          <w:szCs w:val="22"/>
          <w:lang w:val="en-GB"/>
        </w:rPr>
        <w:lastRenderedPageBreak/>
        <w:t xml:space="preserve">the NoTill treatments.  In contrast, the saprophytic fungi (sum of FA’s: 18:2ω6c and 18:3ω6c) and FA </w:t>
      </w:r>
      <w:r w:rsidRPr="002600E7">
        <w:rPr>
          <w:rFonts w:ascii="Calibri" w:eastAsia="Calibri" w:hAnsi="Calibri" w:cs="Times New Roman"/>
          <w:sz w:val="22"/>
          <w:szCs w:val="22"/>
        </w:rPr>
        <w:t>18:1</w:t>
      </w:r>
      <w:r w:rsidRPr="002600E7">
        <w:rPr>
          <w:rFonts w:ascii="Calibri" w:eastAsia="Calibri" w:hAnsi="Calibri" w:cs="Times New Roman"/>
          <w:sz w:val="22"/>
          <w:szCs w:val="22"/>
          <w:lang w:val="en-GB"/>
        </w:rPr>
        <w:t>ω</w:t>
      </w:r>
      <w:r w:rsidRPr="002600E7">
        <w:rPr>
          <w:rFonts w:ascii="Calibri" w:eastAsia="Calibri" w:hAnsi="Calibri" w:cs="Times New Roman"/>
          <w:sz w:val="22"/>
          <w:szCs w:val="22"/>
        </w:rPr>
        <w:t xml:space="preserve">9c </w:t>
      </w:r>
      <w:r w:rsidRPr="002600E7">
        <w:rPr>
          <w:rFonts w:ascii="Calibri" w:eastAsia="Calibri" w:hAnsi="Calibri" w:cs="Times New Roman"/>
          <w:sz w:val="22"/>
          <w:szCs w:val="22"/>
          <w:lang w:val="en-GB"/>
        </w:rPr>
        <w:t xml:space="preserve">were significantly higher in the Till treatments.  </w:t>
      </w:r>
      <w:r w:rsidRPr="002600E7">
        <w:rPr>
          <w:rFonts w:ascii="Calibri" w:eastAsia="Calibri" w:hAnsi="Calibri" w:cs="Times New Roman"/>
          <w:sz w:val="22"/>
          <w:szCs w:val="22"/>
        </w:rPr>
        <w:t xml:space="preserve">It is interesting to note that vetch cover resulted in a higher relative abundance of the gram + bacteria and a corresponding lower abundance in the Gram - bacteria </w:t>
      </w:r>
      <w:r w:rsidRPr="002600E7">
        <w:rPr>
          <w:rFonts w:ascii="Calibri" w:eastAsia="Calibri" w:hAnsi="Calibri" w:cs="Times New Roman"/>
          <w:sz w:val="22"/>
          <w:szCs w:val="22"/>
          <w:lang w:val="en-GB"/>
        </w:rPr>
        <w:t>(sum of FA’s: cy17:0, cy19:0, 16:1</w:t>
      </w:r>
      <w:r w:rsidRPr="002600E7">
        <w:rPr>
          <w:rFonts w:ascii="Symbol" w:eastAsia="Calibri" w:hAnsi="Symbol" w:cs="Times New Roman"/>
          <w:sz w:val="22"/>
          <w:szCs w:val="22"/>
          <w:lang w:val="en-GB"/>
        </w:rPr>
        <w:t></w:t>
      </w:r>
      <w:r w:rsidRPr="002600E7">
        <w:rPr>
          <w:rFonts w:ascii="Calibri" w:eastAsia="Calibri" w:hAnsi="Calibri" w:cs="Times New Roman"/>
          <w:sz w:val="22"/>
          <w:szCs w:val="22"/>
          <w:lang w:val="en-GB"/>
        </w:rPr>
        <w:t xml:space="preserve">7c) </w:t>
      </w:r>
      <w:r w:rsidRPr="002600E7">
        <w:rPr>
          <w:rFonts w:ascii="Calibri" w:eastAsia="Calibri" w:hAnsi="Calibri" w:cs="Times New Roman"/>
          <w:sz w:val="22"/>
          <w:szCs w:val="22"/>
        </w:rPr>
        <w:t xml:space="preserve">and mycorrhiza fungi. The mycorrhiza fungi also significantly decreased with the increase in N-rate. Although there were differences in the abundance of the major bacterial groups due to tillage and cover crop, the overall abundance of total bacteria (sum of Gram + bacteria, gram - bacteria and actinomycetes) did not reveal significant differences between treatments. Nevertheless, there was a difference in the fungi: bacteria (F: B) ratio due to tillage, which was significantly higher in the Till treatments.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lang w:val="en-GB"/>
        </w:rPr>
        <w:t xml:space="preserve">A PCA analysis of twenty-six FA’s that were consistently present in all the samples was able to differentiate microbial community structure based on tillage, cover crop and N-rate </w:t>
      </w:r>
      <w:r w:rsidRPr="002600E7">
        <w:rPr>
          <w:rFonts w:ascii="Calibri" w:eastAsia="Calibri" w:hAnsi="Calibri" w:cs="Times New Roman"/>
          <w:sz w:val="22"/>
          <w:szCs w:val="22"/>
        </w:rPr>
        <w:t>(Fig 2)</w:t>
      </w:r>
      <w:r w:rsidRPr="002600E7">
        <w:rPr>
          <w:rFonts w:ascii="Calibri" w:eastAsia="Calibri" w:hAnsi="Calibri" w:cs="Times New Roman"/>
          <w:sz w:val="22"/>
          <w:szCs w:val="22"/>
          <w:lang w:val="en-GB"/>
        </w:rPr>
        <w:t>.  Included in the PCA plots are the known bacterial and fungal biomarkers including t</w:t>
      </w:r>
      <w:r w:rsidRPr="002600E7">
        <w:rPr>
          <w:rFonts w:ascii="Calibri" w:eastAsia="Calibri" w:hAnsi="Calibri" w:cs="Times New Roman"/>
          <w:sz w:val="22"/>
          <w:szCs w:val="22"/>
        </w:rPr>
        <w:t>he FA biomarker 18:1</w:t>
      </w:r>
      <w:r w:rsidRPr="002600E7">
        <w:rPr>
          <w:rFonts w:ascii="Symbol" w:eastAsia="Calibri" w:hAnsi="Symbol" w:cs="Times New Roman"/>
          <w:sz w:val="22"/>
          <w:szCs w:val="22"/>
        </w:rPr>
        <w:t></w:t>
      </w:r>
      <w:r w:rsidRPr="002600E7">
        <w:rPr>
          <w:rFonts w:ascii="Calibri" w:eastAsia="Calibri" w:hAnsi="Calibri" w:cs="Times New Roman"/>
          <w:sz w:val="22"/>
          <w:szCs w:val="22"/>
        </w:rPr>
        <w:t>9c which has been identified as a fungi biomarker by several researchers and a gram + bacteria by others. (</w:t>
      </w:r>
      <w:r w:rsidRPr="002600E7">
        <w:rPr>
          <w:rFonts w:ascii="Calibri" w:eastAsia="Calibri" w:hAnsi="Calibri" w:cs="Times New Roman"/>
          <w:sz w:val="22"/>
          <w:szCs w:val="22"/>
          <w:highlight w:val="yellow"/>
        </w:rPr>
        <w:t>references</w:t>
      </w:r>
      <w:r w:rsidRPr="002600E7">
        <w:rPr>
          <w:rFonts w:ascii="Calibri" w:eastAsia="Calibri" w:hAnsi="Calibri" w:cs="Times New Roman"/>
          <w:sz w:val="22"/>
          <w:szCs w:val="22"/>
        </w:rPr>
        <w:t xml:space="preserve"> ). </w:t>
      </w:r>
      <w:r w:rsidRPr="002600E7">
        <w:rPr>
          <w:rFonts w:ascii="Calibri" w:eastAsia="Calibri" w:hAnsi="Calibri" w:cs="Times New Roman"/>
          <w:sz w:val="22"/>
          <w:szCs w:val="22"/>
          <w:lang w:val="en-GB"/>
        </w:rPr>
        <w:t>The first principal component (PC 1) mainly differentiated the NoTill and vetch cover treatments (positive grid) from the Till, wheat and NoCover treatments (negative grid).  On the other hand, PC2 mainly differentiated the high N-rate 101N (positive grid), from the lower N-rates 0N and 34N (negative grid).</w:t>
      </w:r>
      <w:r w:rsidRPr="002600E7">
        <w:rPr>
          <w:rFonts w:ascii="Calibri" w:eastAsia="Calibri" w:hAnsi="Calibri" w:cs="Times New Roman"/>
          <w:sz w:val="22"/>
          <w:szCs w:val="22"/>
        </w:rPr>
        <w:t xml:space="preserve"> </w:t>
      </w:r>
      <w:r w:rsidRPr="002600E7">
        <w:rPr>
          <w:rFonts w:ascii="Calibri" w:eastAsia="Calibri" w:hAnsi="Calibri" w:cs="Times New Roman"/>
          <w:sz w:val="22"/>
          <w:szCs w:val="22"/>
          <w:lang w:val="en-GB"/>
        </w:rPr>
        <w:t xml:space="preserve">An association of the bacterial and fungal FA biomarkers with a loading &gt;0.5 (Table 3) revealed a higher relative abundance of </w:t>
      </w:r>
      <w:r w:rsidRPr="002600E7">
        <w:rPr>
          <w:rFonts w:ascii="Calibri" w:hAnsi="Calibri" w:cs="Times New Roman"/>
          <w:color w:val="000000"/>
          <w:sz w:val="22"/>
          <w:szCs w:val="22"/>
        </w:rPr>
        <w:t>two G+ bacteria (</w:t>
      </w:r>
      <w:r w:rsidRPr="002600E7">
        <w:rPr>
          <w:rFonts w:ascii="Calibri" w:hAnsi="Calibri" w:cs="Times New Roman"/>
          <w:i/>
          <w:color w:val="000000"/>
          <w:sz w:val="22"/>
          <w:szCs w:val="22"/>
        </w:rPr>
        <w:t>i</w:t>
      </w:r>
      <w:r w:rsidRPr="002600E7">
        <w:rPr>
          <w:rFonts w:ascii="Calibri" w:hAnsi="Calibri" w:cs="Times New Roman"/>
          <w:color w:val="000000"/>
          <w:sz w:val="22"/>
          <w:szCs w:val="22"/>
        </w:rPr>
        <w:t>17:0</w:t>
      </w:r>
      <w:r w:rsidRPr="002600E7">
        <w:rPr>
          <w:rFonts w:ascii="Calibri" w:eastAsia="Calibri" w:hAnsi="Calibri" w:cs="Times New Roman"/>
          <w:sz w:val="22"/>
          <w:szCs w:val="22"/>
        </w:rPr>
        <w:t xml:space="preserve">, </w:t>
      </w:r>
      <w:r w:rsidRPr="002600E7">
        <w:rPr>
          <w:rFonts w:ascii="Calibri" w:hAnsi="Calibri" w:cs="Times New Roman"/>
          <w:i/>
          <w:color w:val="000000"/>
          <w:sz w:val="22"/>
          <w:szCs w:val="22"/>
        </w:rPr>
        <w:t>i</w:t>
      </w:r>
      <w:r w:rsidRPr="002600E7">
        <w:rPr>
          <w:rFonts w:ascii="Calibri" w:hAnsi="Calibri" w:cs="Times New Roman"/>
          <w:color w:val="000000"/>
          <w:sz w:val="22"/>
          <w:szCs w:val="22"/>
        </w:rPr>
        <w:t>16:0</w:t>
      </w:r>
      <w:r w:rsidRPr="002600E7">
        <w:rPr>
          <w:rFonts w:ascii="Calibri" w:eastAsia="Calibri" w:hAnsi="Calibri" w:cs="Times New Roman"/>
          <w:sz w:val="22"/>
          <w:szCs w:val="22"/>
        </w:rPr>
        <w:t xml:space="preserve">), one </w:t>
      </w:r>
      <w:r w:rsidRPr="002600E7">
        <w:rPr>
          <w:rFonts w:ascii="Calibri" w:hAnsi="Calibri" w:cs="Times New Roman"/>
          <w:color w:val="000000"/>
          <w:sz w:val="22"/>
          <w:szCs w:val="22"/>
        </w:rPr>
        <w:t>G- bacteria (cy19:0</w:t>
      </w:r>
      <w:r w:rsidRPr="002600E7">
        <w:rPr>
          <w:rFonts w:ascii="Calibri" w:eastAsia="Calibri" w:hAnsi="Calibri" w:cs="Times New Roman"/>
          <w:sz w:val="22"/>
          <w:szCs w:val="22"/>
          <w:lang w:val="en-GB"/>
        </w:rPr>
        <w:t>ω</w:t>
      </w:r>
      <w:r w:rsidRPr="002600E7">
        <w:rPr>
          <w:rFonts w:ascii="Calibri" w:hAnsi="Calibri" w:cs="Times New Roman"/>
          <w:color w:val="000000"/>
          <w:sz w:val="22"/>
          <w:szCs w:val="22"/>
        </w:rPr>
        <w:t>8c</w:t>
      </w:r>
      <w:r w:rsidRPr="002600E7">
        <w:rPr>
          <w:rFonts w:ascii="Calibri" w:eastAsia="Calibri" w:hAnsi="Calibri" w:cs="Times New Roman"/>
          <w:sz w:val="22"/>
          <w:szCs w:val="22"/>
        </w:rPr>
        <w:t>), and FAMEs indicators for a</w:t>
      </w:r>
      <w:r w:rsidRPr="002600E7">
        <w:rPr>
          <w:rFonts w:ascii="Calibri" w:hAnsi="Calibri" w:cs="Times New Roman"/>
          <w:color w:val="000000"/>
          <w:sz w:val="22"/>
          <w:szCs w:val="22"/>
        </w:rPr>
        <w:t>ctinomycetes (10Me16:0</w:t>
      </w:r>
      <w:r w:rsidRPr="002600E7">
        <w:rPr>
          <w:rFonts w:ascii="Calibri" w:eastAsia="Calibri" w:hAnsi="Calibri" w:cs="Times New Roman"/>
          <w:sz w:val="22"/>
          <w:szCs w:val="22"/>
        </w:rPr>
        <w:t xml:space="preserve">, </w:t>
      </w:r>
      <w:r w:rsidRPr="002600E7">
        <w:rPr>
          <w:rFonts w:ascii="Calibri" w:hAnsi="Calibri" w:cs="Times New Roman"/>
          <w:color w:val="000000"/>
          <w:sz w:val="22"/>
          <w:szCs w:val="22"/>
        </w:rPr>
        <w:t>10Me17:0)</w:t>
      </w:r>
      <w:r w:rsidRPr="002600E7">
        <w:rPr>
          <w:rFonts w:ascii="Calibri" w:eastAsia="Calibri" w:hAnsi="Calibri" w:cs="Times New Roman"/>
          <w:sz w:val="22"/>
          <w:szCs w:val="22"/>
          <w:lang w:val="en-GB"/>
        </w:rPr>
        <w:t xml:space="preserve"> to be more associated with the NoTill, vetch treatments.  In contrast the saprophytic fungi biomarker 18:2ω6c and the 18:1ω9c associated more with the TILL, NoCover and wheat treatments. The high N-rate (101N) treatment associated with a higher relative abundance of one gram- bacteria (</w:t>
      </w:r>
      <w:r w:rsidRPr="002600E7">
        <w:rPr>
          <w:rFonts w:ascii="Calibri" w:hAnsi="Calibri" w:cs="Times New Roman"/>
          <w:color w:val="000000"/>
          <w:sz w:val="22"/>
          <w:szCs w:val="22"/>
        </w:rPr>
        <w:t>cy19:0</w:t>
      </w:r>
      <w:r w:rsidRPr="002600E7">
        <w:rPr>
          <w:rFonts w:ascii="Calibri" w:eastAsia="Calibri" w:hAnsi="Calibri" w:cs="Times New Roman"/>
          <w:sz w:val="22"/>
          <w:szCs w:val="22"/>
          <w:lang w:val="en-GB"/>
        </w:rPr>
        <w:t>ω</w:t>
      </w:r>
      <w:r w:rsidRPr="002600E7">
        <w:rPr>
          <w:rFonts w:ascii="Calibri" w:hAnsi="Calibri" w:cs="Times New Roman"/>
          <w:color w:val="000000"/>
          <w:sz w:val="22"/>
          <w:szCs w:val="22"/>
        </w:rPr>
        <w:t>8c</w:t>
      </w:r>
      <w:r w:rsidRPr="002600E7">
        <w:rPr>
          <w:rFonts w:ascii="Calibri" w:eastAsia="Calibri" w:hAnsi="Calibri" w:cs="Times New Roman"/>
          <w:sz w:val="22"/>
          <w:szCs w:val="22"/>
          <w:lang w:val="en-GB"/>
        </w:rPr>
        <w:t xml:space="preserve">), while the low N-rates associated with a higher  relative abundance of the mycorrhiza </w:t>
      </w:r>
      <w:r w:rsidRPr="002600E7">
        <w:rPr>
          <w:rFonts w:ascii="Calibri" w:hAnsi="Calibri" w:cs="Times New Roman"/>
          <w:color w:val="000000"/>
          <w:sz w:val="22"/>
          <w:szCs w:val="22"/>
        </w:rPr>
        <w:t>fungi (16.1</w:t>
      </w:r>
      <w:r w:rsidRPr="002600E7">
        <w:rPr>
          <w:rFonts w:ascii="Calibri" w:eastAsia="Calibri" w:hAnsi="Calibri" w:cs="Times New Roman"/>
          <w:sz w:val="22"/>
          <w:szCs w:val="22"/>
          <w:lang w:val="en-GB"/>
        </w:rPr>
        <w:t>ω</w:t>
      </w:r>
      <w:r w:rsidRPr="002600E7">
        <w:rPr>
          <w:rFonts w:ascii="Calibri" w:hAnsi="Calibri" w:cs="Times New Roman"/>
          <w:color w:val="000000"/>
          <w:sz w:val="22"/>
          <w:szCs w:val="22"/>
        </w:rPr>
        <w:t>5c), one gram - bacteria (16.1</w:t>
      </w:r>
      <w:r w:rsidRPr="002600E7">
        <w:rPr>
          <w:rFonts w:ascii="Calibri" w:eastAsia="Calibri" w:hAnsi="Calibri" w:cs="Times New Roman"/>
          <w:sz w:val="22"/>
          <w:szCs w:val="22"/>
          <w:lang w:val="en-GB"/>
        </w:rPr>
        <w:t>ω</w:t>
      </w:r>
      <w:r w:rsidRPr="002600E7">
        <w:rPr>
          <w:rFonts w:ascii="Calibri" w:hAnsi="Calibri" w:cs="Times New Roman"/>
          <w:color w:val="000000"/>
          <w:sz w:val="22"/>
          <w:szCs w:val="22"/>
        </w:rPr>
        <w:t>7c) and two of the gram+ bacteria (</w:t>
      </w:r>
      <w:r w:rsidRPr="002600E7">
        <w:rPr>
          <w:rFonts w:ascii="Calibri" w:hAnsi="Calibri" w:cs="Times New Roman"/>
          <w:i/>
          <w:color w:val="000000"/>
          <w:sz w:val="22"/>
          <w:szCs w:val="22"/>
        </w:rPr>
        <w:t>a</w:t>
      </w:r>
      <w:r w:rsidRPr="002600E7">
        <w:rPr>
          <w:rFonts w:ascii="Calibri" w:hAnsi="Calibri" w:cs="Times New Roman"/>
          <w:color w:val="000000"/>
          <w:sz w:val="22"/>
          <w:szCs w:val="22"/>
        </w:rPr>
        <w:t>15:0</w:t>
      </w:r>
      <w:r w:rsidRPr="002600E7">
        <w:rPr>
          <w:rFonts w:ascii="Calibri" w:eastAsia="Calibri" w:hAnsi="Calibri" w:cs="Times New Roman"/>
          <w:sz w:val="22"/>
          <w:szCs w:val="22"/>
        </w:rPr>
        <w:t>,</w:t>
      </w:r>
      <w:r w:rsidRPr="002600E7">
        <w:rPr>
          <w:rFonts w:ascii="Calibri" w:hAnsi="Calibri" w:cs="Times New Roman"/>
          <w:color w:val="000000"/>
          <w:sz w:val="22"/>
          <w:szCs w:val="22"/>
        </w:rPr>
        <w:t xml:space="preserve"> </w:t>
      </w:r>
      <w:r w:rsidRPr="002600E7">
        <w:rPr>
          <w:rFonts w:ascii="Calibri" w:hAnsi="Calibri" w:cs="Times New Roman"/>
          <w:i/>
          <w:color w:val="000000"/>
          <w:sz w:val="22"/>
          <w:szCs w:val="22"/>
        </w:rPr>
        <w:t>a</w:t>
      </w:r>
      <w:r w:rsidRPr="002600E7">
        <w:rPr>
          <w:rFonts w:ascii="Calibri" w:hAnsi="Calibri" w:cs="Times New Roman"/>
          <w:color w:val="000000"/>
          <w:sz w:val="22"/>
          <w:szCs w:val="22"/>
        </w:rPr>
        <w:t xml:space="preserve">17:0).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lastRenderedPageBreak/>
        <w:t>The potential soil metabolic capacity as determined by microbial respiration and selected EAs also differed based on tillage, cover crop and N-rate (Table 3). The EAs mainly showed significant differences due to tillage practice with the NoTill treatments having higher activities of</w:t>
      </w:r>
      <w:r w:rsidRPr="002600E7" w:rsidDel="00502E6C">
        <w:rPr>
          <w:rFonts w:ascii="Calibri" w:eastAsia="Calibri" w:hAnsi="Calibri" w:cs="Times New Roman"/>
          <w:sz w:val="22"/>
          <w:szCs w:val="22"/>
        </w:rPr>
        <w:t xml:space="preserve"> </w:t>
      </w:r>
      <w:r w:rsidRPr="002600E7">
        <w:rPr>
          <w:rFonts w:ascii="Calibri" w:eastAsia="Calibri" w:hAnsi="Calibri" w:cs="Times New Roman"/>
          <w:sz w:val="22"/>
          <w:szCs w:val="22"/>
        </w:rPr>
        <w:t>β-</w:t>
      </w:r>
      <w:r w:rsidRPr="002600E7">
        <w:rPr>
          <w:rFonts w:ascii="Calibri" w:hAnsi="Calibri" w:cs="Times New Roman"/>
          <w:color w:val="000000"/>
          <w:sz w:val="22"/>
          <w:szCs w:val="22"/>
        </w:rPr>
        <w:t>glucosidase</w:t>
      </w:r>
      <w:r w:rsidRPr="002600E7">
        <w:rPr>
          <w:rFonts w:ascii="Calibri" w:eastAsia="Calibri" w:hAnsi="Calibri" w:cs="Times New Roman"/>
          <w:sz w:val="22"/>
          <w:szCs w:val="22"/>
        </w:rPr>
        <w:t>, β-</w:t>
      </w:r>
      <w:r w:rsidRPr="002600E7">
        <w:rPr>
          <w:rFonts w:ascii="Calibri" w:hAnsi="Calibri" w:cs="Times New Roman"/>
          <w:color w:val="000000"/>
          <w:sz w:val="22"/>
          <w:szCs w:val="22"/>
        </w:rPr>
        <w:t>glucosaminidase</w:t>
      </w:r>
      <w:r w:rsidRPr="002600E7">
        <w:rPr>
          <w:rFonts w:ascii="Calibri" w:eastAsia="Calibri" w:hAnsi="Calibri" w:cs="Times New Roman"/>
          <w:sz w:val="22"/>
          <w:szCs w:val="22"/>
        </w:rPr>
        <w:t xml:space="preserve">, and </w:t>
      </w:r>
      <w:r w:rsidRPr="002600E7">
        <w:rPr>
          <w:rFonts w:ascii="Calibri" w:hAnsi="Calibri" w:cs="Times New Roman"/>
          <w:color w:val="000000"/>
          <w:sz w:val="22"/>
          <w:szCs w:val="22"/>
        </w:rPr>
        <w:t>phosphodiesterase</w:t>
      </w:r>
      <w:r w:rsidRPr="002600E7">
        <w:rPr>
          <w:rFonts w:ascii="Calibri" w:eastAsia="Calibri" w:hAnsi="Calibri" w:cs="Times New Roman"/>
          <w:sz w:val="22"/>
          <w:szCs w:val="22"/>
        </w:rPr>
        <w:t>. EAs were mostly higher in the vetch treatments, but this was only significantly higher for the β</w:t>
      </w:r>
      <w:r w:rsidRPr="002600E7">
        <w:rPr>
          <w:rFonts w:ascii="Calibri" w:hAnsi="Calibri" w:cs="Times New Roman"/>
          <w:color w:val="000000"/>
          <w:sz w:val="22"/>
          <w:szCs w:val="22"/>
        </w:rPr>
        <w:t>-glucosaminidase</w:t>
      </w:r>
      <w:r w:rsidRPr="002600E7">
        <w:rPr>
          <w:rFonts w:ascii="Calibri" w:eastAsia="Calibri" w:hAnsi="Calibri" w:cs="Times New Roman"/>
          <w:sz w:val="22"/>
          <w:szCs w:val="22"/>
        </w:rPr>
        <w:t xml:space="preserve"> activity. There was an increasing trend in β</w:t>
      </w:r>
      <w:r w:rsidRPr="002600E7">
        <w:rPr>
          <w:rFonts w:ascii="Calibri" w:hAnsi="Calibri" w:cs="Times New Roman"/>
          <w:color w:val="000000"/>
          <w:sz w:val="22"/>
          <w:szCs w:val="22"/>
        </w:rPr>
        <w:t xml:space="preserve">-glucosaminidase activity with N-rate and a decreasing trend in the activity of phosphodiesterase. Microbial respiration on the other hand was mainly influenced by an interaction of </w:t>
      </w:r>
      <w:r w:rsidRPr="002600E7">
        <w:rPr>
          <w:rFonts w:ascii="Calibri" w:eastAsia="Calibri" w:hAnsi="Calibri" w:cs="Times New Roman"/>
          <w:sz w:val="22"/>
          <w:szCs w:val="22"/>
        </w:rPr>
        <w:t xml:space="preserve">tillage and cover with the vetch, NoTill treatments having the highest rate of microbial respiration. </w:t>
      </w:r>
    </w:p>
    <w:p w:rsidR="002600E7" w:rsidRPr="00AE0605" w:rsidRDefault="002600E7" w:rsidP="00AE0605">
      <w:pPr>
        <w:pStyle w:val="Heading3"/>
      </w:pPr>
      <w:bookmarkStart w:id="25" w:name="_Toc391021432"/>
      <w:r w:rsidRPr="00AE0605">
        <w:t>Soil Quality Index</w:t>
      </w:r>
      <w:bookmarkEnd w:id="25"/>
      <w:r w:rsidRPr="00AE0605">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Among the soil quality indices assessed, P, K, pH, PTOC, Microbial biomass C (MBC) and Bulk density (BD) had the highest quality scores ranging from 0.85 to 1.00 while TOC and β-glucosidase (BG) had scores below 0.50 with the overall soil quality index (SQI) ranging between 71-81%. Cover crop and tillage had an influence on the quality scores mostly at the lower N-rates (Table 2).</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Cover crop had an effect on the quality scores for K, BG and on the SQI but this differed based on N-rate. The soil quality score for K differed under the cover crop treatment at the 0 and 34N-rates where vetch had lower quality score than wheat and NoCover. Cover crop had an influence on the quality score for BG only at the 0N rate where Vetch had a higher score than both wheat and NoCover. The overall quality score also only differed at the 0N-rate where vetch had the highest quality score compared to wheat and NoCover.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Tillage had influence on the quality scores for TOC, K, BG, pH and BD. At the 0N-rate TOC, K and BG, had higher quality scores under NoTill, with BD and PTOC having a lower quality score under NoTill. At 30N the quality score for TOC was higher under NoTill while pH, PTOC, and BD were higher under Till. At 67 and 101N-rates tillage did not have an influence on any of the quality scores, besides the quality score </w:t>
      </w:r>
      <w:r w:rsidRPr="002600E7">
        <w:rPr>
          <w:rFonts w:ascii="Calibri" w:eastAsia="Calibri" w:hAnsi="Calibri" w:cs="Times New Roman"/>
          <w:sz w:val="22"/>
          <w:szCs w:val="22"/>
        </w:rPr>
        <w:lastRenderedPageBreak/>
        <w:t xml:space="preserve">for BG that was higher under NoTill. The overall quality score did not differ by tillage at any of the N-rates. The quality scores for TOC and PTOC increased with Increasing N-rate with the highest scores at the 101N, while the scores for K and pH decreased having the lowest scores at the 101N-rate. All the other scores (MBC, BD, and BG) did not differ with N-rate. </w:t>
      </w:r>
    </w:p>
    <w:p w:rsidR="002600E7" w:rsidRPr="002600E7" w:rsidRDefault="002600E7" w:rsidP="002600E7">
      <w:pPr>
        <w:spacing w:after="200" w:line="480" w:lineRule="auto"/>
        <w:rPr>
          <w:rFonts w:ascii="Calibri" w:eastAsia="Calibri" w:hAnsi="Calibri" w:cs="Times New Roman"/>
          <w:sz w:val="22"/>
          <w:szCs w:val="22"/>
        </w:rPr>
        <w:sectPr w:rsidR="002600E7" w:rsidRPr="002600E7" w:rsidSect="00EB03D8">
          <w:footerReference w:type="default" r:id="rId12"/>
          <w:pgSz w:w="12240" w:h="15840"/>
          <w:pgMar w:top="1440" w:right="1440" w:bottom="1440" w:left="1440" w:header="720" w:footer="720" w:gutter="0"/>
          <w:pgNumType w:start="1"/>
          <w:cols w:space="720"/>
          <w:docGrid w:linePitch="360"/>
        </w:sectPr>
      </w:pPr>
    </w:p>
    <w:p w:rsidR="002600E7" w:rsidRPr="00700712" w:rsidRDefault="002600E7" w:rsidP="00700712">
      <w:pPr>
        <w:pStyle w:val="Caption"/>
      </w:pPr>
      <w:bookmarkStart w:id="26" w:name="_Toc390954644"/>
      <w:r w:rsidRPr="00700712">
        <w:lastRenderedPageBreak/>
        <w:t xml:space="preserve">Table </w:t>
      </w:r>
      <w:r w:rsidR="00593192">
        <w:t>1</w:t>
      </w:r>
      <w:r w:rsidR="00A85C1F">
        <w:noBreakHyphen/>
      </w:r>
      <w:fldSimple w:instr=" SEQ Table \* ARABIC \s 1 ">
        <w:r w:rsidR="00A85C1F">
          <w:rPr>
            <w:noProof/>
          </w:rPr>
          <w:t>1</w:t>
        </w:r>
      </w:fldSimple>
      <w:r w:rsidRPr="00700712">
        <w:t xml:space="preserve"> Effect of tillage, cover crops and N fertilizer rate on selected soil chemical and physical properties</w:t>
      </w:r>
      <w:bookmarkEnd w:id="26"/>
    </w:p>
    <w:tbl>
      <w:tblPr>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548"/>
        <w:gridCol w:w="1710"/>
        <w:gridCol w:w="1620"/>
        <w:gridCol w:w="1710"/>
        <w:gridCol w:w="1800"/>
        <w:gridCol w:w="1530"/>
        <w:gridCol w:w="1440"/>
        <w:gridCol w:w="1440"/>
      </w:tblGrid>
      <w:tr w:rsidR="002542CF" w:rsidRPr="002542CF" w:rsidTr="002542CF">
        <w:trPr>
          <w:trHeight w:val="578"/>
        </w:trPr>
        <w:tc>
          <w:tcPr>
            <w:tcW w:w="154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N rate </w:t>
            </w:r>
          </w:p>
        </w:tc>
        <w:tc>
          <w:tcPr>
            <w:tcW w:w="1710" w:type="dxa"/>
            <w:tcBorders>
              <w:top w:val="single" w:sz="8" w:space="0" w:color="000000"/>
              <w:left w:val="nil"/>
              <w:bottom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Treatments</w:t>
            </w:r>
          </w:p>
        </w:tc>
        <w:tc>
          <w:tcPr>
            <w:tcW w:w="1620" w:type="dxa"/>
            <w:tcBorders>
              <w:top w:val="single" w:sz="8" w:space="0" w:color="000000"/>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w:t>
            </w:r>
          </w:p>
        </w:tc>
        <w:tc>
          <w:tcPr>
            <w:tcW w:w="1710" w:type="dxa"/>
            <w:vMerge w:val="restart"/>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K</w:t>
            </w:r>
          </w:p>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mg/ kg soil </w:t>
            </w:r>
          </w:p>
        </w:tc>
        <w:tc>
          <w:tcPr>
            <w:tcW w:w="1800" w:type="dxa"/>
            <w:tcBorders>
              <w:top w:val="single" w:sz="8" w:space="0" w:color="000000"/>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Ca</w:t>
            </w:r>
          </w:p>
        </w:tc>
        <w:tc>
          <w:tcPr>
            <w:tcW w:w="1530" w:type="dxa"/>
            <w:tcBorders>
              <w:top w:val="single" w:sz="8" w:space="0" w:color="000000"/>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Mg</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pH</w:t>
            </w:r>
          </w:p>
        </w:tc>
        <w:tc>
          <w:tcPr>
            <w:tcW w:w="1440" w:type="dxa"/>
            <w:tcBorders>
              <w:top w:val="single" w:sz="8" w:space="0" w:color="000000"/>
              <w:left w:val="nil"/>
              <w:bottom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BD</w:t>
            </w:r>
          </w:p>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 g/cm3</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620" w:type="dxa"/>
            <w:tcBorders>
              <w:top w:val="dotted" w:sz="4" w:space="0" w:color="auto"/>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710" w:type="dxa"/>
            <w:vMerge/>
            <w:tcBorders>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800" w:type="dxa"/>
            <w:tcBorders>
              <w:top w:val="dotted" w:sz="4" w:space="0" w:color="auto"/>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530" w:type="dxa"/>
            <w:tcBorders>
              <w:top w:val="dotted" w:sz="4" w:space="0" w:color="auto"/>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left w:val="nil"/>
              <w:bottom w:val="single" w:sz="4" w:space="0" w:color="auto"/>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0 N</w:t>
            </w:r>
          </w:p>
        </w:tc>
        <w:tc>
          <w:tcPr>
            <w:tcW w:w="1710" w:type="dxa"/>
            <w:shd w:val="clear" w:color="auto" w:fill="FFFFFF"/>
          </w:tcPr>
          <w:p w:rsidR="002600E7" w:rsidRPr="002542CF" w:rsidRDefault="002600E7" w:rsidP="002542CF">
            <w:pPr>
              <w:spacing w:line="240" w:lineRule="auto"/>
              <w:rPr>
                <w:rFonts w:ascii="Calibri" w:eastAsia="Calibri" w:hAnsi="Calibri" w:cs="Times New Roman"/>
                <w:b/>
                <w:bCs/>
                <w:color w:val="000000"/>
                <w:sz w:val="20"/>
                <w:szCs w:val="20"/>
              </w:rPr>
            </w:pPr>
            <w:r w:rsidRPr="002542CF">
              <w:rPr>
                <w:rFonts w:ascii="Calibri" w:eastAsia="Calibri" w:hAnsi="Calibri" w:cs="Times New Roman"/>
                <w:b/>
                <w:bCs/>
                <w:color w:val="000000"/>
                <w:sz w:val="22"/>
                <w:szCs w:val="20"/>
              </w:rPr>
              <w:t>Cover Crop</w:t>
            </w:r>
          </w:p>
        </w:tc>
        <w:tc>
          <w:tcPr>
            <w:tcW w:w="162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71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80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53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top w:val="single" w:sz="4" w:space="0" w:color="auto"/>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Vetch</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94.9375 (5.59) 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217.50 (12.21) b</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1046.25 (27.72)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82.13 (8.64)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5.80 (0.13)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1.19 (0.029)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Wheat</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122.31 (5.59)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253.06 (12.21)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922.38 (27.72) b</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68.06 (8.64)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5.94 (0.13)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1.23 (0.03)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NoCover</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120.31 (5.59) a</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253.06 (12.21)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996.69 (27.72) ab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75.56 (8.64)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5.64 (0.13)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1.22 ( 0.03)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b/>
                <w:bCs/>
                <w:color w:val="000000"/>
                <w:sz w:val="22"/>
                <w:szCs w:val="20"/>
              </w:rPr>
            </w:pPr>
            <w:r w:rsidRPr="002542CF">
              <w:rPr>
                <w:rFonts w:ascii="Calibri" w:eastAsia="Calibri" w:hAnsi="Calibri"/>
                <w:b/>
                <w:bCs/>
                <w:color w:val="000000"/>
                <w:sz w:val="22"/>
                <w:szCs w:val="20"/>
              </w:rPr>
              <w:t>Tillage</w:t>
            </w:r>
          </w:p>
        </w:tc>
        <w:tc>
          <w:tcPr>
            <w:tcW w:w="162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80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NoTill</w:t>
            </w:r>
          </w:p>
        </w:tc>
        <w:tc>
          <w:tcPr>
            <w:tcW w:w="162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129.21 (5.70) a</w:t>
            </w: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265.21 (11.59) a</w:t>
            </w:r>
          </w:p>
        </w:tc>
        <w:tc>
          <w:tcPr>
            <w:tcW w:w="18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1056.13 (32.98) a</w:t>
            </w:r>
          </w:p>
        </w:tc>
        <w:tc>
          <w:tcPr>
            <w:tcW w:w="153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79.29 (5.79)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5.80 (0.10)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Cs/>
                <w:color w:val="000000"/>
                <w:sz w:val="22"/>
                <w:szCs w:val="16"/>
              </w:rPr>
            </w:pPr>
            <w:r w:rsidRPr="002542CF">
              <w:rPr>
                <w:rFonts w:ascii="Calibri" w:eastAsia="Calibri" w:hAnsi="Calibri" w:cs="Times New Roman"/>
                <w:bCs/>
                <w:color w:val="000000"/>
                <w:sz w:val="22"/>
                <w:szCs w:val="16"/>
              </w:rPr>
              <w:t>1.27 (0.01)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Till</w:t>
            </w:r>
          </w:p>
        </w:tc>
        <w:tc>
          <w:tcPr>
            <w:tcW w:w="162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95.83 (5.46) b</w:t>
            </w:r>
          </w:p>
        </w:tc>
        <w:tc>
          <w:tcPr>
            <w:tcW w:w="171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230.13 (10.48) b</w:t>
            </w:r>
          </w:p>
        </w:tc>
        <w:tc>
          <w:tcPr>
            <w:tcW w:w="180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920.75 (18.73) b</w:t>
            </w:r>
          </w:p>
        </w:tc>
        <w:tc>
          <w:tcPr>
            <w:tcW w:w="153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71.21 (4.48) a</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16"/>
              </w:rPr>
            </w:pPr>
            <w:r w:rsidRPr="002542CF">
              <w:rPr>
                <w:rFonts w:ascii="Calibri" w:eastAsia="Calibri" w:hAnsi="Calibri" w:cs="Times New Roman"/>
                <w:color w:val="000000"/>
                <w:sz w:val="22"/>
                <w:szCs w:val="16"/>
              </w:rPr>
              <w:t>5.79 (0.11) a</w:t>
            </w:r>
          </w:p>
        </w:tc>
        <w:tc>
          <w:tcPr>
            <w:tcW w:w="1440" w:type="dxa"/>
            <w:shd w:val="clear" w:color="auto" w:fill="FFFFFF"/>
          </w:tcPr>
          <w:p w:rsidR="002600E7" w:rsidRPr="002542CF" w:rsidRDefault="002600E7" w:rsidP="002542CF">
            <w:pPr>
              <w:spacing w:line="240" w:lineRule="auto"/>
              <w:rPr>
                <w:rFonts w:ascii="Calibri" w:eastAsia="Calibri" w:hAnsi="Calibri" w:cs="Times New Roman"/>
                <w:bCs/>
                <w:color w:val="000000"/>
                <w:sz w:val="22"/>
                <w:szCs w:val="16"/>
              </w:rPr>
            </w:pPr>
            <w:r w:rsidRPr="002542CF">
              <w:rPr>
                <w:rFonts w:ascii="Calibri" w:eastAsia="Calibri" w:hAnsi="Calibri" w:cs="Times New Roman"/>
                <w:bCs/>
                <w:color w:val="000000"/>
                <w:sz w:val="22"/>
                <w:szCs w:val="16"/>
              </w:rPr>
              <w:t>1.16 (0.02) b</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34 N</w:t>
            </w: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0"/>
                <w:szCs w:val="20"/>
              </w:rPr>
            </w:pPr>
            <w:r w:rsidRPr="002542CF">
              <w:rPr>
                <w:rFonts w:ascii="Calibri" w:eastAsia="Calibri" w:hAnsi="Calibri" w:cs="Times New Roman"/>
                <w:b/>
                <w:bCs/>
                <w:color w:val="000000"/>
                <w:sz w:val="22"/>
                <w:szCs w:val="20"/>
              </w:rPr>
              <w:t>Cover Crop</w:t>
            </w:r>
          </w:p>
        </w:tc>
        <w:tc>
          <w:tcPr>
            <w:tcW w:w="162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8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Vetch</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79.31 (5.01) b</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203.50 (10.32) b</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919.62 (24.48)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79.94 (5.20)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5.59 (0.10)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1.17 (0.02)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Wheat</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98.93 (5.01) a</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231.56 (10.32)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918.06 (24.48)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72.56 (5.20)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5.60 (0.10)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1.18 (0.02)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NoCover</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99.61 (5.48)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238.84 (10.78)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891.57 (26.13)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73.62 (5.45)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5.71 (0.11)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1.21 (0.02)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b/>
                <w:bCs/>
                <w:color w:val="000000"/>
                <w:sz w:val="22"/>
                <w:szCs w:val="20"/>
              </w:rPr>
            </w:pPr>
            <w:r w:rsidRPr="002542CF">
              <w:rPr>
                <w:rFonts w:ascii="Calibri" w:eastAsia="Calibri" w:hAnsi="Calibri"/>
                <w:b/>
                <w:bCs/>
                <w:color w:val="000000"/>
                <w:sz w:val="22"/>
                <w:szCs w:val="20"/>
              </w:rPr>
              <w:t>Tillage</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NoTill</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101.36 (5.81)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227.36 (10.72)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967.82 (24.46)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78.95 (3.66)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5.52 (0.07) b</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1.23 (0.02)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Till</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83.38 (3.50) 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220.88 (6.28)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855.46 (11.16) 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72.00 (3.14)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5.74 (0.06)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1.14 (0.02) b</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67 N </w:t>
            </w:r>
          </w:p>
        </w:tc>
        <w:tc>
          <w:tcPr>
            <w:tcW w:w="1710" w:type="dxa"/>
            <w:shd w:val="clear" w:color="auto" w:fill="FFFFFF"/>
          </w:tcPr>
          <w:p w:rsidR="002600E7" w:rsidRPr="002542CF" w:rsidRDefault="002600E7" w:rsidP="002542CF">
            <w:pPr>
              <w:spacing w:line="240" w:lineRule="auto"/>
              <w:rPr>
                <w:rFonts w:ascii="Calibri" w:eastAsia="Calibri" w:hAnsi="Calibri" w:cs="Times New Roman"/>
                <w:b/>
                <w:bCs/>
                <w:color w:val="000000"/>
                <w:sz w:val="20"/>
                <w:szCs w:val="20"/>
              </w:rPr>
            </w:pPr>
            <w:r w:rsidRPr="002542CF">
              <w:rPr>
                <w:rFonts w:ascii="Calibri" w:eastAsia="Calibri" w:hAnsi="Calibri" w:cs="Times New Roman"/>
                <w:b/>
                <w:bCs/>
                <w:color w:val="000000"/>
                <w:sz w:val="22"/>
                <w:szCs w:val="20"/>
              </w:rPr>
              <w:t>Cover Crop</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Vetch</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66.84 (6.67) 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179.61 (13.76)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799.06 (34.43)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74.73 (5.47)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5.38 (0.12)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1.16 (0.02 )a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Wheat</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88.19 (6.31)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206.56 (13.00)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904.31 (31.88)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78.13 (5.32)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5.42 (0.12)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1.19 (0.02)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NoCover</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94.81 (6.31) a</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210.31 (13.00)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867.75 (31.88)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77.06 (5.32)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5.36 (0.12)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1.19 (0.02)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b/>
                <w:bCs/>
                <w:color w:val="000000"/>
                <w:sz w:val="22"/>
                <w:szCs w:val="20"/>
              </w:rPr>
            </w:pPr>
            <w:r w:rsidRPr="002542CF">
              <w:rPr>
                <w:rFonts w:ascii="Calibri" w:eastAsia="Calibri" w:hAnsi="Calibri"/>
                <w:b/>
                <w:bCs/>
                <w:color w:val="000000"/>
                <w:sz w:val="22"/>
                <w:szCs w:val="20"/>
              </w:rPr>
              <w:t>Tillage</w:t>
            </w:r>
          </w:p>
        </w:tc>
        <w:tc>
          <w:tcPr>
            <w:tcW w:w="162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80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NoTill</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86.59 (5.75) a</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186.50 (7.97) b</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850.68 (27.57)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75.23 (3.59)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5.31 (0.08)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1.23 (0.01)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Till</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82.00 (5.23)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213.25 (11.03)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869.75(27.50)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77.33 (2.97)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5.47 (0.08)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1.12 (0.02) b</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101 N </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
                <w:bCs/>
                <w:color w:val="000000"/>
                <w:sz w:val="20"/>
                <w:szCs w:val="20"/>
              </w:rPr>
            </w:pPr>
            <w:r w:rsidRPr="002542CF">
              <w:rPr>
                <w:rFonts w:ascii="Arial Narrow" w:eastAsia="Calibri" w:hAnsi="Arial Narrow" w:cs="Times New Roman"/>
                <w:b/>
                <w:bCs/>
                <w:color w:val="000000"/>
                <w:sz w:val="22"/>
                <w:szCs w:val="20"/>
              </w:rPr>
              <w:t>Cover Crop</w:t>
            </w:r>
          </w:p>
        </w:tc>
        <w:tc>
          <w:tcPr>
            <w:tcW w:w="162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8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Vetch</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73.24 (7.05) b</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199.82 (11.24)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679.71 (59.75)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66.50 (9.84)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4.84 (0.11)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1.15 (0.03)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Wheat</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88.56 (6.68) ab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208.31 (10.45)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781.19 (58.21)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73.94 (9.69)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5.08 (0.10)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1.19 ( 0.03)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NoCover</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92.25 (6.68)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212.56 (10.45)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830.50 (58.21)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72.75 (9.69)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5.11 (0.10)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1.18 (0.03)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b/>
                <w:bCs/>
                <w:color w:val="000000"/>
                <w:sz w:val="22"/>
                <w:szCs w:val="20"/>
              </w:rPr>
            </w:pPr>
            <w:r w:rsidRPr="002542CF">
              <w:rPr>
                <w:rFonts w:ascii="Calibri" w:eastAsia="Calibri" w:hAnsi="Calibri"/>
                <w:b/>
                <w:bCs/>
                <w:color w:val="000000"/>
                <w:sz w:val="22"/>
                <w:szCs w:val="20"/>
              </w:rPr>
              <w:t>Tillage</w:t>
            </w:r>
          </w:p>
        </w:tc>
        <w:tc>
          <w:tcPr>
            <w:tcW w:w="162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8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NoTill</w:t>
            </w:r>
          </w:p>
        </w:tc>
        <w:tc>
          <w:tcPr>
            <w:tcW w:w="162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93.95 (4.64) a</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201.32 (7.80) a</w:t>
            </w:r>
          </w:p>
        </w:tc>
        <w:tc>
          <w:tcPr>
            <w:tcW w:w="180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811.09 (46.03) a</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72.23 (6.75)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5.00 (0.08) a</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1.19 (0.02)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710" w:type="dxa"/>
            <w:tcBorders>
              <w:left w:val="nil"/>
              <w:right w:val="nil"/>
            </w:tcBorders>
            <w:shd w:val="clear" w:color="auto" w:fill="FFFFFF"/>
          </w:tcPr>
          <w:p w:rsidR="002600E7" w:rsidRPr="002542CF" w:rsidRDefault="002600E7" w:rsidP="002542CF">
            <w:pPr>
              <w:spacing w:line="240" w:lineRule="auto"/>
              <w:rPr>
                <w:rFonts w:ascii="Calibri" w:eastAsia="Calibri" w:hAnsi="Calibri"/>
                <w:color w:val="000000"/>
                <w:sz w:val="22"/>
                <w:szCs w:val="16"/>
              </w:rPr>
            </w:pPr>
            <w:r w:rsidRPr="002542CF">
              <w:rPr>
                <w:rFonts w:ascii="Calibri" w:eastAsia="Calibri" w:hAnsi="Calibri"/>
                <w:color w:val="000000"/>
                <w:sz w:val="22"/>
                <w:szCs w:val="16"/>
              </w:rPr>
              <w:t>Till</w:t>
            </w:r>
          </w:p>
        </w:tc>
        <w:tc>
          <w:tcPr>
            <w:tcW w:w="162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76.83  (5.37) 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213.04 (7.68) a</w:t>
            </w:r>
          </w:p>
        </w:tc>
        <w:tc>
          <w:tcPr>
            <w:tcW w:w="180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714.92 (31.29) 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69.00 (4.43)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5.02 (0.09) a</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2"/>
                <w:szCs w:val="16"/>
              </w:rPr>
            </w:pPr>
            <w:r w:rsidRPr="002542CF">
              <w:rPr>
                <w:rFonts w:ascii="Arial Narrow" w:eastAsia="Calibri" w:hAnsi="Arial Narrow" w:cs="Times New Roman"/>
                <w:bCs/>
                <w:color w:val="000000"/>
                <w:sz w:val="22"/>
                <w:szCs w:val="16"/>
              </w:rPr>
              <w:t>1.16 (0.02) a</w:t>
            </w:r>
          </w:p>
        </w:tc>
      </w:tr>
    </w:tbl>
    <w:p w:rsidR="002600E7" w:rsidRPr="00AE0605" w:rsidRDefault="002600E7" w:rsidP="00AE0605">
      <w:pPr>
        <w:pStyle w:val="Caption"/>
      </w:pPr>
      <w:r w:rsidRPr="00AE0605">
        <w:t>Table 1</w:t>
      </w:r>
      <w:r w:rsidR="00593192">
        <w:t>.1</w:t>
      </w:r>
      <w:r w:rsidRPr="00AE0605">
        <w:t xml:space="preserve">b </w:t>
      </w:r>
    </w:p>
    <w:tbl>
      <w:tblPr>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548"/>
        <w:gridCol w:w="1440"/>
        <w:gridCol w:w="1350"/>
        <w:gridCol w:w="1530"/>
        <w:gridCol w:w="1530"/>
        <w:gridCol w:w="1710"/>
        <w:gridCol w:w="1440"/>
        <w:gridCol w:w="1350"/>
        <w:gridCol w:w="1278"/>
      </w:tblGrid>
      <w:tr w:rsidR="002542CF" w:rsidRPr="002542CF" w:rsidTr="002542CF">
        <w:tc>
          <w:tcPr>
            <w:tcW w:w="154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N rate</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TC</w:t>
            </w:r>
          </w:p>
        </w:tc>
        <w:tc>
          <w:tcPr>
            <w:tcW w:w="135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TN</w:t>
            </w:r>
          </w:p>
        </w:tc>
        <w:tc>
          <w:tcPr>
            <w:tcW w:w="153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w:t>
            </w:r>
          </w:p>
        </w:tc>
        <w:tc>
          <w:tcPr>
            <w:tcW w:w="153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K</w:t>
            </w:r>
          </w:p>
        </w:tc>
        <w:tc>
          <w:tcPr>
            <w:tcW w:w="171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Ca</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Mg</w:t>
            </w:r>
          </w:p>
        </w:tc>
        <w:tc>
          <w:tcPr>
            <w:tcW w:w="135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pH</w:t>
            </w:r>
          </w:p>
        </w:tc>
        <w:tc>
          <w:tcPr>
            <w:tcW w:w="127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BD</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before="240" w:line="240" w:lineRule="auto"/>
              <w:rPr>
                <w:rFonts w:ascii="Calibri" w:eastAsia="Calibri" w:hAnsi="Calibri" w:cs="Times New Roman"/>
                <w:b/>
                <w:bCs/>
                <w:color w:val="000000"/>
                <w:sz w:val="22"/>
                <w:szCs w:val="22"/>
              </w:rPr>
            </w:pPr>
          </w:p>
        </w:tc>
        <w:tc>
          <w:tcPr>
            <w:tcW w:w="2790" w:type="dxa"/>
            <w:gridSpan w:val="2"/>
            <w:tcBorders>
              <w:left w:val="nil"/>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                      ton/ha </w:t>
            </w:r>
          </w:p>
        </w:tc>
        <w:tc>
          <w:tcPr>
            <w:tcW w:w="1530" w:type="dxa"/>
            <w:tcBorders>
              <w:left w:val="nil"/>
              <w:bottom w:val="dotted" w:sz="4" w:space="0" w:color="auto"/>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p>
        </w:tc>
        <w:tc>
          <w:tcPr>
            <w:tcW w:w="1530" w:type="dxa"/>
            <w:tcBorders>
              <w:left w:val="nil"/>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       mg/kg soil </w:t>
            </w:r>
          </w:p>
        </w:tc>
        <w:tc>
          <w:tcPr>
            <w:tcW w:w="1710" w:type="dxa"/>
            <w:tcBorders>
              <w:left w:val="nil"/>
              <w:bottom w:val="dotted" w:sz="4" w:space="0" w:color="auto"/>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p>
        </w:tc>
        <w:tc>
          <w:tcPr>
            <w:tcW w:w="1440" w:type="dxa"/>
            <w:tcBorders>
              <w:left w:val="nil"/>
              <w:bottom w:val="dotted" w:sz="4" w:space="0" w:color="auto"/>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p>
        </w:tc>
        <w:tc>
          <w:tcPr>
            <w:tcW w:w="1350" w:type="dxa"/>
            <w:tcBorders>
              <w:left w:val="nil"/>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p>
        </w:tc>
        <w:tc>
          <w:tcPr>
            <w:tcW w:w="1278" w:type="dxa"/>
            <w:tcBorders>
              <w:left w:val="nil"/>
              <w:right w:val="nil"/>
            </w:tcBorders>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g/cm3</w:t>
            </w:r>
          </w:p>
        </w:tc>
      </w:tr>
      <w:tr w:rsidR="002542CF" w:rsidRPr="002542CF" w:rsidTr="002542CF">
        <w:tc>
          <w:tcPr>
            <w:tcW w:w="1548" w:type="dxa"/>
            <w:shd w:val="clear" w:color="auto" w:fill="FFFFFF"/>
          </w:tcPr>
          <w:p w:rsidR="002600E7" w:rsidRPr="002542CF" w:rsidRDefault="002600E7" w:rsidP="002542CF">
            <w:pPr>
              <w:spacing w:before="240"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0 N</w:t>
            </w:r>
          </w:p>
        </w:tc>
        <w:tc>
          <w:tcPr>
            <w:tcW w:w="1440" w:type="dxa"/>
            <w:tcBorders>
              <w:top w:val="dotted" w:sz="4" w:space="0" w:color="auto"/>
            </w:tcBorders>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10.08 (0.49) b</w:t>
            </w:r>
          </w:p>
        </w:tc>
        <w:tc>
          <w:tcPr>
            <w:tcW w:w="1350" w:type="dxa"/>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1.06 (0.05) b</w:t>
            </w:r>
          </w:p>
        </w:tc>
        <w:tc>
          <w:tcPr>
            <w:tcW w:w="1530" w:type="dxa"/>
            <w:tcBorders>
              <w:top w:val="dotted" w:sz="4" w:space="0" w:color="auto"/>
            </w:tcBorders>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112.52 (5.20) a</w:t>
            </w:r>
          </w:p>
        </w:tc>
        <w:tc>
          <w:tcPr>
            <w:tcW w:w="1530" w:type="dxa"/>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247.67 (8.47) a</w:t>
            </w:r>
          </w:p>
        </w:tc>
        <w:tc>
          <w:tcPr>
            <w:tcW w:w="1710" w:type="dxa"/>
            <w:tcBorders>
              <w:top w:val="dotted" w:sz="4" w:space="0" w:color="auto"/>
            </w:tcBorders>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988.44 (23.31) a</w:t>
            </w:r>
          </w:p>
        </w:tc>
        <w:tc>
          <w:tcPr>
            <w:tcW w:w="1440" w:type="dxa"/>
            <w:tcBorders>
              <w:top w:val="dotted" w:sz="4" w:space="0" w:color="auto"/>
            </w:tcBorders>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75.25 (3.68) a</w:t>
            </w:r>
          </w:p>
        </w:tc>
        <w:tc>
          <w:tcPr>
            <w:tcW w:w="1350" w:type="dxa"/>
            <w:shd w:val="clear" w:color="auto" w:fill="FFFFFF"/>
          </w:tcPr>
          <w:p w:rsidR="002600E7" w:rsidRPr="002542CF" w:rsidRDefault="002600E7" w:rsidP="002542CF">
            <w:pPr>
              <w:spacing w:before="240"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5.80 (0.07) a</w:t>
            </w:r>
          </w:p>
        </w:tc>
        <w:tc>
          <w:tcPr>
            <w:tcW w:w="1278" w:type="dxa"/>
            <w:shd w:val="clear" w:color="auto" w:fill="FFFFFF"/>
          </w:tcPr>
          <w:p w:rsidR="002600E7" w:rsidRPr="002542CF" w:rsidRDefault="002600E7" w:rsidP="002542CF">
            <w:pPr>
              <w:spacing w:before="240" w:line="240" w:lineRule="auto"/>
              <w:rPr>
                <w:rFonts w:ascii="Calibri" w:eastAsia="Calibri" w:hAnsi="Calibri" w:cs="Times New Roman"/>
                <w:color w:val="000000"/>
                <w:sz w:val="22"/>
                <w:szCs w:val="22"/>
              </w:rPr>
            </w:pPr>
            <w:r w:rsidRPr="002542CF">
              <w:rPr>
                <w:rFonts w:ascii="Arial Narrow" w:eastAsia="Calibri" w:hAnsi="Arial Narrow" w:cs="Times New Roman"/>
                <w:color w:val="000000"/>
                <w:sz w:val="22"/>
                <w:szCs w:val="16"/>
              </w:rPr>
              <w:t>1.21(0.02)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34 N</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11.12 (0.54) b</w:t>
            </w:r>
          </w:p>
        </w:tc>
        <w:tc>
          <w:tcPr>
            <w:tcW w:w="135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1.10 (0.04) 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91.98 (3.77) 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223.98 (5.98) b</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909.20 (17.48) b</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75.33 (2.46) a</w:t>
            </w:r>
          </w:p>
        </w:tc>
        <w:tc>
          <w:tcPr>
            <w:tcW w:w="135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5.63 (0.05) a</w:t>
            </w:r>
          </w:p>
        </w:tc>
        <w:tc>
          <w:tcPr>
            <w:tcW w:w="127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Arial Narrow" w:eastAsia="Calibri" w:hAnsi="Arial Narrow" w:cs="Times New Roman"/>
                <w:color w:val="000000"/>
                <w:sz w:val="22"/>
                <w:szCs w:val="16"/>
              </w:rPr>
              <w:t>1.18(0.02)b</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67 N</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10.61 (0.32) b</w:t>
            </w:r>
          </w:p>
        </w:tc>
        <w:tc>
          <w:tcPr>
            <w:tcW w:w="135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1.10 (0.03) b</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84.20 (3.82) b</w:t>
            </w:r>
          </w:p>
        </w:tc>
        <w:tc>
          <w:tcPr>
            <w:tcW w:w="153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200.46 (7.33) c</w:t>
            </w:r>
          </w:p>
        </w:tc>
        <w:tc>
          <w:tcPr>
            <w:tcW w:w="171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860.63 (19.15) b</w:t>
            </w:r>
          </w:p>
        </w:tc>
        <w:tc>
          <w:tcPr>
            <w:tcW w:w="144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76.33 (2.27) a</w:t>
            </w:r>
          </w:p>
        </w:tc>
        <w:tc>
          <w:tcPr>
            <w:tcW w:w="1350" w:type="dxa"/>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5.39 (0.06) b</w:t>
            </w:r>
          </w:p>
        </w:tc>
        <w:tc>
          <w:tcPr>
            <w:tcW w:w="127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Arial Narrow" w:eastAsia="Calibri" w:hAnsi="Arial Narrow" w:cs="Times New Roman"/>
                <w:color w:val="000000"/>
                <w:sz w:val="22"/>
                <w:szCs w:val="16"/>
              </w:rPr>
              <w:t>1.17(0.02)b</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101 N </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12.47 (0.47) a</w:t>
            </w:r>
          </w:p>
        </w:tc>
        <w:tc>
          <w:tcPr>
            <w:tcW w:w="135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1.31 (0.04) a</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85.02 (3.94) b</w:t>
            </w:r>
          </w:p>
        </w:tc>
        <w:tc>
          <w:tcPr>
            <w:tcW w:w="153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207.43 (5.49) c</w:t>
            </w:r>
          </w:p>
        </w:tc>
        <w:tc>
          <w:tcPr>
            <w:tcW w:w="171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760.91 (28.65) c</w:t>
            </w:r>
          </w:p>
        </w:tc>
        <w:tc>
          <w:tcPr>
            <w:tcW w:w="144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70.54 (3.89) a</w:t>
            </w:r>
          </w:p>
        </w:tc>
        <w:tc>
          <w:tcPr>
            <w:tcW w:w="1350"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2"/>
                <w:szCs w:val="16"/>
              </w:rPr>
            </w:pPr>
            <w:r w:rsidRPr="002542CF">
              <w:rPr>
                <w:rFonts w:ascii="Arial Narrow" w:eastAsia="Calibri" w:hAnsi="Arial Narrow" w:cs="Times New Roman"/>
                <w:color w:val="000000"/>
                <w:sz w:val="22"/>
                <w:szCs w:val="16"/>
              </w:rPr>
              <w:t>5.01 (0.06) c</w:t>
            </w:r>
          </w:p>
        </w:tc>
        <w:tc>
          <w:tcPr>
            <w:tcW w:w="127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Arial Narrow" w:eastAsia="Calibri" w:hAnsi="Arial Narrow" w:cs="Times New Roman"/>
                <w:color w:val="000000"/>
                <w:sz w:val="22"/>
                <w:szCs w:val="16"/>
              </w:rPr>
              <w:t>1.18(0.01)b</w:t>
            </w:r>
          </w:p>
        </w:tc>
      </w:tr>
    </w:tbl>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sz w:val="22"/>
          <w:szCs w:val="22"/>
        </w:rPr>
        <w:t>Tillage and cover crop means followed by the same lower case letter within each nitrogen rate (0N, 34N, 67N and 101N Kg/ha) and N-rate means followed by the same lower case letter are not significantly different (LSD protected, P≤ 0.05). The numbers are the means of four samples (n=4) and the numbers within the brackets are the standard errors of the mean. P, K, Ca and Mg are expressed as extractable concentrations.</w:t>
      </w:r>
    </w:p>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sz w:val="22"/>
          <w:szCs w:val="22"/>
        </w:rPr>
        <w:t xml:space="preserve">                                                                                                          </w:t>
      </w:r>
    </w:p>
    <w:p w:rsidR="00593192" w:rsidRDefault="002600E7" w:rsidP="00593192">
      <w:pPr>
        <w:keepNext/>
        <w:spacing w:after="200" w:line="240" w:lineRule="auto"/>
      </w:pPr>
      <w:r w:rsidRPr="002600E7">
        <w:rPr>
          <w:rFonts w:ascii="Calibri" w:eastAsia="Calibri" w:hAnsi="Calibri" w:cs="Times New Roman"/>
          <w:b/>
          <w:bCs/>
          <w:color w:val="4F81BD"/>
          <w:sz w:val="18"/>
          <w:szCs w:val="18"/>
        </w:rPr>
        <w:lastRenderedPageBreak/>
        <w:t xml:space="preserve">                                     </w:t>
      </w:r>
      <w:r w:rsidRPr="002600E7">
        <w:rPr>
          <w:rFonts w:ascii="Calibri" w:eastAsia="Calibri" w:hAnsi="Calibri" w:cs="Times New Roman"/>
          <w:b/>
          <w:bCs/>
          <w:color w:val="4F81BD"/>
          <w:sz w:val="18"/>
          <w:szCs w:val="18"/>
        </w:rPr>
        <w:object w:dxaOrig="12255" w:dyaOrig="5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7.25pt;height:212.25pt" o:ole="">
            <v:imagedata r:id="rId13" o:title=""/>
          </v:shape>
          <o:OLEObject Type="Embed" ProgID="SigmaPlotGraphicObject.11" ShapeID="_x0000_i1026" DrawAspect="Content" ObjectID="_1464812560" r:id="rId14"/>
        </w:object>
      </w:r>
    </w:p>
    <w:p w:rsidR="00593192" w:rsidRDefault="00593192" w:rsidP="00593192">
      <w:pPr>
        <w:pStyle w:val="Caption"/>
      </w:pPr>
      <w:bookmarkStart w:id="27" w:name="_Toc390954664"/>
      <w:r>
        <w:t>Figure 1</w:t>
      </w:r>
      <w:r>
        <w:noBreakHyphen/>
      </w:r>
      <w:fldSimple w:instr=" SEQ Figure \* ARABIC \s 1 ">
        <w:r w:rsidR="00CF46E6">
          <w:rPr>
            <w:noProof/>
          </w:rPr>
          <w:t>1</w:t>
        </w:r>
      </w:fldSimple>
      <w:r w:rsidRPr="00593192">
        <w:t xml:space="preserve"> </w:t>
      </w:r>
      <w:r>
        <w:t>I</w:t>
      </w:r>
      <w:r w:rsidRPr="00AE0605">
        <w:t>nteraction effect of cover crop an N fertilizer rate on both total soil C and N across levels of tillage</w:t>
      </w:r>
      <w:r w:rsidRPr="005539C7">
        <w:t>.</w:t>
      </w:r>
      <w:bookmarkEnd w:id="27"/>
    </w:p>
    <w:p w:rsidR="002600E7" w:rsidRPr="002600E7" w:rsidRDefault="002600E7" w:rsidP="002600E7">
      <w:pPr>
        <w:spacing w:after="200" w:line="240" w:lineRule="auto"/>
        <w:rPr>
          <w:rFonts w:ascii="Calibri" w:eastAsia="Calibri" w:hAnsi="Calibri" w:cs="Times New Roman"/>
          <w:b/>
          <w:bCs/>
          <w:color w:val="4F81BD"/>
          <w:sz w:val="18"/>
          <w:szCs w:val="18"/>
        </w:rPr>
      </w:pPr>
      <w:r w:rsidRPr="002600E7">
        <w:rPr>
          <w:rFonts w:ascii="Calibri" w:eastAsia="Calibri" w:hAnsi="Calibri" w:cs="Times New Roman"/>
          <w:b/>
          <w:bCs/>
          <w:color w:val="4F81BD"/>
          <w:sz w:val="18"/>
          <w:szCs w:val="18"/>
        </w:rPr>
        <w:t xml:space="preserve">                </w:t>
      </w:r>
    </w:p>
    <w:p w:rsidR="002600E7" w:rsidRPr="002600E7" w:rsidRDefault="002600E7" w:rsidP="00593192">
      <w:pPr>
        <w:pStyle w:val="Caption"/>
        <w:rPr>
          <w:rFonts w:ascii="Calibri" w:eastAsia="Calibri" w:hAnsi="Calibri" w:cs="Times New Roman"/>
          <w:color w:val="4F81BD"/>
          <w:sz w:val="18"/>
          <w:szCs w:val="18"/>
        </w:rPr>
      </w:pPr>
      <w:r w:rsidRPr="00AE0605">
        <w:t xml:space="preserve">                </w:t>
      </w:r>
      <w:r w:rsidRPr="002600E7">
        <w:rPr>
          <w:rFonts w:ascii="Calibri" w:eastAsia="Calibri" w:hAnsi="Calibri" w:cs="Times New Roman"/>
          <w:sz w:val="18"/>
          <w:szCs w:val="18"/>
        </w:rPr>
        <w:br w:type="page"/>
      </w:r>
    </w:p>
    <w:p w:rsidR="002600E7" w:rsidRPr="002600E7" w:rsidRDefault="002600E7" w:rsidP="002600E7">
      <w:pPr>
        <w:spacing w:after="200" w:line="276" w:lineRule="auto"/>
        <w:rPr>
          <w:rFonts w:ascii="Calibri" w:eastAsia="Calibri" w:hAnsi="Calibri" w:cs="Times New Roman"/>
          <w:sz w:val="22"/>
          <w:szCs w:val="22"/>
        </w:rPr>
      </w:pPr>
    </w:p>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noProof/>
          <w:sz w:val="22"/>
          <w:szCs w:val="22"/>
        </w:rPr>
        <w:pict>
          <v:shape id="_x0000_s1061" type="#_x0000_t75" style="position:absolute;margin-left:-34.5pt;margin-top:57.9pt;width:26.25pt;height:100.5pt;z-index:1;mso-position-horizontal-relative:text;mso-position-vertical-relative:text" wrapcoords="-617 0 -617 21278 21600 21278 21600 0 -617 0">
            <v:imagedata r:id="rId15" o:title=""/>
            <w10:wrap type="tight"/>
          </v:shape>
          <o:OLEObject Type="Embed" ProgID="SigmaPlotGraphicObject.11" ShapeID="_x0000_s1061" DrawAspect="Content" ObjectID="_1464812562" r:id="rId16"/>
        </w:pict>
      </w:r>
      <w:r w:rsidRPr="002600E7">
        <w:rPr>
          <w:rFonts w:ascii="Calibri" w:eastAsia="Calibri" w:hAnsi="Calibri" w:cs="Times New Roman"/>
          <w:noProof/>
          <w:sz w:val="22"/>
          <w:szCs w:val="22"/>
        </w:rPr>
        <w:pict>
          <v:shape id="_x0000_s1063" type="#_x0000_t75" style="position:absolute;margin-left:7.5pt;margin-top:26.85pt;width:655.85pt;height:180pt;z-index:3;mso-position-horizontal-relative:text;mso-position-vertical-relative:text">
            <v:imagedata r:id="rId17" o:title=""/>
            <w10:wrap type="square"/>
          </v:shape>
          <o:OLEObject Type="Embed" ProgID="SigmaPlotGraphicObject.11" ShapeID="_x0000_s1063" DrawAspect="Content" ObjectID="_1464812563" r:id="rId18"/>
        </w:pict>
      </w:r>
      <w:r w:rsidRPr="002600E7">
        <w:rPr>
          <w:rFonts w:ascii="Calibri" w:eastAsia="Calibri" w:hAnsi="Calibri" w:cs="Times New Roman"/>
          <w:noProof/>
          <w:sz w:val="22"/>
          <w:szCs w:val="22"/>
        </w:rPr>
        <w:pict>
          <v:shape id="_x0000_s1062" type="#_x0000_t75" style="position:absolute;margin-left:-34.5pt;margin-top:248.45pt;width:25.1pt;height:101.1pt;z-index:2;mso-position-horizontal-relative:text;mso-position-vertical-relative:text" wrapcoords="-655 960 -655 20320 0 20640 1309 20640 3927 20640 19636 20640 21600 20480 21600 960 -655 960">
            <v:imagedata r:id="rId19" o:title=""/>
            <w10:wrap type="tight"/>
          </v:shape>
          <o:OLEObject Type="Embed" ProgID="SigmaPlotGraphicObject.11" ShapeID="_x0000_s1062" DrawAspect="Content" ObjectID="_1464812564" r:id="rId20"/>
        </w:pict>
      </w:r>
      <w:r w:rsidRPr="002600E7">
        <w:rPr>
          <w:rFonts w:ascii="Calibri" w:eastAsia="Calibri" w:hAnsi="Calibri" w:cs="Times New Roman"/>
          <w:noProof/>
          <w:sz w:val="22"/>
          <w:szCs w:val="22"/>
        </w:rPr>
        <w:pict>
          <v:shape id="_x0000_s1065" type="#_x0000_t75" style="position:absolute;margin-left:249pt;margin-top:-21.25pt;width:149.95pt;height:28.7pt;z-index:5;mso-position-horizontal-relative:text;mso-position-vertical-relative:text" wrapcoords="1037 0 -173 1309 -173 5236 1037 10473 1037 20945 20390 20945 20563 1964 20390 0 1037 0">
            <v:imagedata r:id="rId21" o:title=""/>
            <w10:wrap type="tight"/>
          </v:shape>
          <o:OLEObject Type="Embed" ProgID="SigmaPlotGraphicObject.11" ShapeID="_x0000_s1065" DrawAspect="Content" ObjectID="_1464812565" r:id="rId22"/>
        </w:pict>
      </w:r>
      <w:r w:rsidR="00593192">
        <w:rPr>
          <w:noProof/>
        </w:rPr>
        <w:pict>
          <v:shapetype id="_x0000_t202" coordsize="21600,21600" o:spt="202" path="m,l,21600r21600,l21600,xe">
            <v:stroke joinstyle="miter"/>
            <v:path gradientshapeok="t" o:connecttype="rect"/>
          </v:shapetype>
          <v:shape id="_x0000_s1073" type="#_x0000_t202" style="position:absolute;margin-left:1.1pt;margin-top:397.9pt;width:662.25pt;height:.05pt;z-index:11;mso-position-horizontal-relative:text;mso-position-vertical-relative:text" stroked="f">
            <v:textbox style="mso-fit-shape-to-text:t" inset="0,0,0,0">
              <w:txbxContent>
                <w:p w:rsidR="00DB5C50" w:rsidRPr="0079054F" w:rsidRDefault="00DB5C50" w:rsidP="00593192">
                  <w:pPr>
                    <w:pStyle w:val="Caption"/>
                    <w:rPr>
                      <w:rFonts w:ascii="Calibri" w:eastAsia="Calibri" w:hAnsi="Calibri" w:cs="Times New Roman"/>
                      <w:noProof/>
                    </w:rPr>
                  </w:pPr>
                  <w:bookmarkStart w:id="28" w:name="_Toc390954665"/>
                  <w:r>
                    <w:t>Figure 1</w:t>
                  </w:r>
                  <w:r>
                    <w:noBreakHyphen/>
                  </w:r>
                  <w:fldSimple w:instr=" SEQ Figure \* ARABIC \s 1 ">
                    <w:r>
                      <w:rPr>
                        <w:noProof/>
                      </w:rPr>
                      <w:t>2</w:t>
                    </w:r>
                  </w:fldSimple>
                  <w:r>
                    <w:t xml:space="preserve"> </w:t>
                  </w:r>
                  <w:r w:rsidRPr="00AE0605">
                    <w:t>Effect of tillage and cover crops on (a) total soil C and (b) on total soil N within eac</w:t>
                  </w:r>
                  <w:r>
                    <w:t>h rate of N fertilizer.</w:t>
                  </w:r>
                  <w:bookmarkEnd w:id="28"/>
                  <w:r>
                    <w:t xml:space="preserve"> </w:t>
                  </w:r>
                </w:p>
              </w:txbxContent>
            </v:textbox>
            <w10:wrap type="square"/>
          </v:shape>
        </w:pict>
      </w:r>
      <w:r w:rsidRPr="002600E7">
        <w:rPr>
          <w:rFonts w:ascii="Calibri" w:eastAsia="Calibri" w:hAnsi="Calibri" w:cs="Times New Roman"/>
          <w:noProof/>
          <w:sz w:val="22"/>
          <w:szCs w:val="22"/>
        </w:rPr>
        <w:pict>
          <v:shape id="_x0000_s1064" type="#_x0000_t75" style="position:absolute;margin-left:1.1pt;margin-top:213.4pt;width:662.25pt;height:180pt;z-index:4;mso-position-horizontal-relative:text;mso-position-vertical-relative:text">
            <v:imagedata r:id="rId23" o:title=""/>
            <w10:wrap type="square"/>
          </v:shape>
          <o:OLEObject Type="Embed" ProgID="SigmaPlotGraphicObject.11" ShapeID="_x0000_s1064" DrawAspect="Content" ObjectID="_1464812566" r:id="rId24"/>
        </w:pict>
      </w:r>
    </w:p>
    <w:p w:rsidR="002600E7" w:rsidRPr="00AE0605" w:rsidRDefault="002600E7" w:rsidP="00AE0605">
      <w:pPr>
        <w:pStyle w:val="Caption"/>
      </w:pPr>
      <w:bookmarkStart w:id="29" w:name="_Toc390954645"/>
      <w:r w:rsidRPr="00AE0605">
        <w:lastRenderedPageBreak/>
        <w:t xml:space="preserve">Table </w:t>
      </w:r>
      <w:r w:rsidR="00CF46E6">
        <w:t>1</w:t>
      </w:r>
      <w:r w:rsidR="00A85C1F">
        <w:noBreakHyphen/>
      </w:r>
      <w:fldSimple w:instr=" SEQ Table \* ARABIC \s 1 ">
        <w:r w:rsidR="00A85C1F">
          <w:rPr>
            <w:noProof/>
          </w:rPr>
          <w:t>2</w:t>
        </w:r>
      </w:fldSimple>
      <w:r w:rsidRPr="00AE0605">
        <w:t xml:space="preserve"> Tillage, cover crops and N fertilizer rate effect on soil quality indicators based on the scores as determined by soil management assessment framework</w:t>
      </w:r>
      <w:bookmarkEnd w:id="29"/>
    </w:p>
    <w:tbl>
      <w:tblPr>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000"/>
        <w:gridCol w:w="1435"/>
        <w:gridCol w:w="1248"/>
        <w:gridCol w:w="177"/>
        <w:gridCol w:w="1288"/>
        <w:gridCol w:w="65"/>
        <w:gridCol w:w="1337"/>
        <w:gridCol w:w="1248"/>
        <w:gridCol w:w="1248"/>
        <w:gridCol w:w="1337"/>
        <w:gridCol w:w="1260"/>
        <w:gridCol w:w="1533"/>
      </w:tblGrid>
      <w:tr w:rsidR="002542CF" w:rsidRPr="002542CF" w:rsidTr="002542CF">
        <w:tc>
          <w:tcPr>
            <w:tcW w:w="1000" w:type="dxa"/>
            <w:vMerge w:val="restart"/>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N rate</w:t>
            </w:r>
          </w:p>
        </w:tc>
        <w:tc>
          <w:tcPr>
            <w:tcW w:w="1435" w:type="dxa"/>
            <w:vMerge w:val="restart"/>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Treatment</w:t>
            </w:r>
          </w:p>
        </w:tc>
        <w:tc>
          <w:tcPr>
            <w:tcW w:w="1425" w:type="dxa"/>
            <w:gridSpan w:val="2"/>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TOC</w:t>
            </w:r>
          </w:p>
        </w:tc>
        <w:tc>
          <w:tcPr>
            <w:tcW w:w="1353" w:type="dxa"/>
            <w:gridSpan w:val="2"/>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PTOC</w:t>
            </w:r>
          </w:p>
        </w:tc>
        <w:tc>
          <w:tcPr>
            <w:tcW w:w="1337"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K</w:t>
            </w:r>
          </w:p>
        </w:tc>
        <w:tc>
          <w:tcPr>
            <w:tcW w:w="124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pH</w:t>
            </w:r>
          </w:p>
        </w:tc>
        <w:tc>
          <w:tcPr>
            <w:tcW w:w="124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BD</w:t>
            </w:r>
          </w:p>
        </w:tc>
        <w:tc>
          <w:tcPr>
            <w:tcW w:w="1337"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BG</w:t>
            </w:r>
          </w:p>
        </w:tc>
        <w:tc>
          <w:tcPr>
            <w:tcW w:w="126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MBC</w:t>
            </w:r>
          </w:p>
        </w:tc>
        <w:tc>
          <w:tcPr>
            <w:tcW w:w="1533"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SQI </w:t>
            </w:r>
          </w:p>
        </w:tc>
      </w:tr>
      <w:tr w:rsidR="002542CF" w:rsidRPr="002542CF" w:rsidTr="002542CF">
        <w:tc>
          <w:tcPr>
            <w:tcW w:w="1000" w:type="dxa"/>
            <w:vMerge/>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vMerge/>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25"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3"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vMerge w:val="restart"/>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   scores</w:t>
            </w: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0 N</w:t>
            </w:r>
          </w:p>
        </w:tc>
        <w:tc>
          <w:tcPr>
            <w:tcW w:w="1435" w:type="dxa"/>
            <w:shd w:val="clear" w:color="auto" w:fill="FFFFFF"/>
          </w:tcPr>
          <w:p w:rsidR="002600E7" w:rsidRPr="002542CF" w:rsidRDefault="002600E7" w:rsidP="002542CF">
            <w:pPr>
              <w:spacing w:line="240" w:lineRule="auto"/>
              <w:rPr>
                <w:rFonts w:ascii="Arial Narrow" w:eastAsia="Calibri" w:hAnsi="Arial Narrow" w:cs="Times New Roman"/>
                <w:b/>
                <w:bCs/>
                <w:color w:val="000000"/>
                <w:sz w:val="20"/>
                <w:szCs w:val="20"/>
              </w:rPr>
            </w:pPr>
            <w:r w:rsidRPr="002542CF">
              <w:rPr>
                <w:rFonts w:ascii="Arial Narrow" w:eastAsia="Calibri" w:hAnsi="Arial Narrow" w:cs="Times New Roman"/>
                <w:b/>
                <w:bCs/>
                <w:color w:val="000000"/>
                <w:sz w:val="22"/>
                <w:szCs w:val="20"/>
              </w:rPr>
              <w:t>Cover Crop</w:t>
            </w:r>
          </w:p>
        </w:tc>
        <w:tc>
          <w:tcPr>
            <w:tcW w:w="1425"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3"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vMerge/>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Vetch</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0.41 (0.04)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0.96 (0.03)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1.01 (0.01) b</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0.99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0.95 (0.02)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0.30 (0.03)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0.94(0.04)a </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80.84 (1.37)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Wheat</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0.25 (0.04) b</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0.85 (0.03)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1.04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0.91 (0.02)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0.14 (0.03) b</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0.91(0.04)a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73.24 (1.37) b</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NoCover</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0.27 (0.04) b</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0.92 (0.04)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1.04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0.97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0.94 (0.02)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0.20 (0.03) b</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0.93(0.04)a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74.55 (1.37) b</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b/>
                <w:bCs/>
                <w:color w:val="000000"/>
                <w:sz w:val="22"/>
                <w:szCs w:val="20"/>
              </w:rPr>
            </w:pPr>
            <w:r w:rsidRPr="002542CF">
              <w:rPr>
                <w:rFonts w:ascii="Arial" w:eastAsia="Calibri" w:hAnsi="Arial"/>
                <w:b/>
                <w:bCs/>
                <w:color w:val="000000"/>
                <w:sz w:val="22"/>
                <w:szCs w:val="20"/>
              </w:rPr>
              <w:t>Tillage</w:t>
            </w:r>
          </w:p>
        </w:tc>
        <w:tc>
          <w:tcPr>
            <w:tcW w:w="1425"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3"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NoTill</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0.37 (0.04)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0.84 (0.03)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1.04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0.90 (0.02) b</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Cs/>
                <w:color w:val="000000"/>
                <w:sz w:val="20"/>
                <w:szCs w:val="20"/>
              </w:rPr>
            </w:pPr>
            <w:r w:rsidRPr="002542CF">
              <w:rPr>
                <w:rFonts w:ascii="Arial Narrow" w:eastAsia="Calibri" w:hAnsi="Arial Narrow" w:cs="Times New Roman"/>
                <w:bCs/>
                <w:color w:val="000000"/>
                <w:sz w:val="20"/>
                <w:szCs w:val="20"/>
              </w:rPr>
              <w:t>0.27 (0.03)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0.92(0.03)a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71.14 (1.70)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Till</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0.25 (0.04) b</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0.98 (0.02)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1.02 (0.01) b</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0.99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(0.02)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bCs/>
                <w:color w:val="000000"/>
                <w:sz w:val="20"/>
                <w:szCs w:val="20"/>
              </w:rPr>
            </w:pPr>
            <w:r w:rsidRPr="002542CF">
              <w:rPr>
                <w:rFonts w:ascii="Arial Narrow" w:eastAsia="Calibri" w:hAnsi="Arial Narrow" w:cs="Times New Roman"/>
                <w:bCs/>
                <w:color w:val="000000"/>
                <w:sz w:val="20"/>
                <w:szCs w:val="20"/>
              </w:rPr>
              <w:t>0.16 (0.03) b</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0.94(0.03)a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75.35 (1.71)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34 N</w:t>
            </w:r>
          </w:p>
        </w:tc>
        <w:tc>
          <w:tcPr>
            <w:tcW w:w="1435"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
                <w:bCs/>
                <w:color w:val="000000"/>
                <w:sz w:val="20"/>
                <w:szCs w:val="20"/>
              </w:rPr>
            </w:pPr>
            <w:r w:rsidRPr="002542CF">
              <w:rPr>
                <w:rFonts w:ascii="Arial Narrow" w:eastAsia="Calibri" w:hAnsi="Arial Narrow" w:cs="Times New Roman"/>
                <w:b/>
                <w:bCs/>
                <w:color w:val="000000"/>
                <w:sz w:val="22"/>
                <w:szCs w:val="20"/>
              </w:rPr>
              <w:t>Cover Crop</w:t>
            </w:r>
          </w:p>
        </w:tc>
        <w:tc>
          <w:tcPr>
            <w:tcW w:w="1425"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3"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Vetch</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0.43 (0.04) a</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b</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0.25 (0.08)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0"/>
                <w:szCs w:val="20"/>
              </w:rPr>
            </w:pPr>
            <w:r w:rsidRPr="002542CF">
              <w:rPr>
                <w:rFonts w:ascii="Calibri" w:eastAsia="Calibri" w:hAnsi="Calibri" w:cs="Times New Roman"/>
                <w:color w:val="000000"/>
                <w:sz w:val="20"/>
                <w:szCs w:val="20"/>
              </w:rPr>
              <w:t> 0.80(0.08)a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80.08 (1.41)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Wheat</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0.42 (0.04)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1.03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0.94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0.21 (0.08)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0"/>
                <w:szCs w:val="20"/>
              </w:rPr>
            </w:pPr>
            <w:r w:rsidRPr="002542CF">
              <w:rPr>
                <w:rFonts w:ascii="Calibri" w:eastAsia="Calibri" w:hAnsi="Calibri" w:cs="Times New Roman"/>
                <w:color w:val="000000"/>
                <w:sz w:val="20"/>
                <w:szCs w:val="20"/>
              </w:rPr>
              <w:t> 0.94(0.07)a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80.48 (1.53)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NoCover</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0.31 (0.04) a</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0.96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1.03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0.94 (0.02)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0.37 (0.08)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0"/>
                <w:szCs w:val="20"/>
              </w:rPr>
            </w:pPr>
            <w:r w:rsidRPr="002542CF">
              <w:rPr>
                <w:rFonts w:ascii="Calibri" w:eastAsia="Calibri" w:hAnsi="Calibri" w:cs="Times New Roman"/>
                <w:color w:val="000000"/>
                <w:sz w:val="20"/>
                <w:szCs w:val="20"/>
              </w:rPr>
              <w:t> 0.79(0.07)a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78.51 (1.53)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b/>
                <w:bCs/>
                <w:color w:val="000000"/>
                <w:sz w:val="22"/>
                <w:szCs w:val="20"/>
              </w:rPr>
            </w:pPr>
            <w:r w:rsidRPr="002542CF">
              <w:rPr>
                <w:rFonts w:ascii="Arial" w:eastAsia="Calibri" w:hAnsi="Arial"/>
                <w:b/>
                <w:bCs/>
                <w:color w:val="000000"/>
                <w:sz w:val="22"/>
                <w:szCs w:val="20"/>
              </w:rPr>
              <w:t>Tillage</w:t>
            </w: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NoTill</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0.47 (0.03) a</w:t>
            </w:r>
          </w:p>
        </w:tc>
        <w:tc>
          <w:tcPr>
            <w:tcW w:w="1530" w:type="dxa"/>
            <w:gridSpan w:val="3"/>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0.95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1.02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(0.00) b</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0.92 (0.01) b</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0.34 (0.06)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0"/>
                <w:szCs w:val="20"/>
              </w:rPr>
            </w:pPr>
            <w:r w:rsidRPr="002542CF">
              <w:rPr>
                <w:rFonts w:ascii="Calibri" w:eastAsia="Calibri" w:hAnsi="Calibri" w:cs="Times New Roman"/>
                <w:color w:val="000000"/>
                <w:sz w:val="20"/>
                <w:szCs w:val="20"/>
              </w:rPr>
              <w:t> 0.79(0.06)a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79.86 (1.24)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Till</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0.30 (0.03) b</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1.02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(0.00)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0.22 (0.05)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0"/>
                <w:szCs w:val="20"/>
              </w:rPr>
            </w:pPr>
            <w:r w:rsidRPr="002542CF">
              <w:rPr>
                <w:rFonts w:ascii="Calibri" w:eastAsia="Calibri" w:hAnsi="Calibri" w:cs="Times New Roman"/>
                <w:color w:val="000000"/>
                <w:sz w:val="20"/>
                <w:szCs w:val="20"/>
              </w:rPr>
              <w:t> 0.90(0.06)a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79.52 (1.10)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67 N </w:t>
            </w:r>
          </w:p>
        </w:tc>
        <w:tc>
          <w:tcPr>
            <w:tcW w:w="1435" w:type="dxa"/>
            <w:shd w:val="clear" w:color="auto" w:fill="FFFFFF"/>
          </w:tcPr>
          <w:p w:rsidR="002600E7" w:rsidRPr="002542CF" w:rsidRDefault="002600E7" w:rsidP="002542CF">
            <w:pPr>
              <w:spacing w:line="240" w:lineRule="auto"/>
              <w:rPr>
                <w:rFonts w:ascii="Arial Narrow" w:eastAsia="Calibri" w:hAnsi="Arial Narrow" w:cs="Times New Roman"/>
                <w:b/>
                <w:bCs/>
                <w:color w:val="000000"/>
                <w:sz w:val="20"/>
                <w:szCs w:val="20"/>
              </w:rPr>
            </w:pPr>
            <w:r w:rsidRPr="002542CF">
              <w:rPr>
                <w:rFonts w:ascii="Arial Narrow" w:eastAsia="Calibri" w:hAnsi="Arial Narrow" w:cs="Times New Roman"/>
                <w:b/>
                <w:bCs/>
                <w:color w:val="000000"/>
                <w:sz w:val="22"/>
                <w:szCs w:val="20"/>
              </w:rPr>
              <w:t>Cover Crop</w:t>
            </w:r>
          </w:p>
        </w:tc>
        <w:tc>
          <w:tcPr>
            <w:tcW w:w="1425"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3"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Vetch</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0.44 (0.04)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(0.05)a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0.97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0.21 (0.04)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0.94(0.07)a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81.44 (1.65)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Wheat</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0.35 (0.03) ab</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(0.05)a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0.97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0.97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0.23 (0.04)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0.85(0.07)a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78.69 (1.56)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NoCover</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0.31 (0.03) b</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(0.05)a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0.19 (0.04)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0.90(0.08)a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76.73 (1.56)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b/>
                <w:bCs/>
                <w:color w:val="000000"/>
                <w:sz w:val="22"/>
                <w:szCs w:val="20"/>
              </w:rPr>
            </w:pPr>
            <w:r w:rsidRPr="002542CF">
              <w:rPr>
                <w:rFonts w:ascii="Arial" w:eastAsia="Calibri" w:hAnsi="Arial"/>
                <w:b/>
                <w:bCs/>
                <w:color w:val="000000"/>
                <w:sz w:val="22"/>
                <w:szCs w:val="20"/>
              </w:rPr>
              <w:t>Tillage</w:t>
            </w: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NoTill</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0.34 (0.03)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0.95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0.25 (0.03)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0.85(0.07)a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78.32 (1.45)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Till</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0.36 (0.03) a</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0.97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0.16 (0.03) b</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0.94(0.07)a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79.59 (1.40)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101 N </w:t>
            </w:r>
          </w:p>
        </w:tc>
        <w:tc>
          <w:tcPr>
            <w:tcW w:w="1435"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b/>
                <w:bCs/>
                <w:color w:val="000000"/>
                <w:sz w:val="20"/>
                <w:szCs w:val="20"/>
              </w:rPr>
            </w:pPr>
            <w:r w:rsidRPr="002542CF">
              <w:rPr>
                <w:rFonts w:ascii="Arial Narrow" w:eastAsia="Calibri" w:hAnsi="Arial Narrow" w:cs="Times New Roman"/>
                <w:b/>
                <w:bCs/>
                <w:color w:val="000000"/>
                <w:sz w:val="22"/>
                <w:szCs w:val="20"/>
              </w:rPr>
              <w:t>Cover Crop</w:t>
            </w: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Vetch</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0.47 (0.07) a</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(0.04)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0.99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0.99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0.21 (0.04)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0.99(0.03)a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80.19 (1.68)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Wheat</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0.49 (0.06) a</w:t>
            </w: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(0.04)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1.01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0.93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0.17 (0.05)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0.97(0.03)a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80.54 (1.68) a</w:t>
            </w: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NoCover</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0.51 (0.06) a</w:t>
            </w:r>
          </w:p>
        </w:tc>
        <w:tc>
          <w:tcPr>
            <w:tcW w:w="1530" w:type="dxa"/>
            <w:gridSpan w:val="3"/>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(0.04)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1.01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0.93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0.19 (0.04)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0.93(0.03)a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80.19 (1.53)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b/>
                <w:bCs/>
                <w:color w:val="000000"/>
                <w:sz w:val="22"/>
                <w:szCs w:val="20"/>
              </w:rPr>
            </w:pPr>
            <w:r w:rsidRPr="002542CF">
              <w:rPr>
                <w:rFonts w:ascii="Arial" w:eastAsia="Calibri" w:hAnsi="Arial"/>
                <w:b/>
                <w:bCs/>
                <w:color w:val="000000"/>
                <w:sz w:val="22"/>
                <w:szCs w:val="20"/>
              </w:rPr>
              <w:t>Tillage</w:t>
            </w: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0" w:type="dxa"/>
            <w:gridSpan w:val="3"/>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37"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000"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NoTill</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0.54 (0.05) a</w:t>
            </w:r>
          </w:p>
        </w:tc>
        <w:tc>
          <w:tcPr>
            <w:tcW w:w="1465"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(0.00) a</w:t>
            </w:r>
          </w:p>
        </w:tc>
        <w:tc>
          <w:tcPr>
            <w:tcW w:w="1402" w:type="dxa"/>
            <w:gridSpan w:val="2"/>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0.92 (0.01) a</w:t>
            </w:r>
          </w:p>
        </w:tc>
        <w:tc>
          <w:tcPr>
            <w:tcW w:w="1248"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0.96 (0.01) a</w:t>
            </w:r>
          </w:p>
        </w:tc>
        <w:tc>
          <w:tcPr>
            <w:tcW w:w="1337" w:type="dxa"/>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0.24 (0.04) a</w:t>
            </w:r>
          </w:p>
        </w:tc>
        <w:tc>
          <w:tcPr>
            <w:tcW w:w="126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0.95(0.03)a</w:t>
            </w:r>
          </w:p>
        </w:tc>
        <w:tc>
          <w:tcPr>
            <w:tcW w:w="1533"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80.55 (1.41) a</w:t>
            </w:r>
          </w:p>
        </w:tc>
      </w:tr>
      <w:tr w:rsidR="002542CF" w:rsidRPr="002542CF" w:rsidTr="002542CF">
        <w:tc>
          <w:tcPr>
            <w:tcW w:w="100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35" w:type="dxa"/>
            <w:tcBorders>
              <w:left w:val="nil"/>
              <w:right w:val="nil"/>
            </w:tcBorders>
            <w:shd w:val="clear" w:color="auto" w:fill="FFFFFF"/>
          </w:tcPr>
          <w:p w:rsidR="002600E7" w:rsidRPr="002542CF" w:rsidRDefault="002600E7" w:rsidP="002542CF">
            <w:pPr>
              <w:spacing w:line="240" w:lineRule="auto"/>
              <w:rPr>
                <w:rFonts w:ascii="Arial" w:eastAsia="Calibri" w:hAnsi="Arial"/>
                <w:color w:val="000000"/>
                <w:sz w:val="22"/>
                <w:szCs w:val="16"/>
              </w:rPr>
            </w:pPr>
            <w:r w:rsidRPr="002542CF">
              <w:rPr>
                <w:rFonts w:ascii="Arial" w:eastAsia="Calibri" w:hAnsi="Arial"/>
                <w:color w:val="000000"/>
                <w:sz w:val="22"/>
                <w:szCs w:val="16"/>
              </w:rPr>
              <w:t>Till</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0.45 (0.05) a</w:t>
            </w:r>
          </w:p>
        </w:tc>
        <w:tc>
          <w:tcPr>
            <w:tcW w:w="1465"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(0.00) a</w:t>
            </w:r>
          </w:p>
        </w:tc>
        <w:tc>
          <w:tcPr>
            <w:tcW w:w="1402" w:type="dxa"/>
            <w:gridSpan w:val="2"/>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1.01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0.93 (0.01) a</w:t>
            </w:r>
          </w:p>
        </w:tc>
        <w:tc>
          <w:tcPr>
            <w:tcW w:w="1248"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0.98 (0.01) a</w:t>
            </w:r>
          </w:p>
        </w:tc>
        <w:tc>
          <w:tcPr>
            <w:tcW w:w="1337" w:type="dxa"/>
            <w:tcBorders>
              <w:left w:val="nil"/>
              <w:right w:val="nil"/>
            </w:tcBorders>
            <w:shd w:val="clear" w:color="auto" w:fill="FFFFFF"/>
          </w:tcPr>
          <w:p w:rsidR="002600E7" w:rsidRPr="002542CF" w:rsidRDefault="002600E7" w:rsidP="002542CF">
            <w:pPr>
              <w:spacing w:line="240" w:lineRule="auto"/>
              <w:rPr>
                <w:rFonts w:ascii="Arial Narrow" w:eastAsia="Calibri" w:hAnsi="Arial Narrow" w:cs="Times New Roman"/>
                <w:color w:val="000000"/>
                <w:sz w:val="20"/>
                <w:szCs w:val="20"/>
              </w:rPr>
            </w:pPr>
            <w:r w:rsidRPr="002542CF">
              <w:rPr>
                <w:rFonts w:ascii="Arial Narrow" w:eastAsia="Calibri" w:hAnsi="Arial Narrow" w:cs="Times New Roman"/>
                <w:color w:val="000000"/>
                <w:sz w:val="20"/>
                <w:szCs w:val="20"/>
              </w:rPr>
              <w:t>0.14 (0.04) a</w:t>
            </w:r>
          </w:p>
        </w:tc>
        <w:tc>
          <w:tcPr>
            <w:tcW w:w="126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0.97(0.03)a</w:t>
            </w:r>
          </w:p>
        </w:tc>
        <w:tc>
          <w:tcPr>
            <w:tcW w:w="1533"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80.07 (1.25) a</w:t>
            </w:r>
          </w:p>
        </w:tc>
      </w:tr>
    </w:tbl>
    <w:p w:rsidR="002600E7" w:rsidRPr="00AE0605" w:rsidRDefault="002600E7" w:rsidP="00AE0605">
      <w:pPr>
        <w:pStyle w:val="Caption"/>
      </w:pPr>
      <w:r w:rsidRPr="00AE0605">
        <w:t>Table 2b: Effect of nitrogen fertilizer rate on soil quality indicators</w:t>
      </w:r>
    </w:p>
    <w:tbl>
      <w:tblPr>
        <w:tblW w:w="0" w:type="auto"/>
        <w:tblBorders>
          <w:top w:val="single" w:sz="8" w:space="0" w:color="000000"/>
          <w:bottom w:val="single" w:sz="8" w:space="0" w:color="000000"/>
        </w:tblBorders>
        <w:shd w:val="clear" w:color="auto" w:fill="FFFFFF"/>
        <w:tblLook w:val="04A0" w:firstRow="1" w:lastRow="0" w:firstColumn="1" w:lastColumn="0" w:noHBand="0" w:noVBand="1"/>
      </w:tblPr>
      <w:tblGrid>
        <w:gridCol w:w="1548"/>
        <w:gridCol w:w="1440"/>
        <w:gridCol w:w="1350"/>
        <w:gridCol w:w="1440"/>
        <w:gridCol w:w="1440"/>
        <w:gridCol w:w="1440"/>
        <w:gridCol w:w="1440"/>
        <w:gridCol w:w="1350"/>
        <w:gridCol w:w="1728"/>
      </w:tblGrid>
      <w:tr w:rsidR="002542CF" w:rsidRPr="002542CF" w:rsidTr="002542CF">
        <w:tc>
          <w:tcPr>
            <w:tcW w:w="154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N Rate</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TOC</w:t>
            </w:r>
          </w:p>
        </w:tc>
        <w:tc>
          <w:tcPr>
            <w:tcW w:w="135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PTOC</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K</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pH</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BD</w:t>
            </w:r>
          </w:p>
        </w:tc>
        <w:tc>
          <w:tcPr>
            <w:tcW w:w="144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BG</w:t>
            </w:r>
          </w:p>
        </w:tc>
        <w:tc>
          <w:tcPr>
            <w:tcW w:w="1350"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MBC</w:t>
            </w:r>
          </w:p>
        </w:tc>
        <w:tc>
          <w:tcPr>
            <w:tcW w:w="1728" w:type="dxa"/>
            <w:tcBorders>
              <w:top w:val="single" w:sz="8" w:space="0" w:color="000000"/>
              <w:left w:val="nil"/>
              <w:bottom w:val="single" w:sz="8" w:space="0" w:color="000000"/>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 xml:space="preserve">SQI </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p>
        </w:tc>
        <w:tc>
          <w:tcPr>
            <w:tcW w:w="144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vMerge w:val="restart"/>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    Scores</w:t>
            </w:r>
          </w:p>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(0.01) a</w:t>
            </w:r>
          </w:p>
        </w:tc>
        <w:tc>
          <w:tcPr>
            <w:tcW w:w="144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350"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728" w:type="dxa"/>
            <w:tcBorders>
              <w:left w:val="nil"/>
              <w:bottom w:val="dotted" w:sz="4" w:space="0" w:color="auto"/>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0 N</w:t>
            </w:r>
          </w:p>
        </w:tc>
        <w:tc>
          <w:tcPr>
            <w:tcW w:w="144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0.31 (0.03) b</w:t>
            </w:r>
          </w:p>
        </w:tc>
        <w:tc>
          <w:tcPr>
            <w:tcW w:w="135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0.91 (0.01)b</w:t>
            </w:r>
          </w:p>
        </w:tc>
        <w:tc>
          <w:tcPr>
            <w:tcW w:w="144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1.03 (0.01) a</w:t>
            </w:r>
          </w:p>
        </w:tc>
        <w:tc>
          <w:tcPr>
            <w:tcW w:w="1440" w:type="dxa"/>
            <w:vMerge/>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p>
        </w:tc>
        <w:tc>
          <w:tcPr>
            <w:tcW w:w="144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0.93 (0.01) a</w:t>
            </w:r>
          </w:p>
        </w:tc>
        <w:tc>
          <w:tcPr>
            <w:tcW w:w="144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highlight w:val="yellow"/>
              </w:rPr>
            </w:pPr>
            <w:r w:rsidRPr="002542CF">
              <w:rPr>
                <w:rFonts w:ascii="Calibri" w:eastAsia="Calibri" w:hAnsi="Calibri" w:cs="Times New Roman"/>
                <w:color w:val="000000"/>
                <w:sz w:val="22"/>
                <w:szCs w:val="22"/>
                <w:highlight w:val="yellow"/>
              </w:rPr>
              <w:t>0.21 (0.03) b</w:t>
            </w:r>
          </w:p>
        </w:tc>
        <w:tc>
          <w:tcPr>
            <w:tcW w:w="1350"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0.93 (0.04) a</w:t>
            </w:r>
          </w:p>
        </w:tc>
        <w:tc>
          <w:tcPr>
            <w:tcW w:w="1728" w:type="dxa"/>
            <w:tcBorders>
              <w:top w:val="dotted" w:sz="4" w:space="0" w:color="auto"/>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76.21 (1.02)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34 N</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0.39 (0.03) b</w:t>
            </w:r>
          </w:p>
        </w:tc>
        <w:tc>
          <w:tcPr>
            <w:tcW w:w="135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 (0.01)a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1.02 (0.01)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0.98 (0.01)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0.95 (0.01)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highlight w:val="yellow"/>
              </w:rPr>
            </w:pPr>
            <w:r w:rsidRPr="002542CF">
              <w:rPr>
                <w:rFonts w:ascii="Calibri" w:eastAsia="Calibri" w:hAnsi="Calibri" w:cs="Times New Roman"/>
                <w:color w:val="000000"/>
                <w:sz w:val="22"/>
                <w:szCs w:val="22"/>
                <w:highlight w:val="yellow"/>
              </w:rPr>
              <w:t>0.27 (0.03) a</w:t>
            </w:r>
          </w:p>
        </w:tc>
        <w:tc>
          <w:tcPr>
            <w:tcW w:w="135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0.84 (0.04) a</w:t>
            </w:r>
          </w:p>
        </w:tc>
        <w:tc>
          <w:tcPr>
            <w:tcW w:w="172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79.71 (1.05) a</w:t>
            </w:r>
          </w:p>
        </w:tc>
      </w:tr>
      <w:tr w:rsidR="002542CF" w:rsidRPr="002542CF" w:rsidTr="002542CF">
        <w:tc>
          <w:tcPr>
            <w:tcW w:w="1548" w:type="dxa"/>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67 N</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0.36 (0.03) a</w:t>
            </w:r>
          </w:p>
        </w:tc>
        <w:tc>
          <w:tcPr>
            <w:tcW w:w="135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(0.01)a</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0.99 (0.01) b</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 xml:space="preserve">0.96 (0.01) b </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 (0.01) a</w:t>
            </w:r>
          </w:p>
        </w:tc>
        <w:tc>
          <w:tcPr>
            <w:tcW w:w="144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0.21 (0.03) b</w:t>
            </w:r>
          </w:p>
        </w:tc>
        <w:tc>
          <w:tcPr>
            <w:tcW w:w="1350"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0.90 (0.04) a</w:t>
            </w:r>
          </w:p>
        </w:tc>
        <w:tc>
          <w:tcPr>
            <w:tcW w:w="1728" w:type="dxa"/>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78.98 (1.03) a</w:t>
            </w:r>
          </w:p>
        </w:tc>
      </w:tr>
      <w:tr w:rsidR="002542CF" w:rsidRPr="002542CF" w:rsidTr="002542CF">
        <w:tc>
          <w:tcPr>
            <w:tcW w:w="154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b/>
                <w:bCs/>
                <w:color w:val="000000"/>
                <w:sz w:val="22"/>
                <w:szCs w:val="22"/>
              </w:rPr>
            </w:pPr>
            <w:r w:rsidRPr="002542CF">
              <w:rPr>
                <w:rFonts w:ascii="Calibri" w:eastAsia="Calibri" w:hAnsi="Calibri" w:cs="Times New Roman"/>
                <w:b/>
                <w:bCs/>
                <w:color w:val="000000"/>
                <w:sz w:val="22"/>
                <w:szCs w:val="22"/>
              </w:rPr>
              <w:t>101 N</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0.49 (0.03) a</w:t>
            </w:r>
          </w:p>
        </w:tc>
        <w:tc>
          <w:tcPr>
            <w:tcW w:w="135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(0.01)a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1.00 (0.01) b</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0.92 (0.01) c</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0.97 (0.01) a</w:t>
            </w:r>
          </w:p>
        </w:tc>
        <w:tc>
          <w:tcPr>
            <w:tcW w:w="144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0.19 (0.03) b</w:t>
            </w:r>
          </w:p>
        </w:tc>
        <w:tc>
          <w:tcPr>
            <w:tcW w:w="1350"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0.96 (0.04) a</w:t>
            </w:r>
          </w:p>
        </w:tc>
        <w:tc>
          <w:tcPr>
            <w:tcW w:w="1728" w:type="dxa"/>
            <w:tcBorders>
              <w:left w:val="nil"/>
              <w:right w:val="nil"/>
            </w:tcBorders>
            <w:shd w:val="clear" w:color="auto" w:fill="FFFFFF"/>
          </w:tcPr>
          <w:p w:rsidR="002600E7" w:rsidRPr="002542CF" w:rsidRDefault="002600E7" w:rsidP="002542CF">
            <w:pPr>
              <w:spacing w:line="240" w:lineRule="auto"/>
              <w:rPr>
                <w:rFonts w:ascii="Calibri" w:eastAsia="Calibri" w:hAnsi="Calibri" w:cs="Times New Roman"/>
                <w:color w:val="000000"/>
                <w:sz w:val="22"/>
                <w:szCs w:val="22"/>
              </w:rPr>
            </w:pPr>
            <w:r w:rsidRPr="002542CF">
              <w:rPr>
                <w:rFonts w:ascii="Calibri" w:eastAsia="Calibri" w:hAnsi="Calibri" w:cs="Times New Roman"/>
                <w:color w:val="000000"/>
                <w:sz w:val="22"/>
                <w:szCs w:val="22"/>
              </w:rPr>
              <w:t>80.24 (1.05) a</w:t>
            </w:r>
          </w:p>
        </w:tc>
      </w:tr>
    </w:tbl>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sz w:val="22"/>
          <w:szCs w:val="22"/>
        </w:rPr>
        <w:t>Tillage and cover crop means followed by the same lower case letter within each nitrogen rate (0N, 34N, 67N and 101N Kg/ha) (table 2a) and N-rate means (table 2b) followed by the same lower case letter within each column are not significantly different (LSD protected, P≤ 0.05). The numbers are the means of four samples (n=4) and the numbers within the brackets are the standard errors of the mean. The numbers are the scores for quality indicators. TOC, total organic carbon; PTOC, phosphorous based on TOC levels; K, potassium; BD, soil bulk density; BG, β-glucosidase; MBC, microbial biomass C; SQI, soil quality index (it is an integration of individual quality scores)</w:t>
      </w:r>
    </w:p>
    <w:p w:rsidR="002600E7" w:rsidRPr="00700712" w:rsidRDefault="002600E7" w:rsidP="00700712">
      <w:pPr>
        <w:pStyle w:val="Caption"/>
        <w:rPr>
          <w:rFonts w:ascii="Calibri" w:eastAsia="Calibri" w:hAnsi="Calibri" w:cs="Times New Roman"/>
          <w:sz w:val="22"/>
          <w:szCs w:val="22"/>
        </w:rPr>
      </w:pPr>
      <w:r w:rsidRPr="002600E7">
        <w:rPr>
          <w:rFonts w:ascii="Calibri" w:eastAsia="Calibri" w:hAnsi="Calibri" w:cs="Times New Roman"/>
          <w:sz w:val="22"/>
          <w:szCs w:val="22"/>
        </w:rPr>
        <w:br w:type="page"/>
      </w:r>
      <w:r w:rsidRPr="00AE0605">
        <w:lastRenderedPageBreak/>
        <w:t xml:space="preserve">Table 3: Soil biological properties </w:t>
      </w:r>
    </w:p>
    <w:tbl>
      <w:tblPr>
        <w:tblW w:w="5000" w:type="pct"/>
        <w:tblLook w:val="04A0" w:firstRow="1" w:lastRow="0" w:firstColumn="1" w:lastColumn="0" w:noHBand="0" w:noVBand="1"/>
      </w:tblPr>
      <w:tblGrid>
        <w:gridCol w:w="1158"/>
        <w:gridCol w:w="1447"/>
        <w:gridCol w:w="1346"/>
        <w:gridCol w:w="1143"/>
        <w:gridCol w:w="2347"/>
        <w:gridCol w:w="1449"/>
        <w:gridCol w:w="2086"/>
        <w:gridCol w:w="2200"/>
      </w:tblGrid>
      <w:tr w:rsidR="002600E7" w:rsidRPr="002600E7" w:rsidTr="002600E7">
        <w:trPr>
          <w:trHeight w:val="900"/>
        </w:trPr>
        <w:tc>
          <w:tcPr>
            <w:tcW w:w="467" w:type="pct"/>
            <w:tcBorders>
              <w:top w:val="single" w:sz="4" w:space="0" w:color="auto"/>
              <w:left w:val="nil"/>
              <w:bottom w:val="nil"/>
              <w:right w:val="nil"/>
            </w:tcBorders>
            <w:shd w:val="clear" w:color="auto" w:fill="auto"/>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 </w:t>
            </w:r>
          </w:p>
        </w:tc>
        <w:tc>
          <w:tcPr>
            <w:tcW w:w="456" w:type="pct"/>
            <w:tcBorders>
              <w:top w:val="single" w:sz="4" w:space="0" w:color="auto"/>
              <w:left w:val="nil"/>
              <w:right w:val="nil"/>
            </w:tcBorders>
            <w:shd w:val="clear" w:color="auto" w:fill="auto"/>
            <w:noWrap/>
            <w:vAlign w:val="center"/>
            <w:hideMark/>
          </w:tcPr>
          <w:p w:rsidR="002600E7" w:rsidRPr="002600E7" w:rsidRDefault="002600E7" w:rsidP="002600E7">
            <w:pPr>
              <w:spacing w:line="240" w:lineRule="auto"/>
              <w:rPr>
                <w:rFonts w:ascii="Arial" w:hAnsi="Arial"/>
                <w:sz w:val="20"/>
                <w:szCs w:val="20"/>
              </w:rPr>
            </w:pPr>
            <w:r w:rsidRPr="002600E7">
              <w:rPr>
                <w:rFonts w:ascii="Arial" w:hAnsi="Arial"/>
                <w:sz w:val="20"/>
                <w:szCs w:val="20"/>
              </w:rPr>
              <w:t>MBC</w:t>
            </w:r>
          </w:p>
        </w:tc>
        <w:tc>
          <w:tcPr>
            <w:tcW w:w="470" w:type="pct"/>
            <w:tcBorders>
              <w:top w:val="single" w:sz="4" w:space="0" w:color="auto"/>
              <w:left w:val="nil"/>
              <w:right w:val="nil"/>
            </w:tcBorders>
            <w:shd w:val="clear" w:color="auto" w:fill="auto"/>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MBN</w:t>
            </w:r>
          </w:p>
        </w:tc>
        <w:tc>
          <w:tcPr>
            <w:tcW w:w="431" w:type="pct"/>
            <w:tcBorders>
              <w:top w:val="single" w:sz="4" w:space="0" w:color="auto"/>
              <w:left w:val="nil"/>
              <w:right w:val="nil"/>
            </w:tcBorders>
            <w:shd w:val="clear" w:color="auto" w:fill="auto"/>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MBC:N</w:t>
            </w:r>
          </w:p>
        </w:tc>
        <w:tc>
          <w:tcPr>
            <w:tcW w:w="918" w:type="pct"/>
            <w:tcBorders>
              <w:top w:val="single" w:sz="4" w:space="0" w:color="auto"/>
              <w:left w:val="nil"/>
              <w:right w:val="nil"/>
            </w:tcBorders>
            <w:shd w:val="clear" w:color="auto" w:fill="auto"/>
            <w:noWrap/>
            <w:vAlign w:val="center"/>
            <w:hideMark/>
          </w:tcPr>
          <w:p w:rsidR="002600E7" w:rsidRPr="002600E7" w:rsidRDefault="002600E7" w:rsidP="002600E7">
            <w:pPr>
              <w:spacing w:line="240" w:lineRule="auto"/>
              <w:rPr>
                <w:rFonts w:ascii="Arial" w:hAnsi="Arial"/>
                <w:sz w:val="20"/>
                <w:szCs w:val="20"/>
              </w:rPr>
            </w:pPr>
            <w:r w:rsidRPr="002600E7">
              <w:rPr>
                <w:rFonts w:ascii="Arial" w:hAnsi="Arial"/>
                <w:sz w:val="20"/>
                <w:szCs w:val="20"/>
              </w:rPr>
              <w:t>Respiration</w:t>
            </w:r>
          </w:p>
        </w:tc>
        <w:tc>
          <w:tcPr>
            <w:tcW w:w="577" w:type="pct"/>
            <w:tcBorders>
              <w:top w:val="single" w:sz="4" w:space="0" w:color="auto"/>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eastAsia="Calibri" w:hAnsi="Calibri" w:cs="Times New Roman"/>
                <w:sz w:val="20"/>
                <w:szCs w:val="20"/>
              </w:rPr>
              <w:t>β</w:t>
            </w:r>
            <w:r w:rsidRPr="002600E7">
              <w:rPr>
                <w:rFonts w:ascii="Calibri" w:hAnsi="Calibri" w:cs="Times New Roman"/>
                <w:color w:val="000000"/>
                <w:sz w:val="20"/>
                <w:szCs w:val="20"/>
              </w:rPr>
              <w:t xml:space="preserve"> -Glucosidase</w:t>
            </w:r>
          </w:p>
        </w:tc>
        <w:tc>
          <w:tcPr>
            <w:tcW w:w="819" w:type="pct"/>
            <w:tcBorders>
              <w:top w:val="single" w:sz="4" w:space="0" w:color="auto"/>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eastAsia="Calibri" w:hAnsi="Calibri" w:cs="Times New Roman"/>
                <w:sz w:val="20"/>
                <w:szCs w:val="20"/>
              </w:rPr>
              <w:t>β</w:t>
            </w:r>
            <w:r w:rsidRPr="002600E7">
              <w:rPr>
                <w:rFonts w:ascii="Calibri" w:hAnsi="Calibri" w:cs="Times New Roman"/>
                <w:color w:val="000000"/>
                <w:sz w:val="20"/>
                <w:szCs w:val="20"/>
              </w:rPr>
              <w:t xml:space="preserve"> -Glucosaminedase </w:t>
            </w:r>
          </w:p>
        </w:tc>
        <w:tc>
          <w:tcPr>
            <w:tcW w:w="862" w:type="pct"/>
            <w:tcBorders>
              <w:top w:val="single" w:sz="4" w:space="0" w:color="auto"/>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Phosphodiesterase</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p>
        </w:tc>
        <w:tc>
          <w:tcPr>
            <w:tcW w:w="926" w:type="pct"/>
            <w:gridSpan w:val="2"/>
            <w:tcBorders>
              <w:top w:val="nil"/>
              <w:left w:val="nil"/>
              <w:bottom w:val="single" w:sz="4" w:space="0" w:color="auto"/>
              <w:right w:val="nil"/>
            </w:tcBorders>
            <w:shd w:val="clear" w:color="auto" w:fill="auto"/>
            <w:noWrap/>
            <w:vAlign w:val="bottom"/>
            <w:hideMark/>
          </w:tcPr>
          <w:p w:rsidR="002600E7" w:rsidRPr="002600E7" w:rsidRDefault="002600E7" w:rsidP="002600E7">
            <w:pPr>
              <w:spacing w:line="240" w:lineRule="auto"/>
              <w:jc w:val="center"/>
              <w:rPr>
                <w:rFonts w:ascii="Calibri" w:hAnsi="Calibri" w:cs="Times New Roman"/>
                <w:b/>
                <w:bCs/>
                <w:color w:val="000000"/>
                <w:sz w:val="20"/>
                <w:szCs w:val="20"/>
              </w:rPr>
            </w:pPr>
            <w:r w:rsidRPr="002600E7">
              <w:rPr>
                <w:rFonts w:ascii="Calibri" w:hAnsi="Calibri" w:cs="Times New Roman"/>
                <w:b/>
                <w:bCs/>
                <w:color w:val="000000"/>
                <w:sz w:val="20"/>
                <w:szCs w:val="20"/>
              </w:rPr>
              <w:t>(mg/kg)</w:t>
            </w:r>
          </w:p>
        </w:tc>
        <w:tc>
          <w:tcPr>
            <w:tcW w:w="431"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b/>
                <w:bCs/>
                <w:color w:val="000000"/>
                <w:sz w:val="20"/>
                <w:szCs w:val="20"/>
              </w:rPr>
            </w:pPr>
          </w:p>
        </w:tc>
        <w:tc>
          <w:tcPr>
            <w:tcW w:w="918" w:type="pct"/>
            <w:tcBorders>
              <w:top w:val="nil"/>
              <w:left w:val="nil"/>
              <w:bottom w:val="single" w:sz="4" w:space="0" w:color="auto"/>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(umol g-1 dry soil)</w:t>
            </w:r>
          </w:p>
        </w:tc>
        <w:tc>
          <w:tcPr>
            <w:tcW w:w="2258" w:type="pct"/>
            <w:gridSpan w:val="3"/>
            <w:tcBorders>
              <w:top w:val="nil"/>
              <w:left w:val="nil"/>
              <w:bottom w:val="single" w:sz="4" w:space="0" w:color="auto"/>
              <w:right w:val="nil"/>
            </w:tcBorders>
            <w:shd w:val="clear" w:color="auto" w:fill="auto"/>
            <w:noWrap/>
            <w:vAlign w:val="bottom"/>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(mg PNP g-1 soil h-1)</w:t>
            </w:r>
          </w:p>
        </w:tc>
      </w:tr>
      <w:tr w:rsidR="002600E7" w:rsidRPr="002600E7" w:rsidTr="002600E7">
        <w:trPr>
          <w:trHeight w:val="300"/>
        </w:trPr>
        <w:tc>
          <w:tcPr>
            <w:tcW w:w="1824" w:type="pct"/>
            <w:gridSpan w:val="4"/>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b/>
                <w:bCs/>
                <w:color w:val="000000"/>
                <w:sz w:val="20"/>
                <w:szCs w:val="20"/>
              </w:rPr>
            </w:pPr>
            <w:r w:rsidRPr="002600E7">
              <w:rPr>
                <w:rFonts w:ascii="Calibri" w:hAnsi="Calibri" w:cs="Times New Roman"/>
                <w:b/>
                <w:bCs/>
                <w:color w:val="000000"/>
                <w:sz w:val="20"/>
                <w:szCs w:val="20"/>
              </w:rPr>
              <w:t>Cover</w:t>
            </w:r>
          </w:p>
        </w:tc>
        <w:tc>
          <w:tcPr>
            <w:tcW w:w="918"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577"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19"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62"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Vetch</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400.79(50.14)a</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4.50(0.079)a</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1.33(0.10)a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6.24(0.46)a</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79.98(3.31)a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37.31(2.70)a</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46.80(4.72)a</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Wheat</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351.74(50.14)a</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4.30(0.079)b</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1.38(0.10)a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4.42(0.46)b</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70.95(3.43)a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31.44(2.72)b</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43.27(4.78)a</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NoCover</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336.42(50.41)a</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4.27(0.08)b</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1.34(0.11)a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4.45(0.47)b</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72.11(3.37)a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32.26(2.70)b</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45.53(4.72)a</w:t>
            </w:r>
          </w:p>
        </w:tc>
      </w:tr>
      <w:tr w:rsidR="002600E7" w:rsidRPr="002600E7" w:rsidTr="002600E7">
        <w:trPr>
          <w:trHeight w:val="300"/>
        </w:trPr>
        <w:tc>
          <w:tcPr>
            <w:tcW w:w="1824" w:type="pct"/>
            <w:gridSpan w:val="4"/>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b/>
                <w:bCs/>
                <w:color w:val="000000"/>
                <w:sz w:val="20"/>
                <w:szCs w:val="20"/>
              </w:rPr>
            </w:pPr>
            <w:r w:rsidRPr="002600E7">
              <w:rPr>
                <w:rFonts w:ascii="Calibri" w:hAnsi="Calibri" w:cs="Times New Roman"/>
                <w:b/>
                <w:bCs/>
                <w:color w:val="000000"/>
                <w:sz w:val="20"/>
                <w:szCs w:val="20"/>
              </w:rPr>
              <w:t>Tillage</w:t>
            </w:r>
          </w:p>
        </w:tc>
        <w:tc>
          <w:tcPr>
            <w:tcW w:w="918"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577"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19"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62"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NoTill</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357.51(48.43)a</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4.31(0.07)a</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1.34)0.10)a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5.24(0.42)a</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84.78(2.92)a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38.35(2.58)a</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49.55(4.55)a</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Till</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368.46(48.31)a</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4.40(0.07)a</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1.37(0.10)a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4.83(0.41)a</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63.92(2.89)b</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28.99(2.57)b</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40.84(4.53)b</w:t>
            </w:r>
          </w:p>
        </w:tc>
      </w:tr>
      <w:tr w:rsidR="002600E7" w:rsidRPr="002600E7" w:rsidTr="002600E7">
        <w:trPr>
          <w:trHeight w:val="300"/>
        </w:trPr>
        <w:tc>
          <w:tcPr>
            <w:tcW w:w="1824" w:type="pct"/>
            <w:gridSpan w:val="4"/>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b/>
                <w:bCs/>
                <w:color w:val="000000"/>
                <w:sz w:val="20"/>
                <w:szCs w:val="20"/>
              </w:rPr>
            </w:pPr>
            <w:r w:rsidRPr="002600E7">
              <w:rPr>
                <w:rFonts w:ascii="Calibri" w:hAnsi="Calibri" w:cs="Times New Roman"/>
                <w:b/>
                <w:bCs/>
                <w:color w:val="000000"/>
                <w:sz w:val="20"/>
                <w:szCs w:val="20"/>
              </w:rPr>
              <w:t>N-rate</w:t>
            </w:r>
          </w:p>
        </w:tc>
        <w:tc>
          <w:tcPr>
            <w:tcW w:w="918"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577"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19"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62" w:type="pct"/>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0N</w:t>
            </w:r>
          </w:p>
        </w:tc>
        <w:tc>
          <w:tcPr>
            <w:tcW w:w="456" w:type="pct"/>
            <w:tcBorders>
              <w:top w:val="nil"/>
              <w:left w:val="nil"/>
              <w:bottom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340.64(92.80)a</w:t>
            </w:r>
          </w:p>
        </w:tc>
        <w:tc>
          <w:tcPr>
            <w:tcW w:w="470" w:type="pct"/>
            <w:tcBorders>
              <w:top w:val="nil"/>
              <w:left w:val="nil"/>
              <w:bottom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 xml:space="preserve">81.89(9.75)a </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1.35(0.17)a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4.42(0.74)a</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74.16(4.18)a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29.52(3.27)a</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48.71(5.86)a</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34N</w:t>
            </w:r>
          </w:p>
        </w:tc>
        <w:tc>
          <w:tcPr>
            <w:tcW w:w="456" w:type="pct"/>
            <w:tcBorders>
              <w:top w:val="nil"/>
              <w:left w:val="nil"/>
              <w:bottom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295.44(93.05)a</w:t>
            </w:r>
          </w:p>
        </w:tc>
        <w:tc>
          <w:tcPr>
            <w:tcW w:w="470" w:type="pct"/>
            <w:tcBorders>
              <w:top w:val="nil"/>
              <w:left w:val="nil"/>
              <w:bottom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68.33(9.88)a</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1.37(0.17)a</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3.79(0.74)a</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79.06(4.33)a</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30.88(3.29)a</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47.97(5.90)a</w:t>
            </w:r>
          </w:p>
        </w:tc>
      </w:tr>
      <w:tr w:rsidR="002600E7" w:rsidRPr="002600E7" w:rsidTr="002600E7">
        <w:trPr>
          <w:trHeight w:val="300"/>
        </w:trPr>
        <w:tc>
          <w:tcPr>
            <w:tcW w:w="467"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67N</w:t>
            </w:r>
          </w:p>
        </w:tc>
        <w:tc>
          <w:tcPr>
            <w:tcW w:w="456" w:type="pct"/>
            <w:tcBorders>
              <w:top w:val="nil"/>
              <w:left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397.09(92.80)a</w:t>
            </w:r>
          </w:p>
        </w:tc>
        <w:tc>
          <w:tcPr>
            <w:tcW w:w="470" w:type="pct"/>
            <w:tcBorders>
              <w:top w:val="nil"/>
              <w:left w:val="nil"/>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84.82(99.75)a</w:t>
            </w:r>
          </w:p>
        </w:tc>
        <w:tc>
          <w:tcPr>
            <w:tcW w:w="431"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1.39(0.17)a</w:t>
            </w:r>
          </w:p>
        </w:tc>
        <w:tc>
          <w:tcPr>
            <w:tcW w:w="918" w:type="pct"/>
            <w:tcBorders>
              <w:top w:val="nil"/>
              <w:left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6.30(0.73)a</w:t>
            </w:r>
          </w:p>
        </w:tc>
        <w:tc>
          <w:tcPr>
            <w:tcW w:w="577"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74.44(4.17)a</w:t>
            </w:r>
          </w:p>
        </w:tc>
        <w:tc>
          <w:tcPr>
            <w:tcW w:w="819"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36.37(3.27)a</w:t>
            </w:r>
          </w:p>
        </w:tc>
        <w:tc>
          <w:tcPr>
            <w:tcW w:w="862"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43.95(5.86)a</w:t>
            </w:r>
          </w:p>
        </w:tc>
      </w:tr>
      <w:tr w:rsidR="002600E7" w:rsidRPr="002600E7" w:rsidTr="002600E7">
        <w:trPr>
          <w:trHeight w:val="300"/>
        </w:trPr>
        <w:tc>
          <w:tcPr>
            <w:tcW w:w="467"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101N</w:t>
            </w:r>
          </w:p>
        </w:tc>
        <w:tc>
          <w:tcPr>
            <w:tcW w:w="456" w:type="pct"/>
            <w:tcBorders>
              <w:top w:val="nil"/>
              <w:left w:val="nil"/>
              <w:bottom w:val="single" w:sz="4" w:space="0" w:color="auto"/>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418.77(92.80)a</w:t>
            </w:r>
          </w:p>
        </w:tc>
        <w:tc>
          <w:tcPr>
            <w:tcW w:w="470" w:type="pct"/>
            <w:tcBorders>
              <w:top w:val="nil"/>
              <w:left w:val="nil"/>
              <w:bottom w:val="single" w:sz="4" w:space="0" w:color="auto"/>
              <w:right w:val="nil"/>
            </w:tcBorders>
            <w:shd w:val="clear" w:color="auto" w:fill="auto"/>
            <w:noWrap/>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106.52(9.75)a</w:t>
            </w:r>
          </w:p>
        </w:tc>
        <w:tc>
          <w:tcPr>
            <w:tcW w:w="431"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1.31(0.17)a</w:t>
            </w:r>
          </w:p>
        </w:tc>
        <w:tc>
          <w:tcPr>
            <w:tcW w:w="918"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5.64(0.73)a</w:t>
            </w:r>
          </w:p>
        </w:tc>
        <w:tc>
          <w:tcPr>
            <w:tcW w:w="577"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69.75(4.26)a</w:t>
            </w:r>
          </w:p>
        </w:tc>
        <w:tc>
          <w:tcPr>
            <w:tcW w:w="819"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37.92(3.29)a</w:t>
            </w:r>
          </w:p>
        </w:tc>
        <w:tc>
          <w:tcPr>
            <w:tcW w:w="862"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40.16(5.90)a</w:t>
            </w:r>
          </w:p>
        </w:tc>
      </w:tr>
      <w:tr w:rsidR="002600E7" w:rsidRPr="002600E7" w:rsidTr="002600E7">
        <w:trPr>
          <w:trHeight w:val="300"/>
        </w:trPr>
        <w:tc>
          <w:tcPr>
            <w:tcW w:w="1824" w:type="pct"/>
            <w:gridSpan w:val="4"/>
            <w:tcBorders>
              <w:top w:val="single" w:sz="4" w:space="0" w:color="auto"/>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b/>
                <w:bCs/>
                <w:color w:val="000000"/>
                <w:sz w:val="20"/>
                <w:szCs w:val="20"/>
              </w:rPr>
            </w:pPr>
            <w:r w:rsidRPr="002600E7">
              <w:rPr>
                <w:rFonts w:ascii="Calibri" w:hAnsi="Calibri" w:cs="Times New Roman"/>
                <w:b/>
                <w:bCs/>
                <w:color w:val="000000"/>
                <w:sz w:val="20"/>
                <w:szCs w:val="20"/>
              </w:rPr>
              <w:t>ANOVA TABLE (Significance level (p=0.05))</w:t>
            </w:r>
          </w:p>
        </w:tc>
        <w:tc>
          <w:tcPr>
            <w:tcW w:w="918" w:type="pct"/>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577" w:type="pct"/>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19" w:type="pct"/>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c>
          <w:tcPr>
            <w:tcW w:w="862" w:type="pct"/>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0"/>
                <w:szCs w:val="20"/>
              </w:rPr>
            </w:pP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N-rate</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0.8446</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0.2058</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0.9896</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0.1166</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0.4923</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0.1026</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0.5520</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Cover</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0.2001</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highlight w:val="lightGray"/>
              </w:rPr>
            </w:pPr>
            <w:r w:rsidRPr="002600E7">
              <w:rPr>
                <w:rFonts w:ascii="Calibri" w:hAnsi="Calibri" w:cs="Times New Roman"/>
                <w:color w:val="000000"/>
                <w:sz w:val="20"/>
                <w:szCs w:val="20"/>
                <w:highlight w:val="lightGray"/>
              </w:rPr>
              <w:t>0.0290</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0.9073</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highlight w:val="lightGray"/>
              </w:rPr>
              <w:t>0.0002</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0.0695</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highlight w:val="lightGray"/>
              </w:rPr>
            </w:pPr>
            <w:r w:rsidRPr="002600E7">
              <w:rPr>
                <w:rFonts w:ascii="Calibri" w:hAnsi="Calibri" w:cs="Times New Roman"/>
                <w:color w:val="000000"/>
                <w:sz w:val="20"/>
                <w:szCs w:val="20"/>
                <w:highlight w:val="lightGray"/>
              </w:rPr>
              <w:t>0.0070</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0.5696</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 x C</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0.8946</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0.1857</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0.2594</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0.3739</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0.1966</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0.9015</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0.7631</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Tillage</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0.2947</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0.2642</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0.7751</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0.3017</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highlight w:val="lightGray"/>
              </w:rPr>
            </w:pPr>
            <w:r w:rsidRPr="002600E7">
              <w:rPr>
                <w:rFonts w:ascii="Calibri" w:hAnsi="Calibri" w:cs="Times New Roman"/>
                <w:color w:val="000000"/>
                <w:sz w:val="20"/>
                <w:szCs w:val="20"/>
                <w:highlight w:val="lightGray"/>
              </w:rPr>
              <w:t>&lt;.0001</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highlight w:val="lightGray"/>
              </w:rPr>
            </w:pPr>
            <w:r w:rsidRPr="002600E7">
              <w:rPr>
                <w:rFonts w:ascii="Calibri" w:hAnsi="Calibri" w:cs="Times New Roman"/>
                <w:color w:val="000000"/>
                <w:sz w:val="20"/>
                <w:szCs w:val="20"/>
                <w:highlight w:val="lightGray"/>
              </w:rPr>
              <w:t>&lt;.0001</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highlight w:val="lightGray"/>
              </w:rPr>
            </w:pPr>
            <w:r w:rsidRPr="002600E7">
              <w:rPr>
                <w:rFonts w:ascii="Calibri" w:hAnsi="Calibri" w:cs="Times New Roman"/>
                <w:color w:val="000000"/>
                <w:sz w:val="20"/>
                <w:szCs w:val="20"/>
                <w:highlight w:val="lightGray"/>
              </w:rPr>
              <w:t>0.0021</w:t>
            </w:r>
          </w:p>
        </w:tc>
      </w:tr>
      <w:tr w:rsidR="002600E7" w:rsidRPr="002600E7" w:rsidTr="002600E7">
        <w:trPr>
          <w:trHeight w:val="300"/>
        </w:trPr>
        <w:tc>
          <w:tcPr>
            <w:tcW w:w="46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 x T</w:t>
            </w:r>
          </w:p>
        </w:tc>
        <w:tc>
          <w:tcPr>
            <w:tcW w:w="456"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0.5759</w:t>
            </w:r>
          </w:p>
        </w:tc>
        <w:tc>
          <w:tcPr>
            <w:tcW w:w="470"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0.3163</w:t>
            </w:r>
          </w:p>
        </w:tc>
        <w:tc>
          <w:tcPr>
            <w:tcW w:w="431"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0.7841</w:t>
            </w:r>
          </w:p>
        </w:tc>
        <w:tc>
          <w:tcPr>
            <w:tcW w:w="918" w:type="pct"/>
            <w:tcBorders>
              <w:top w:val="nil"/>
              <w:left w:val="nil"/>
              <w:bottom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0.6097</w:t>
            </w:r>
          </w:p>
        </w:tc>
        <w:tc>
          <w:tcPr>
            <w:tcW w:w="577"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0.2953</w:t>
            </w:r>
          </w:p>
        </w:tc>
        <w:tc>
          <w:tcPr>
            <w:tcW w:w="819"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0.5929</w:t>
            </w:r>
          </w:p>
        </w:tc>
        <w:tc>
          <w:tcPr>
            <w:tcW w:w="862" w:type="pct"/>
            <w:tcBorders>
              <w:top w:val="nil"/>
              <w:left w:val="nil"/>
              <w:bottom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0.9918</w:t>
            </w:r>
          </w:p>
        </w:tc>
      </w:tr>
      <w:tr w:rsidR="002600E7" w:rsidRPr="002600E7" w:rsidTr="002600E7">
        <w:trPr>
          <w:trHeight w:val="300"/>
        </w:trPr>
        <w:tc>
          <w:tcPr>
            <w:tcW w:w="467"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C x T</w:t>
            </w:r>
          </w:p>
        </w:tc>
        <w:tc>
          <w:tcPr>
            <w:tcW w:w="456"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0.5956</w:t>
            </w:r>
          </w:p>
        </w:tc>
        <w:tc>
          <w:tcPr>
            <w:tcW w:w="470"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0.6202</w:t>
            </w:r>
          </w:p>
        </w:tc>
        <w:tc>
          <w:tcPr>
            <w:tcW w:w="431"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0.9249</w:t>
            </w:r>
          </w:p>
        </w:tc>
        <w:tc>
          <w:tcPr>
            <w:tcW w:w="918" w:type="pct"/>
            <w:tcBorders>
              <w:top w:val="nil"/>
              <w:left w:val="nil"/>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highlight w:val="lightGray"/>
              </w:rPr>
              <w:t>0.0055</w:t>
            </w:r>
          </w:p>
        </w:tc>
        <w:tc>
          <w:tcPr>
            <w:tcW w:w="577"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0.1101</w:t>
            </w:r>
          </w:p>
        </w:tc>
        <w:tc>
          <w:tcPr>
            <w:tcW w:w="819"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0.1862</w:t>
            </w:r>
          </w:p>
        </w:tc>
        <w:tc>
          <w:tcPr>
            <w:tcW w:w="862" w:type="pct"/>
            <w:tcBorders>
              <w:top w:val="nil"/>
              <w:left w:val="nil"/>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0.1661</w:t>
            </w:r>
          </w:p>
        </w:tc>
      </w:tr>
      <w:tr w:rsidR="002600E7" w:rsidRPr="002600E7" w:rsidTr="002600E7">
        <w:trPr>
          <w:trHeight w:val="300"/>
        </w:trPr>
        <w:tc>
          <w:tcPr>
            <w:tcW w:w="467"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N x c x T</w:t>
            </w:r>
          </w:p>
        </w:tc>
        <w:tc>
          <w:tcPr>
            <w:tcW w:w="456"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0.6626</w:t>
            </w:r>
          </w:p>
        </w:tc>
        <w:tc>
          <w:tcPr>
            <w:tcW w:w="470"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0.3212</w:t>
            </w:r>
          </w:p>
        </w:tc>
        <w:tc>
          <w:tcPr>
            <w:tcW w:w="431"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0.6956</w:t>
            </w:r>
          </w:p>
        </w:tc>
        <w:tc>
          <w:tcPr>
            <w:tcW w:w="918"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jc w:val="center"/>
              <w:rPr>
                <w:rFonts w:ascii="Calibri" w:hAnsi="Calibri" w:cs="Times New Roman"/>
                <w:color w:val="000000"/>
                <w:sz w:val="20"/>
                <w:szCs w:val="20"/>
              </w:rPr>
            </w:pPr>
            <w:r w:rsidRPr="002600E7">
              <w:rPr>
                <w:rFonts w:ascii="Calibri" w:hAnsi="Calibri" w:cs="Times New Roman"/>
                <w:color w:val="000000"/>
                <w:sz w:val="20"/>
                <w:szCs w:val="20"/>
              </w:rPr>
              <w:t>0.3208</w:t>
            </w:r>
          </w:p>
        </w:tc>
        <w:tc>
          <w:tcPr>
            <w:tcW w:w="577"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0.2487</w:t>
            </w:r>
          </w:p>
        </w:tc>
        <w:tc>
          <w:tcPr>
            <w:tcW w:w="819"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0.5066</w:t>
            </w:r>
          </w:p>
        </w:tc>
        <w:tc>
          <w:tcPr>
            <w:tcW w:w="862" w:type="pct"/>
            <w:tcBorders>
              <w:top w:val="nil"/>
              <w:left w:val="nil"/>
              <w:bottom w:val="single" w:sz="4" w:space="0" w:color="auto"/>
              <w:right w:val="nil"/>
            </w:tcBorders>
            <w:shd w:val="clear" w:color="auto" w:fill="auto"/>
            <w:noWrap/>
            <w:vAlign w:val="center"/>
            <w:hideMark/>
          </w:tcPr>
          <w:p w:rsidR="002600E7" w:rsidRPr="002600E7" w:rsidRDefault="002600E7" w:rsidP="002600E7">
            <w:pPr>
              <w:spacing w:line="240" w:lineRule="auto"/>
              <w:rPr>
                <w:rFonts w:ascii="Calibri" w:hAnsi="Calibri" w:cs="Times New Roman"/>
                <w:color w:val="000000"/>
                <w:sz w:val="20"/>
                <w:szCs w:val="20"/>
              </w:rPr>
            </w:pPr>
            <w:r w:rsidRPr="002600E7">
              <w:rPr>
                <w:rFonts w:ascii="Calibri" w:hAnsi="Calibri" w:cs="Times New Roman"/>
                <w:color w:val="000000"/>
                <w:sz w:val="20"/>
                <w:szCs w:val="20"/>
              </w:rPr>
              <w:t>0.3085</w:t>
            </w:r>
          </w:p>
        </w:tc>
      </w:tr>
    </w:tbl>
    <w:p w:rsidR="002600E7" w:rsidRPr="002600E7" w:rsidRDefault="002600E7" w:rsidP="002600E7">
      <w:pPr>
        <w:spacing w:after="200" w:line="276" w:lineRule="auto"/>
        <w:rPr>
          <w:rFonts w:ascii="Calibri" w:eastAsia="Calibri" w:hAnsi="Calibri" w:cs="Times New Roman"/>
          <w:sz w:val="22"/>
          <w:szCs w:val="22"/>
          <w:lang w:val="en-GB"/>
        </w:rPr>
      </w:pPr>
    </w:p>
    <w:p w:rsidR="002600E7" w:rsidRPr="002600E7" w:rsidRDefault="002600E7" w:rsidP="002600E7">
      <w:pPr>
        <w:spacing w:after="200" w:line="276" w:lineRule="auto"/>
        <w:rPr>
          <w:rFonts w:ascii="Calibri" w:eastAsia="Calibri" w:hAnsi="Calibri" w:cs="Times New Roman"/>
          <w:sz w:val="22"/>
          <w:szCs w:val="22"/>
        </w:rPr>
      </w:pPr>
      <w:r w:rsidRPr="002600E7">
        <w:rPr>
          <w:rFonts w:ascii="Calibri" w:eastAsia="Calibri" w:hAnsi="Calibri" w:cs="Times New Roman"/>
          <w:sz w:val="22"/>
          <w:szCs w:val="22"/>
        </w:rPr>
        <w:br w:type="page"/>
      </w:r>
    </w:p>
    <w:p w:rsidR="002600E7" w:rsidRPr="00700712" w:rsidRDefault="002600E7" w:rsidP="00700712">
      <w:pPr>
        <w:pStyle w:val="Caption"/>
      </w:pPr>
      <w:bookmarkStart w:id="30" w:name="_Toc390954646"/>
      <w:r w:rsidRPr="00700712">
        <w:t xml:space="preserve">Table </w:t>
      </w:r>
      <w:r w:rsidR="00CF46E6">
        <w:t>1</w:t>
      </w:r>
      <w:r w:rsidR="00A85C1F">
        <w:noBreakHyphen/>
      </w:r>
      <w:fldSimple w:instr=" SEQ Table \* ARABIC \s 1 ">
        <w:r w:rsidR="00A85C1F">
          <w:rPr>
            <w:noProof/>
          </w:rPr>
          <w:t>3</w:t>
        </w:r>
      </w:fldSimple>
      <w:r w:rsidRPr="00700712">
        <w:t>: Relative abundance of FAME biomarkers microbial groups</w:t>
      </w:r>
      <w:bookmarkEnd w:id="30"/>
    </w:p>
    <w:tbl>
      <w:tblPr>
        <w:tblW w:w="5000" w:type="pct"/>
        <w:tblLook w:val="04A0" w:firstRow="1" w:lastRow="0" w:firstColumn="1" w:lastColumn="0" w:noHBand="0" w:noVBand="1"/>
      </w:tblPr>
      <w:tblGrid>
        <w:gridCol w:w="1230"/>
        <w:gridCol w:w="1341"/>
        <w:gridCol w:w="1336"/>
        <w:gridCol w:w="1236"/>
        <w:gridCol w:w="1331"/>
        <w:gridCol w:w="1236"/>
        <w:gridCol w:w="1236"/>
        <w:gridCol w:w="1344"/>
        <w:gridCol w:w="1236"/>
        <w:gridCol w:w="1650"/>
      </w:tblGrid>
      <w:tr w:rsidR="002600E7" w:rsidRPr="002600E7" w:rsidTr="002600E7">
        <w:trPr>
          <w:trHeight w:val="300"/>
        </w:trPr>
        <w:tc>
          <w:tcPr>
            <w:tcW w:w="467"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 </w:t>
            </w:r>
          </w:p>
        </w:tc>
        <w:tc>
          <w:tcPr>
            <w:tcW w:w="509"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G+ Bact</w:t>
            </w:r>
          </w:p>
        </w:tc>
        <w:tc>
          <w:tcPr>
            <w:tcW w:w="507"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G- Bact</w:t>
            </w:r>
          </w:p>
        </w:tc>
        <w:tc>
          <w:tcPr>
            <w:tcW w:w="469"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Actino</w:t>
            </w:r>
          </w:p>
        </w:tc>
        <w:tc>
          <w:tcPr>
            <w:tcW w:w="505"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Bacteria</w:t>
            </w:r>
          </w:p>
        </w:tc>
        <w:tc>
          <w:tcPr>
            <w:tcW w:w="469"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Fungi</w:t>
            </w:r>
          </w:p>
        </w:tc>
        <w:tc>
          <w:tcPr>
            <w:tcW w:w="469"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AMF</w:t>
            </w:r>
          </w:p>
        </w:tc>
        <w:tc>
          <w:tcPr>
            <w:tcW w:w="510" w:type="pct"/>
            <w:tcBorders>
              <w:top w:val="single" w:sz="4" w:space="0" w:color="auto"/>
              <w:bottom w:val="single" w:sz="4" w:space="0" w:color="auto"/>
            </w:tcBorders>
            <w:shd w:val="clear" w:color="000000" w:fill="92D050"/>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18:1w9c</w:t>
            </w:r>
          </w:p>
        </w:tc>
        <w:tc>
          <w:tcPr>
            <w:tcW w:w="469"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F:B</w:t>
            </w:r>
          </w:p>
        </w:tc>
        <w:tc>
          <w:tcPr>
            <w:tcW w:w="626" w:type="pct"/>
            <w:tcBorders>
              <w:top w:val="single" w:sz="4" w:space="0" w:color="auto"/>
              <w:bottom w:val="single" w:sz="4" w:space="0" w:color="auto"/>
            </w:tcBorders>
            <w:shd w:val="clear" w:color="auto" w:fill="auto"/>
            <w:noWrap/>
            <w:vAlign w:val="bottom"/>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 xml:space="preserve">Total Fame </w:t>
            </w:r>
          </w:p>
        </w:tc>
      </w:tr>
      <w:tr w:rsidR="002600E7" w:rsidRPr="002600E7" w:rsidTr="002600E7">
        <w:trPr>
          <w:trHeight w:val="300"/>
        </w:trPr>
        <w:tc>
          <w:tcPr>
            <w:tcW w:w="467" w:type="pct"/>
            <w:tcBorders>
              <w:top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22"/>
                <w:szCs w:val="22"/>
              </w:rPr>
            </w:pPr>
            <w:r w:rsidRPr="002600E7">
              <w:rPr>
                <w:rFonts w:ascii="Arial" w:hAnsi="Arial"/>
                <w:color w:val="000000"/>
                <w:sz w:val="22"/>
                <w:szCs w:val="22"/>
              </w:rPr>
              <w:t xml:space="preserve">TRT                  </w:t>
            </w:r>
          </w:p>
        </w:tc>
        <w:tc>
          <w:tcPr>
            <w:tcW w:w="3438" w:type="pct"/>
            <w:gridSpan w:val="7"/>
            <w:tcBorders>
              <w:top w:val="single" w:sz="4" w:space="0" w:color="auto"/>
            </w:tcBorders>
            <w:shd w:val="clear" w:color="auto" w:fill="auto"/>
            <w:noWrap/>
            <w:vAlign w:val="center"/>
            <w:hideMark/>
          </w:tcPr>
          <w:p w:rsidR="002600E7" w:rsidRPr="002600E7" w:rsidRDefault="002600E7" w:rsidP="002600E7">
            <w:pPr>
              <w:spacing w:line="240" w:lineRule="auto"/>
              <w:jc w:val="center"/>
              <w:rPr>
                <w:rFonts w:ascii="Arial" w:hAnsi="Arial"/>
                <w:b/>
                <w:bCs/>
                <w:sz w:val="20"/>
                <w:szCs w:val="20"/>
              </w:rPr>
            </w:pPr>
            <w:r w:rsidRPr="002600E7">
              <w:rPr>
                <w:rFonts w:ascii="Arial" w:hAnsi="Arial"/>
                <w:b/>
                <w:bCs/>
                <w:sz w:val="20"/>
                <w:szCs w:val="20"/>
              </w:rPr>
              <w:t>mol %</w:t>
            </w:r>
          </w:p>
        </w:tc>
        <w:tc>
          <w:tcPr>
            <w:tcW w:w="469" w:type="pct"/>
            <w:tcBorders>
              <w:top w:val="single" w:sz="4" w:space="0" w:color="auto"/>
            </w:tcBorders>
            <w:shd w:val="clear" w:color="auto" w:fill="auto"/>
            <w:noWrap/>
            <w:vAlign w:val="center"/>
            <w:hideMark/>
          </w:tcPr>
          <w:p w:rsidR="002600E7" w:rsidRPr="002600E7" w:rsidRDefault="002600E7" w:rsidP="002600E7">
            <w:pPr>
              <w:spacing w:line="240" w:lineRule="auto"/>
              <w:rPr>
                <w:rFonts w:ascii="Arial" w:hAnsi="Arial"/>
                <w:b/>
                <w:bCs/>
                <w:color w:val="000000"/>
                <w:sz w:val="22"/>
                <w:szCs w:val="22"/>
              </w:rPr>
            </w:pPr>
          </w:p>
        </w:tc>
        <w:tc>
          <w:tcPr>
            <w:tcW w:w="626" w:type="pct"/>
            <w:tcBorders>
              <w:top w:val="single" w:sz="4" w:space="0" w:color="auto"/>
            </w:tcBorders>
            <w:shd w:val="clear" w:color="auto" w:fill="auto"/>
            <w:noWrap/>
            <w:vAlign w:val="bottom"/>
            <w:hideMark/>
          </w:tcPr>
          <w:p w:rsidR="002600E7" w:rsidRPr="002600E7" w:rsidRDefault="002600E7" w:rsidP="002600E7">
            <w:pPr>
              <w:spacing w:line="240" w:lineRule="auto"/>
              <w:jc w:val="center"/>
              <w:rPr>
                <w:rFonts w:ascii="Arial" w:hAnsi="Arial"/>
                <w:color w:val="000000"/>
                <w:sz w:val="22"/>
                <w:szCs w:val="22"/>
              </w:rPr>
            </w:pPr>
            <w:r w:rsidRPr="002600E7">
              <w:rPr>
                <w:rFonts w:ascii="Arial" w:hAnsi="Arial"/>
                <w:color w:val="000000"/>
                <w:sz w:val="22"/>
                <w:szCs w:val="22"/>
              </w:rPr>
              <w:t>ng/mol</w:t>
            </w:r>
          </w:p>
        </w:tc>
      </w:tr>
      <w:tr w:rsidR="002600E7" w:rsidRPr="002600E7" w:rsidTr="002600E7">
        <w:trPr>
          <w:trHeight w:val="300"/>
        </w:trPr>
        <w:tc>
          <w:tcPr>
            <w:tcW w:w="5000" w:type="pct"/>
            <w:gridSpan w:val="10"/>
            <w:shd w:val="clear" w:color="auto" w:fill="auto"/>
            <w:noWrap/>
            <w:vAlign w:val="center"/>
            <w:hideMark/>
          </w:tcPr>
          <w:p w:rsidR="002600E7" w:rsidRPr="002600E7" w:rsidRDefault="002600E7" w:rsidP="002600E7">
            <w:pPr>
              <w:spacing w:line="240" w:lineRule="auto"/>
              <w:rPr>
                <w:rFonts w:ascii="Arial" w:hAnsi="Arial"/>
                <w:b/>
                <w:bCs/>
                <w:color w:val="000000"/>
                <w:sz w:val="20"/>
                <w:szCs w:val="20"/>
              </w:rPr>
            </w:pPr>
            <w:r w:rsidRPr="002600E7">
              <w:rPr>
                <w:rFonts w:ascii="Arial" w:hAnsi="Arial"/>
                <w:b/>
                <w:bCs/>
                <w:color w:val="000000"/>
                <w:sz w:val="20"/>
                <w:szCs w:val="20"/>
              </w:rPr>
              <w:t>Cover</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Vetch</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13.27(0.22)a</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9.60(0.16)b</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5.73(0.12)a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28.60(0.37)a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8.66(0.24)a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3.09(0.14)b</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13.15(0.34)a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0.30(0.01)a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240.01(9.22)a</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Wheat</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12.59(0.22)b</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10.25(0.16)a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5.55(0.12)a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28.41(0.37)a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8.60(0.24)a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3.91(0.14)a</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13.85(0.34)a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0.30(0.01)a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196.01(9.22)b</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NoCover</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12.47(0.23)b</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9.89(0.17)ab</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5.57(0.12)a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27.94(0.38)a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8.62(0.24)a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3.93(0.15)a</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14.28(0.35)a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0.31(0.01)a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203.83(9.38)b</w:t>
            </w:r>
          </w:p>
        </w:tc>
      </w:tr>
      <w:tr w:rsidR="002600E7" w:rsidRPr="002600E7" w:rsidTr="002600E7">
        <w:trPr>
          <w:trHeight w:val="300"/>
        </w:trPr>
        <w:tc>
          <w:tcPr>
            <w:tcW w:w="5000" w:type="pct"/>
            <w:gridSpan w:val="10"/>
            <w:shd w:val="clear" w:color="auto" w:fill="auto"/>
            <w:noWrap/>
            <w:vAlign w:val="center"/>
            <w:hideMark/>
          </w:tcPr>
          <w:p w:rsidR="002600E7" w:rsidRPr="002600E7" w:rsidRDefault="002600E7" w:rsidP="002600E7">
            <w:pPr>
              <w:spacing w:line="240" w:lineRule="auto"/>
              <w:rPr>
                <w:rFonts w:ascii="Arial" w:hAnsi="Arial"/>
                <w:b/>
                <w:bCs/>
                <w:color w:val="000000"/>
                <w:sz w:val="20"/>
                <w:szCs w:val="20"/>
              </w:rPr>
            </w:pPr>
            <w:r w:rsidRPr="002600E7">
              <w:rPr>
                <w:rFonts w:ascii="Arial" w:hAnsi="Arial"/>
                <w:b/>
                <w:bCs/>
                <w:color w:val="000000"/>
                <w:sz w:val="20"/>
                <w:szCs w:val="20"/>
              </w:rPr>
              <w:t>Tillage</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NoTill</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12.71(0.30)a</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9.87(0.15)a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5.78(0.10)a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28.70(0.31)a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8.07(0.20)b</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3.94(0.12)a</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13.01(0.27)b</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0.28(0.01)b</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211.79(7.96)a</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Till</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12.15(0.30)b</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9.95(0.15)a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5.46(0.10)b</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27.93(0.30)a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9.19(0.20)a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3.36(0.11)b</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14.50(0.27)a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0.33(0.01)a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214.77(7.87)a</w:t>
            </w:r>
          </w:p>
        </w:tc>
      </w:tr>
      <w:tr w:rsidR="002600E7" w:rsidRPr="002600E7" w:rsidTr="002600E7">
        <w:trPr>
          <w:trHeight w:val="300"/>
        </w:trPr>
        <w:tc>
          <w:tcPr>
            <w:tcW w:w="5000" w:type="pct"/>
            <w:gridSpan w:val="10"/>
            <w:shd w:val="clear" w:color="auto" w:fill="auto"/>
            <w:noWrap/>
            <w:vAlign w:val="center"/>
            <w:hideMark/>
          </w:tcPr>
          <w:p w:rsidR="002600E7" w:rsidRPr="002600E7" w:rsidRDefault="002600E7" w:rsidP="002600E7">
            <w:pPr>
              <w:spacing w:line="240" w:lineRule="auto"/>
              <w:rPr>
                <w:rFonts w:ascii="Arial" w:hAnsi="Arial"/>
                <w:b/>
                <w:bCs/>
                <w:color w:val="000000"/>
                <w:sz w:val="20"/>
                <w:szCs w:val="20"/>
              </w:rPr>
            </w:pPr>
            <w:r w:rsidRPr="002600E7">
              <w:rPr>
                <w:rFonts w:ascii="Arial" w:hAnsi="Arial"/>
                <w:b/>
                <w:bCs/>
                <w:color w:val="000000"/>
                <w:sz w:val="20"/>
                <w:szCs w:val="20"/>
              </w:rPr>
              <w:t>N-rate</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0N</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12.41(0.26)a</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9.81(0.22)a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5.60(0.15)a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27.85(0.41)a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8.62(0.28)a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4.92(0.16)a</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13.69(0.39)a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0.31(0.01)a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193.87(10.39)b</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34N</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12.68(0.27)a</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9.91(0.22)a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5.57(0.16)a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28.16(0.43)a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8.91(0.28)a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3.83(0.17)b</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14.20(0.40)a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0.32(0.01)a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205.60(10.65)ab</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67N</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13.14(0.26)a</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10.10(0.22)a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5.68(0.15)a</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28.93(0.42)a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8.11(0.27)a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3.32(0.17)c</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13.25(0.39)a</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0.28(0.01)a</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228.36(10.39)a</w:t>
            </w:r>
          </w:p>
        </w:tc>
      </w:tr>
      <w:tr w:rsidR="002600E7" w:rsidRPr="002600E7" w:rsidTr="002600E7">
        <w:trPr>
          <w:trHeight w:val="300"/>
        </w:trPr>
        <w:tc>
          <w:tcPr>
            <w:tcW w:w="467"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101N</w:t>
            </w:r>
          </w:p>
        </w:tc>
        <w:tc>
          <w:tcPr>
            <w:tcW w:w="50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12.88(0.26)a</w:t>
            </w:r>
          </w:p>
        </w:tc>
        <w:tc>
          <w:tcPr>
            <w:tcW w:w="507"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9.83(0.22)a</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5.62(0.15)a</w:t>
            </w:r>
          </w:p>
        </w:tc>
        <w:tc>
          <w:tcPr>
            <w:tcW w:w="505"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28.31(0.42)a</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8.87(0.27)a</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2.50(0.17)d</w:t>
            </w:r>
          </w:p>
        </w:tc>
        <w:tc>
          <w:tcPr>
            <w:tcW w:w="510"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13.90(0.39)a</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0.31(0.01)a</w:t>
            </w:r>
          </w:p>
        </w:tc>
        <w:tc>
          <w:tcPr>
            <w:tcW w:w="626"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225.30(10.39)a</w:t>
            </w:r>
          </w:p>
        </w:tc>
      </w:tr>
      <w:tr w:rsidR="002600E7" w:rsidRPr="002600E7" w:rsidTr="002600E7">
        <w:trPr>
          <w:trHeight w:val="300"/>
        </w:trPr>
        <w:tc>
          <w:tcPr>
            <w:tcW w:w="5000" w:type="pct"/>
            <w:gridSpan w:val="10"/>
            <w:tcBorders>
              <w:top w:val="single" w:sz="4" w:space="0" w:color="auto"/>
            </w:tcBorders>
            <w:shd w:val="clear" w:color="auto" w:fill="auto"/>
            <w:noWrap/>
            <w:vAlign w:val="center"/>
            <w:hideMark/>
          </w:tcPr>
          <w:p w:rsidR="002600E7" w:rsidRPr="002600E7" w:rsidRDefault="002600E7" w:rsidP="002600E7">
            <w:pPr>
              <w:spacing w:line="240" w:lineRule="auto"/>
              <w:rPr>
                <w:rFonts w:ascii="Arial" w:hAnsi="Arial"/>
                <w:b/>
                <w:bCs/>
                <w:color w:val="000000"/>
                <w:sz w:val="20"/>
                <w:szCs w:val="20"/>
              </w:rPr>
            </w:pPr>
            <w:r w:rsidRPr="002600E7">
              <w:rPr>
                <w:rFonts w:ascii="Arial" w:hAnsi="Arial"/>
                <w:b/>
                <w:bCs/>
                <w:color w:val="000000"/>
                <w:sz w:val="20"/>
                <w:szCs w:val="20"/>
              </w:rPr>
              <w:t xml:space="preserve">ANOVA TABLE </w:t>
            </w:r>
            <w:r w:rsidRPr="002600E7">
              <w:rPr>
                <w:rFonts w:ascii="Arial" w:eastAsia="Calibri" w:hAnsi="Arial"/>
                <w:b/>
                <w:sz w:val="18"/>
                <w:szCs w:val="18"/>
              </w:rPr>
              <w:t>(LSD protected, P≤ 0.05</w:t>
            </w:r>
            <w:r w:rsidRPr="002600E7">
              <w:rPr>
                <w:rFonts w:ascii="Arial" w:hAnsi="Arial"/>
                <w:b/>
                <w:bCs/>
                <w:color w:val="000000"/>
                <w:sz w:val="20"/>
                <w:szCs w:val="20"/>
              </w:rPr>
              <w:t>)</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N-rate (N)</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0.2523</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0.7432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0.9610</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0.2901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0.1371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&lt;.0001</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0.3979</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0.1896</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0.0406</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Cover (C)</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0.0327</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0.0038</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0.4183</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0.4086</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0.9842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0.0002</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highlight w:val="lightGray"/>
              </w:rPr>
              <w:t>0.0744</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0.8700</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0.0008</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 x C</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0.9464</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0.7822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0.1422</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0.9814</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0.7880</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0.6018</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0.9741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0.9170</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0.5821</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Tillage (T)</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highlight w:val="lightGray"/>
              </w:rPr>
              <w:t>0.0495</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0.5871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highlight w:val="lightGray"/>
              </w:rPr>
              <w:t>0.0149</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0.0628</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&lt;.0001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0.0008</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0.0002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0.0005</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0.7588</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 x T</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0.5436</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0.2301</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highlight w:val="lightGray"/>
              </w:rPr>
            </w:pPr>
            <w:r w:rsidRPr="002600E7">
              <w:rPr>
                <w:rFonts w:ascii="Arial" w:hAnsi="Arial"/>
                <w:color w:val="000000"/>
                <w:sz w:val="16"/>
                <w:szCs w:val="16"/>
                <w:highlight w:val="lightGray"/>
              </w:rPr>
              <w:t>0.0155</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0.0638</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0.3214</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0.2664</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highlight w:val="lightGray"/>
              </w:rPr>
              <w:t>0.0259</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0.1241</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0.3962</w:t>
            </w:r>
          </w:p>
        </w:tc>
      </w:tr>
      <w:tr w:rsidR="002600E7" w:rsidRPr="002600E7" w:rsidTr="002600E7">
        <w:trPr>
          <w:trHeight w:val="300"/>
        </w:trPr>
        <w:tc>
          <w:tcPr>
            <w:tcW w:w="46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C x T</w:t>
            </w:r>
          </w:p>
        </w:tc>
        <w:tc>
          <w:tcPr>
            <w:tcW w:w="50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0.8100</w:t>
            </w:r>
          </w:p>
        </w:tc>
        <w:tc>
          <w:tcPr>
            <w:tcW w:w="507"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0.2192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0.4513</w:t>
            </w:r>
          </w:p>
        </w:tc>
        <w:tc>
          <w:tcPr>
            <w:tcW w:w="505"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0.3664</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0.7260</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0.1715</w:t>
            </w:r>
          </w:p>
        </w:tc>
        <w:tc>
          <w:tcPr>
            <w:tcW w:w="510"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0.5852</w:t>
            </w:r>
          </w:p>
        </w:tc>
        <w:tc>
          <w:tcPr>
            <w:tcW w:w="469"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0.9177</w:t>
            </w:r>
          </w:p>
        </w:tc>
        <w:tc>
          <w:tcPr>
            <w:tcW w:w="626" w:type="pct"/>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0.7206</w:t>
            </w:r>
          </w:p>
        </w:tc>
      </w:tr>
      <w:tr w:rsidR="002600E7" w:rsidRPr="002600E7" w:rsidTr="002600E7">
        <w:trPr>
          <w:trHeight w:val="300"/>
        </w:trPr>
        <w:tc>
          <w:tcPr>
            <w:tcW w:w="467"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N x C x T</w:t>
            </w:r>
          </w:p>
        </w:tc>
        <w:tc>
          <w:tcPr>
            <w:tcW w:w="50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0.2017</w:t>
            </w:r>
          </w:p>
        </w:tc>
        <w:tc>
          <w:tcPr>
            <w:tcW w:w="507"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0.8118</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0.8304</w:t>
            </w:r>
          </w:p>
        </w:tc>
        <w:tc>
          <w:tcPr>
            <w:tcW w:w="505"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0.5924</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0.7757</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0.4304</w:t>
            </w:r>
          </w:p>
        </w:tc>
        <w:tc>
          <w:tcPr>
            <w:tcW w:w="510"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0.5572</w:t>
            </w:r>
          </w:p>
        </w:tc>
        <w:tc>
          <w:tcPr>
            <w:tcW w:w="469"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0.7621</w:t>
            </w:r>
          </w:p>
        </w:tc>
        <w:tc>
          <w:tcPr>
            <w:tcW w:w="626" w:type="pct"/>
            <w:tcBorders>
              <w:bottom w:val="single" w:sz="4" w:space="0" w:color="auto"/>
            </w:tcBorders>
            <w:shd w:val="clear" w:color="auto" w:fill="auto"/>
            <w:noWrap/>
            <w:vAlign w:val="center"/>
            <w:hideMark/>
          </w:tcPr>
          <w:p w:rsidR="002600E7" w:rsidRPr="002600E7" w:rsidRDefault="002600E7" w:rsidP="002600E7">
            <w:pPr>
              <w:spacing w:line="240" w:lineRule="auto"/>
              <w:rPr>
                <w:rFonts w:ascii="Arial" w:hAnsi="Arial"/>
                <w:color w:val="000000"/>
                <w:sz w:val="16"/>
                <w:szCs w:val="16"/>
              </w:rPr>
            </w:pPr>
            <w:r w:rsidRPr="002600E7">
              <w:rPr>
                <w:rFonts w:ascii="Arial" w:hAnsi="Arial"/>
                <w:color w:val="000000"/>
                <w:sz w:val="16"/>
                <w:szCs w:val="16"/>
              </w:rPr>
              <w:t>0.0775</w:t>
            </w:r>
          </w:p>
        </w:tc>
      </w:tr>
    </w:tbl>
    <w:p w:rsidR="002600E7" w:rsidRPr="002600E7" w:rsidRDefault="002600E7" w:rsidP="002600E7">
      <w:pPr>
        <w:spacing w:after="200"/>
        <w:rPr>
          <w:rFonts w:ascii="Calibri" w:eastAsia="Calibri" w:hAnsi="Calibri" w:cs="Times New Roman"/>
          <w:sz w:val="22"/>
          <w:szCs w:val="22"/>
          <w:lang w:val="en-GB"/>
        </w:rPr>
      </w:pPr>
      <w:r w:rsidRPr="002600E7">
        <w:rPr>
          <w:rFonts w:ascii="Calibri" w:eastAsia="Calibri" w:hAnsi="Calibri" w:cs="Times New Roman"/>
          <w:b/>
          <w:sz w:val="18"/>
          <w:szCs w:val="18"/>
        </w:rPr>
        <w:t xml:space="preserve">Treatment (Trt) means of each cover crop, tillage method and nitrogen rate (n=4) for each fatty acid methyl ester (FAME) microbial group followed by the same lower case letter are not significantly different (LSD protected, P≤ 0.05). G+ and G- = Gram positive and negative bacteria respectively; Actino = Actinomycetes; AMF=Arbuscular mycorrhiza fungi; F: B=Fungi: Bacteria ratio; Bacteria= Total bacterial abundance (sum of G+, G-, and Actinomycetes); Fungi=Total fungi abundance (sum of 18:2w6c and 18:3w6c); Total Fame=Sum of all FAME biomarkers over 14Carbon chain.   </w:t>
      </w:r>
    </w:p>
    <w:p w:rsidR="002600E7" w:rsidRPr="002600E7" w:rsidRDefault="002600E7" w:rsidP="00886BA4">
      <w:pPr>
        <w:spacing w:after="200" w:line="276" w:lineRule="auto"/>
        <w:rPr>
          <w:rFonts w:ascii="Calibri" w:eastAsia="Calibri" w:hAnsi="Calibri" w:cs="Times New Roman"/>
          <w:sz w:val="22"/>
          <w:szCs w:val="22"/>
        </w:rPr>
        <w:sectPr w:rsidR="002600E7" w:rsidRPr="002600E7" w:rsidSect="002600E7">
          <w:pgSz w:w="15840" w:h="12240" w:orient="landscape"/>
          <w:pgMar w:top="1440" w:right="1440" w:bottom="1440" w:left="1440" w:header="720" w:footer="720" w:gutter="0"/>
          <w:cols w:space="720"/>
          <w:docGrid w:linePitch="360"/>
        </w:sectPr>
      </w:pPr>
    </w:p>
    <w:p w:rsidR="002600E7" w:rsidRPr="002600E7" w:rsidRDefault="002600E7" w:rsidP="002600E7">
      <w:pPr>
        <w:spacing w:after="200"/>
        <w:rPr>
          <w:rFonts w:ascii="Calibri" w:eastAsia="Calibri" w:hAnsi="Calibri" w:cs="Times New Roman"/>
          <w:sz w:val="22"/>
          <w:szCs w:val="22"/>
          <w:lang w:val="en-GB"/>
        </w:rPr>
      </w:pPr>
      <w:r>
        <w:rPr>
          <w:noProof/>
        </w:rPr>
        <w:lastRenderedPageBreak/>
        <w:pict>
          <v:shape id="Picture 2" o:spid="_x0000_s1068" type="#_x0000_t75" style="position:absolute;margin-left:26.25pt;margin-top:-29.25pt;width:376.65pt;height:300.45p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43 0 -43 21546 21600 21546 21600 0 -43 0">
            <v:imagedata r:id="rId25" o:title=""/>
            <w10:wrap type="tight"/>
          </v:shape>
        </w:pict>
      </w: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r>
        <w:rPr>
          <w:noProof/>
        </w:rPr>
        <w:pict>
          <v:shape id="Text Box 4" o:spid="_x0000_s1067" type="#_x0000_t202" style="position:absolute;margin-left:30pt;margin-top:324.65pt;width:376.5pt;height:.05pt;z-index:8;visibility:visible;mso-wrap-style:square;mso-wrap-distance-left:9pt;mso-wrap-distance-top:0;mso-wrap-distance-right:9pt;mso-wrap-distance-bottom:0;mso-position-horizontal:absolute;mso-position-horizontal-relative:text;mso-position-vertical:absolute;mso-position-vertical-relative:text;v-text-anchor:top" wrapcoords="-43 0 -43 21296 21600 21296 21600 0 -4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" stroked="f">
            <v:textbox style="mso-next-textbox:#Text Box 4;mso-fit-shape-to-text:t" inset="0,0,0,0">
              <w:txbxContent>
                <w:p w:rsidR="00DB5C50" w:rsidRPr="00D25C54" w:rsidRDefault="00DB5C50" w:rsidP="00D25C54">
                  <w:pPr>
                    <w:pStyle w:val="Caption"/>
                  </w:pPr>
                  <w:r w:rsidRPr="00D25C54">
                    <w:t xml:space="preserve">Figure 1.3: FAME separation of the microbial community structure as influenced by tillage and nitrogen (a) and cover crop (b). </w:t>
                  </w:r>
                </w:p>
              </w:txbxContent>
            </v:textbox>
            <w10:wrap type="tight"/>
          </v:shape>
        </w:pict>
      </w:r>
      <w:r>
        <w:rPr>
          <w:noProof/>
        </w:rPr>
        <w:pict>
          <v:shape id="Picture 3" o:spid="_x0000_s1066" type="#_x0000_t75" style="position:absolute;margin-left:30pt;margin-top:19.4pt;width:376.5pt;height:300.75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43 0 -43 21546 21600 21546 21600 0 -43 0">
            <v:imagedata r:id="rId26" o:title=""/>
            <w10:wrap type="tight"/>
          </v:shape>
        </w:pict>
      </w: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jc w:val="center"/>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5539C7">
      <w:pPr>
        <w:pStyle w:val="Caption"/>
        <w:rPr>
          <w:rFonts w:ascii="Calibri" w:eastAsia="Calibri" w:hAnsi="Calibri" w:cs="Times New Roman"/>
          <w:sz w:val="22"/>
          <w:szCs w:val="22"/>
          <w:lang w:val="en-GB"/>
        </w:rPr>
      </w:pPr>
    </w:p>
    <w:p w:rsidR="002600E7" w:rsidRPr="00700712" w:rsidRDefault="002600E7" w:rsidP="00700712">
      <w:pPr>
        <w:pStyle w:val="Caption"/>
      </w:pPr>
      <w:r w:rsidRPr="00700712">
        <w:lastRenderedPageBreak/>
        <w:t xml:space="preserve">Table </w:t>
      </w:r>
      <w:r w:rsidR="00D25C54">
        <w:t>1.</w:t>
      </w:r>
      <w:r w:rsidRPr="00700712">
        <w:t xml:space="preserve">5: PCA loadings of identified FAME microbial groups </w:t>
      </w:r>
    </w:p>
    <w:tbl>
      <w:tblPr>
        <w:tblW w:w="4580" w:type="dxa"/>
        <w:tblInd w:w="93" w:type="dxa"/>
        <w:tblLook w:val="04A0" w:firstRow="1" w:lastRow="0" w:firstColumn="1" w:lastColumn="0" w:noHBand="0" w:noVBand="1"/>
      </w:tblPr>
      <w:tblGrid>
        <w:gridCol w:w="1900"/>
        <w:gridCol w:w="1340"/>
        <w:gridCol w:w="1340"/>
      </w:tblGrid>
      <w:tr w:rsidR="002600E7" w:rsidRPr="002600E7" w:rsidTr="002600E7">
        <w:trPr>
          <w:trHeight w:val="300"/>
        </w:trPr>
        <w:tc>
          <w:tcPr>
            <w:tcW w:w="1900" w:type="dxa"/>
            <w:tcBorders>
              <w:top w:val="single" w:sz="4" w:space="0" w:color="auto"/>
              <w:left w:val="nil"/>
              <w:bottom w:val="single" w:sz="4" w:space="0" w:color="auto"/>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 xml:space="preserve">FA's Biomarkers </w:t>
            </w:r>
          </w:p>
        </w:tc>
        <w:tc>
          <w:tcPr>
            <w:tcW w:w="1340" w:type="dxa"/>
            <w:tcBorders>
              <w:top w:val="single" w:sz="4" w:space="0" w:color="auto"/>
              <w:left w:val="nil"/>
              <w:bottom w:val="single" w:sz="4" w:space="0" w:color="auto"/>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PC1</w:t>
            </w:r>
          </w:p>
        </w:tc>
        <w:tc>
          <w:tcPr>
            <w:tcW w:w="1340" w:type="dxa"/>
            <w:tcBorders>
              <w:top w:val="single" w:sz="4" w:space="0" w:color="auto"/>
              <w:left w:val="nil"/>
              <w:bottom w:val="single" w:sz="4" w:space="0" w:color="auto"/>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PC2</w:t>
            </w:r>
          </w:p>
        </w:tc>
      </w:tr>
      <w:tr w:rsidR="002600E7" w:rsidRPr="002600E7" w:rsidTr="002600E7">
        <w:trPr>
          <w:trHeight w:val="300"/>
        </w:trPr>
        <w:tc>
          <w:tcPr>
            <w:tcW w:w="1900" w:type="dxa"/>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i15.0</w:t>
            </w:r>
          </w:p>
        </w:tc>
        <w:tc>
          <w:tcPr>
            <w:tcW w:w="1340" w:type="dxa"/>
            <w:tcBorders>
              <w:top w:val="single" w:sz="4" w:space="0" w:color="auto"/>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0.865</w:t>
            </w:r>
          </w:p>
        </w:tc>
        <w:tc>
          <w:tcPr>
            <w:tcW w:w="1340" w:type="dxa"/>
            <w:tcBorders>
              <w:top w:val="single" w:sz="4" w:space="0" w:color="auto"/>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highlight w:val="lightGray"/>
              </w:rPr>
              <w:t>-0.550</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a15.0</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highlight w:val="lightGray"/>
              </w:rPr>
              <w:t>0.668</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-0.945</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i17.0</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1.012</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0.221</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a17.0</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0.267</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-1.004</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i16.0</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1.215</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0.026</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cy17.0</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0.423</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-0.178</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 cy19.0w8c</w:t>
            </w:r>
          </w:p>
        </w:tc>
        <w:tc>
          <w:tcPr>
            <w:tcW w:w="1340" w:type="dxa"/>
            <w:tcBorders>
              <w:top w:val="nil"/>
              <w:left w:val="nil"/>
              <w:bottom w:val="nil"/>
              <w:right w:val="nil"/>
            </w:tcBorders>
            <w:shd w:val="clear" w:color="000000" w:fill="EEECE1"/>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0.753</w:t>
            </w:r>
          </w:p>
        </w:tc>
        <w:tc>
          <w:tcPr>
            <w:tcW w:w="1340" w:type="dxa"/>
            <w:tcBorders>
              <w:top w:val="nil"/>
              <w:left w:val="nil"/>
              <w:bottom w:val="nil"/>
              <w:right w:val="nil"/>
            </w:tcBorders>
            <w:shd w:val="clear" w:color="000000" w:fill="EEECE1"/>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0.707</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G-16.1w7c</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-0.467</w:t>
            </w:r>
          </w:p>
        </w:tc>
        <w:tc>
          <w:tcPr>
            <w:tcW w:w="1340" w:type="dxa"/>
            <w:tcBorders>
              <w:top w:val="nil"/>
              <w:left w:val="nil"/>
              <w:bottom w:val="nil"/>
              <w:right w:val="nil"/>
            </w:tcBorders>
            <w:shd w:val="clear" w:color="000000" w:fill="EEECE1"/>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-0.746</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A 10Me.16.0</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0.938</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-0.078</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A 10me17.0</w:t>
            </w:r>
          </w:p>
        </w:tc>
        <w:tc>
          <w:tcPr>
            <w:tcW w:w="1340" w:type="dxa"/>
            <w:tcBorders>
              <w:top w:val="nil"/>
              <w:left w:val="nil"/>
              <w:bottom w:val="nil"/>
              <w:right w:val="nil"/>
            </w:tcBorders>
            <w:shd w:val="clear" w:color="000000" w:fill="EEECE1"/>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0.743</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-0.250</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A 10me18.0</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0.163</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-0.479</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F 16.1w5c</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-0.265</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-0.931</w:t>
            </w:r>
          </w:p>
        </w:tc>
      </w:tr>
      <w:tr w:rsidR="002600E7" w:rsidRPr="002600E7" w:rsidTr="002600E7">
        <w:trPr>
          <w:trHeight w:val="300"/>
        </w:trPr>
        <w:tc>
          <w:tcPr>
            <w:tcW w:w="190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F 18.2w6c</w:t>
            </w:r>
          </w:p>
        </w:tc>
        <w:tc>
          <w:tcPr>
            <w:tcW w:w="1340" w:type="dxa"/>
            <w:tcBorders>
              <w:top w:val="nil"/>
              <w:left w:val="nil"/>
              <w:bottom w:val="nil"/>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-0.918</w:t>
            </w:r>
          </w:p>
        </w:tc>
        <w:tc>
          <w:tcPr>
            <w:tcW w:w="1340" w:type="dxa"/>
            <w:tcBorders>
              <w:top w:val="nil"/>
              <w:left w:val="nil"/>
              <w:bottom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highlight w:val="lightGray"/>
              </w:rPr>
              <w:t>0.510</w:t>
            </w:r>
          </w:p>
        </w:tc>
      </w:tr>
      <w:tr w:rsidR="002600E7" w:rsidRPr="002600E7" w:rsidTr="002600E7">
        <w:trPr>
          <w:trHeight w:val="300"/>
        </w:trPr>
        <w:tc>
          <w:tcPr>
            <w:tcW w:w="1900" w:type="dxa"/>
            <w:tcBorders>
              <w:top w:val="nil"/>
              <w:left w:val="nil"/>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F 18.3w6c</w:t>
            </w:r>
          </w:p>
        </w:tc>
        <w:tc>
          <w:tcPr>
            <w:tcW w:w="1340" w:type="dxa"/>
            <w:tcBorders>
              <w:top w:val="nil"/>
              <w:left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0.164</w:t>
            </w:r>
          </w:p>
        </w:tc>
        <w:tc>
          <w:tcPr>
            <w:tcW w:w="1340" w:type="dxa"/>
            <w:tcBorders>
              <w:top w:val="nil"/>
              <w:left w:val="nil"/>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-0.048</w:t>
            </w:r>
          </w:p>
        </w:tc>
      </w:tr>
      <w:tr w:rsidR="002600E7" w:rsidRPr="002600E7" w:rsidTr="002600E7">
        <w:trPr>
          <w:trHeight w:val="300"/>
        </w:trPr>
        <w:tc>
          <w:tcPr>
            <w:tcW w:w="1900" w:type="dxa"/>
            <w:tcBorders>
              <w:top w:val="nil"/>
              <w:left w:val="nil"/>
              <w:bottom w:val="single" w:sz="4" w:space="0" w:color="auto"/>
              <w:right w:val="nil"/>
            </w:tcBorders>
            <w:shd w:val="clear" w:color="auto" w:fill="auto"/>
            <w:noWrap/>
            <w:vAlign w:val="bottom"/>
            <w:hideMark/>
          </w:tcPr>
          <w:p w:rsidR="002600E7" w:rsidRPr="002600E7" w:rsidRDefault="002600E7" w:rsidP="002600E7">
            <w:pPr>
              <w:spacing w:line="240" w:lineRule="auto"/>
              <w:rPr>
                <w:rFonts w:ascii="Calibri" w:hAnsi="Calibri" w:cs="Times New Roman"/>
                <w:color w:val="000000"/>
                <w:sz w:val="22"/>
                <w:szCs w:val="22"/>
              </w:rPr>
            </w:pPr>
            <w:r w:rsidRPr="002600E7">
              <w:rPr>
                <w:rFonts w:ascii="Calibri" w:hAnsi="Calibri" w:cs="Times New Roman"/>
                <w:color w:val="000000"/>
                <w:sz w:val="22"/>
                <w:szCs w:val="22"/>
              </w:rPr>
              <w:t>18.1w9c</w:t>
            </w:r>
          </w:p>
        </w:tc>
        <w:tc>
          <w:tcPr>
            <w:tcW w:w="1340" w:type="dxa"/>
            <w:tcBorders>
              <w:top w:val="nil"/>
              <w:left w:val="nil"/>
              <w:bottom w:val="single" w:sz="4" w:space="0" w:color="auto"/>
              <w:right w:val="nil"/>
            </w:tcBorders>
            <w:shd w:val="clear" w:color="000000" w:fill="F2F2F2"/>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-1.004</w:t>
            </w:r>
          </w:p>
        </w:tc>
        <w:tc>
          <w:tcPr>
            <w:tcW w:w="1340" w:type="dxa"/>
            <w:tcBorders>
              <w:top w:val="nil"/>
              <w:left w:val="nil"/>
              <w:bottom w:val="single" w:sz="4" w:space="0" w:color="auto"/>
              <w:right w:val="nil"/>
            </w:tcBorders>
            <w:shd w:val="clear" w:color="auto" w:fill="auto"/>
            <w:noWrap/>
            <w:vAlign w:val="bottom"/>
            <w:hideMark/>
          </w:tcPr>
          <w:p w:rsidR="002600E7" w:rsidRPr="002600E7" w:rsidRDefault="002600E7" w:rsidP="002600E7">
            <w:pPr>
              <w:spacing w:line="240" w:lineRule="auto"/>
              <w:jc w:val="right"/>
              <w:rPr>
                <w:rFonts w:ascii="Calibri" w:hAnsi="Calibri" w:cs="Times New Roman"/>
                <w:color w:val="000000"/>
                <w:sz w:val="22"/>
                <w:szCs w:val="22"/>
              </w:rPr>
            </w:pPr>
            <w:r w:rsidRPr="002600E7">
              <w:rPr>
                <w:rFonts w:ascii="Calibri" w:hAnsi="Calibri" w:cs="Times New Roman"/>
                <w:color w:val="000000"/>
                <w:sz w:val="22"/>
                <w:szCs w:val="22"/>
              </w:rPr>
              <w:t>0.480</w:t>
            </w:r>
          </w:p>
        </w:tc>
      </w:tr>
    </w:tbl>
    <w:p w:rsidR="002600E7" w:rsidRPr="002600E7" w:rsidRDefault="002600E7" w:rsidP="002600E7">
      <w:pPr>
        <w:spacing w:after="200" w:line="276"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br w:type="page"/>
      </w:r>
    </w:p>
    <w:p w:rsidR="002600E7" w:rsidRPr="00886BA4" w:rsidRDefault="002600E7" w:rsidP="00886BA4">
      <w:pPr>
        <w:pStyle w:val="Heading2"/>
      </w:pPr>
      <w:bookmarkStart w:id="31" w:name="_Toc391021433"/>
      <w:r w:rsidRPr="00886BA4">
        <w:t>DISCUSSION</w:t>
      </w:r>
      <w:bookmarkEnd w:id="31"/>
    </w:p>
    <w:p w:rsidR="002600E7" w:rsidRPr="00AE0605" w:rsidRDefault="002600E7" w:rsidP="00AE0605">
      <w:pPr>
        <w:pStyle w:val="Heading3"/>
      </w:pPr>
      <w:bookmarkStart w:id="32" w:name="_Toc391021434"/>
      <w:r w:rsidRPr="00AE0605">
        <w:t>Soil physicochemical properties after 31 years of different tillage options, cover crops and varying N rates</w:t>
      </w:r>
      <w:bookmarkEnd w:id="32"/>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33" w:name="_Toc391021435"/>
      <w:r w:rsidRPr="00BF1DF3">
        <w:rPr>
          <w:rFonts w:ascii="Cambria" w:hAnsi="Cambria" w:cs="Times New Roman"/>
          <w:bCs/>
          <w:i/>
          <w:sz w:val="22"/>
          <w:szCs w:val="22"/>
          <w:lang w:val="en-GB"/>
        </w:rPr>
        <w:t>The effect of tillage and cover crops on soil C and N</w:t>
      </w:r>
      <w:bookmarkEnd w:id="33"/>
    </w:p>
    <w:p w:rsidR="002600E7" w:rsidRPr="002600E7" w:rsidRDefault="002600E7" w:rsidP="002600E7">
      <w:pPr>
        <w:spacing w:after="200" w:line="480" w:lineRule="auto"/>
        <w:rPr>
          <w:rFonts w:ascii="Calibri" w:eastAsia="Calibri" w:hAnsi="Calibri" w:cs="Times New Roman"/>
          <w:b/>
          <w:sz w:val="22"/>
          <w:szCs w:val="22"/>
        </w:rPr>
      </w:pPr>
      <w:r w:rsidRPr="002600E7">
        <w:rPr>
          <w:rFonts w:ascii="Calibri" w:eastAsia="Calibri" w:hAnsi="Calibri" w:cs="Times New Roman"/>
          <w:sz w:val="22"/>
          <w:szCs w:val="22"/>
        </w:rPr>
        <w:t xml:space="preserve">After 31 years of Conservation agriculture (consAg) practices, our results demonstrate the value of cover crops in increasing soil organic C and N in reduced tillage practices </w:t>
      </w:r>
      <w:r w:rsidRPr="002600E7">
        <w:rPr>
          <w:rFonts w:ascii="Calibri" w:eastAsia="Calibri" w:hAnsi="Calibri" w:cs="Times New Roman"/>
          <w:sz w:val="22"/>
          <w:szCs w:val="22"/>
          <w:lang w:val="en-GB"/>
        </w:rPr>
        <w:t>under continuous cotton production</w:t>
      </w:r>
      <w:r w:rsidRPr="002600E7">
        <w:rPr>
          <w:rFonts w:ascii="Calibri" w:eastAsia="Calibri" w:hAnsi="Calibri" w:cs="Times New Roman"/>
          <w:sz w:val="22"/>
          <w:szCs w:val="22"/>
        </w:rPr>
        <w:t xml:space="preserve">. Higher levels of soil C and N were recorded in treatments under NoTill than till </w:t>
      </w:r>
      <w:r w:rsidRPr="002600E7">
        <w:rPr>
          <w:rFonts w:ascii="Calibri" w:eastAsia="Calibri" w:hAnsi="Calibri" w:cs="Times New Roman"/>
          <w:sz w:val="22"/>
          <w:szCs w:val="22"/>
          <w:lang w:val="en-GB"/>
        </w:rPr>
        <w:t>(approximately 19% and 10% higher for TC and TN respectively) but the differences were more pronounced under NoTill treatments having cover crops</w:t>
      </w:r>
      <w:r w:rsidRPr="002600E7">
        <w:rPr>
          <w:rFonts w:ascii="Calibri" w:eastAsia="Calibri" w:hAnsi="Calibri" w:cs="Times New Roman"/>
          <w:sz w:val="22"/>
          <w:szCs w:val="22"/>
        </w:rPr>
        <w:t xml:space="preserve">. The higher levels of soil C and N under  NoTill than Till is in agreement with what several other studies have shown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"10.1007/s00374-004-0819-2", "ISSN" : "0178-2762", "author" : [ { "dropping-particle" : "", "family" : "Wright", "given" : "Alan L.", "non-dropping-particle" : "", "parse-names" : false, "suffix" : "" }, { "dropping-particle" : "", "family" : "Hons", "given" : "Frank M.", "non-dropping-particle" : "", "parse-names" : false, "suffix" : "" } ], "container-title" : "Biology and Fertility of Soils", "id" : "ITEM-1", "issue" : "2", "issued" : { "date-parts" : [ [ "2004", "12", "10" ] ] }, "page" : "95-100", "title" : "Carbon and nitrogen sequestration and soil aggregation under sorghum cropping sequences", "type" : "article-journal", "volume" : "41" }, "uris" : [ "http://www.mendeley.com/documents/?uuid=557fb35f-75a9-4708-9995-d74e2355d851" ] }, { "id" : "ITEM-2", "itemData" : { "author" : [ { "dropping-particle" : "", "family" : "Halvorson", "given" : "Ardell", "non-dropping-particle" : "", "parse-names" : false, "suffix" : "" }, { "dropping-particle" : "", "family" : "Wienhold", "given" : "Brian J", "non-dropping-particle" : "", "parse-names" : false, "suffix" : "" }, { "dropping-particle" : "", "family" : "Black", "given" : "Alfred L", "non-dropping-particle" : "", "parse-names" : false, "suffix" : "" } ], "id" : "ITEM-2", "issued" : { "date-parts" : [ [ "2002" ] ] }, "title" : "Tillage , Nitrogen , and Cropping System Effects on Soil Carbon Sequestration Tillage , Nitrogen , and Cropping System Effects on Soil Carbon Sequestration", "type" : "article-journal" }, "uris" : [ "http://www.mendeley.com/documents/?uuid=6ee921dd-fbc7-444d-b0ed-65787ea3b3ea" ] }, { "id" : "ITEM-3", "itemData" : { "DOI" : "10.1016/j.apsoil.2005.02.014", "ISSN" : "09291393", "abstract" : "A wide range of tillage systems have been used by producers in the Corn-Belt in the United States during the past decade due to their economic and environmental benefits. However, changes in soil organic carbon (SOC) and nitrogen (SON) and crop responses to these tillage systems are not well documented in a corn\u2013soybean rotation. Two experiments were conducted to evaluate the effects of different tillage systems on SOC and SON, residue C and N inputs, and corn and soybean yields across Iowa. The first experiment consisted of no-tillage (NT) and chisel plow (CP) treatments, established in 1994 in Clarion\u2013Nicollet\u2013Webster (CNW), Galva\u2013Primghar\u2013Sac (GPS), Kenyon\u2013Floyd\u2013Clyde (KFC), Marshall (M), and Otley\u2013Mahaska\u2013Taintor (OMT) soil associations. The second experiment consisted of NT, strip-tillage (ST), CP, deep rip (DR), and moldboard plow (MP) treatments, established in 1998 in the CNW soil association. Both corn and soybean yields of NT were statistically comparable to those of CP treatment for each soil association in a corn\u2013soybean rotation during the 7 years of tillage practices. The NT, ST, CP, and DR treatments produced similar corn and soybean yields as MP treatment in a corn\u2013soybean rotation during the 3 years of tillage implementation of the second experiment. Significant increases in SOC of 17.3, 19.5, 6.1, and 19.3% with NT over CP treatment were observed at the top 15-cm soil depth in CNW, KFC, M, and OMT soil associations, respectively, except for the GPS soil association in a corn\u2013soybean rotation at the end of 7 years. The NT and ST resulted in significant increases in SOC of 14.7 and 11.4%, respectively, compared with MP treatment after 3 years. Changes in SON due to tillage were similar to those observed with SOC in both experiments. The increases in SOC and SON in NT treatment were not attributed to the vertical stratification of organic C and N in the soil profile or annual C and N inputs from crop residue, but most likely due to the decrease in soil organic matter mineralization in wet and cold soil conditions. It was concluded that NT and ST are superior to CP and MP in increasing SOC and SON in the top 15cm in the short-term. The adoption of NT or CP can be an effective strategy in increasing SOC and SON in the Corn-Belt soils without significant adverse impact on corn and soybean yields in a corn\u2013soybean rotation.", "author" : [ { "dropping-particle" : "", "family" : "Al-Kaisi", "given" : "Mahdi M.", "non-dropping-particle" : "", "parse-names" : false, "suffix" : "" }, { "dropping-particle" : "", "family" : "Yin", "given" : "Xinhua", "non-dropping-particle" : "", "parse-names" : false, "suffix" : "" }, { "dropping-particle" : "", "family" : "Licht", "given" : "Mark A.", "non-dropping-particle" : "", "parse-names" : false, "suffix" : "" } ], "container-title" : "Applied Soil Ecology", "id" : "ITEM-3", "issue" : "3", "issued" : { "date-parts" : [ [ "2005", "11" ] ] }, "page" : "174-191", "title" : "Soil carbon and nitrogen changes as affected by tillage system and crop biomass in a corn\u2013soybean rotation", "type" : "article-journal", "volume" : "30" }, "uris" : [ "http://www.mendeley.com/documents/?uuid=5c68f4a1-b690-4b6b-94a9-54ed9d4fed6e" ] } ], "mendeley" : { "previouslyFormattedCitation" : "(Halvorson et al., 2002; Wright and Hons, 2004; Al-Kaisi et al., 2005)"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(Halvorson et al., 2002; Wright and Hons, 2004; Al-Kaisi et al., 2005)</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lang w:val="en-GB"/>
        </w:rPr>
        <w:t>.</w:t>
      </w:r>
      <w:r w:rsidRPr="002600E7">
        <w:rPr>
          <w:rFonts w:ascii="Calibri" w:eastAsia="Calibri" w:hAnsi="Calibri" w:cs="Times New Roman"/>
          <w:sz w:val="22"/>
          <w:szCs w:val="22"/>
        </w:rPr>
        <w:t xml:space="preserve"> Al-</w:t>
      </w:r>
      <w:r w:rsidRPr="002600E7">
        <w:rPr>
          <w:rFonts w:ascii="Calibri" w:eastAsia="Calibri" w:hAnsi="Calibri" w:cs="Times New Roman"/>
          <w:sz w:val="22"/>
          <w:szCs w:val="22"/>
          <w:lang w:val="en-GB"/>
        </w:rPr>
        <w:t>Kaisi et al. (2005) found NoTill to have as high as 15 to 21 percent soil organic C than soils that were chisel ploughed in their study of seven years under corn-soybean rotation on a Mollisol in Iowa.</w:t>
      </w:r>
      <w:r w:rsidRPr="002600E7">
        <w:rPr>
          <w:rFonts w:ascii="Calibri" w:eastAsia="Calibri" w:hAnsi="Calibri" w:cs="Times New Roman"/>
          <w:sz w:val="22"/>
          <w:szCs w:val="22"/>
        </w:rPr>
        <w:t xml:space="preserve"> Though it is expected that reducing tillage would decrease the rate of organic carbon decomposition by</w:t>
      </w:r>
      <w:r w:rsidRPr="002600E7">
        <w:rPr>
          <w:rFonts w:ascii="Calibri" w:eastAsia="Calibri" w:hAnsi="Calibri" w:cs="Times New Roman"/>
          <w:sz w:val="22"/>
          <w:szCs w:val="22"/>
          <w:lang w:val="en-GB"/>
        </w:rPr>
        <w:t xml:space="preserve"> occluding it from soil microbes, the degree of significance this has on soil C build-up has been shown to vary based on climate, soil type, amount of crop residue returned to soil, crop species, and duration under reduced tillage (</w:t>
      </w:r>
      <w:r w:rsidRPr="002600E7">
        <w:rPr>
          <w:rFonts w:ascii="Calibri" w:eastAsia="Calibri" w:hAnsi="Calibri" w:cs="Times New Roman"/>
          <w:color w:val="FF0000"/>
          <w:sz w:val="22"/>
          <w:szCs w:val="22"/>
          <w:lang w:val="en-GB"/>
        </w:rPr>
        <w:t>cite</w:t>
      </w:r>
      <w:r w:rsidRPr="002600E7">
        <w:rPr>
          <w:rFonts w:ascii="Calibri" w:eastAsia="Calibri" w:hAnsi="Calibri" w:cs="Times New Roman"/>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Several studies under various soil types and cropping systems have highlighted the importance of cover crops and crop rotations as means of enhancing soil organic C and N levels in reduced tillage practices (cite).</w:t>
      </w:r>
      <w:r w:rsidRPr="002600E7">
        <w:rPr>
          <w:rFonts w:ascii="Calibri" w:eastAsia="Calibri" w:hAnsi="Calibri" w:cs="Times New Roman"/>
          <w:sz w:val="22"/>
          <w:szCs w:val="22"/>
        </w:rPr>
        <w:t xml:space="preserve"> </w:t>
      </w:r>
      <w:r w:rsidRPr="002600E7">
        <w:rPr>
          <w:rFonts w:ascii="Calibri" w:eastAsia="Calibri" w:hAnsi="Calibri" w:cs="Times New Roman"/>
          <w:sz w:val="22"/>
          <w:szCs w:val="22"/>
          <w:lang w:val="en-GB"/>
        </w:rPr>
        <w:t xml:space="preserve"> </w:t>
      </w:r>
      <w:r w:rsidRPr="002600E7">
        <w:rPr>
          <w:rFonts w:ascii="Calibri" w:eastAsia="Calibri" w:hAnsi="Calibri" w:cs="Times New Roman"/>
          <w:sz w:val="22"/>
          <w:szCs w:val="22"/>
          <w:lang w:val="en-GB"/>
        </w:rPr>
        <w:fldChar w:fldCharType="begin" w:fldLock="1"/>
      </w:r>
      <w:r w:rsidRPr="002600E7">
        <w:rPr>
          <w:rFonts w:ascii="Calibri" w:eastAsia="Calibri" w:hAnsi="Calibri" w:cs="Times New Roman"/>
          <w:sz w:val="22"/>
          <w:szCs w:val="22"/>
          <w:lang w:val="en-GB"/>
        </w:rPr>
        <w:instrText>ADDIN CSL_CITATION { "citationItems" : [ { "id" : "ITEM-1", "itemData" : { "DOI" : "10.1007/s00374-011-0565-1", "ISSN" : "0178-2762", "author" : [ { "dropping-particle" : "", "family" : "Acosta-Mart\u00ednez", "given" : "Veronica", "non-dropping-particle" : "", "parse-names" : false, "suffix" : "" }, { "dropping-particle" : "", "family" : "Lascano", "given" : "Robert", "non-dropping-particle" : "", "parse-names" : false, "suffix" : "" }, { "dropping-particle" : "", "family" : "Calder\u00f3n", "given" : "Francisco", "non-dropping-particle" : "", "parse-names" : false, "suffix" : "" }, { "dropping-particle" : "", "family" : "Booker", "given" : "Jill D.", "non-dropping-particle" : "", "parse-names" : false, "suffix" : "" }, { "dropping-particle" : "", "family" : "Zobeck", "given" : "Ted M.", "non-dropping-particle" : "", "parse-names" : false, "suffix" : "" }, { "dropping-particle" : "", "family" : "Upchurch", "given" : "Dan R.", "non-dropping-particle" : "", "parse-names" : false, "suffix" : "" } ], "container-title" : "Biology and Fertility of Soils", "id" : "ITEM-1", "issue" : "6", "issued" : { "date-parts" : [ [ "2011", "5", "3" ] ] }, "page" : "655-667", "title" : "Dryland cropping systems influence the microbial biomass and enzyme activities in a semiarid sandy soil", "type" : "article-journal", "volume" : "47" }, "uris" : [ "http://www.mendeley.com/documents/?uuid=80edac31-1d62-4f03-9a04-9c0dfb082074" ] } ], "mendeley" : { "manualFormatting" : "Acosta-Mart\u00ednez et al. 2011", "previouslyFormattedCitation" : "(Acosta-Mart\u00ednez et al., 2011)" }, "properties" : { "noteIndex" : 0 }, "schema" : "https://github.com/citation-style-language/schema/raw/master/csl-citation.json" }</w:instrText>
      </w:r>
      <w:r w:rsidRPr="002600E7">
        <w:rPr>
          <w:rFonts w:ascii="Calibri" w:eastAsia="Calibri" w:hAnsi="Calibri" w:cs="Times New Roman"/>
          <w:sz w:val="22"/>
          <w:szCs w:val="22"/>
          <w:lang w:val="en-GB"/>
        </w:rPr>
        <w:fldChar w:fldCharType="separate"/>
      </w:r>
      <w:r w:rsidRPr="002600E7">
        <w:rPr>
          <w:rFonts w:ascii="Calibri" w:eastAsia="Calibri" w:hAnsi="Calibri" w:cs="Times New Roman"/>
          <w:noProof/>
          <w:sz w:val="22"/>
          <w:szCs w:val="22"/>
          <w:lang w:val="en-GB"/>
        </w:rPr>
        <w:t>Acosta-Martínez et al. 2011</w:t>
      </w:r>
      <w:r w:rsidRPr="002600E7">
        <w:rPr>
          <w:rFonts w:ascii="Calibri" w:eastAsia="Calibri" w:hAnsi="Calibri" w:cs="Times New Roman"/>
          <w:sz w:val="22"/>
          <w:szCs w:val="22"/>
          <w:lang w:val="en-GB"/>
        </w:rPr>
        <w:fldChar w:fldCharType="end"/>
      </w:r>
      <w:r w:rsidRPr="002600E7">
        <w:rPr>
          <w:rFonts w:ascii="Calibri" w:eastAsia="Calibri" w:hAnsi="Calibri" w:cs="Times New Roman"/>
          <w:sz w:val="22"/>
          <w:szCs w:val="22"/>
          <w:lang w:val="en-GB"/>
        </w:rPr>
        <w:t xml:space="preserve"> observed no changes in soil C under continuous cotton production after 5 years of no-tillage on sandy soils in the semiarid region of </w:t>
      </w:r>
      <w:r w:rsidRPr="002600E7">
        <w:rPr>
          <w:rFonts w:ascii="Calibri" w:eastAsia="Calibri" w:hAnsi="Calibri" w:cs="Times New Roman"/>
          <w:sz w:val="22"/>
          <w:szCs w:val="22"/>
          <w:lang w:val="en-GB"/>
        </w:rPr>
        <w:lastRenderedPageBreak/>
        <w:t xml:space="preserve">the Texas high plains. However, under the same soils, </w:t>
      </w:r>
      <w:r w:rsidRPr="002600E7">
        <w:rPr>
          <w:rFonts w:ascii="Calibri" w:eastAsia="Calibri" w:hAnsi="Calibri" w:cs="Times New Roman"/>
          <w:sz w:val="22"/>
          <w:szCs w:val="22"/>
          <w:highlight w:val="cyan"/>
          <w:lang w:val="en-GB"/>
        </w:rPr>
        <w:t>Acosta-Martinez et al. (2011</w:t>
      </w:r>
      <w:r w:rsidRPr="002600E7">
        <w:rPr>
          <w:rFonts w:ascii="Calibri" w:eastAsia="Calibri" w:hAnsi="Calibri" w:cs="Times New Roman"/>
          <w:sz w:val="22"/>
          <w:szCs w:val="22"/>
          <w:lang w:val="en-GB"/>
        </w:rPr>
        <w:t xml:space="preserve">) observed an increase in soil C when the cover crops were introduced into the system under a crop rotation of forage sorghum and a winter cover crop. In corroboration, Halvorson et al., 2002, after 12 years of reduced tillage practices on a silt loam soil in North Dakota, observed no significant increases in soil C in NoTill treatments under spring wheat-fallow production. In contrast they recorded significant increases in soil C in NoTill treatments under a cropping rotation sequence of annual spring wheat, winter wheat and sunflower.  Halvorson et al., (2002) attributed the increases observed in soil C under the crop rotation sequence to significantly higher residue return recorded from the crop rotations compared to lower residue levels from the spring wheat-fallow system.  Similarly, Wrights and Hons, (2004) after 20 years of NoTill on a silty clay loam in Central Texas, also found the greatest soil organic C and N in NoTill under a sorghum-wheat-soybean rotation, in comparison to NoTill under a continuous sorghum production.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Altogether, our results and those of the studies mentioned above signify the importance of cover crop as a source of C inputs through crop residues  returned to soil to be  a key driver towards facilitating soil C and N build up, especially under the production of low biomass crops like cotton.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34" w:name="_Toc391021436"/>
      <w:r w:rsidRPr="00BF1DF3">
        <w:rPr>
          <w:rFonts w:ascii="Cambria" w:hAnsi="Cambria" w:cs="Times New Roman"/>
          <w:bCs/>
          <w:i/>
          <w:sz w:val="22"/>
          <w:szCs w:val="22"/>
          <w:lang w:val="en-GB"/>
        </w:rPr>
        <w:t>The Effect of Different Cover Crop Species on Soil C and N</w:t>
      </w:r>
      <w:bookmarkEnd w:id="34"/>
      <w:r w:rsidRPr="00BF1DF3">
        <w:rPr>
          <w:rFonts w:ascii="Cambria" w:hAnsi="Cambria" w:cs="Times New Roman"/>
          <w:bCs/>
          <w:i/>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Our study further demonstrates that the effect of cover crops on soil C and N is species dependent. It is interesting that after 31 years, soil C and N (as well as cotton yield) in treatments under vetch cover crop did not differ based on N-fertilization rate. However, treatments under wheat and NoCover showed a positive response to increase of N-rate and there was no difference between them. Nevertheless, at the highest N-rate (101 kg N 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xml:space="preserve">), soil </w:t>
      </w:r>
      <w:r w:rsidRPr="002600E7">
        <w:rPr>
          <w:rFonts w:ascii="Calibri" w:eastAsia="Calibri" w:hAnsi="Calibri" w:cs="Times New Roman"/>
          <w:sz w:val="22"/>
          <w:szCs w:val="22"/>
          <w:lang w:val="en-GB"/>
        </w:rPr>
        <w:lastRenderedPageBreak/>
        <w:t>C and N (as well as cotton Yield) did not differ between the cover crop treatments. These differences in cover crop effect on soil C and N storage, as well as yield is reflective of their differences in nutrient acquisition ability and their C: N ratio. Nutrient acquisition capacity would lead to differences in crop biomass production. Vetch, being a N fixing crop would be able to produce substantial crop biomass regardless of N fertilizer usage. Wheat on the other hand would be more dependent on availability of N in the soil for increasing its crop biomass production and that explains the positive response it had to N fertilization. At the high N-rates, the biomass production of both vetch and wheat would depend on the applied N fertilizer since with high availability of N in soil, the N fixing activity of leguminous crops is inhibited.  This could be the probable reason why the soil C and N (as well as yield) at the high N-rates did not differ based on cover crop or tillage. Jagadamma et al. (2007) reported a difference of 2.1 Mg/ha of aboveground biomass yield between corn-soybean and continuous corn cropping system at 0 N Kg/ha fertilizer application with corn-soybean having the higher yield.  However, at high N fertilizer rate (280 kg Nha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xml:space="preserve">), the difference was reversed, with continuous corn having a higher yield (0.94 Mg/ha). The higher above ground biomass yield of continuous corn at higher N rate could be due to the fact that corn is a higher biomass crop than soybean.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The C: N ratio of the crop residue determines the mineralisation/immobilisation rates. The lower C: N ratio of the vetch residue would lead to faster mineralisation rates than that of residue from wheat and no cover. The higher mineralisation rates would result in faster accumulation of decomposed organic matter, while the higher C: N ratio of wheat might mean more accumulation of non-decomposed organic matter on the soil surface. Nevertheless, higher N-fertilization rates would provide soil microbes with the needed N to facilitate higher </w:t>
      </w:r>
      <w:r w:rsidRPr="002600E7">
        <w:rPr>
          <w:rFonts w:ascii="Calibri" w:eastAsia="Calibri" w:hAnsi="Calibri" w:cs="Times New Roman"/>
          <w:sz w:val="22"/>
          <w:szCs w:val="22"/>
          <w:lang w:val="en-GB"/>
        </w:rPr>
        <w:lastRenderedPageBreak/>
        <w:t xml:space="preserve">mineralization rates of the high C: N crops like wheat. Indeed, preliminary results on a study focusing on differences in mineralization and nitrification under these plots show that the potential mineralisation rate at the highest N-rate (101 N kg/ha) for both vetch and wheat did not differ (data yet to be published). This is reflective of the lack of differences in soil C and N between the cover crops.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From our results, it is apparent that after a continuous period of growing a legume cover crop like vetch, crop productivity and soil C can be maintained without the need for additional N-fertilizer.  The lack of difference in soil C and N at 0 N rate under vetch cover crop and at 101 N rates under either wheat or vetch cover crop shows that higher levels of soil C could be achieved without a need of increased fertilizer rates which is believed to have a positive effect on soil C sequestration.  Though N rate is shown to have a positive effect on soil C and N, it may have some hidden or indirect effect on C emissions that result from fertilizer industry as a whole, from its manufacturing to application in the field (Jagadamma et al., 2007).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35" w:name="_Toc391021437"/>
      <w:r w:rsidRPr="00BF1DF3">
        <w:rPr>
          <w:rFonts w:ascii="Cambria" w:hAnsi="Cambria" w:cs="Times New Roman"/>
          <w:bCs/>
          <w:i/>
          <w:sz w:val="22"/>
          <w:szCs w:val="22"/>
          <w:lang w:val="en-GB"/>
        </w:rPr>
        <w:t>The Effect of Increasing N-fertilization rates on Soil C and N</w:t>
      </w:r>
      <w:bookmarkEnd w:id="35"/>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An additional aspect to this study was on the influence of increasing N-fertilization rates interacting with tillage practice and cover crops on the levels of soil C and N. While the greatest soil C and N levels were recorded at the highest N-rate, we observed that treatments under the vetch cover crop did not seem to respond to increasing N-fertilization rate. The contribution of vetch cover crop on both soil C and N was the same for all the N rates (0 N, 34 N, 67 N, 101 N).  Furthermore, at the highest N-rate (101N kg/ha), tillage and cover crops no longer had an effect on the differences in soil C and N levels. </w:t>
      </w:r>
    </w:p>
    <w:p w:rsidR="002600E7" w:rsidRPr="002600E7" w:rsidRDefault="002600E7" w:rsidP="002600E7">
      <w:pPr>
        <w:tabs>
          <w:tab w:val="left" w:pos="2340"/>
          <w:tab w:val="left" w:pos="3060"/>
        </w:tabs>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lastRenderedPageBreak/>
        <w:t xml:space="preserve"> Increasing N-fertilization rates has been reported to have a positive effect  on soil C storage, more so  where crop residue are returned to soil, although a lack of effect  has also been shown in some studies </w:t>
      </w:r>
      <w:r w:rsidRPr="002600E7">
        <w:rPr>
          <w:rFonts w:ascii="Calibri" w:eastAsia="Calibri" w:hAnsi="Calibri" w:cs="Times New Roman"/>
          <w:sz w:val="22"/>
          <w:szCs w:val="22"/>
          <w:lang w:val="en-GB"/>
        </w:rPr>
        <w:fldChar w:fldCharType="begin" w:fldLock="1"/>
      </w:r>
      <w:r w:rsidRPr="002600E7">
        <w:rPr>
          <w:rFonts w:ascii="Calibri" w:eastAsia="Calibri" w:hAnsi="Calibri" w:cs="Times New Roman"/>
          <w:sz w:val="22"/>
          <w:szCs w:val="22"/>
          <w:lang w:val="en-GB"/>
        </w:rPr>
        <w:instrText>ADDIN CSL_CITATION { "citationItems" : [ { "id" : "ITEM-1", "itemData" : { "DOI" : "10.1079/SUM2005291", "ISSN" : "02660032", "author" : [ { "dropping-particle" : "", "family" : "Alvarez", "given" : "R.", "non-dropping-particle" : "", "parse-names" : false, "suffix" : "" } ], "container-title" : "Soil Use and Management", "id" : "ITEM-1", "issue" : "1", "issued" : { "date-parts" : [ [ "2005", "3", "1" ] ] }, "page" : "38-52", "title" : "A review of nitrogen fertilizer and conservation tillage effects on soil organic carbon storage", "type" : "article-journal", "volume" : "21" }, "uris" : [ "http://www.mendeley.com/documents/?uuid=40ef0380-784d-4e42-96db-fd594206650e" ] } ], "mendeley" : { "previouslyFormattedCitation" : "(Alvarez, 2005)" }, "properties" : { "noteIndex" : 0 }, "schema" : "https://github.com/citation-style-language/schema/raw/master/csl-citation.json" }</w:instrText>
      </w:r>
      <w:r w:rsidRPr="002600E7">
        <w:rPr>
          <w:rFonts w:ascii="Calibri" w:eastAsia="Calibri" w:hAnsi="Calibri" w:cs="Times New Roman"/>
          <w:sz w:val="22"/>
          <w:szCs w:val="22"/>
          <w:lang w:val="en-GB"/>
        </w:rPr>
        <w:fldChar w:fldCharType="separate"/>
      </w:r>
      <w:r w:rsidRPr="002600E7">
        <w:rPr>
          <w:rFonts w:ascii="Calibri" w:eastAsia="Calibri" w:hAnsi="Calibri" w:cs="Times New Roman"/>
          <w:noProof/>
          <w:sz w:val="22"/>
          <w:szCs w:val="22"/>
          <w:lang w:val="en-GB"/>
        </w:rPr>
        <w:t>(Alvarez, 2005)</w:t>
      </w:r>
      <w:r w:rsidRPr="002600E7">
        <w:rPr>
          <w:rFonts w:ascii="Calibri" w:eastAsia="Calibri" w:hAnsi="Calibri" w:cs="Times New Roman"/>
          <w:sz w:val="22"/>
          <w:szCs w:val="22"/>
          <w:lang w:val="en-GB"/>
        </w:rPr>
        <w:fldChar w:fldCharType="end"/>
      </w:r>
      <w:r w:rsidRPr="002600E7">
        <w:rPr>
          <w:rFonts w:ascii="Calibri" w:eastAsia="Calibri" w:hAnsi="Calibri" w:cs="Times New Roman"/>
          <w:sz w:val="22"/>
          <w:szCs w:val="22"/>
          <w:lang w:val="en-GB"/>
        </w:rPr>
        <w:t>. For example, on a long-term (26 years) study under continuous corn and corn-soybean rotation cropping system on a Mollisol in Illinois, Jagadamma et al. (2007) found the above ground residue yield to have a positive correlation with N rates. Their study showed the above ground residue yield to increase with increasing N rate, from 0 N up to 150 kg Nha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xml:space="preserve">  beyond which no further increase in yield were observed</w:t>
      </w:r>
      <w:r w:rsidRPr="002600E7">
        <w:rPr>
          <w:rFonts w:ascii="Calibri" w:eastAsia="Calibri" w:hAnsi="Calibri" w:cs="Times New Roman"/>
          <w:sz w:val="22"/>
          <w:szCs w:val="22"/>
          <w:highlight w:val="cyan"/>
          <w:lang w:val="en-GB"/>
        </w:rPr>
        <w:t xml:space="preserve">. Furthermore, </w:t>
      </w:r>
      <w:r w:rsidRPr="002600E7">
        <w:rPr>
          <w:rFonts w:ascii="Calibri" w:eastAsia="Calibri" w:hAnsi="Calibri" w:cs="Times New Roman"/>
          <w:sz w:val="22"/>
          <w:szCs w:val="22"/>
          <w:lang w:val="en-GB"/>
        </w:rPr>
        <w:t xml:space="preserve">Jagadamma et al., (2007) found that 64 % of soil organic C build up (kg/ha/year) could be explained by the increased N-fertilization rates.  Similarly, Halvorson et al. (1999) in a 11 year study at Akron, Ohio, under a spring-barley-cotton rotation observed increasing N rate to explain almost 90 percent of the soil organic carbon. This positive response of soil C storage to N-fertilization could mainly be attributed to an increase in the net crop production and quantity of residues returned to soil. Where there has been a lack of response to N-fertilization it has been attributed to differences in soil texture, N-fertilizer effect on the quality of residue returned to soil and the interaction of climatic factors </w:t>
      </w:r>
      <w:r w:rsidRPr="002600E7">
        <w:rPr>
          <w:rFonts w:ascii="Calibri" w:eastAsia="Calibri" w:hAnsi="Calibri" w:cs="Times New Roman"/>
          <w:sz w:val="22"/>
          <w:szCs w:val="22"/>
          <w:lang w:val="en-GB"/>
        </w:rPr>
        <w:fldChar w:fldCharType="begin" w:fldLock="1"/>
      </w:r>
      <w:r w:rsidRPr="002600E7">
        <w:rPr>
          <w:rFonts w:ascii="Calibri" w:eastAsia="Calibri" w:hAnsi="Calibri" w:cs="Times New Roman"/>
          <w:sz w:val="22"/>
          <w:szCs w:val="22"/>
          <w:lang w:val="en-GB"/>
        </w:rPr>
        <w:instrText>ADDIN CSL_CITATION { "citationItems" : [ { "id" : "ITEM-1", "itemData" : { "DOI" : "10.1079/SUM2005291", "ISSN" : "02660032", "author" : [ { "dropping-particle" : "", "family" : "Alvarez", "given" : "R.", "non-dropping-particle" : "", "parse-names" : false, "suffix" : "" } ], "container-title" : "Soil Use and Management", "id" : "ITEM-1", "issue" : "1", "issued" : { "date-parts" : [ [ "2005", "3", "1" ] ] }, "page" : "38-52", "title" : "A review of nitrogen fertilizer and conservation tillage effects on soil organic carbon storage", "type" : "article-journal", "volume" : "21" }, "uris" : [ "http://www.mendeley.com/documents/?uuid=40ef0380-784d-4e42-96db-fd594206650e" ] } ], "mendeley" : { "previouslyFormattedCitation" : "(Alvarez, 2005)" }, "properties" : { "noteIndex" : 0 }, "schema" : "https://github.com/citation-style-language/schema/raw/master/csl-citation.json" }</w:instrText>
      </w:r>
      <w:r w:rsidRPr="002600E7">
        <w:rPr>
          <w:rFonts w:ascii="Calibri" w:eastAsia="Calibri" w:hAnsi="Calibri" w:cs="Times New Roman"/>
          <w:sz w:val="22"/>
          <w:szCs w:val="22"/>
          <w:lang w:val="en-GB"/>
        </w:rPr>
        <w:fldChar w:fldCharType="separate"/>
      </w:r>
      <w:r w:rsidRPr="002600E7">
        <w:rPr>
          <w:rFonts w:ascii="Calibri" w:eastAsia="Calibri" w:hAnsi="Calibri" w:cs="Times New Roman"/>
          <w:noProof/>
          <w:sz w:val="22"/>
          <w:szCs w:val="22"/>
          <w:lang w:val="en-GB"/>
        </w:rPr>
        <w:t>(Alvarez, 2005)</w:t>
      </w:r>
      <w:r w:rsidRPr="002600E7">
        <w:rPr>
          <w:rFonts w:ascii="Calibri" w:eastAsia="Calibri" w:hAnsi="Calibri" w:cs="Times New Roman"/>
          <w:sz w:val="22"/>
          <w:szCs w:val="22"/>
          <w:lang w:val="en-GB"/>
        </w:rPr>
        <w:fldChar w:fldCharType="end"/>
      </w:r>
      <w:r w:rsidRPr="002600E7">
        <w:rPr>
          <w:rFonts w:ascii="Calibri" w:eastAsia="Calibri" w:hAnsi="Calibri" w:cs="Times New Roman"/>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In the same plots, cotton yield (un published data) records also showed a similar response as that observed with soil C and N levels. Generally, treatments under NoTill had higher cotton yields but this varied based on cover crop and N-rate. The highest yields were recorded at the high N-rate (101N kg/ha) regardless of tillage or cover crop treatment.  Nevertheless, cotton yield for the NoTill treatments under vetch were constantly highest at each of the N-rate.  Indeed, this parallel increase of yield and soil C and N levels depicts that organic C levels in soils is a function of crop yield.  These trends are indicative of N being a limiting factor towards crop </w:t>
      </w:r>
      <w:r w:rsidRPr="002600E7">
        <w:rPr>
          <w:rFonts w:ascii="Calibri" w:eastAsia="Calibri" w:hAnsi="Calibri" w:cs="Times New Roman"/>
          <w:sz w:val="22"/>
          <w:szCs w:val="22"/>
          <w:lang w:val="en-GB"/>
        </w:rPr>
        <w:lastRenderedPageBreak/>
        <w:t xml:space="preserve">growth in these soils and further supports our hypothesis that added residue either from cover crop or enhanced crop growth by N-fertilization plays a significant role in promoting C and N storage in these soils. The significance of residue additions towards the build-up of C and N in these soils may also be driven by the fact that the soils in this region are generally characterised by low organic matter content (cite) with the main crop in this study, cotton, being a low biomass crop and would therefore have minimal contribution to residue additions besides probably at higher N-fertilization rates.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36" w:name="_Toc391021438"/>
      <w:r w:rsidRPr="00BF1DF3">
        <w:rPr>
          <w:rFonts w:ascii="Cambria" w:hAnsi="Cambria" w:cs="Times New Roman"/>
          <w:bCs/>
          <w:i/>
          <w:sz w:val="22"/>
          <w:szCs w:val="22"/>
          <w:lang w:val="en-GB"/>
        </w:rPr>
        <w:t>Soil fertility status based on select nutrients</w:t>
      </w:r>
      <w:bookmarkEnd w:id="36"/>
      <w:r w:rsidRPr="00BF1DF3">
        <w:rPr>
          <w:rFonts w:ascii="Cambria" w:hAnsi="Cambria" w:cs="Times New Roman"/>
          <w:bCs/>
          <w:i/>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Similar to what was observed on soil C and N under tillage treatment, the soil nutrient status based on extractable P, K and Ca was also higher under the NoTill treatments than till, but Mg did not differ between tillage treatments </w:t>
      </w:r>
      <w:r w:rsidRPr="002600E7">
        <w:rPr>
          <w:rFonts w:ascii="Calibri" w:eastAsia="Calibri" w:hAnsi="Calibri" w:cs="Times New Roman"/>
          <w:sz w:val="22"/>
          <w:szCs w:val="22"/>
          <w:highlight w:val="cyan"/>
          <w:lang w:val="en-GB"/>
        </w:rPr>
        <w:t xml:space="preserve">The higher availability of P, K and Ca under NoTill is in agreement with what other studies have reported in literature </w:t>
      </w:r>
      <w:r w:rsidRPr="002600E7">
        <w:rPr>
          <w:rFonts w:ascii="Calibri" w:eastAsia="Calibri" w:hAnsi="Calibri" w:cs="Times New Roman"/>
          <w:sz w:val="22"/>
          <w:szCs w:val="22"/>
          <w:lang w:val="en-GB"/>
        </w:rPr>
        <w:t>(</w:t>
      </w:r>
      <w:r w:rsidRPr="002600E7">
        <w:rPr>
          <w:rFonts w:ascii="Calibri" w:eastAsia="Calibri" w:hAnsi="Calibri" w:cs="Times New Roman"/>
          <w:color w:val="FF0000"/>
          <w:sz w:val="22"/>
          <w:szCs w:val="22"/>
          <w:lang w:val="en-GB"/>
        </w:rPr>
        <w:t>cite</w:t>
      </w:r>
      <w:r w:rsidRPr="002600E7">
        <w:rPr>
          <w:rFonts w:ascii="Calibri" w:eastAsia="Calibri" w:hAnsi="Calibri" w:cs="Times New Roman"/>
          <w:sz w:val="22"/>
          <w:szCs w:val="22"/>
          <w:lang w:val="en-GB"/>
        </w:rPr>
        <w:t xml:space="preserve">). The higher P, K and Ca concentration under no- till could be the effect of biological cycling that result from the crop residues mainly attributed to the concurrent increase of soil organic matter under NoTill.  Higher levels of organic matter not only serve as a source of nutrients as it is mineralised, </w:t>
      </w:r>
      <w:r w:rsidRPr="002600E7">
        <w:rPr>
          <w:rFonts w:ascii="Calibri" w:eastAsia="Calibri" w:hAnsi="Calibri" w:cs="Times New Roman"/>
          <w:sz w:val="22"/>
          <w:szCs w:val="22"/>
          <w:highlight w:val="cyan"/>
          <w:lang w:val="en-GB"/>
        </w:rPr>
        <w:t>but it also act as a chelating agent of competing Al species, and release organic acids that mediate the solubilisation of P</w:t>
      </w:r>
      <w:r w:rsidRPr="002600E7">
        <w:rPr>
          <w:rFonts w:ascii="Calibri" w:eastAsia="Calibri" w:hAnsi="Calibri" w:cs="Times New Roman"/>
          <w:sz w:val="22"/>
          <w:szCs w:val="22"/>
          <w:lang w:val="en-GB"/>
        </w:rPr>
        <w:t>, making it more available (</w:t>
      </w:r>
      <w:r w:rsidRPr="002600E7">
        <w:rPr>
          <w:rFonts w:ascii="Calibri" w:eastAsia="Calibri" w:hAnsi="Calibri" w:cs="Times New Roman"/>
          <w:color w:val="FF0000"/>
          <w:sz w:val="22"/>
          <w:szCs w:val="22"/>
          <w:lang w:val="en-GB"/>
        </w:rPr>
        <w:t>cite</w:t>
      </w:r>
      <w:r w:rsidRPr="002600E7">
        <w:rPr>
          <w:rFonts w:ascii="Calibri" w:eastAsia="Calibri" w:hAnsi="Calibri" w:cs="Times New Roman"/>
          <w:sz w:val="22"/>
          <w:szCs w:val="22"/>
          <w:lang w:val="en-GB"/>
        </w:rPr>
        <w:t>). Furthermore, under NoTill, P sorption to soil colloids is reduced due to the fact that tilling results in the ions within the soil having more contact with soil particles thus increasing the surface reactivity of the particles that would result in higher P sorption under Till as opposed to NoTill therefore leading to higher Ext. P in no-till than in till.</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lastRenderedPageBreak/>
        <w:t xml:space="preserve"> N-fertilization rate resulted in a negative relationship with P, K and Ca, with higher N rates resulting in lower concentrations. Jagadamma et al. (2008) observed higher exchangeable K at 0 N-rate and the lowest concentration under higher N rate (280 kg Nha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The negative correlation of soil nutrients with increasing N-rate observed in our study was not surprising as the soil pH also decreased. Given that the fertilizer applied in our plots was in the form of ammonium nitrate, the long-term application of this fertilizer type   would result with acid production through NH</w:t>
      </w:r>
      <w:r w:rsidRPr="002600E7">
        <w:rPr>
          <w:rFonts w:ascii="Calibri" w:eastAsia="Calibri" w:hAnsi="Calibri" w:cs="Times New Roman"/>
          <w:sz w:val="22"/>
          <w:szCs w:val="22"/>
          <w:vertAlign w:val="subscript"/>
          <w:lang w:val="en-GB"/>
        </w:rPr>
        <w:t>4</w:t>
      </w:r>
      <w:r w:rsidRPr="002600E7">
        <w:rPr>
          <w:rFonts w:ascii="Calibri" w:eastAsia="Calibri" w:hAnsi="Calibri" w:cs="Times New Roman"/>
          <w:sz w:val="22"/>
          <w:szCs w:val="22"/>
          <w:vertAlign w:val="superscript"/>
          <w:lang w:val="en-GB"/>
        </w:rPr>
        <w:t xml:space="preserve">+ </w:t>
      </w:r>
      <w:r w:rsidRPr="002600E7">
        <w:rPr>
          <w:rFonts w:ascii="Calibri" w:eastAsia="Calibri" w:hAnsi="Calibri" w:cs="Times New Roman"/>
          <w:sz w:val="22"/>
          <w:szCs w:val="22"/>
          <w:lang w:val="en-GB"/>
        </w:rPr>
        <w:t>oxidation by nitrifying bacteria.  The increase in soil acidity due to N fertilizer application will result with increased levels of exchangeable Aluminium (Al) in soil solution. The increased level of Al in solution will result with its reaction with P forming the precipitate which will reduce P concentration in soil. Another effect of higher Al concentration in soil solution is that, Al will exchange with basic cations (Ca, K and Mg) on the soil exchange site. This will result with the increased concentration of these base cations in solution where they would be susceptible to being lost through leaching.  Blevins et al. (1977) and Schroda et al. (2011) observed lower percent base saturation under increased soil acidity. Barak et al. (1997) also observed a concurrent decline in both base saturation and cation exchange capacity (CEC) with increased soil acidity. The decline in CEC will result with reduced soil adsorption capacity hence lower concentrations of exchangeable cations on the soil exchange sites. The effect of this would be higher concentration of the exchangeable cations in the soil solution, the fate of which may be leaching from the soil system (Barak et al 1997). Blevins et al. (1977) saw a decline of about 30% of CEC in an alfisol in Lexington, Kentucky at fertilizer application rates of 336 kg N 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xml:space="preserve"> and 21% CEC reduction at the application rate of 168 kg N ha</w:t>
      </w:r>
      <w:r w:rsidRPr="002600E7">
        <w:rPr>
          <w:rFonts w:ascii="Calibri" w:eastAsia="Calibri" w:hAnsi="Calibri" w:cs="Times New Roman"/>
          <w:sz w:val="22"/>
          <w:szCs w:val="22"/>
          <w:vertAlign w:val="superscript"/>
          <w:lang w:val="en-GB"/>
        </w:rPr>
        <w:t>-1</w:t>
      </w:r>
      <w:r w:rsidRPr="002600E7">
        <w:rPr>
          <w:rFonts w:ascii="Calibri" w:eastAsia="Calibri" w:hAnsi="Calibri" w:cs="Times New Roman"/>
          <w:sz w:val="22"/>
          <w:szCs w:val="22"/>
          <w:lang w:val="en-GB"/>
        </w:rPr>
        <w:t xml:space="preserve"> over a period of five years without soil liming.</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lastRenderedPageBreak/>
        <w:t xml:space="preserve">It is also probable that the difference in extractable P, K and Ca between higher N rates and lower N rates could be related to the observed </w:t>
      </w:r>
      <w:r w:rsidRPr="002600E7">
        <w:rPr>
          <w:rFonts w:ascii="Calibri" w:eastAsia="Calibri" w:hAnsi="Calibri" w:cs="Times New Roman"/>
          <w:sz w:val="22"/>
          <w:szCs w:val="22"/>
          <w:highlight w:val="cyan"/>
          <w:lang w:val="en-GB"/>
        </w:rPr>
        <w:t>yield differences</w:t>
      </w:r>
      <w:r w:rsidRPr="002600E7">
        <w:rPr>
          <w:rFonts w:ascii="Calibri" w:eastAsia="Calibri" w:hAnsi="Calibri" w:cs="Times New Roman"/>
          <w:sz w:val="22"/>
          <w:szCs w:val="22"/>
          <w:lang w:val="en-GB"/>
        </w:rPr>
        <w:t>. It could be assumed that the higher yields observed at the high N rate would have in turn led to higher uptake of other nutrients like P, K and Ca as well, therefore reducing their availability at the high N rate</w:t>
      </w:r>
      <w:r w:rsidRPr="002600E7">
        <w:rPr>
          <w:rFonts w:ascii="Arial" w:eastAsia="Calibri" w:hAnsi="Arial"/>
          <w:szCs w:val="22"/>
        </w:rPr>
        <w:t>.</w:t>
      </w:r>
      <w:r w:rsidRPr="002600E7">
        <w:rPr>
          <w:rFonts w:ascii="Calibri" w:eastAsia="Calibri" w:hAnsi="Calibri" w:cs="Times New Roman"/>
          <w:sz w:val="22"/>
          <w:szCs w:val="22"/>
          <w:lang w:val="en-GB"/>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Under the high N rate (101 N) the higher cotton yield could have resulted with more extraction of P, K and Ca but under 0 N rate, lack of N might have affected the amount of these nutrients that might have been taken up by the plants. Though the higher N rate resulted with lower concentrations of P and K, the vetch cover crop at 0N had the same effect. The fixation of N by vetch at this lower N rate might have promoted more plant up take of these nutrients whereas the lack of N under wheat and no cover led to the opposite.  However Ca was higher under vetch at 0N than under both wheat and no cover but it was the same across other N rates (34, 67 and 101 N). Mg was not affect by either of the treatment factors.   </w:t>
      </w:r>
    </w:p>
    <w:p w:rsidR="002600E7" w:rsidRPr="00BF1DF3" w:rsidRDefault="002600E7" w:rsidP="002600E7">
      <w:pPr>
        <w:keepNext/>
        <w:keepLines/>
        <w:numPr>
          <w:ilvl w:val="2"/>
          <w:numId w:val="0"/>
        </w:numPr>
        <w:spacing w:before="200" w:line="480" w:lineRule="auto"/>
        <w:ind w:left="720" w:hanging="720"/>
        <w:outlineLvl w:val="2"/>
        <w:rPr>
          <w:rFonts w:ascii="Cambria" w:hAnsi="Cambria" w:cs="Times New Roman"/>
          <w:bCs/>
          <w:i/>
          <w:sz w:val="22"/>
          <w:szCs w:val="22"/>
          <w:lang w:val="en-GB"/>
        </w:rPr>
      </w:pPr>
      <w:bookmarkStart w:id="37" w:name="_Toc391021439"/>
      <w:r w:rsidRPr="00BF1DF3">
        <w:rPr>
          <w:rFonts w:ascii="Cambria" w:hAnsi="Cambria" w:cs="Times New Roman"/>
          <w:bCs/>
          <w:i/>
          <w:sz w:val="22"/>
          <w:szCs w:val="22"/>
          <w:lang w:val="en-GB"/>
        </w:rPr>
        <w:t>Soil bulk density as influenced by tillage, cover crop and N-rate</w:t>
      </w:r>
      <w:bookmarkEnd w:id="37"/>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Contrary to what is expected with the reduced tillage systems, till had a lower soil bulk density (BD) than No-Till. NoTill had a bulk density of </w:t>
      </w:r>
      <w:r w:rsidRPr="002600E7">
        <w:rPr>
          <w:rFonts w:ascii="Calibri" w:eastAsia="Calibri" w:hAnsi="Calibri" w:cs="Times New Roman"/>
          <w:sz w:val="22"/>
          <w:szCs w:val="22"/>
          <w:highlight w:val="cyan"/>
          <w:lang w:val="en-GB"/>
        </w:rPr>
        <w:t>1.23 g/cm</w:t>
      </w:r>
      <w:r w:rsidRPr="002600E7">
        <w:rPr>
          <w:rFonts w:ascii="Calibri" w:eastAsia="Calibri" w:hAnsi="Calibri" w:cs="Times New Roman"/>
          <w:sz w:val="22"/>
          <w:szCs w:val="22"/>
          <w:highlight w:val="cyan"/>
          <w:vertAlign w:val="superscript"/>
          <w:lang w:val="en-GB"/>
        </w:rPr>
        <w:t>3</w:t>
      </w:r>
      <w:r w:rsidRPr="002600E7">
        <w:rPr>
          <w:rFonts w:ascii="Calibri" w:eastAsia="Calibri" w:hAnsi="Calibri" w:cs="Times New Roman"/>
          <w:sz w:val="22"/>
          <w:szCs w:val="22"/>
          <w:highlight w:val="cyan"/>
          <w:lang w:val="en-GB"/>
        </w:rPr>
        <w:t xml:space="preserve"> while till 1.15 g/cm</w:t>
      </w:r>
      <w:r w:rsidRPr="002600E7">
        <w:rPr>
          <w:rFonts w:ascii="Calibri" w:eastAsia="Calibri" w:hAnsi="Calibri" w:cs="Times New Roman"/>
          <w:sz w:val="22"/>
          <w:szCs w:val="22"/>
          <w:highlight w:val="cyan"/>
          <w:vertAlign w:val="superscript"/>
          <w:lang w:val="en-GB"/>
        </w:rPr>
        <w:t>3</w:t>
      </w:r>
      <w:r w:rsidRPr="002600E7">
        <w:rPr>
          <w:rFonts w:ascii="Calibri" w:eastAsia="Calibri" w:hAnsi="Calibri" w:cs="Times New Roman"/>
          <w:sz w:val="22"/>
          <w:szCs w:val="22"/>
          <w:highlight w:val="cyan"/>
          <w:lang w:val="en-GB"/>
        </w:rPr>
        <w:t>.</w:t>
      </w:r>
      <w:r w:rsidRPr="002600E7">
        <w:rPr>
          <w:rFonts w:ascii="Calibri" w:eastAsia="Calibri" w:hAnsi="Calibri" w:cs="Times New Roman"/>
          <w:sz w:val="22"/>
          <w:szCs w:val="22"/>
          <w:lang w:val="en-GB"/>
        </w:rPr>
        <w:t xml:space="preserve"> However, this may be a difference that exists only within the upper soil surface as sampling was only restricted to a 7.5-cm depth.  This difference could be due to the fact that under till, the upper soil surface is periodically loosened through tilling while under no-till there is more aggregation of soil particles at the soil surface without any loosening.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Bulk density at the 0N-rate was also higher compared to treatments having N-fertilizer applied. This could be due to the fact that with N-fertilizer application, crop growth increases resulting in </w:t>
      </w:r>
      <w:r w:rsidRPr="002600E7">
        <w:rPr>
          <w:rFonts w:ascii="Calibri" w:eastAsia="Calibri" w:hAnsi="Calibri" w:cs="Times New Roman"/>
          <w:sz w:val="22"/>
          <w:szCs w:val="22"/>
          <w:lang w:val="en-GB"/>
        </w:rPr>
        <w:lastRenderedPageBreak/>
        <w:t xml:space="preserve">higher root biomass at the upper soil surface which would result in increased porosity from the root channels. Although cover crop did not have a significant influence on bulk density, we observed lower bulk density values for treatments under vetch compared to wheat or No-cover. Also, at the highest N-rate, BD did not differ between the two tillage treatments which may be explained by the increased level of crop biomass.  </w:t>
      </w:r>
    </w:p>
    <w:p w:rsidR="002600E7" w:rsidRPr="00AE0605" w:rsidRDefault="002600E7" w:rsidP="00AE0605">
      <w:pPr>
        <w:pStyle w:val="Heading3"/>
      </w:pPr>
      <w:bookmarkStart w:id="38" w:name="_Toc391021440"/>
      <w:r w:rsidRPr="00AE0605">
        <w:t>Status of Microbial Community Structure and Activity after 31 years of tillage, cover crops, and varying N rates</w:t>
      </w:r>
      <w:bookmarkEnd w:id="38"/>
      <w:r w:rsidRPr="00AE0605">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lang w:val="en-GB"/>
        </w:rPr>
        <w:t xml:space="preserve">The soil microbial biomass (SMB) based on both chloroform fumigation extraction and FAME analysis was able to reveal subtle differences based on cover crop and N-rate but did not reveal differences between tillage treatments. Treatments under hairy vetch had higher microbial biomass N and total FAME, with no differences in microbial biomass C. Total FAME revealed differences due to N-rate which was significantly higher at the 67 and 101 N-rates. This suggests the possible response of microbial community to increases in both rooting activity and additional substrate as a result of increased N availability. This is in agreement with what we observed in the response of total C and N (as well as yield) as discussed in the previous section. </w:t>
      </w:r>
      <w:r w:rsidRPr="002600E7">
        <w:rPr>
          <w:rFonts w:ascii="Calibri" w:eastAsia="Calibri" w:hAnsi="Calibri" w:cs="Times New Roman"/>
          <w:sz w:val="22"/>
          <w:szCs w:val="22"/>
        </w:rPr>
        <w:t xml:space="preserve">The quantity and quality of additional substrates based on higher N fertility status has also been shown to significantly increase the levels of microbial biomass in several other studies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"10.1016/S0038-0717(00)00060-2", "ISSN" : "00380717", "author" : [ { "dropping-particle" : "", "family" : "Drijber", "given" : "R.A.", "non-dropping-particle" : "", "parse-names" : false, "suffix" : "" }, { "dropping-particle" : "", "family" : "Doran", "given" : "J.W.", "non-dropping-particle" : "", "parse-names" : false, "suffix" : "" }, { "dropping-particle" : "", "family" : "Parkhurst", "given" : "A.M.", "non-dropping-particle" : "", "parse-names" : false, "suffix" : "" }, { "dropping-particle" : "", "family" : "Lyon", "given" : "D.J.", "non-dropping-particle" : "", "parse-names" : false, "suffix" : "" } ], "container-title" : "Soil Biology and Biochemistry", "id" : "ITEM-1", "issue" : "10", "issued" : { "date-parts" : [ [ "2000", "9" ] ] }, "page" : "1419-1430", "title" : "Changes in soil microbial community structure with tillage under long-term wheat-fallow management", "type" : "article-journal", "volume" : "32" }, "uris" : [ "http://www.mendeley.com/documents/?uuid=1bddb9ee-2aed-4a41-851d-e0152afd5418" ] }, { "id" : "ITEM-2", "itemData" : { "author" : [ { "dropping-particle" : "", "family" : "Bailey", "given" : "V L", "non-dropping-particle" : "", "parse-names" : false, "suffix" : "" }, { "dropping-particle" : "", "family" : "Smith", "given" : "J L", "non-dropping-particle" : "", "parse-names" : false, "suffix" : "" }, { "dropping-particle" : "", "family" : "Jr", "given" : "H Bolton", "non-dropping-particle" : "", "parse-names" : false, "suffix" : "" } ], "id" : "ITEM-2", "issued" : { "date-parts" : [ [ "2002" ] ] }, "title" : "Fungal-to-bacterial ratios in soils investigated for enhanced C sequestration", "type" : "article-journal", "volume" : "34" }, "uris" : [ "http://www.mendeley.com/documents/?uuid=b71025fa-07fe-4afb-8031-b8ec247d38ae" ] }, { "id" : "ITEM-3", "itemData" : { "abstract" : "The effect of crop residue and soil organic matter (SOM) quality on the functional characteristics of soil microbial communities was investigated. Five shoot and root materials with contrasting biochemical qualities were incorporated into soil taken from a cultivated field (FC) and a field edge (FE). These soils had contrasting native SOM qualities, with organic C contents of 0.9 and 2.5%, respectively. The amended soils were incubated under controlled environment conditions before the metabolic characteristics of the soil microbial community were determined by analysis of the activities of 19 hydrolytic enzymes, by substrate utilization within Biolog GN microplates, and C and N mineralization dynamics. For enzyme and Biolog data, metabolic diversity and community level physiological profiles (CLPP) were determined by calculating Shannon's diversity index and performing canonical variate analysis, respectively. Soil type significantly affected mineralization of N from the residues, although the size and direction of the effect varied according to the crop residue material added. Both enzyme and Biolog metabolic diversity were affected by the type of crop residue incorporated. Enzyme diversity was higher in FE relative to FC soil, but soil type had no effect on metabolic diversity recorded in Biolog microplates. There were significant interactions between soil type and crop residue material for respiration, N mineralization and enzyme diversity. During the early stages of decomposition, there were similarities in the response of enzyme and Biolog CLPP to crop residue quality and soil type. In the high OM soil, there was evidence for convergence of CLPP in treatments receiving low and high quality crop residue types. However, in the low SOM soil, CLPP of low and high quality crop residue treatments were clearly different. The length of time required for the CLPP of residue amended soil to converge with that of unamended control soil depended on both residue and soil type. We conclude that both crop residue and SOM quality can affect the functional diversity of the soil microbial community, and that enzyme and Biolog analyses reflect complementary, but not inter-changeable, analyses.", "author" : [ { "dropping-particle" : "", "family" : "Bending", "given" : "Gary D", "non-dropping-particle" : "", "parse-names" : false, "suffix" : "" }, { "dropping-particle" : "", "family" : "Turner", "given" : "Mary K", "non-dropping-particle" : "", "parse-names" : false, "suffix" : "" }, { "dropping-particle" : "", "family" : "Jones", "given" : "Julie E", "non-dropping-particle" : "", "parse-names" : false, "suffix" : "" } ], "container-title" : "Soil Biology and Biochemistry", "id" : "ITEM-3", "issue" : "8", "issued" : { "date-parts" : [ [ "2002" ] ] }, "page" : "1073-1082", "title" : "Interactions between crop residue and soil organic matter quality and the functional diversity of soil microbial communities", "type" : "article-journal", "volume" : "34" }, "uris" : [ "http://www.mendeley.com/documents/?uuid=0e28128f-f340-4e0c-9317-69432ff1c5c6" ] } ], "mendeley" : { "manualFormatting" : "(Fraser et al., 1988; Drijber et al., 2000; Bailey et al., 2002; Bending et al., 2002)", "previouslyFormattedCitation" : "(Drijber et al., 2000; Bailey et al., 2002; Bending et al., 2002)"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(Fraser et al., 1988; Drijber et al., 2000; Bailey et al., 2002; Bending et al., 2002)</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xml:space="preserve">.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lang w:val="en-GB"/>
        </w:rPr>
        <w:t xml:space="preserve">Although SMB is expected to be higher under NoTill systems, we did not observe significantly higher levels in our study. Nevertheless, we observed distinct differences in the abundance of specific microbial groups between NoTill and Till treatments based on FAME analysis.  NoTill treatments were characterised by a higher relative abundance of gram+ bacteria, actinomycetes </w:t>
      </w:r>
      <w:r w:rsidRPr="002600E7">
        <w:rPr>
          <w:rFonts w:ascii="Calibri" w:eastAsia="Calibri" w:hAnsi="Calibri" w:cs="Times New Roman"/>
          <w:sz w:val="22"/>
          <w:szCs w:val="22"/>
          <w:lang w:val="en-GB"/>
        </w:rPr>
        <w:lastRenderedPageBreak/>
        <w:t>and mycorrhiza fungi</w:t>
      </w:r>
      <w:r w:rsidRPr="002600E7">
        <w:rPr>
          <w:rFonts w:ascii="Calibri" w:eastAsia="Calibri" w:hAnsi="Calibri" w:cs="Times New Roman"/>
          <w:sz w:val="22"/>
          <w:szCs w:val="22"/>
        </w:rPr>
        <w:t xml:space="preserve">. These results are in agreement with those reported by several other studies (Drijber et al., 2000; Feng et al., 2003; Helgason et al., 2009). Tillage in comparison to reduced tillage systems  is said to typically favor the dominance of aerobic bacteria with a greater capacity to breakdown labile substrates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"author" : [ { "dropping-particle" : "", "family" : "Linn", "given" : "DM", "non-dropping-particle" : "", "parse-names" : false, "suffix" : "" }, { "dropping-particle" : "", "family" : "Doran", "given" : "JW", "non-dropping-particle" : "", "parse-names" : false, "suffix" : "" } ], "container-title" : "Soil Science Society of America \u2026", "id" : "ITEM-1", "issued" : { "date-parts" : [ [ "1984" ] ] }, "page" : "1-6", "title" : "Aerobic and anaerobic microbial populations in no-till and plowed soils", "type" : "article-journal" }, "uris" : [ "http://www.mendeley.com/documents/?uuid=fe4a6d35-b753-45bb-b451-3361dd6202c0" ] }, { "id" : "ITEM-2", "itemData" : { "DOI" : "10.1016/j.soilbio.2003.10.026", "ISSN" : "00380717", "author" : [ { "dropping-particle" : "", "family" : "Spedding", "given" : "T.a.", "non-dropping-particle" : "", "parse-names" : false, "suffix" : "" }, { "dropping-particle" : "", "family" : "Hamel", "given" : "C.", "non-dropping-particle" : "", "parse-names" : false, "suffix" : "" }, { "dropping-particle" : "", "family" : "Mehuys", "given" : "G.R.", "non-dropping-particle" : "", "parse-names" : false, "suffix" : "" }, { "dropping-particle" : "", "family" : "Madramootoo", "given" : "C.a.", "non-dropping-particle" : "", "parse-names" : false, "suffix" : "" } ], "container-title" : "Soil Biology and Biochemistry", "id" : "ITEM-2", "issue" : "3", "issued" : { "date-parts" : [ [ "2004", "3" ] ] }, "page" : "499-512", "title" : "Soil microbial dynamics in maize-growing soil under different tillage and residue management systems", "type" : "article-journal", "volume" : "36" }, "uris" : [ "http://www.mendeley.com/documents/?uuid=1023c20e-6125-45ca-9e24-42d0756b10b2" ] }, { "id" : "ITEM-3", "itemData" : { "DOI" : "10.1016/j.apsoil.2008.08.003", "ISSN" : "09291393", "abstract" : "In the southeastern United States, conservation tillage techniques are used to conserve soil nutrients and structure, providing habitat and substrate for biota, which are largely responsible for the mineralization of nutrients in the soil. A deterrent for growers considering the transition to conservation tillage is the delay in soil response (e.g. increased soil carbon, efficient nutrient cycling, impacts on yield) associated with the equilibration of the soil food web. The objective of this study was to determine if the microbial community composition and biomass changed with transition to conservation tillage. Soils sampled from five sites, representing a chronosequence of conservation tillage (from conventionally tilled to 30 year no-till), were collected for fatty acid analysis. Microbial communities were significantly different among sites. Fungi, characterized by 18:2\u03c96, 18:1\u03c99, and 18:3\u03c96c fatty acids, were typically lowest in the conventionally tilled soil, probably due to repeated disruption of the fungal hyphae associated with tillage. In all soils, soil nutrient concentrations, moisture and microarthropod abundance were correlated with microbial structure. Plots in conservation tillage were significantly different from the conventionally tilled plots, but did not exhibit a clear linear pattern across the chronosequence. This evidence that belowground food webs can respond quickly to a cessation in tillage suggests that the delay in soil response may be due more to the time required to build organic matter than to a slow response by the biota.", "author" : [ { "dropping-particle" : "", "family" : "Simmons", "given" : "Breana L.", "non-dropping-particle" : "", "parse-names" : false, "suffix" : "" }, { "dropping-particle" : "", "family" : "Coleman", "given" : "David C.", "non-dropping-particle" : "", "parse-names" : false, "suffix" : "" } ], "container-title" : "Applied Soil Ecology", "id" : "ITEM-3", "issue" : "3", "issued" : { "date-parts" : [ [ "2008", "11" ] ] }, "page" : "518-528", "title" : "Microbial community response to transition from conventional to conservation tillage in cotton fields", "type" : "article-journal", "volume" : "40" }, "uris" : [ "http://www.mendeley.com/documents/?uuid=e13a2cbe-b327-4950-bc87-2009390472c0" ] }, { "id" : "ITEM-4", "itemData" : { "author" : [ { "dropping-particle" : "", "family" : "Beare", "given" : "MH", "non-dropping-particle" : "", "parse-names" : false, "suffix" : "" }, { "dropping-particle" : "", "family" : "Parmelee", "given" : "RW", "non-dropping-particle" : "", "parse-names" : false, "suffix" : "" }, { "dropping-particle" : "", "family" : "Hendrix", "given" : "PF", "non-dropping-particle" : "", "parse-names" : false, "suffix" : "" } ], "container-title" : "Ecological \u2026", "id" : "ITEM-4", "issue" : "4", "issued" : { "date-parts" : [ [ "1992" ] ] }, "page" : "569-591", "title" : "Microbial and faunal interactions and effects on litter nitrogen and decomposition in agroecosystems", "type" : "article-journal", "volume" : "62" }, "uris" : [ "http://www.mendeley.com/documents/?uuid=779abb22-abc0-42e2-9947-c1b7f34cac41" ] } ], "mendeley" : { "previouslyFormattedCitation" : "(Linn and Doran, 1984; Beare et al., 1992; Spedding et al., 2004; Simmons and Coleman, 2008)"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sz w:val="22"/>
          <w:szCs w:val="22"/>
        </w:rPr>
        <w:t>(Linn and Doran, 1984; Beare et al., 1992; Spedding et al., 2004; Simmons and Coleman, 2008)</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xml:space="preserve">. Nevertheless, over time the accumulation of substrate quantity on the surface soils of conservation tillage systems would lead to the proliferation of microbial communities including bacteria (Mathew et al., 2012). Helgason et al. 2009, in a study comparing microbial communities under NoTill and Till demonstrated an increase in the abundance of both bacteria and fungi biomarkers under NoTill. The interaction of increased substrates and other factors like substrate quality and environmental conditions created by conservation tillage practices may provide for the selection of specific bacterial groups. Higher abundance of gram + bacteria and actinomycetes has been related to the availability of more recalcitrant aromatic C content as well as anaerobic soil conditions (Feng et al., 2003). Conditions under NoTill are known to promote increased infiltration, and a higher water holding capacity that leads to cooler and wetter conditions that have been shown to favor the abundance of anaerobic bacteria species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"author" : [ { "dropping-particle" : "", "family" : "Linn", "given" : "DM", "non-dropping-particle" : "", "parse-names" : false, "suffix" : "" }, { "dropping-particle" : "", "family" : "Doran", "given" : "JW", "non-dropping-particle" : "", "parse-names" : false, "suffix" : "" } ], "container-title" : "Soil Science Society of America \u2026", "id" : "ITEM-1", "issued" : { "date-parts" : [ [ "1984" ] ] }, "page" : "1-6", "title" : "Aerobic and anaerobic microbial populations in no-till and plowed soils", "type" : "article-journal" }, "uris" : [ "http://www.mendeley.com/documents/?uuid=fe4a6d35-b753-45bb-b451-3361dd6202c0" ] }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(Linn and Doran, 1980;1984; Feng et al., 2003)</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xml:space="preserve">. The </w:t>
      </w:r>
      <w:r w:rsidRPr="002600E7">
        <w:rPr>
          <w:rFonts w:ascii="Calibri" w:eastAsia="Calibri" w:hAnsi="Calibri" w:cs="Times New Roman"/>
          <w:sz w:val="22"/>
          <w:szCs w:val="22"/>
          <w:lang w:val="en-GB"/>
        </w:rPr>
        <w:t xml:space="preserve">10Me16:0, a FA biomarker for actinomycetes has been identified with sulfate-reducing bacteria that indicate anaerobic conditions (Feng et al., 2003). The gravimetric soil moisture content for NoTill in our study was significantly higher compared to the Till treatments which may have led to the greater abundance of the 10Me16:0 as observed in our results.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similarity in microbial community structure of soils under vetch with that of the NoTill treatments further indicates the possibility that substrate quality might have been an influential </w:t>
      </w:r>
      <w:r w:rsidRPr="002600E7">
        <w:rPr>
          <w:rFonts w:ascii="Calibri" w:eastAsia="Calibri" w:hAnsi="Calibri" w:cs="Times New Roman"/>
          <w:sz w:val="22"/>
          <w:szCs w:val="22"/>
        </w:rPr>
        <w:lastRenderedPageBreak/>
        <w:t xml:space="preserve">factor in driving the differences in bacterial abundance. </w:t>
      </w:r>
      <w:r w:rsidRPr="002600E7">
        <w:rPr>
          <w:rFonts w:ascii="Calibri" w:eastAsia="Calibri" w:hAnsi="Calibri" w:cs="Times New Roman"/>
          <w:sz w:val="22"/>
          <w:szCs w:val="22"/>
          <w:lang w:val="en-GB"/>
        </w:rPr>
        <w:t xml:space="preserve">The relative abundance of the gram + bacteria was observed to be higher in treatments under vetch compared to wheat and the NoCover treatment. The yields under vetch as well as soil C and N were higher indicating increased substrate quantity. </w:t>
      </w:r>
      <w:r w:rsidRPr="002600E7">
        <w:rPr>
          <w:rFonts w:ascii="Calibri" w:eastAsia="Calibri" w:hAnsi="Calibri" w:cs="Times New Roman"/>
          <w:sz w:val="22"/>
          <w:szCs w:val="22"/>
        </w:rPr>
        <w:t xml:space="preserve">Vetch having a lower C: N ratio would also have more labile residue than that of wheat or cotton, resulting in higher decomposition rates that would lead to the greater accumulation of decomposed organic matter.  We however do not rule out the possibility of the interaction of other factors that have been shown to play an important role in driving microbial community structure like soil texture, soil water content, bulk density, soil pH among others.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relative abundance of mycorrhiza fungi under NoTill was also higher compared to Till which is consistent with what most studies have reported (Drijber et al., 2000; Acosta-Martinez et al., 2007; Wang et al., 2012). Tillage is known to decrease the abundance of mycorrhiza due to the disruption of their hyphal network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"10.1016/S0038-0717(00)00060-2", "ISSN" : "00380717", "author" : [ { "dropping-particle" : "", "family" : "Drijber", "given" : "R.A.", "non-dropping-particle" : "", "parse-names" : false, "suffix" : "" }, { "dropping-particle" : "", "family" : "Doran", "given" : "J.W.", "non-dropping-particle" : "", "parse-names" : false, "suffix" : "" }, { "dropping-particle" : "", "family" : "Parkhurst", "given" : "A.M.", "non-dropping-particle" : "", "parse-names" : false, "suffix" : "" }, { "dropping-particle" : "", "family" : "Lyon", "given" : "D.J.", "non-dropping-particle" : "", "parse-names" : false, "suffix" : "" } ], "container-title" : "Soil Biology and Biochemistry", "id" : "ITEM-1", "issue" : "10", "issued" : { "date-parts" : [ [ "2000", "9" ] ] }, "page" : "1419-1430", "title" : "Changes in soil microbial community structure with tillage under long-term wheat-fallow management", "type" : "article-journal", "volume" : "32" }, "uris" : [ "http://www.mendeley.com/documents/?uuid=1bddb9ee-2aed-4a41-851d-e0152afd5418" ] } ], "mendeley" : { "previouslyFormattedCitation" : "(Drijber et al., 2000)"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(Drijber et al., 2000)</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xml:space="preserve">. It is well known that mycorrhiza play an important role in nutrient acquisition by increasing root surface through extraradical hyphae (Smith and Read, 1997). Mycorrhizae have also been shown to play an important role in macro-aggregate formation and stabilization through production of glycoproteins (Rillig and Mummey, 2006; Six et al., 2006). The macro-aggregate formation and stabilization by myccorhiza fungi has also been attributed to protect soil organic C (Rillig and Mummey, 2006; Six et al., 2006). The higher abundance of mycorrhizal fungi, gram + bacteria and actinomycetes under NoTill may therefore explain the higher soil C due to their associated roles in C sequestration.  </w:t>
      </w:r>
    </w:p>
    <w:p w:rsidR="002600E7" w:rsidRPr="002600E7" w:rsidRDefault="002600E7" w:rsidP="002600E7">
      <w:pPr>
        <w:spacing w:after="200" w:line="480" w:lineRule="auto"/>
        <w:rPr>
          <w:rFonts w:ascii="Calibri" w:eastAsia="Calibri" w:hAnsi="Calibri" w:cs="Times New Roman"/>
          <w:sz w:val="22"/>
          <w:szCs w:val="44"/>
        </w:rPr>
      </w:pPr>
      <w:r w:rsidRPr="002600E7">
        <w:rPr>
          <w:rFonts w:ascii="Calibri" w:eastAsia="Calibri" w:hAnsi="Calibri" w:cs="Times New Roman"/>
          <w:sz w:val="22"/>
          <w:szCs w:val="22"/>
        </w:rPr>
        <w:t xml:space="preserve">The higher abundance of mycorrhiza may also have contributed to higher yield values obtained under NoTill due to their associated role in nutrient acquisition. On the other hand, the </w:t>
      </w:r>
      <w:r w:rsidRPr="002600E7">
        <w:rPr>
          <w:rFonts w:ascii="Calibri" w:eastAsia="Calibri" w:hAnsi="Calibri" w:cs="Times New Roman"/>
          <w:sz w:val="22"/>
          <w:szCs w:val="22"/>
        </w:rPr>
        <w:lastRenderedPageBreak/>
        <w:t xml:space="preserve">abundance of mycorrhiza fungi in our study decreased with higher N-rates, which has also been observed in several other studies (____).  Increased amounts of readily available forms of key nutrients to plants especially P have been shown to decrease mycorrhiza colonization </w:t>
      </w:r>
      <w:r w:rsidRPr="002600E7">
        <w:rPr>
          <w:rFonts w:ascii="Calibri" w:eastAsia="Calibri" w:hAnsi="Calibri" w:cs="Times New Roman"/>
          <w:sz w:val="22"/>
          <w:szCs w:val="44"/>
        </w:rPr>
        <w:t>(</w:t>
      </w:r>
      <w:r w:rsidRPr="002600E7">
        <w:rPr>
          <w:rFonts w:ascii="Calibri" w:eastAsia="Calibri" w:hAnsi="Calibri" w:cs="Times New Roman"/>
          <w:sz w:val="22"/>
          <w:szCs w:val="22"/>
        </w:rPr>
        <w:t xml:space="preserve">Azcon-Aguilar and Bago, 1994; </w:t>
      </w:r>
      <w:r w:rsidRPr="002600E7">
        <w:rPr>
          <w:rFonts w:ascii="Calibri" w:eastAsia="Calibri" w:hAnsi="Calibri" w:cs="Times New Roman"/>
          <w:sz w:val="22"/>
          <w:szCs w:val="44"/>
        </w:rPr>
        <w:t>Smith and Read, 2008)</w:t>
      </w:r>
      <w:r w:rsidRPr="002600E7">
        <w:rPr>
          <w:rFonts w:ascii="Calibri" w:eastAsia="Calibri" w:hAnsi="Calibri" w:cs="Times New Roman"/>
          <w:sz w:val="22"/>
          <w:szCs w:val="22"/>
        </w:rPr>
        <w:t xml:space="preserve">. This is mainly attributed to the fact that plants would not need to invest the extra energy cost of maintaining the symbiosis as they can easily contract the nutrients directly. </w:t>
      </w:r>
      <w:r w:rsidRPr="002600E7">
        <w:rPr>
          <w:rFonts w:ascii="Calibri" w:eastAsia="Calibri" w:hAnsi="Calibri" w:cs="Times New Roman"/>
          <w:sz w:val="22"/>
          <w:szCs w:val="44"/>
        </w:rPr>
        <w:t xml:space="preserve"> In our study, treatments under the vetch cover crop also had a lower abundance of mycorrhiza which may be attributed to the higher N availability through N-fixation by vetch. The lower mycorrhiza abundance under vetch may also indicate the possibility of competition between rhizobium nodulation and mycorrhiza colonization.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rPr>
        <w:t xml:space="preserve">The F: B ratio under conservation tillage soils is generally expected to be higher comparatively to tilled soils. Indeed, several studies have reported higher F: B ratio under reduced tillage systems (Frey et al., 1999; Beare, 1997; Stahl and Parkin, 1999). Besides minimal disruption of their hyphal networks, the abundance of fungi has been hypothesized to be greater under reduced tillage mainly because: they have a higher microbial growth efficiency; their cell walls are more resistant to degradation than bacteria; and they are able to utilize more recalcitrant residue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"author" : [ { "dropping-particle" : "", "family" : "Six", "given" : "J", "non-dropping-particle" : "", "parse-names" : false, "suffix" : "" }, { "dropping-particle" : "", "family" : "Jastrow", "given" : "JD", "non-dropping-particle" : "", "parse-names" : false, "suffix" : "" } ], "container-title" : "Encyclopedia of Soil Science", "id" : "ITEM-1", "issued" : { "date-parts" : [ [ "2002" ] ] }, "page" : "936-942", "title" : "Organic matter turnover", "type" : "article-journal" }, "uris" : [ "http://www.mendeley.com/documents/?uuid=eb138233-ed3c-4787-bbdc-11f83aaf066a" ] }, { "id" : "ITEM-2", "itemData" : { "DOI" : "10.1007/s10584-006-9178-3", "ISSN" : "0165-0009", "author" : [ { "dropping-particle" : "", "family" : "Jastrow", "given" : "Julie D.", "non-dropping-particle" : "", "parse-names" : false, "suffix" : "" }, { "dropping-particle" : "", "family" : "Amonette", "given" : "James E.", "non-dropping-particle" : "", "parse-names" : false, "suffix" : "" }, { "dropping-particle" : "", "family" : "Bailey", "given" : "Vanessa L.", "non-dropping-particle" : "", "parse-names" : false, "suffix" : "" } ], "container-title" : "Climatic Change", "id" : "ITEM-2", "issue" : "1-2", "issued" : { "date-parts" : [ [ "2006", "12", "21" ] ] }, "page" : "5-23", "title" : "Mechanisms controlling soil carbon turnover and their potential application for enhancing carbon sequestration", "type" : "article-journal", "volume" : "80" }, "uris" : [ "http://www.mendeley.com/documents/?uuid=e78467c3-b519-4b6a-a157-cb215964ea7f" ] }, { "id" : "ITEM-3", "itemData" : { "DOI" : "10.1111/ele.12125", "ISSN" : "1461-0248", "PMID" : "23692657", "abstract" : "Since fungi and bacteria are the dominant decomposers in soil, their distinct physiologies are likely to differentially influence rates of ecosystem carbon (C) and nitrogen (N) cycling. We used meta-analysis and an enzyme-driven biogeochemical model to explore the drivers and biogeochemical consequences of changes in the fungal-to-bacterial ratio (F : B). In our meta-analysis data set, F : B increased with soil C : N ratio (R(2) = 0.224, P &lt; 0.001), a relationship predicted by our model. We found that differences in biomass turnover rates influenced F : B under conditions of C limitation, while differences in biomass stoichiometry set the upper bounds on F : B once a nutrient limitation threshold was reached. Ecological interactions between the two groups shifted along a gradient of resource stoichiometry. At intermediate substrate C : N, fungal N mineralisation fuelled bacterial growth, increasing total microbial biomass and decreasing net N mineralisation. Therefore, we conclude that differences in bacterial and fungal physiology may have large consequences for ecosystem-scale C and N cycling.", "author" : [ { "dropping-particle" : "", "family" : "Waring", "given" : "Bonnie G", "non-dropping-particle" : "", "parse-names" : false, "suffix" : "" }, { "dropping-particle" : "", "family" : "Averill", "given" : "Colin", "non-dropping-particle" : "", "parse-names" : false, "suffix" : "" }, { "dropping-particle" : "V", "family" : "Hawkes", "given" : "Christine", "non-dropping-particle" : "", "parse-names" : false, "suffix" : "" } ], "container-title" : "Ecology letters", "id" : "ITEM-3", "issue" : "7", "issued" : { "date-parts" : [ [ "2013", "7" ] ] }, "page" : "887-94", "title" : "Differences in fungal and bacterial physiology alter soil carbon and nitrogen cycling: insights from meta-analysis and theoretical models.", "type" : "article-journal", "volume" : "16" }, "uris" : [ "http://www.mendeley.com/documents/?uuid=be2988ce-c692-475d-862f-6c1683364ea0" ] } ], "mendeley" : { "previouslyFormattedCitation" : "(Six and Jastrow, 2002; Jastrow et al., 2006; Waring et al., 2013)"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(Six and Jastrow, 2002; Jastrow et al., 2006; Waring et al., 2013)</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These properties of fungi have therefore been linked with greater soil C sequestration under conservation tillage systems (</w:t>
      </w:r>
      <w:r w:rsidRPr="002600E7">
        <w:rPr>
          <w:rFonts w:ascii="Calibri" w:eastAsia="Calibri" w:hAnsi="Calibri" w:cs="Times New Roman"/>
          <w:noProof/>
          <w:sz w:val="22"/>
          <w:szCs w:val="22"/>
        </w:rPr>
        <w:t>Six and Jastrow, 2002</w:t>
      </w:r>
      <w:r w:rsidRPr="002600E7">
        <w:rPr>
          <w:rFonts w:ascii="Calibri" w:eastAsia="Calibri" w:hAnsi="Calibri" w:cs="Times New Roman"/>
          <w:sz w:val="22"/>
          <w:szCs w:val="22"/>
        </w:rPr>
        <w:t xml:space="preserve">). Nevertheless, the generalization that the abundance of all fungi species would be higher under conservation tillage systems as has been postulated is questionable.  Several studies have reported </w:t>
      </w:r>
      <w:r w:rsidRPr="002600E7">
        <w:rPr>
          <w:rFonts w:ascii="Calibri" w:eastAsia="Calibri" w:hAnsi="Calibri" w:cs="Times New Roman"/>
          <w:sz w:val="22"/>
          <w:szCs w:val="22"/>
          <w:lang w:val="en-GB"/>
        </w:rPr>
        <w:t xml:space="preserve">the lack of fungal dominance in reduced tillage systems </w:t>
      </w:r>
      <w:r w:rsidRPr="002600E7">
        <w:rPr>
          <w:rFonts w:ascii="Calibri" w:eastAsia="Calibri" w:hAnsi="Calibri" w:cs="Times New Roman"/>
          <w:sz w:val="22"/>
          <w:szCs w:val="22"/>
        </w:rPr>
        <w:fldChar w:fldCharType="begin" w:fldLock="1"/>
      </w:r>
      <w:r w:rsidRPr="002600E7">
        <w:rPr>
          <w:rFonts w:ascii="Calibri" w:eastAsia="Calibri" w:hAnsi="Calibri" w:cs="Times New Roman"/>
          <w:sz w:val="22"/>
          <w:szCs w:val="22"/>
        </w:rPr>
        <w:instrText>ADDIN CSL_CITATION { "citationItems" : [ { "id" : "ITEM-1", "itemData" : { "DOI" : "10.2136/sssaj2007.0392", "ISSN" : "1435-0661", "PMID" : "592", "author" : [ { "dropping-particle" : "", "family" : "Helgason", "given" : "Bobbi L.", "non-dropping-particle" : "", "parse-names" : false, "suffix" : "" }, { "dropping-particle" : "", "family" : "Walley", "given" : "Fran L.", "non-dropping-particle" : "", "parse-names" : false, "suffix" : "" }, { "dropping-particle" : "", "family" : "Germida", "given" : "James J.", "non-dropping-particle" : "", "parse-names" : false, "suffix" : "" } ], "container-title" : "Soil Science Society of America Journal", "id" : "ITEM-1", "issue" : "1", "issued" : { "date-parts" : [ [ "2009", "10", "4" ] ] }, "page" : "120", "publisher" : "Proquest", "title" : "Fungal and Bacterial Abundance in Long-Term No-Till and Intensive-Till Soils of the Northern Great Plains", "type" : "article-journal", "volume" : "73" }, "uris" : [ "http://www.mendeley.com/documents/?uuid=91c655f8-5e42-4a94-9265-17f9084a35f7" ] }, { "id" : "ITEM-2", "itemData" : { "DOI" : "10.1155/2012/548620", "ISSN" : "1687-7667", "author" : [ { "dropping-particle" : "", "family" : "Mathew", "given" : "Reji P.", "non-dropping-particle" : "", "parse-names" : false, "suffix" : "" }, { "dropping-particle" : "", "family" : "Feng", "given" : "Yucheng", "non-dropping-particle" : "", "parse-names" : false, "suffix" : "" }, { "dropping-particle" : "", "family" : "Githinji", "given" : "Leonard", "non-dropping-particle" : "", "parse-names" : false, "suffix" : "" }, { "dropping-particle" : "", "family" : "Ankumah", "given" : "Ramble", "non-dropping-particle" : "", "parse-names" : false, "suffix" : "" }, { "dropping-particle" : "", "family" : "Balkcom", "given" : "Kipling S.", "non-dropping-particle" : "", "parse-names" : false, "suffix" : "" } ], "container-title" : "Applied and Environmental Soil Science", "id" : "ITEM-2", "issued" : { "date-parts" : [ [ "2012" ] ] }, "page" : "1-10", "title" : "Impact of No-Tillage and Conventional Tillage Systems on Soil Microbial Communities", "type" : "article-journal", "volume" : "2012" }, "uris" : [ "http://www.mendeley.com/documents/?uuid=96c0251a-a41e-4b60-a48d-67010bbbba89" ] }, { "id" : "ITEM-3", "itemData" : { "DOI" : "10.1016/j.soilbio.2003.08.016", "ISSN" : "00380717", "author" : [ { "dropping-particle" : "", "family" : "Feng", "given" : "Y.", "non-dropping-particle" : "", "parse-names" : false, "suffix" : "" }, { "dropping-particle" : "", "family" : "Motta", "given" : "a.C.", "non-dropping-particle" : "", "parse-names" : false, "suffix" : "" }, { "dropping-particle" : "", "family" : "Reeves", "given" : "D.W.", "non-dropping-particle" : "", "parse-names" : false, "suffix" : "" }, { "dropping-particle" : "", "family" : "Burmester", "given" : "C.H.", "non-dropping-particle" : "", "parse-names" : false, "suffix" : "" }, { "dropping-particle" : "", "family" : "Santen", "given" : "E.", "non-dropping-particle" : "van", "parse-names" : false, "suffix" : "" }, { "dropping-particle" : "", "family" : "Osborne", "given" : "J.a.", "non-dropping-particle" : "", "parse-names" : false, "suffix" : "" } ], "container-title" : "Soil Biology and Biochemistry", "id" : "ITEM-3", "issue" : "12", "issued" : { "date-parts" : [ [ "2003", "12" ] ] }, "page" : "1693-1703", "title" : "Soil microbial communities under conventional-till and no-till continuous cotton systems", "type" : "article-journal", "volume" : "35" }, "uris" : [ "http://www.mendeley.com/documents/?uuid=2b39d351-1ec5-4e55-a5fd-743fff783b1f" ] } ], "mendeley" : { "previouslyFormattedCitation" : "(Feng et al., 2003; Helgason et al., 2009; Mathew et al., 2012)" }, "properties" : { "noteIndex" : 0 }, "schema" : "https://github.com/citation-style-language/schema/raw/master/csl-citation.json" }</w:instrText>
      </w:r>
      <w:r w:rsidRPr="002600E7">
        <w:rPr>
          <w:rFonts w:ascii="Calibri" w:eastAsia="Calibri" w:hAnsi="Calibri" w:cs="Times New Roman"/>
          <w:sz w:val="22"/>
          <w:szCs w:val="22"/>
        </w:rPr>
        <w:fldChar w:fldCharType="separate"/>
      </w:r>
      <w:r w:rsidRPr="002600E7">
        <w:rPr>
          <w:rFonts w:ascii="Calibri" w:eastAsia="Calibri" w:hAnsi="Calibri" w:cs="Times New Roman"/>
          <w:noProof/>
          <w:sz w:val="22"/>
          <w:szCs w:val="22"/>
        </w:rPr>
        <w:t>(Feng et al., 2003; Helgason et al., 2009; Mathew et al., 2012)</w:t>
      </w:r>
      <w:r w:rsidRPr="002600E7">
        <w:rPr>
          <w:rFonts w:ascii="Calibri" w:eastAsia="Calibri" w:hAnsi="Calibri" w:cs="Times New Roman"/>
          <w:sz w:val="22"/>
          <w:szCs w:val="22"/>
        </w:rPr>
        <w:fldChar w:fldCharType="end"/>
      </w:r>
      <w:r w:rsidRPr="002600E7">
        <w:rPr>
          <w:rFonts w:ascii="Calibri" w:eastAsia="Calibri" w:hAnsi="Calibri" w:cs="Times New Roman"/>
          <w:sz w:val="22"/>
          <w:szCs w:val="22"/>
        </w:rPr>
        <w:t xml:space="preserve">. </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rPr>
        <w:lastRenderedPageBreak/>
        <w:t xml:space="preserve">In our study, the FA biomarkers associated with saprophytic fungi </w:t>
      </w:r>
      <w:r w:rsidRPr="002600E7">
        <w:rPr>
          <w:rFonts w:ascii="Calibri" w:eastAsia="Calibri" w:hAnsi="Calibri" w:cs="Times New Roman"/>
          <w:sz w:val="22"/>
          <w:szCs w:val="22"/>
          <w:lang w:val="en-GB"/>
        </w:rPr>
        <w:t>(18:2w6 and 18:3w6c)</w:t>
      </w:r>
      <w:r w:rsidRPr="002600E7">
        <w:rPr>
          <w:rFonts w:ascii="Calibri" w:eastAsia="Calibri" w:hAnsi="Calibri" w:cs="Times New Roman"/>
          <w:sz w:val="22"/>
          <w:szCs w:val="22"/>
        </w:rPr>
        <w:t xml:space="preserve"> were significantly higher under Till resulting in a higher F: B ratio compared to NoTill. </w:t>
      </w:r>
      <w:r w:rsidRPr="002600E7">
        <w:rPr>
          <w:rFonts w:ascii="Calibri" w:eastAsia="Calibri" w:hAnsi="Calibri" w:cs="Times New Roman"/>
          <w:sz w:val="22"/>
          <w:szCs w:val="22"/>
          <w:lang w:val="en-GB"/>
        </w:rPr>
        <w:t xml:space="preserve">Correspondingly, Calderon et al. 2001 did not see a decrease of similar fungal biomarkers (18:2w6 and 18:3w6c) after tillage in an experiment setup to investigate the short term effects of rotor-tilling a previously fallow soil. Nonetheless, they were able to see an effect of tillage on a eubacteria biomarker (18:1w7t) implying a stronger effect of tillage on this bacteria than to the fungi which is contrary to the common notion that fungi are more sensitive to tillage.  The abundance of FA 18:1w9c that has also been used as a fungal biomarker by several researchers (Feng et al., 2003; and Acosta-Martinez; Simmons and Coleman, 2008) was also abundantly higher under Till in our soils. </w:t>
      </w:r>
      <w:r w:rsidRPr="002600E7">
        <w:rPr>
          <w:rFonts w:ascii="Calibri" w:eastAsia="Calibri" w:hAnsi="Calibri" w:cs="Times New Roman"/>
          <w:sz w:val="22"/>
          <w:szCs w:val="22"/>
        </w:rPr>
        <w:t xml:space="preserve">While the results reported here are from a onetime sampling point, preliminary data collected the prior year showed similar trends (data not shown). </w:t>
      </w:r>
      <w:r w:rsidRPr="002600E7">
        <w:rPr>
          <w:rFonts w:ascii="Calibri" w:eastAsia="Calibri" w:hAnsi="Calibri" w:cs="Times New Roman"/>
          <w:sz w:val="22"/>
          <w:szCs w:val="22"/>
          <w:lang w:val="en-GB"/>
        </w:rPr>
        <w:t xml:space="preserve"> Though this may not mean that these fungal biomarkers are persistently higher under Till, our results and those of other studies indicate that other factors may have a stronger influence on the response of these fungal bio-markers other than direct tillage events.</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rPr>
        <w:t xml:space="preserve">Fungi have been shown to be more adaptive to extreme environmental stress conditions such as soil moisture conditions, osmotic stress, temperature, and soil pH among other factors (Stromberger et al., 2007). </w:t>
      </w:r>
      <w:r w:rsidRPr="002600E7">
        <w:rPr>
          <w:rFonts w:ascii="Calibri" w:eastAsia="Calibri" w:hAnsi="Calibri" w:cs="Times New Roman"/>
          <w:sz w:val="22"/>
          <w:szCs w:val="22"/>
          <w:lang w:val="en-GB"/>
        </w:rPr>
        <w:t xml:space="preserve">Simmons and Coleman (2008) demonstrated an increase in fungi FA’s over bacteria FA’s due to higher air temperatures and lower precipitation regardless of management practice indicating that these environmental factors had a stronger influence on fungi than management practices. It is therefore possible that the higher fungi abundance under Till in our study may be due to the response of some environmental stress factors that may have been accentuated by continuous tillage </w:t>
      </w:r>
      <w:r w:rsidRPr="002600E7">
        <w:rPr>
          <w:rFonts w:ascii="Calibri" w:eastAsia="Calibri" w:hAnsi="Calibri" w:cs="Times New Roman"/>
          <w:sz w:val="22"/>
          <w:szCs w:val="22"/>
          <w:highlight w:val="cyan"/>
          <w:lang w:val="en-GB"/>
        </w:rPr>
        <w:t>(interacting with tillage effects)</w:t>
      </w:r>
      <w:r w:rsidRPr="002600E7">
        <w:rPr>
          <w:rFonts w:ascii="Calibri" w:eastAsia="Calibri" w:hAnsi="Calibri" w:cs="Times New Roman"/>
          <w:sz w:val="22"/>
          <w:szCs w:val="22"/>
          <w:lang w:val="en-GB"/>
        </w:rPr>
        <w:t xml:space="preserve">. The year prior to our </w:t>
      </w:r>
      <w:r w:rsidRPr="002600E7">
        <w:rPr>
          <w:rFonts w:ascii="Calibri" w:eastAsia="Calibri" w:hAnsi="Calibri" w:cs="Times New Roman"/>
          <w:sz w:val="22"/>
          <w:szCs w:val="22"/>
          <w:lang w:val="en-GB"/>
        </w:rPr>
        <w:lastRenderedPageBreak/>
        <w:t xml:space="preserve">sampling, 2012 was reported to be a drought year in most of Tennessee (cite) and thus might have triggered the increase in fungi under Till that carried over to the following year. </w:t>
      </w:r>
      <w:r w:rsidRPr="002600E7">
        <w:rPr>
          <w:rFonts w:ascii="Calibri" w:eastAsia="Calibri" w:hAnsi="Calibri" w:cs="Times New Roman"/>
          <w:sz w:val="22"/>
          <w:szCs w:val="22"/>
          <w:highlight w:val="cyan"/>
          <w:lang w:val="en-GB"/>
        </w:rPr>
        <w:t>(additional Reasons for conflicting observations might be based on methods used under different studies, overlapping microbial gps for same FA’s)</w:t>
      </w:r>
      <w:r w:rsidRPr="002600E7">
        <w:rPr>
          <w:rFonts w:ascii="Calibri" w:eastAsia="Calibri" w:hAnsi="Calibri" w:cs="Times New Roman"/>
          <w:sz w:val="22"/>
          <w:szCs w:val="22"/>
          <w:lang w:val="en-GB"/>
        </w:rPr>
        <w:t xml:space="preserve">. </w:t>
      </w:r>
    </w:p>
    <w:p w:rsidR="002600E7" w:rsidRPr="002600E7" w:rsidRDefault="002600E7" w:rsidP="002600E7">
      <w:pPr>
        <w:spacing w:after="200" w:line="480" w:lineRule="auto"/>
        <w:rPr>
          <w:rFonts w:ascii="Calibri" w:hAnsi="Calibri" w:cs="Times New Roman"/>
          <w:color w:val="000000"/>
          <w:sz w:val="22"/>
          <w:szCs w:val="22"/>
        </w:rPr>
      </w:pPr>
      <w:r w:rsidRPr="002600E7">
        <w:rPr>
          <w:rFonts w:ascii="Calibri" w:eastAsia="Calibri" w:hAnsi="Calibri" w:cs="Times New Roman"/>
          <w:sz w:val="22"/>
          <w:szCs w:val="22"/>
          <w:lang w:val="en-GB"/>
        </w:rPr>
        <w:t xml:space="preserve">To obtain a better picture of the long term effects of management practices on microbial communities we assessed their metabolic capacity based on basal respiration and some key enzymes that play a role in C, N, and P cycling. The results revealed differences on all the enzyme activities (EA’s) due to tillage with NoTill treatment having significantly higher EA’s than Till which is in agreement with what has been reported in other studies (Acosta-Martinez 2008; Deng and Tabatai 1996; 1997). </w:t>
      </w:r>
      <w:r w:rsidRPr="002600E7">
        <w:rPr>
          <w:rFonts w:ascii="Calibri" w:hAnsi="Calibri" w:cs="Times New Roman"/>
          <w:color w:val="000000"/>
          <w:sz w:val="22"/>
          <w:szCs w:val="22"/>
        </w:rPr>
        <w:t xml:space="preserve">The differences in EA’s between tillage practices may be reflective of the differences in microbial community composition or functional potential based on the interaction of substrates accumulated over the years and environmental conditions created by the management practices. Given a similarity in the patterns observed on soil C, N and extractable P levels, with those of EA’s this results indicate that NoTill practices induce microbial communities and conditions that favor C, N and P cycling compared to those under Till.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hAnsi="Calibri" w:cs="Times New Roman"/>
          <w:color w:val="000000"/>
          <w:sz w:val="22"/>
          <w:szCs w:val="22"/>
        </w:rPr>
        <w:t xml:space="preserve">It is has been documented that the </w:t>
      </w:r>
      <w:r w:rsidRPr="002600E7">
        <w:rPr>
          <w:rFonts w:ascii="Calibri" w:eastAsia="Calibri" w:hAnsi="Calibri" w:cs="Times New Roman"/>
          <w:sz w:val="22"/>
          <w:szCs w:val="22"/>
        </w:rPr>
        <w:t xml:space="preserve">nature of the extracellular enzymes that bacteria and fungi produce differ.  Fungi produce enzymes able to degrade more recalcitrant organic materials like lignin, while bacteria are more efficient in degrading more labile substrates. It is therefore expected that a higher soil C content would be correlated with a higher F: B ratio and higher enzyme activities. In this study, the F:B ratio was lower under NT but we observed higher levels of gram+ bacteria and actinomycetes which have also been associated with more recalcitrant </w:t>
      </w:r>
      <w:r w:rsidRPr="002600E7">
        <w:rPr>
          <w:rFonts w:ascii="Calibri" w:eastAsia="Calibri" w:hAnsi="Calibri" w:cs="Times New Roman"/>
          <w:sz w:val="22"/>
          <w:szCs w:val="22"/>
        </w:rPr>
        <w:lastRenderedPageBreak/>
        <w:t xml:space="preserve">aromatic C (Feng et al., 2003).We also observed higher levels of mycorrhiza which have been attributed to the protection of soil C through promoting soil aggregation. Based on these observations, we may deduce that NoTill creates conducive conditions that increase the functional potential of microbial communities in C cycling despite the lack of fungal dominance and also promotes protection of organic C from further degradation resulting in C sequestration. </w:t>
      </w:r>
    </w:p>
    <w:p w:rsidR="002600E7" w:rsidRPr="002600E7" w:rsidRDefault="002600E7" w:rsidP="002600E7">
      <w:pPr>
        <w:spacing w:after="200" w:line="480" w:lineRule="auto"/>
        <w:rPr>
          <w:rFonts w:ascii="Calibri" w:eastAsia="Calibri" w:hAnsi="Calibri" w:cs="Times New Roman"/>
          <w:sz w:val="22"/>
          <w:szCs w:val="22"/>
        </w:rPr>
      </w:pPr>
      <w:r w:rsidRPr="002600E7">
        <w:rPr>
          <w:rFonts w:ascii="Calibri" w:eastAsia="Calibri" w:hAnsi="Calibri" w:cs="Times New Roman"/>
          <w:sz w:val="22"/>
          <w:szCs w:val="22"/>
          <w:highlight w:val="cyan"/>
        </w:rPr>
        <w:t>The basal microbial respiration between tillage at the time of this sampling point was nevertheless not different between the two tillage practices…….</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rPr>
        <w:t>The effect cover crop treatments on metabolic function were only evident for β</w:t>
      </w:r>
      <w:r w:rsidRPr="002600E7">
        <w:rPr>
          <w:rFonts w:ascii="Calibri" w:hAnsi="Calibri" w:cs="Times New Roman"/>
          <w:color w:val="000000"/>
          <w:sz w:val="22"/>
          <w:szCs w:val="22"/>
        </w:rPr>
        <w:t xml:space="preserve">-glucosaminidase and basal microbial respiration which were significantly greater under the vetch cover crop.  </w:t>
      </w:r>
      <w:r w:rsidRPr="002600E7">
        <w:rPr>
          <w:rFonts w:ascii="Calibri" w:hAnsi="Calibri" w:cs="Times New Roman"/>
          <w:color w:val="000000"/>
          <w:sz w:val="22"/>
          <w:szCs w:val="22"/>
          <w:highlight w:val="cyan"/>
        </w:rPr>
        <w:t>(more effect on N-cycling enzymes-MBN</w:t>
      </w:r>
      <w:r w:rsidR="005539C7">
        <w:rPr>
          <w:rFonts w:ascii="Calibri" w:hAnsi="Calibri" w:cs="Times New Roman"/>
          <w:color w:val="000000"/>
          <w:sz w:val="22"/>
          <w:szCs w:val="22"/>
          <w:highlight w:val="cyan"/>
        </w:rPr>
        <w:t xml:space="preserve"> </w:t>
      </w:r>
      <w:r w:rsidRPr="002600E7">
        <w:rPr>
          <w:rFonts w:ascii="Calibri" w:hAnsi="Calibri" w:cs="Times New Roman"/>
          <w:color w:val="000000"/>
          <w:sz w:val="22"/>
          <w:szCs w:val="22"/>
          <w:highlight w:val="cyan"/>
        </w:rPr>
        <w:t>etc)</w:t>
      </w:r>
      <w:r w:rsidRPr="002600E7">
        <w:rPr>
          <w:rFonts w:ascii="Calibri" w:hAnsi="Calibri" w:cs="Times New Roman"/>
          <w:color w:val="000000"/>
          <w:sz w:val="22"/>
          <w:szCs w:val="22"/>
        </w:rPr>
        <w:t xml:space="preserve"> </w:t>
      </w:r>
      <w:r w:rsidRPr="002600E7">
        <w:rPr>
          <w:rFonts w:ascii="Calibri" w:eastAsia="Calibri" w:hAnsi="Calibri" w:cs="Times New Roman"/>
          <w:sz w:val="22"/>
          <w:szCs w:val="22"/>
        </w:rPr>
        <w:t xml:space="preserve"> </w:t>
      </w:r>
    </w:p>
    <w:p w:rsidR="002600E7" w:rsidRPr="00AE0605" w:rsidRDefault="002600E7" w:rsidP="00AE0605">
      <w:pPr>
        <w:pStyle w:val="Heading3"/>
      </w:pPr>
      <w:bookmarkStart w:id="39" w:name="_Toc391021441"/>
      <w:r w:rsidRPr="00AE0605">
        <w:t>Soil quality index</w:t>
      </w:r>
      <w:bookmarkEnd w:id="39"/>
      <w:r w:rsidRPr="00AE0605">
        <w:t xml:space="preserve"> </w:t>
      </w:r>
    </w:p>
    <w:p w:rsidR="002600E7" w:rsidRPr="00A03AB9" w:rsidRDefault="002600E7" w:rsidP="00EB03D8">
      <w:pPr>
        <w:spacing w:line="480" w:lineRule="auto"/>
        <w:rPr>
          <w:rFonts w:ascii="Calibri" w:eastAsia="Calibri" w:hAnsi="Calibri" w:cs="Times New Roman"/>
          <w:sz w:val="22"/>
          <w:szCs w:val="22"/>
        </w:rPr>
      </w:pPr>
      <w:r w:rsidRPr="00A03AB9">
        <w:rPr>
          <w:rFonts w:ascii="Calibri" w:eastAsia="Calibri" w:hAnsi="Calibri" w:cs="Times New Roman"/>
          <w:sz w:val="22"/>
          <w:szCs w:val="22"/>
        </w:rPr>
        <w:t xml:space="preserve">According to the SMAF quality scoring technique, scores range from 0.0-1.0 with values closer to 1 indicating the highest potential of the indicator for its associated soil function (Andrews et al., 2004). Based on our results, we can therefore deduce that the soils under our study are not limited by P, K, pH, BD and MBC which had scores ranging from 0.85-1.00 regardless of tillage, cover crop or N-rate. </w:t>
      </w:r>
    </w:p>
    <w:p w:rsidR="002600E7" w:rsidRPr="00A03AB9" w:rsidRDefault="002600E7" w:rsidP="00EB03D8">
      <w:pPr>
        <w:spacing w:line="480" w:lineRule="auto"/>
        <w:rPr>
          <w:rFonts w:ascii="Calibri" w:eastAsia="Calibri" w:hAnsi="Calibri" w:cs="Times New Roman"/>
          <w:sz w:val="22"/>
          <w:szCs w:val="22"/>
        </w:rPr>
      </w:pPr>
      <w:r w:rsidRPr="00A03AB9">
        <w:rPr>
          <w:rFonts w:ascii="Calibri" w:eastAsia="Calibri" w:hAnsi="Calibri" w:cs="Times New Roman"/>
          <w:sz w:val="22"/>
          <w:szCs w:val="22"/>
        </w:rPr>
        <w:t xml:space="preserve">The main limiting factors seem to be TOC and BG which had scores below 0.50. </w:t>
      </w:r>
    </w:p>
    <w:p w:rsidR="002600E7" w:rsidRPr="00A03AB9" w:rsidRDefault="002600E7" w:rsidP="00EB03D8">
      <w:pPr>
        <w:spacing w:line="480" w:lineRule="auto"/>
        <w:rPr>
          <w:rFonts w:ascii="Calibri" w:eastAsia="Calibri" w:hAnsi="Calibri" w:cs="Times New Roman"/>
          <w:sz w:val="22"/>
          <w:szCs w:val="22"/>
        </w:rPr>
      </w:pPr>
      <w:r w:rsidRPr="00A03AB9">
        <w:rPr>
          <w:rFonts w:ascii="Calibri" w:eastAsia="Calibri" w:hAnsi="Calibri" w:cs="Times New Roman"/>
          <w:sz w:val="22"/>
          <w:szCs w:val="22"/>
        </w:rPr>
        <w:t>Nonetheless, the overall quality index was above average (71-81%) across all treatment factors which reflects that our soils are within the range of acceptable crop production and ecosystem functioning.  We are using the term acceptable cautiously since there are</w:t>
      </w:r>
      <w:r w:rsidRPr="002600E7">
        <w:rPr>
          <w:rFonts w:eastAsia="Calibri"/>
          <w:lang w:val="en-GB"/>
        </w:rPr>
        <w:t xml:space="preserve"> </w:t>
      </w:r>
      <w:r w:rsidRPr="00A03AB9">
        <w:rPr>
          <w:rFonts w:ascii="Calibri" w:eastAsia="Calibri" w:hAnsi="Calibri" w:cs="Times New Roman"/>
          <w:sz w:val="22"/>
          <w:szCs w:val="22"/>
        </w:rPr>
        <w:t>no defined critical values for the soil quality index which is mainly based on higher being better (Andrews et al., 2004).</w:t>
      </w:r>
    </w:p>
    <w:p w:rsidR="002600E7" w:rsidRPr="00A03AB9" w:rsidRDefault="002600E7" w:rsidP="00EB03D8">
      <w:pPr>
        <w:spacing w:line="480" w:lineRule="auto"/>
        <w:rPr>
          <w:rFonts w:ascii="Calibri" w:eastAsia="Calibri" w:hAnsi="Calibri" w:cs="Times New Roman"/>
          <w:sz w:val="22"/>
          <w:szCs w:val="22"/>
        </w:rPr>
      </w:pPr>
      <w:r w:rsidRPr="00A03AB9">
        <w:rPr>
          <w:rFonts w:ascii="Calibri" w:eastAsia="Calibri" w:hAnsi="Calibri" w:cs="Times New Roman"/>
          <w:sz w:val="22"/>
          <w:szCs w:val="22"/>
        </w:rPr>
        <w:lastRenderedPageBreak/>
        <w:t xml:space="preserve">Besides the fact that TOC score was low in our soils we nevertheless were able to see differences based on tillage and cover crop at lower N rates (0 N and 34 N). NoTill and vetch cover had significantly higher levels indicating the potential for NoTill and cover crop to improve the soil organic matter in these soils.  The quality scores for TOC were highest at 67 N and 101 N reflecting the importance of N fertilizer in the functioning of the soil. Nevertheless, we see the potential of being able to improve the TOC without the application of higher N rates by continued use of vetch cover under NoTill systems. </w:t>
      </w:r>
    </w:p>
    <w:p w:rsidR="00DB5C50" w:rsidRPr="00DB5C50" w:rsidRDefault="00E807D9" w:rsidP="00DB5C50">
      <w:pPr>
        <w:pStyle w:val="Heading3"/>
      </w:pPr>
      <w:bookmarkStart w:id="40" w:name="_Toc391021442"/>
      <w:r w:rsidRPr="00DB5C50">
        <w:t>Conclusions</w:t>
      </w:r>
      <w:bookmarkEnd w:id="40"/>
    </w:p>
    <w:p w:rsidR="002600E7" w:rsidRPr="002600E7" w:rsidRDefault="00DB5C50" w:rsidP="00DB5C50">
      <w:pPr>
        <w:keepNext/>
        <w:keepLines/>
        <w:numPr>
          <w:ilvl w:val="0"/>
          <w:numId w:val="11"/>
        </w:numPr>
        <w:spacing w:before="100" w:beforeAutospacing="1" w:after="100" w:afterAutospacing="1" w:line="480" w:lineRule="auto"/>
        <w:outlineLvl w:val="0"/>
        <w:rPr>
          <w:rFonts w:ascii="Cambria" w:hAnsi="Cambria" w:cs="Times New Roman"/>
          <w:b/>
          <w:bCs/>
          <w:sz w:val="28"/>
          <w:szCs w:val="28"/>
        </w:rPr>
      </w:pPr>
      <w:bookmarkStart w:id="41" w:name="_Toc391021443"/>
      <w:r w:rsidRPr="00CA73D6">
        <w:rPr>
          <w:rFonts w:ascii="Calibri" w:eastAsia="Calibri" w:hAnsi="Calibri" w:cs="Times New Roman"/>
          <w:sz w:val="22"/>
          <w:szCs w:val="22"/>
          <w:highlight w:val="lightGray"/>
        </w:rPr>
        <w:t>O</w:t>
      </w:r>
      <w:r w:rsidR="00E807D9" w:rsidRPr="00CA73D6">
        <w:rPr>
          <w:rFonts w:ascii="Calibri" w:eastAsia="Calibri" w:hAnsi="Calibri" w:cs="Times New Roman"/>
          <w:sz w:val="22"/>
          <w:szCs w:val="22"/>
          <w:highlight w:val="lightGray"/>
        </w:rPr>
        <w:t>verall similar patterns of N either in organic or inorganic being the main driving factor of the trends in both the soil C, and N as well as microbial structural dynamics</w:t>
      </w:r>
      <w:r w:rsidR="00E807D9">
        <w:rPr>
          <w:rFonts w:ascii="Calibri" w:eastAsia="Calibri" w:hAnsi="Calibri" w:cs="Times New Roman"/>
          <w:sz w:val="22"/>
          <w:szCs w:val="22"/>
        </w:rPr>
        <w:t xml:space="preserve">  </w:t>
      </w:r>
      <w:r w:rsidR="00E807D9">
        <w:rPr>
          <w:rFonts w:ascii="Calibri" w:eastAsia="Calibri" w:hAnsi="Calibri" w:cs="Times New Roman"/>
          <w:sz w:val="22"/>
          <w:szCs w:val="22"/>
        </w:rPr>
        <w:br w:type="page"/>
      </w:r>
      <w:r w:rsidR="002600E7" w:rsidRPr="002600E7">
        <w:rPr>
          <w:rFonts w:ascii="Cambria" w:hAnsi="Cambria" w:cs="Times New Roman"/>
          <w:b/>
          <w:bCs/>
          <w:sz w:val="28"/>
          <w:szCs w:val="28"/>
        </w:rPr>
        <w:lastRenderedPageBreak/>
        <w:t>References</w:t>
      </w:r>
      <w:bookmarkEnd w:id="41"/>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cs="Times New Roman"/>
        </w:rPr>
        <w:fldChar w:fldCharType="begin" w:fldLock="1"/>
      </w:r>
      <w:r w:rsidRPr="002600E7">
        <w:rPr>
          <w:rFonts w:cs="Times New Roman"/>
        </w:rPr>
        <w:instrText xml:space="preserve">ADDIN Mendeley Bibliography CSL_BIBLIOGRAPHY </w:instrText>
      </w:r>
      <w:r w:rsidRPr="002600E7">
        <w:rPr>
          <w:rFonts w:cs="Times New Roman"/>
        </w:rPr>
        <w:fldChar w:fldCharType="separate"/>
      </w:r>
      <w:r w:rsidRPr="002600E7">
        <w:rPr>
          <w:rFonts w:ascii="Calibri" w:hAnsi="Calibri" w:cs="Times New Roman"/>
          <w:noProof/>
          <w:sz w:val="22"/>
        </w:rPr>
        <w:t>Acosta-Martinez, V. 2004. Soil microbial, chemical and physical properties in continuous cotton and integrated crop–livestock systems. Soil Sci. Soc. …: 1875–1884Available at https://dl.sciencesocieties.org/publications/sssaj/abstracts/68/6/1875 (verified 14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Acosta-Martínez, V., G. Burow, T.M. Zobeck, and V.G. Allen. 2010. Soil Microbial Communities and Function in Alternative Systems to Continuous Cotton. Soil Sci. Soc. Am. J. 74(4): 1181Available at https://www.soils.org/publications/sssaj/abstracts/74/4/1181 (verified 27 June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Acosta-Martínez, V., S. Klose, and T.M. Zobeck. 2003. Enzyme activities in semiarid soils under conservation reserve program, native rangeland, and cropland. J. Plant Nutr. Soil Sci. 166(6): 699–707Available at http://doi.wiley.com/10.1002/jpln.200321215 (verified 1 October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Acosta-Martínez, V., R. Lascano, F. Calderón, J.D. Booker, T.M. Zobeck, and D.R. Upchurch. 2011. Dryland cropping systems influence the microbial biomass and enzyme activities in a semiarid sandy soil. Biol. Fertil. Soils 47(6): 655–667Available at http://link.springer.com/10.1007/s00374-011-0565-1 (verified 1 October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Alvarez, R. 2005. A review of nitrogen fertilizer and conservation tillage effects on soil organic carbon storage. Soil Use Manag. 21(1): 38–52Available at http://doi.wiley.com/10.1079/SUM2005291 (verified 6 June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Bailey, V.L., J.L. Smith, and H.B. Jr. 2002. Fungal-to-bacterial ratios in soils investigated for enhanced C sequestration. 34.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Beare, M., R. Parmelee, and P. Hendrix. 1992. Microbial and faunal interactions and effects on litter nitrogen and decomposition in agroecosystems. Ecol. … 62(4): 569–591Available at http://www.jstor.org/stable/2937317 (verified 12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Bell, C., Y. Carrillo, C.M. Boot, J.D. Rocca, E. Pendall, and M.D. Wallenstein. 2014. Rhizosphere stoichiometry: are C : N : P ratios of plants, soils, and enzymes conserved at the plant species-level? New Phytol. 201(2): 505–517Available at http://www.ncbi.nlm.nih.gov/pubmed/24117992 (verified 6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Bending, G.D., M.K. Turner, and J.E. Jones. 2002. Interactions between crop residue and soil organic matter quality and the functional diversity of soil microbial communities. Soil Biol. Biochem. 34(8): 1073–1082Available at http://www.sciencedirect.com/science/article/pii/S0038071702000408 (verified 26 October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lastRenderedPageBreak/>
        <w:t>Doran, J.W. 1980a. Soil microbial and biochemical changes associated with reduced tillage. Soil Sci. Soc. Am. J. 44(4): 765–771Available at https://dl.sciencesocieties.org/publications/sssaj/abstracts/44/4/SS0440040765 (verified 11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Doran, J.W. 1980b. Microbial Changes Associated with Residue Management with Reduced Tillage1. Soil Sci. Soc. Am. J. 44(3): 518–524Available at https://www.soils.org/publications/sssaj/abstracts/44/3/SS0440030518 (verified 5 July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Doran, J.W. 1987. Microbial biomass and mineralizable nitrogen distributions in no-tillage and plowed soils. Biol. Fertil. Soils 5(1)Available at http://link.springer.com/10.1007/BF00264349 (verified 9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Doran, J.W., and M.R. Zeiss. 2000. Soil health and sustainability: managing the biotic component of soil quality. Appl. Soil Ecol. 15(1): 3–11Available at http://linkinghub.elsevier.com/retrieve/pii/S0929139300000676.</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Drijber, R.A., J.W. Doran, A.M. Parkhurst, and D.J. Lyon. 2000. Changes in soil microbial community structure with tillage under long-term wheat-fallow management. Soil Biol. Biochem. 32(10): 1419–1430Available at http://linkinghub.elsevier.com/retrieve/pii/S0038071700000602.</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Feng, Y., a. C. Motta, D.W. Reeves, C.H. Burmester, E. van Santen, and J. a. Osborne. 2003. Soil microbial communities under conventional-till and no-till continuous cotton systems. Soil Biol. Biochem. 35(12): 1693–1703Available at http://linkinghub.elsevier.com/retrieve/pii/S0038071703002876 (verified 23 May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Fraser, D.G., J.W. Doran, W.W. Sahs, and G.W. Lesoing. 1988. Soil Microbial Populations and Activities under Conventional and Organic Management. J. Environ. Qual. 17(4): 585Available at https://www.agronomy.org/publications/jeq/abstracts/17/4/JEQ0170040585.</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Frostegard, A., and E. Baath. 1996. The use of phospholipid fatty acid analysis to estimate bacterial and fungal biomass in soil. Biol. Fertil. Soils 22(1-2): 59–65Available at http://link.springer.com/10.1007/BF00384433 (verified 19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Gardner, T., V. Acosta-Martinez, Z. Senwo, and S.E. Dowd. 2011. Soil Rhizosphere Microbial Communities and Enzyme Activities under Organic Farming in Alabama. Diversity 3(4): 308–328Available at http://www.mdpi.com/1424-2818/3/3/308/ (verified 1 October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lastRenderedPageBreak/>
        <w:t>Granatstein, D.M., D.F. Bezdicek, V.L. Cochran, L.E. Elliott, and J. Hammel. 1987. Long-term tillage and rotation effects on soil microbial biomass, carbon and nitrogen. Biol. Fertil. Soils 5(3)Available at http://link.springer.com/10.1007/BF00256912 (verified 5 July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Halvorson, A., B.J. Wienhold, and A.L. Black. 2002. Tillage , Nitrogen , and Cropping System Effects on Soil Carbon Sequestration Tillage , Nitrogen , and Cropping System Effects on Soil Carbon Sequestration.</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Helgason, B.L., F.L. Walley, and J.J. Germida. 2009. Fungal and Bacterial Abundance in Long-Term No-Till and Intensive-Till Soils of the Northern Great Plains. Soil Sci. Soc. Am. J. 73(1): 120Available at http://pubget.com/paper/pgtmp_592d5ee79a5146b50f78ddb0895ef7c6/fungal-and-bacterial-abundance-in-long-term-no-till-and-intensive-till-soils-of-the-northern-great-plains (verified 10 June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Hobbs, P.R., K. Sayre, and R. Gupta. 2008. The role of conservation agriculture in sustainable agriculture. Philos. Trans. R. Soc. Lond. B. Biol. Sci. 363(1491): 543–55Available at http://rstb.royalsocietypublishing.org/content/363/1491/543.abstract (verified 6 July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Linn, D., and J. Doran. 1984. Aerobic and anaerobic microbial populations in no-till and plowed soils. Soil Sci. Soc. Am. …: 1–6Available at https://dl.sciencesocieties.org/publications/sssaj/abstracts/48/4/SS0480040794 (verified 10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Mathew, R.P., Y. Feng, L. Githinji, R. Ankumah, and K.S. Balkcom. 2012. Impact of No-Tillage and Conventional Tillage Systems on Soil Microbial Communities. Appl. Environ. Soil Sci. 2012: 1–10Available at http://www.hindawi.com/journals/aess/2012/548620/ (verified 23 May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Reiter, M.S., D.W. Reeves, C.H. Burmester, and H. a. Torbert. 2008. Cotton Nitrogen Management in a High-Residue Conservation System: Cover Crop Fertilization. Soil Sci. Soc. Am. J. 72(5): 1321Available at https://www.soils.org/publications/sssaj/abstracts/72/5/1321 (verified 27 June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Simmons, B.L., and D.C. Coleman. 2008. Microbial community response to transition from conventional to conservation tillage in cotton fields. Appl. Soil Ecol. 40(3): 518–528Available at http://dx.doi.org/10.1016/j.apsoil.2008.08.003 (verified 5 July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Spedding, T. a., C. Hamel, G.R. Mehuys, and C. a. Madramootoo. 2004. Soil microbial dynamics in maize-growing soil under different tillage and residue management systems. Soil Biol. Biochem. 36(3): 499–512Available at http://linkinghub.elsevier.com/retrieve/pii/S0038071703003560 (verified 27 June 2013).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lastRenderedPageBreak/>
        <w:t>Treseder, K.K. 2008. Nitrogen additions and microbial biomass: a meta-analysis of ecosystem studies. Ecol. Lett. 11(10): 1111–20Available at http://www.ncbi.nlm.nih.gov/pubmed/18673384 (verified 20 January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Wardle, D. 1992. A comparative assessment of factors which influence microbial biomass carbon and nitrogen levels in soil. Biol. Rev. 67: 321–358Available at http://onlinelibrary.wiley.com/doi/10.1111/j.1469-185X.1992.tb00728.x/full (verified 14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Wortman, S.E., R.A. Drijber, C.A. Francis, and J.L. Lindquist. 2013. Arable weeds, cover crops, and tillage drive soil microbial community composition in organic cropping systems. Appl. Soil Ecol. 72: 232–241Available at http://www.sciencedirect.com/science/article/pii/S0929139313002011 (verified 23 January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Wright, A.L., and F.M. Hons. 2004. Carbon and nitrogen sequestration and soil aggregation under sorghum cropping sequences. Biol. Fertil. Soils 41(2): 95–100Available at http://link.springer.com/10.1007/s00374-004-0819-2 (verified 9 April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Wright, A.L., F.M. Hons, R.G. Lemon, M.L. McFarland, and R.L. Nichols. 2008. Microbial activity and soil C sequestration for reduced and conventional tillage cotton. Appl. Soil Ecol. 38(2): 168–173Available at http://www.sciencedirect.com/science/article/pii/S092913930700131X (verified 14 February 2014).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Young, I.., and K. Ritz. 2000. Tillage, habitat space and function of soil microbes. Soil Tillage Res. 53(3-4): 201–213Available at http://linkinghub.elsevier.com/retrieve/pii/S0167198799001063.</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Zelles, L. 1997. PHOSPHOLIPID FATTY ACID PROFILES IN SELECTED MEMBERS OF SOIL MICROBIAL COMMUNlTIES. Chemosphere 6535(97): 275–294.</w:t>
      </w:r>
    </w:p>
    <w:p w:rsidR="002600E7" w:rsidRPr="002600E7" w:rsidRDefault="002600E7" w:rsidP="002600E7">
      <w:pPr>
        <w:spacing w:before="100" w:beforeAutospacing="1" w:after="100" w:afterAutospacing="1" w:line="240" w:lineRule="auto"/>
        <w:ind w:left="480" w:hanging="480"/>
        <w:rPr>
          <w:rFonts w:ascii="Calibri" w:hAnsi="Calibri" w:cs="Times New Roman"/>
          <w:noProof/>
          <w:sz w:val="22"/>
        </w:rPr>
      </w:pPr>
      <w:r w:rsidRPr="002600E7">
        <w:rPr>
          <w:rFonts w:ascii="Calibri" w:hAnsi="Calibri" w:cs="Times New Roman"/>
          <w:noProof/>
          <w:sz w:val="22"/>
        </w:rPr>
        <w:t>Zelles, L. 1999. Identification of single cultured micro-organisms based on their whole-community fatty acid profiles, using an extended extraction procedure. Chemosphere 39: 665–682Available at http://linkinghub.elsevier.com/retrieve/pii/S0045653599001319.</w:t>
      </w:r>
    </w:p>
    <w:p w:rsidR="002600E7" w:rsidRPr="002600E7" w:rsidRDefault="002600E7" w:rsidP="002600E7">
      <w:pPr>
        <w:spacing w:after="200" w:line="480" w:lineRule="auto"/>
        <w:rPr>
          <w:rFonts w:ascii="Calibri" w:eastAsia="Calibri" w:hAnsi="Calibri" w:cs="Times New Roman"/>
          <w:sz w:val="22"/>
          <w:szCs w:val="22"/>
          <w:lang w:val="en-GB"/>
        </w:rPr>
      </w:pPr>
      <w:r w:rsidRPr="002600E7">
        <w:rPr>
          <w:rFonts w:ascii="Calibri" w:eastAsia="Calibri" w:hAnsi="Calibri" w:cs="Times New Roman"/>
          <w:sz w:val="22"/>
          <w:szCs w:val="22"/>
        </w:rPr>
        <w:fldChar w:fldCharType="end"/>
      </w: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2600E7" w:rsidRPr="002600E7" w:rsidRDefault="002600E7" w:rsidP="002600E7">
      <w:pPr>
        <w:spacing w:after="200"/>
        <w:rPr>
          <w:rFonts w:ascii="Calibri" w:eastAsia="Calibri" w:hAnsi="Calibri" w:cs="Times New Roman"/>
          <w:sz w:val="22"/>
          <w:szCs w:val="22"/>
          <w:lang w:val="en-GB"/>
        </w:rPr>
      </w:pPr>
    </w:p>
    <w:p w:rsidR="00975E37" w:rsidRDefault="00975E37" w:rsidP="005E54E2">
      <w:pPr>
        <w:pStyle w:val="Heading2"/>
      </w:pPr>
      <w:r>
        <w:br w:type="page"/>
      </w:r>
      <w:bookmarkStart w:id="42" w:name="_Toc289175832"/>
      <w:bookmarkStart w:id="43" w:name="_Toc391021444"/>
      <w:r>
        <w:lastRenderedPageBreak/>
        <w:t>Appendix</w:t>
      </w:r>
      <w:bookmarkEnd w:id="42"/>
      <w:bookmarkEnd w:id="43"/>
    </w:p>
    <w:p w:rsidR="00975E37" w:rsidRDefault="00975E37" w:rsidP="005E54E2"/>
    <w:p w:rsidR="00975E37" w:rsidRDefault="00CE3A3E" w:rsidP="002A3264">
      <w:r>
        <w:t>You can p</w:t>
      </w:r>
      <w:r w:rsidR="00975E37">
        <w:t>lace references for this chapter here, or you can collect all of your references into a reference section at the end of the document (before the appendix if you have one for the entire ETD, and before the vita).  If you have one reference section, the heading for this section should be treated as a major heading, and the title should get its own page.</w:t>
      </w:r>
    </w:p>
    <w:p w:rsidR="00975E37" w:rsidRDefault="00975E37" w:rsidP="005E54E2"/>
    <w:p w:rsidR="00975E37" w:rsidRDefault="00975E37" w:rsidP="005E54E2"/>
    <w:p w:rsidR="00975E37" w:rsidRPr="004C2071" w:rsidRDefault="00975E37" w:rsidP="005E54E2">
      <w:pPr>
        <w:pStyle w:val="Caption"/>
      </w:pPr>
      <w:bookmarkStart w:id="44" w:name="_Toc289175850"/>
      <w:bookmarkStart w:id="45" w:name="_Toc390954647"/>
      <w:r w:rsidRPr="004C2071">
        <w:t xml:space="preserve">Table </w:t>
      </w:r>
      <w:fldSimple w:instr=" STYLEREF 1 \s ">
        <w:r w:rsidR="00A85C1F">
          <w:rPr>
            <w:noProof/>
          </w:rPr>
          <w:t>0</w:t>
        </w:r>
      </w:fldSimple>
      <w:r w:rsidR="00A85C1F">
        <w:noBreakHyphen/>
      </w:r>
      <w:fldSimple w:instr=" SEQ Table \* ARABIC \s 1 ">
        <w:r w:rsidR="00A85C1F">
          <w:rPr>
            <w:noProof/>
          </w:rPr>
          <w:t>4</w:t>
        </w:r>
      </w:fldSimple>
      <w:r w:rsidRPr="004C2071">
        <w:t>: This Is The Second Table</w:t>
      </w:r>
      <w:bookmarkEnd w:id="44"/>
      <w:bookmarkEnd w:id="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975E37" w:rsidTr="00360B3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r>
      <w:tr w:rsidR="00975E37" w:rsidTr="00360B3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r>
      <w:tr w:rsidR="00975E37" w:rsidTr="00360B3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r>
      <w:tr w:rsidR="00975E37" w:rsidTr="00360B3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r>
      <w:tr w:rsidR="00975E37" w:rsidTr="00360B3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c>
          <w:tcPr>
            <w:tcW w:w="2214" w:type="dxa"/>
            <w:shd w:val="clear" w:color="auto" w:fill="auto"/>
          </w:tcPr>
          <w:p w:rsidR="00975E37" w:rsidRDefault="00975E37" w:rsidP="005E54E2"/>
        </w:tc>
      </w:tr>
    </w:tbl>
    <w:p w:rsidR="00975E37" w:rsidRDefault="00975E37" w:rsidP="005E54E2"/>
    <w:p w:rsidR="00975E37" w:rsidRPr="00975E37" w:rsidRDefault="00975E37" w:rsidP="005E54E2"/>
    <w:p w:rsidR="00700712" w:rsidRDefault="00FF1665" w:rsidP="00700712">
      <w:pPr>
        <w:pStyle w:val="Heading1"/>
      </w:pPr>
      <w:r>
        <w:br w:type="page"/>
      </w:r>
      <w:bookmarkStart w:id="46" w:name="_Toc289175833"/>
      <w:bookmarkStart w:id="47" w:name="_Toc391021445"/>
      <w:r w:rsidR="00CE3A3E" w:rsidRPr="00593192">
        <w:lastRenderedPageBreak/>
        <w:t>CHAPTER I</w:t>
      </w:r>
      <w:r w:rsidR="00236E6D" w:rsidRPr="00593192">
        <w:t>I</w:t>
      </w:r>
      <w:r w:rsidR="00E459DC" w:rsidRPr="00593192">
        <w:br/>
      </w:r>
      <w:bookmarkEnd w:id="46"/>
      <w:r w:rsidR="00700712">
        <w:rPr>
          <w:caps w:val="0"/>
        </w:rPr>
        <w:t xml:space="preserve">Bacterial and Fungal Taxonomic Composition As Influenced By </w:t>
      </w:r>
      <w:r w:rsidR="00700712" w:rsidRPr="00034930">
        <w:rPr>
          <w:caps w:val="0"/>
        </w:rPr>
        <w:t>Different Cover Crops, Nitrogen Rates and Tillage Options in a Long Term (32 Years) Continuous Cotton Production in West Tennessee</w:t>
      </w:r>
      <w:bookmarkEnd w:id="47"/>
      <w:r w:rsidR="00700712">
        <w:t xml:space="preserve"> </w:t>
      </w:r>
    </w:p>
    <w:p w:rsidR="00700712" w:rsidRDefault="00700712" w:rsidP="00700712"/>
    <w:p w:rsidR="00CE3A3E" w:rsidRDefault="00CE3A3E" w:rsidP="005E54E2">
      <w:pPr>
        <w:pStyle w:val="Heading1"/>
      </w:pPr>
    </w:p>
    <w:p w:rsidR="00236E6D" w:rsidRPr="005E54E2" w:rsidRDefault="00D25C54" w:rsidP="005E54E2">
      <w:r>
        <w:br w:type="page"/>
      </w:r>
    </w:p>
    <w:p w:rsidR="00236E6D" w:rsidRDefault="00CE4D4B" w:rsidP="005E54E2">
      <w:pPr>
        <w:pStyle w:val="Heading2"/>
      </w:pPr>
      <w:bookmarkStart w:id="48" w:name="_Toc289175834"/>
      <w:bookmarkStart w:id="49" w:name="_Toc391021446"/>
      <w:r>
        <w:t>Abstract</w:t>
      </w:r>
      <w:bookmarkEnd w:id="48"/>
      <w:bookmarkEnd w:id="49"/>
    </w:p>
    <w:p w:rsidR="004A404B" w:rsidRDefault="004A404B" w:rsidP="005E54E2">
      <w:r>
        <w:t>An increase in microbial diversity and activity has been attributed to be a key driver to the improved soil quality properties observed under conservation agricultural (ConsAg) management practices.  However, the long-term and interacting effects of these practices on soil microbial community dynamics are still unclear. The objective of this study therefore,  was to evaluate the microbial community structure and activity as influenced by tillage (Till and NoTill) and cover crops (vetch- Vicia villosa and wheat- Triticum aestivum, and a NoCover control) under varying nitrogen fertilizer rates (0, 34, 67 and 101 kg/ha N-rate). This research is based on a long-term (31 yrs), ConsAg plots under a continuous cotton production located at Jackson, West Tennessee.  Microbial structure was assessed by Fatty Acid Methyl Ester (FAME) extractions, and activity measured through respiration and selected enzyme assays.</w:t>
      </w:r>
    </w:p>
    <w:p w:rsidR="004A404B" w:rsidRDefault="004A404B" w:rsidP="005E54E2"/>
    <w:p w:rsidR="00236E6D" w:rsidRDefault="00CE4D4B" w:rsidP="005E54E2">
      <w:r w:rsidRPr="005E54E2">
        <w:t>This article hasn’t been published anywhere, nor will it be before I turn in the final version</w:t>
      </w:r>
      <w:r w:rsidR="00825933" w:rsidRPr="005E54E2">
        <w:t xml:space="preserve"> of my ETD</w:t>
      </w:r>
      <w:r w:rsidRPr="005E54E2">
        <w:t>, so I didn’t include a publication statement.</w:t>
      </w:r>
    </w:p>
    <w:p w:rsidR="00BB01C6" w:rsidRPr="005E54E2" w:rsidRDefault="00BB01C6" w:rsidP="005E54E2"/>
    <w:p w:rsidR="00CE4D4B" w:rsidRDefault="00CE4D4B" w:rsidP="005E54E2"/>
    <w:p w:rsidR="00700712" w:rsidRDefault="00700712" w:rsidP="005E54E2"/>
    <w:p w:rsidR="00700712" w:rsidRDefault="00700712" w:rsidP="005E54E2"/>
    <w:p w:rsidR="00D25C54" w:rsidRDefault="00D25C54" w:rsidP="005E54E2"/>
    <w:p w:rsidR="00D25C54" w:rsidRDefault="00D25C54" w:rsidP="005E54E2"/>
    <w:p w:rsidR="00D25C54" w:rsidRDefault="00D25C54" w:rsidP="005E54E2"/>
    <w:p w:rsidR="00D25C54" w:rsidRDefault="00D25C54" w:rsidP="005E54E2"/>
    <w:p w:rsidR="00700712" w:rsidRPr="005E54E2" w:rsidRDefault="00700712" w:rsidP="005E54E2"/>
    <w:p w:rsidR="00CE4D4B" w:rsidRDefault="00CE4D4B" w:rsidP="005E54E2">
      <w:pPr>
        <w:pStyle w:val="Heading2"/>
      </w:pPr>
      <w:bookmarkStart w:id="50" w:name="_Toc289175835"/>
      <w:bookmarkStart w:id="51" w:name="_Toc391021447"/>
      <w:r>
        <w:lastRenderedPageBreak/>
        <w:t>Introduction</w:t>
      </w:r>
      <w:bookmarkEnd w:id="50"/>
      <w:bookmarkEnd w:id="51"/>
    </w:p>
    <w:p w:rsidR="00700712" w:rsidRDefault="00700712" w:rsidP="00700712">
      <w:pPr>
        <w:spacing w:line="480" w:lineRule="auto"/>
      </w:pPr>
      <w:r>
        <w:rPr>
          <w:rFonts w:cs="Calibri"/>
        </w:rPr>
        <w:t>Conservation agriculture (ConsAg)</w:t>
      </w:r>
      <w:r w:rsidRPr="009C3FC6">
        <w:rPr>
          <w:rFonts w:cs="Calibri"/>
        </w:rPr>
        <w:t xml:space="preserve"> </w:t>
      </w:r>
      <w:r>
        <w:rPr>
          <w:rFonts w:cs="Calibri"/>
        </w:rPr>
        <w:t>involves a suit of management practices endorsed to mitigate soil erosion while reducing negative impacts on soil quality and</w:t>
      </w:r>
      <w:r w:rsidRPr="009C3FC6">
        <w:rPr>
          <w:rFonts w:cs="Calibri"/>
        </w:rPr>
        <w:t xml:space="preserve"> </w:t>
      </w:r>
      <w:r>
        <w:rPr>
          <w:rFonts w:cs="Calibri"/>
        </w:rPr>
        <w:t xml:space="preserve">the environment </w:t>
      </w:r>
      <w:r>
        <w:rPr>
          <w:rFonts w:cs="Calibri"/>
        </w:rPr>
        <w:fldChar w:fldCharType="begin" w:fldLock="1"/>
      </w:r>
      <w:r>
        <w:rPr>
          <w:rFonts w:cs="Calibri"/>
        </w:rPr>
        <w:instrText>ADDIN CSL_CITATION { "citationItems" : [ { "id" : "ITEM-1", "itemData" : { "DOI" : "10.1098/rstb.2007.2169", "ISSN" : "0962-8436", "PMID" : "17720669", "abstract" : "The paper focuses on conservation agriculture (CA), defined as minimal soil disturbance (no-till, NT) and permanent soil cover (mulch) combined with rotations, as a more sustainable cultivation system for the future. Cultivation and tillage play an important role in agriculture. The benefits of tillage in agriculture are explored before introducing conservation tillage (CT), a practice that was borne out of the American dust bowl of the 1930s. The paper then describes the benefits of CA, a suggested improvement on CT, where NT, mulch and rotations significantly improve soil properties and other biotic factors. The paper concludes that CA is a more sustainable and environmentally friendly management system for cultivating crops. Case studies from the rice-wheat areas of the Indo-Gangetic Plains of South Asia and the irrigated maize-wheat systems of Northwest Mexico are used to describe how CA practices have been used in these two environments to raise production sustainably and profitably. Benefits in terms of greenhouse gas emissions and their effect on global warming are also discussed. The paper concludes that agriculture in the next decade will have to sustainably produce more food from less land through more efficient use of natural resources and with minimal impact on the environment in order to meet growing population demands. Promoting and adopting CA management systems can help meet this goal.", "author" : [ { "dropping-particle" : "", "family" : "Hobbs", "given" : "Peter R", "non-dropping-particle" : "", "parse-names" : false, "suffix" : "" }, { "dropping-particle" : "", "family" : "Sayre", "given" : "Ken", "non-dropping-particle" : "", "parse-names" : false, "suffix" : "" }, { "dropping-particle" : "", "family" : "Gupta", "given" : "Raj", "non-dropping-particle" : "", "parse-names" : false, "suffix" : "" } ], "container-title" : "Philosophical transactions of the Royal Society of London. Series B, Biological sciences", "id" : "ITEM-1", "issue" : "1491", "issued" : { "date-parts" : [ [ "2008", "2", "12" ] ] }, "page" : "543-55", "title" : "The role of conservation agriculture in sustainable agriculture.", "type" : "article-journal", "volume" : "363" }, "uris" : [ "http://www.mendeley.com/documents/?uuid=981e8265-5809-4fb8-92e1-3de1cf4166e9" ] } ], "mendeley" : { "previouslyFormattedCitation" : "(Hobbs et al., 2008)" }, "properties" : { "noteIndex" : 0 }, "schema" : "https://github.com/citation-style-language/schema/raw/master/csl-citation.json" }</w:instrText>
      </w:r>
      <w:r>
        <w:rPr>
          <w:rFonts w:cs="Calibri"/>
        </w:rPr>
        <w:fldChar w:fldCharType="separate"/>
      </w:r>
      <w:r w:rsidRPr="00D30E28">
        <w:rPr>
          <w:rFonts w:cs="Calibri"/>
          <w:noProof/>
        </w:rPr>
        <w:t>(Hobbs et al., 2008)</w:t>
      </w:r>
      <w:r>
        <w:rPr>
          <w:rFonts w:cs="Calibri"/>
        </w:rPr>
        <w:fldChar w:fldCharType="end"/>
      </w:r>
      <w:r>
        <w:rPr>
          <w:rFonts w:cs="Calibri"/>
        </w:rPr>
        <w:t>.</w:t>
      </w:r>
      <w:r w:rsidRPr="009D7A3D">
        <w:rPr>
          <w:rFonts w:cs="Calibri"/>
        </w:rPr>
        <w:t xml:space="preserve"> </w:t>
      </w:r>
      <w:r>
        <w:rPr>
          <w:rFonts w:cs="Calibri"/>
        </w:rPr>
        <w:t>ConsAg is characterized by three main principles which include, reducing soil disturbance by applying</w:t>
      </w:r>
      <w:r w:rsidRPr="009C3FC6">
        <w:rPr>
          <w:rFonts w:cs="Calibri"/>
        </w:rPr>
        <w:t xml:space="preserve"> reduced</w:t>
      </w:r>
      <w:r>
        <w:rPr>
          <w:rFonts w:cs="Calibri"/>
        </w:rPr>
        <w:t xml:space="preserve">/minimum tillage methods; </w:t>
      </w:r>
      <w:r w:rsidRPr="009C3FC6">
        <w:rPr>
          <w:rFonts w:cs="Calibri"/>
        </w:rPr>
        <w:t>maintenance</w:t>
      </w:r>
      <w:r>
        <w:rPr>
          <w:rFonts w:cs="Calibri"/>
        </w:rPr>
        <w:t xml:space="preserve"> </w:t>
      </w:r>
      <w:r w:rsidRPr="009C3FC6">
        <w:rPr>
          <w:rFonts w:cs="Calibri"/>
        </w:rPr>
        <w:t xml:space="preserve">of adequate </w:t>
      </w:r>
      <w:r>
        <w:rPr>
          <w:rFonts w:cs="Calibri"/>
        </w:rPr>
        <w:t>soil cover by use of crop residue and/or cover crops;</w:t>
      </w:r>
      <w:r w:rsidRPr="009C3FC6">
        <w:rPr>
          <w:rFonts w:cs="Calibri"/>
        </w:rPr>
        <w:t xml:space="preserve"> and crop rotation practices (Govaerts </w:t>
      </w:r>
      <w:r w:rsidRPr="009D7A3D">
        <w:rPr>
          <w:rFonts w:cs="Calibri"/>
        </w:rPr>
        <w:t>et al.,</w:t>
      </w:r>
      <w:r w:rsidRPr="009C3FC6">
        <w:rPr>
          <w:rFonts w:cs="Calibri"/>
        </w:rPr>
        <w:t xml:space="preserve"> 2009). </w:t>
      </w:r>
      <w:r>
        <w:t xml:space="preserve">An increase in the abundance and activity of microbial communities is one of the key factors attributed to soil quality improvements due to their critical role in the transformations of soil organic matter </w:t>
      </w:r>
      <w:r w:rsidRPr="004417DA">
        <w:rPr>
          <w:noProof/>
        </w:rPr>
        <w:t xml:space="preserve">(Mohammadi </w:t>
      </w:r>
      <w:r w:rsidRPr="004417DA">
        <w:rPr>
          <w:i/>
          <w:noProof/>
        </w:rPr>
        <w:t>et al.,</w:t>
      </w:r>
      <w:r w:rsidRPr="004417DA">
        <w:rPr>
          <w:noProof/>
        </w:rPr>
        <w:t xml:space="preserve"> 2011; Tikhonovich and Provorov, 2011)</w:t>
      </w:r>
      <w:r w:rsidRPr="004417DA">
        <w:t>.</w:t>
      </w:r>
      <w:r w:rsidRPr="005A5D79">
        <w:rPr>
          <w:rFonts w:cs="Calibri"/>
        </w:rPr>
        <w:t xml:space="preserve"> </w:t>
      </w:r>
      <w:r>
        <w:t xml:space="preserve">Soil physical and biochemical changes associated with these practices have been attributed as factors that would alter the soil microbial ecology </w:t>
      </w:r>
      <w:r>
        <w:fldChar w:fldCharType="begin" w:fldLock="1"/>
      </w:r>
      <w:r>
        <w:instrText>ADDIN CSL_CITATION { "citationItems" : [ { "id" : "ITEM-1", "itemData" : { "DOI" : "10.2134/jeq1988.00472425001700040011x", "ISSN" : "0047-2425", "author" : [ { "dropping-particle" : "", "family" : "Fraser", "given" : "D. G.", "non-dropping-particle" : "", "parse-names" : false, "suffix" : "" }, { "dropping-particle" : "", "family" : "Doran", "given" : "J. W.", "non-dropping-particle" : "", "parse-names" : false, "suffix" : "" }, { "dropping-particle" : "", "family" : "Sahs", "given" : "W. W.", "non-dropping-particle" : "", "parse-names" : false, "suffix" : "" }, { "dropping-particle" : "", "family" : "Lesoing", "given" : "G. W.", "non-dropping-particle" : "", "parse-names" : false, "suffix" : "" } ], "container-title" : "Journal of Environment Quality", "id" : "ITEM-1", "issue" : "4", "issued" : { "date-parts" : [ [ "1988" ] ] }, "page" : "585", "title" : "Soil Microbial Populations and Activities under Conventional and Organic Management", "type" : "article-journal", "volume" : "17" }, "uris" : [ "http://www.mendeley.com/documents/?uuid=e35f7879-3376-4fa6-a371-6a26fa603ffd" ] }, { "id" : "ITEM-2", "itemData" : { "DOI" : "10.2136/sssaj1980.03615995004400030016x", "ISSN" : "0361-5995", "author" : [ { "dropping-particle" : "", "family" : "Doran", "given" : "J.W.", "non-dropping-particle" : "", "parse-names" : false, "suffix" : "" } ], "container-title" : "Soil Science Society of America Journal", "id" : "ITEM-2", "issue" : "3", "issued" : { "date-parts" : [ [ "1980", "1", "29" ] ] }, "page" : "518-524", "publisher" : "Soil Science Society of America", "title" : "Microbial Changes Associated with Residue Management with Reduced Tillage1", "type" : "article-journal", "volume" : "44" }, "uris" : [ "http://www.mendeley.com/documents/?uuid=eae4d79c-9444-4392-93ff-ef4b23acabc8" ] }, { "id" : "ITEM-3", "itemData" : { "DOI" : "10.1016/S0929-1393(00)00067-6", "ISSN" : "09291393", "author" : [ { "dropping-particle" : "", "family" : "Doran", "given" : "John W.", "non-dropping-particle" : "", "parse-names" : false, "suffix" : "" }, { "dropping-particle" : "", "family" : "Zeiss", "given" : "Michael R.", "non-dropping-particle" : "", "parse-names" : false, "suffix" : "" } ], "container-title" : "Applied Soil Ecology", "id" : "ITEM-3", "issue" : "1", "issued" : { "date-parts" : [ [ "2000", "8" ] ] }, "page" : "3-11", "title" : "Soil health and sustainability: managing the biotic component of soil quality", "type" : "article-journal", "volume" : "15" }, "uris" : [ "http://www.mendeley.com/documents/?uuid=ea291dce-cd16-46b0-83dd-67a08b072d69" ] }, { "id" : "ITEM-4", "itemData" : { "DOI" : "10.1016/S0038-0717(00)00060-2", "ISSN" : "00380717", "author" : [ { "dropping-particle" : "", "family" : "Drijber", "given" : "R.A.", "non-dropping-particle" : "", "parse-names" : false, "suffix" : "" }, { "dropping-particle" : "", "family" : "Doran", "given" : "J.W.", "non-dropping-particle" : "", "parse-names" : false, "suffix" : "" }, { "dropping-particle" : "", "family" : "Parkhurst", "given" : "A.M.", "non-dropping-particle" : "", "parse-names" : false, "suffix" : "" }, { "dropping-particle" : "", "family" : "Lyon", "given" : "D.J.", "non-dropping-particle" : "", "parse-names" : false, "suffix" : "" } ], "container-title" : "Soil Biology and Biochemistry", "id" : "ITEM-4", "issue" : "10", "issued" : { "date-parts" : [ [ "2000", "9" ] ] }, "page" : "1419-1430", "title" : "Changes in soil microbial community structure with tillage under long-term wheat-fallow management", "type" : "article-journal", "volume" : "32" }, "uris" : [ "http://www.mendeley.com/documents/?uuid=1bddb9ee-2aed-4a41-851d-e0152afd5418" ] }, { "id" : "ITEM-5", "itemData" : { "DOI" : "10.1007/BF00264349", "ISSN" : "0178-2762", "author" : [ { "dropping-particle" : "", "family" : "Doran", "given" : "J.W.", "non-dropping-particle" : "", "parse-names" : false, "suffix" : "" } ], "container-title" : "Biology and Fertility of Soils", "id" : "ITEM-5", "issue" : "1", "issued" : { "date-parts" : [ [ "1987", "10" ] ] }, "title" : "Microbial biomass and mineralizable nitrogen distributions in no-tillage and plowed soils", "type" : "article-journal", "volume" : "5" }, "uris" : [ "http://www.mendeley.com/documents/?uuid=4e741a46-63f3-4003-a9f2-7fed25308f80" ] }, { "id" : "ITEM-6", "itemData" : { "author" : [ { "dropping-particle" : "", "family" : "Doran", "given" : "J. W.", "non-dropping-particle" : "", "parse-names" : false, "suffix" : "" } ], "container-title" : "Soil Science Society of America Journal", "id" : "ITEM-6", "issue" : "4", "issued" : { "date-parts" : [ [ "1980" ] ] }, "page" : "765-771", "title" : "Soil microbial and biochemical changes associated with reduced tillage", "type" : "article-journal", "volume" : "44" }, "uris" : [ "http://www.mendeley.com/documents/?uuid=274a90f5-87e5-4a1b-9335-c98c343d1d83" ] }, { "id" : "ITEM-7", "itemData" : { "DOI" : "10.1016/S0167-1987(99)00106-3", "ISBN" : "4413825624", "ISSN" : "01671987", "author" : [ { "dropping-particle" : "", "family" : "Young", "given" : "I.M", "non-dropping-particle" : "", "parse-names" : false, "suffix" : "" }, { "dropping-particle" : "", "family" : "Ritz", "given" : "K", "non-dropping-particle" : "", "parse-names" : false, "suffix" : "" } ], "container-title" : "Soil and Tillage Research", "id" : "ITEM-7", "issue" : "3-4", "issued" : { "date-parts" : [ [ "2000", "2" ] ] }, "page" : "201-213", "title" : "Tillage, habitat space and function of soil microbes", "type" : "article-journal", "volume" : "53" }, "uris" : [ "http://www.mendeley.com/documents/?uuid=01c4ee74-a579-4900-9002-56bb511ee222" ] } ], "mendeley" : { "previouslyFormattedCitation" : "(Doran, 1980a; b, 1987; Fraser et al., 1988; Young and Ritz, 2000; Doran and Zeiss, 2000; Drijber et al., 2000)" }, "properties" : { "noteIndex" : 0 }, "schema" : "https://github.com/citation-style-language/schema/raw/master/csl-citation.json" }</w:instrText>
      </w:r>
      <w:r>
        <w:fldChar w:fldCharType="separate"/>
      </w:r>
      <w:r w:rsidRPr="00A464EA">
        <w:rPr>
          <w:noProof/>
        </w:rPr>
        <w:t>(Doran, 1980a; b, 1987; Fraser et al., 1988; Young and Ritz, 2000; Doran and Zeiss, 2000; Drijber et al., 2000)</w:t>
      </w:r>
      <w:r>
        <w:fldChar w:fldCharType="end"/>
      </w:r>
      <w:r>
        <w:t xml:space="preserve">. For example, shifting to minimum tillage practices has been associated with higher soil water content and bulk density that would promote greater abundance of anaerobic microbial species </w:t>
      </w:r>
      <w:r>
        <w:fldChar w:fldCharType="begin" w:fldLock="1"/>
      </w:r>
      <w:r>
        <w:instrText>ADDIN CSL_CITATION { "citationItems" : [ { "id" : "ITEM-1", "itemData" : { "author" : [ { "dropping-particle" : "", "family" : "Linn", "given" : "DM", "non-dropping-particle" : "", "parse-names" : false, "suffix" : "" }, { "dropping-particle" : "", "family" : "Doran", "given" : "JW", "non-dropping-particle" : "", "parse-names" : false, "suffix" : "" } ], "container-title" : "Soil Science Society of America \u2026", "id" : "ITEM-1", "issued" : { "date-parts" : [ [ "1984" ] ] }, "page" : "1-6", "title" : "Aerobic and anaerobic microbial populations in no-till and plowed soils", "type" : "article-journal" }, "uris" : [ "http://www.mendeley.com/documents/?uuid=fe4a6d35-b753-45bb-b451-3361dd6202c0" ] } ], "mendeley" : { "previouslyFormattedCitation" : "(Linn and Doran, 1984)" }, "properties" : { "noteIndex" : 0 }, "schema" : "https://github.com/citation-style-language/schema/raw/master/csl-citation.json" }</w:instrText>
      </w:r>
      <w:r>
        <w:fldChar w:fldCharType="separate"/>
      </w:r>
      <w:r w:rsidRPr="00D30E28">
        <w:rPr>
          <w:noProof/>
        </w:rPr>
        <w:t>(Linn and Doran, 1984)</w:t>
      </w:r>
      <w:r>
        <w:fldChar w:fldCharType="end"/>
      </w:r>
      <w:r>
        <w:t xml:space="preserve">. The disturbance of the soil physical framework through tillage would also disrupt fungi hyphal networks, and it’s therefore expected that soils under reduced tillage would promote the proliferation of fungi </w:t>
      </w:r>
      <w:r>
        <w:fldChar w:fldCharType="begin" w:fldLock="1"/>
      </w:r>
      <w:r>
        <w:instrText>ADDIN CSL_CITATION { "citationItems" : [ { "id" : "ITEM-1", "itemData" : { "DOI" : "10.1016/S0167-1987(99)00106-3", "ISBN" : "4413825624", "ISSN" : "01671987", "author" : [ { "dropping-particle" : "", "family" : "Young", "given" : "I.M", "non-dropping-particle" : "", "parse-names" : false, "suffix" : "" }, { "dropping-particle" : "", "family" : "Ritz", "given" : "K", "non-dropping-particle" : "", "parse-names" : false, "suffix" : "" } ], "container-title" : "Soil and Tillage Research", "id" : "ITEM-1", "issue" : "3-4", "issued" : { "date-parts" : [ [ "2000", "2" ] ] }, "page" : "201-213", "title" : "Tillage, habitat space and function of soil microbes", "type" : "article-journal", "volume" : "53" }, "uris" : [ "http://www.mendeley.com/documents/?uuid=01c4ee74-a579-4900-9002-56bb511ee222" ] }, { "id" : "ITEM-2", "itemData" : { "author" : [ { "dropping-particle" : "", "family" : "Beare", "given" : "MH", "non-dropping-particle" : "", "parse-names" : false, "suffix" : "" }, { "dropping-particle" : "", "family" : "Parmelee", "given" : "RW", "non-dropping-particle" : "", "parse-names" : false, "suffix" : "" }, { "dropping-particle" : "", "family" : "Hendrix", "given" : "PF", "non-dropping-particle" : "", "parse-names" : false, "suffix" : "" } ], "container-title" : "Ecological \u2026", "id" : "ITEM-2", "issue" : "4", "issued" : { "date-parts" : [ [ "1992" ] ] }, "page" : "569-591", "title" : "Microbial and faunal interactions and effects on litter nitrogen and decomposition in agroecosystems", "type" : "article-journal", "volume" : "62" }, "uris" : [ "http://www.mendeley.com/documents/?uuid=779abb22-abc0-42e2-9947-c1b7f34cac41" ] } ], "mendeley" : { "previouslyFormattedCitation" : "(Beare et al., 1992; Young and Ritz, 2000)" }, "properties" : { "noteIndex" : 0 }, "schema" : "https://github.com/citation-style-language/schema/raw/master/csl-citation.json" }</w:instrText>
      </w:r>
      <w:r>
        <w:fldChar w:fldCharType="separate"/>
      </w:r>
      <w:r w:rsidRPr="002A22B1">
        <w:rPr>
          <w:noProof/>
        </w:rPr>
        <w:t>(Beare et al., 1992; Young and Ritz, 2000)</w:t>
      </w:r>
      <w:r>
        <w:fldChar w:fldCharType="end"/>
      </w:r>
      <w:r>
        <w:t xml:space="preserve">. Crop residue left on the soil surface would also promote the dominance of saprophytic fungi that are able to breakdown more complex/resistant carbon substrates </w:t>
      </w:r>
      <w:r>
        <w:fldChar w:fldCharType="begin" w:fldLock="1"/>
      </w:r>
      <w:r>
        <w:instrText>ADDIN CSL_CITATION { "citationItems" : [ { "id" : "ITEM-1", "itemData" : { "author" : [ { "dropping-particle" : "", "family" : "Beare", "given" : "MH", "non-dropping-particle" : "", "parse-names" : false, "suffix" : "" }, { "dropping-particle" : "", "family" : "Parmelee", "given" : "RW", "non-dropping-particle" : "", "parse-names" : false, "suffix" : "" }, { "dropping-particle" : "", "family" : "Hendrix", "given" : "PF", "non-dropping-particle" : "", "parse-names" : false, "suffix" : "" } ], "container-title" : "Ecological \u2026", "id" : "ITEM-1", "issue" : "4", "issued" : { "date-parts" : [ [ "1992" ] ] }, "page" : "569-591", "title" : "Microbial and faunal interactions and effects on litter nitrogen and decomposition in agroecosystems", "type" : "article-journal", "volume" : "62" }, "uris" : [ "http://www.mendeley.com/documents/?uuid=779abb22-abc0-42e2-9947-c1b7f34cac41" ] } ], "mendeley" : { "previouslyFormattedCitation" : "(Beare et al., 1992)" }, "properties" : { "noteIndex" : 0 }, "schema" : "https://github.com/citation-style-language/schema/raw/master/csl-citation.json" }</w:instrText>
      </w:r>
      <w:r>
        <w:fldChar w:fldCharType="separate"/>
      </w:r>
      <w:r w:rsidRPr="002A22B1">
        <w:rPr>
          <w:noProof/>
        </w:rPr>
        <w:t>(Beare et al., 1992)</w:t>
      </w:r>
      <w:r>
        <w:fldChar w:fldCharType="end"/>
      </w:r>
      <w:r>
        <w:t xml:space="preserve">. On the other hand, mixing of surface residue material with soil through tillage not only makes it more accessible to soil microbes and their extracellular enzymes, but has also been supposed postulated to </w:t>
      </w:r>
      <w:r>
        <w:lastRenderedPageBreak/>
        <w:t xml:space="preserve">typically favor the dominance of aerobic bacteria with a greater capacity to breakdown labile substrates </w:t>
      </w:r>
      <w:r>
        <w:fldChar w:fldCharType="begin" w:fldLock="1"/>
      </w:r>
      <w:r>
        <w:instrText>ADDIN CSL_CITATION { "citationItems" : [ { "id" : "ITEM-1", "itemData" : { "author" : [ { "dropping-particle" : "", "family" : "Linn", "given" : "DM", "non-dropping-particle" : "", "parse-names" : false, "suffix" : "" }, { "dropping-particle" : "", "family" : "Doran", "given" : "JW", "non-dropping-particle" : "", "parse-names" : false, "suffix" : "" } ], "container-title" : "Soil Science Society of America \u2026", "id" : "ITEM-1", "issued" : { "date-parts" : [ [ "1984" ] ] }, "page" : "1-6", "title" : "Aerobic and anaerobic microbial populations in no-till and plowed soils", "type" : "article-journal" }, "uris" : [ "http://www.mendeley.com/documents/?uuid=fe4a6d35-b753-45bb-b451-3361dd6202c0" ] }, { "id" : "ITEM-2", "itemData" : { "DOI" : "10.1016/j.soilbio.2003.10.026", "ISSN" : "00380717", "author" : [ { "dropping-particle" : "", "family" : "Spedding", "given" : "T.a.", "non-dropping-particle" : "", "parse-names" : false, "suffix" : "" }, { "dropping-particle" : "", "family" : "Hamel", "given" : "C.", "non-dropping-particle" : "", "parse-names" : false, "suffix" : "" }, { "dropping-particle" : "", "family" : "Mehuys", "given" : "G.R.", "non-dropping-particle" : "", "parse-names" : false, "suffix" : "" }, { "dropping-particle" : "", "family" : "Madramootoo", "given" : "C.a.", "non-dropping-particle" : "", "parse-names" : false, "suffix" : "" } ], "container-title" : "Soil Biology and Biochemistry", "id" : "ITEM-2", "issue" : "3", "issued" : { "date-parts" : [ [ "2004", "3" ] ] }, "page" : "499-512", "title" : "Soil microbial dynamics in maize-growing soil under different tillage and residue management systems", "type" : "article-journal", "volume" : "36" }, "uris" : [ "http://www.mendeley.com/documents/?uuid=1023c20e-6125-45ca-9e24-42d0756b10b2" ] }, { "id" : "ITEM-3", "itemData" : { "DOI" : "10.1016/j.apsoil.2008.08.003", "ISSN" : "09291393", "abstract" : "In the southeastern United States, conservation tillage techniques are used to conserve soil nutrients and structure, providing habitat and substrate for biota, which are largely responsible for the mineralization of nutrients in the soil. A deterrent for growers considering the transition to conservation tillage is the delay in soil response (e.g. increased soil carbon, efficient nutrient cycling, impacts on yield) associated with the equilibration of the soil food web. The objective of this study was to determine if the microbial community composition and biomass changed with transition to conservation tillage. Soils sampled from five sites, representing a chronosequence of conservation tillage (from conventionally tilled to 30 year no-till), were collected for fatty acid analysis. Microbial communities were significantly different among sites. Fungi, characterized by 18:2\u03c96, 18:1\u03c99, and 18:3\u03c96c fatty acids, were typically lowest in the conventionally tilled soil, probably due to repeated disruption of the fungal hyphae associated with tillage. In all soils, soil nutrient concentrations, moisture and microarthropod abundance were correlated with microbial structure. Plots in conservation tillage were significantly different from the conventionally tilled plots, but did not exhibit a clear linear pattern across the chronosequence. This evidence that belowground food webs can respond quickly to a cessation in tillage suggests that the delay in soil response may be due more to the time required to build organic matter than to a slow response by the biota.", "author" : [ { "dropping-particle" : "", "family" : "Simmons", "given" : "Breana L.", "non-dropping-particle" : "", "parse-names" : false, "suffix" : "" }, { "dropping-particle" : "", "family" : "Coleman", "given" : "David C.", "non-dropping-particle" : "", "parse-names" : false, "suffix" : "" } ], "container-title" : "Applied Soil Ecology", "id" : "ITEM-3", "issue" : "3", "issued" : { "date-parts" : [ [ "2008", "11" ] ] }, "page" : "518-528", "title" : "Microbial community response to transition from conventional to conservation tillage in cotton fields", "type" : "article-journal", "volume" : "40" }, "uris" : [ "http://www.mendeley.com/documents/?uuid=e13a2cbe-b327-4950-bc87-2009390472c0" ] }, { "id" : "ITEM-4", "itemData" : { "author" : [ { "dropping-particle" : "", "family" : "Beare", "given" : "MH", "non-dropping-particle" : "", "parse-names" : false, "suffix" : "" }, { "dropping-particle" : "", "family" : "Parmelee", "given" : "RW", "non-dropping-particle" : "", "parse-names" : false, "suffix" : "" }, { "dropping-particle" : "", "family" : "Hendrix", "given" : "PF", "non-dropping-particle" : "", "parse-names" : false, "suffix" : "" } ], "container-title" : "Ecological \u2026", "id" : "ITEM-4", "issue" : "4", "issued" : { "date-parts" : [ [ "1992" ] ] }, "page" : "569-591", "title" : "Microbial and faunal interactions and effects on litter nitrogen and decomposition in agroecosystems", "type" : "article-journal", "volume" : "62" }, "uris" : [ "http://www.mendeley.com/documents/?uuid=779abb22-abc0-42e2-9947-c1b7f34cac41" ] } ], "mendeley" : { "previouslyFormattedCitation" : "(Linn and Doran, 1984; Beare et al., 1992; Spedding et al., 2004; Simmons and Coleman, 2008)" }, "properties" : { "noteIndex" : 0 }, "schema" : "https://github.com/citation-style-language/schema/raw/master/csl-citation.json" }</w:instrText>
      </w:r>
      <w:r>
        <w:fldChar w:fldCharType="separate"/>
      </w:r>
      <w:r w:rsidRPr="002A22B1">
        <w:rPr>
          <w:noProof/>
        </w:rPr>
        <w:t>(Linn and Doran, 1984; Beare et al., 1992; Spedding et al., 2004; Simmons and Coleman, 2008)</w:t>
      </w:r>
      <w:r>
        <w:fldChar w:fldCharType="end"/>
      </w:r>
      <w:r>
        <w:t xml:space="preserve">. </w:t>
      </w:r>
    </w:p>
    <w:p w:rsidR="00700712" w:rsidRDefault="00700712" w:rsidP="00700712">
      <w:pPr>
        <w:spacing w:line="480" w:lineRule="auto"/>
      </w:pPr>
      <w:r>
        <w:t xml:space="preserve">Surface residue and/or cover crops not only offer  physical protection from soil erosion but also act as a source of additional organic C and substrates to soil. The additional C input from cover crops has mostly been shown to correlate with an increase in microbial biomass </w:t>
      </w:r>
      <w:r>
        <w:fldChar w:fldCharType="begin" w:fldLock="1"/>
      </w:r>
      <w:r>
        <w:instrText>ADDIN CSL_CITATION { "citationItems" : [ { "id" : "ITEM-1", "itemData" : { "author" : [ { "dropping-particle" : "", "family" : "Wardle", "given" : "DA", "non-dropping-particle" : "", "parse-names" : false, "suffix" : "" } ], "container-title" : "Biological reviews", "id" : "ITEM-1", "issued" : { "date-parts" : [ [ "1992" ] ] }, "page" : "321-358", "title" : "A comparative assessment of factors which influence microbial biomass carbon and nitrogen levels in soil", "type" : "article-journal", "volume" : "67" }, "uris" : [ "http://www.mendeley.com/documents/?uuid=ed0f3d0f-5a66-4992-acf6-f0e59dd7d066" ] } ], "mendeley" : { "previouslyFormattedCitation" : "(Wardle, 1992)" }, "properties" : { "noteIndex" : 0 }, "schema" : "https://github.com/citation-style-language/schema/raw/master/csl-citation.json" }</w:instrText>
      </w:r>
      <w:r>
        <w:fldChar w:fldCharType="separate"/>
      </w:r>
      <w:r w:rsidRPr="00E26DA2">
        <w:rPr>
          <w:noProof/>
        </w:rPr>
        <w:t>(Wardle, 1992)</w:t>
      </w:r>
      <w:r>
        <w:fldChar w:fldCharType="end"/>
      </w:r>
      <w:r>
        <w:t xml:space="preserve">. The quantity and quality of additional substrates plays an important role in influencing the microbial community structure and activity </w:t>
      </w:r>
      <w:r>
        <w:fldChar w:fldCharType="begin" w:fldLock="1"/>
      </w:r>
      <w:r>
        <w:instrText>ADDIN CSL_CITATION { "citationItems" : [ { "id" : "ITEM-1", "itemData" : { "DOI" : "10.1016/S0038-0717(00)00060-2", "ISSN" : "00380717", "author" : [ { "dropping-particle" : "", "family" : "Drijber", "given" : "R.A.", "non-dropping-particle" : "", "parse-names" : false, "suffix" : "" }, { "dropping-particle" : "", "family" : "Doran", "given" : "J.W.", "non-dropping-particle" : "", "parse-names" : false, "suffix" : "" }, { "dropping-particle" : "", "family" : "Parkhurst", "given" : "A.M.", "non-dropping-particle" : "", "parse-names" : false, "suffix" : "" }, { "dropping-particle" : "", "family" : "Lyon", "given" : "D.J.", "non-dropping-particle" : "", "parse-names" : false, "suffix" : "" } ], "container-title" : "Soil Biology and Biochemistry", "id" : "ITEM-1", "issue" : "10", "issued" : { "date-parts" : [ [ "2000", "9" ] ] }, "page" : "1419-1430", "title" : "Changes in soil microbial community structure with tillage under long-term wheat-fallow management", "type" : "article-journal", "volume" : "32" }, "uris" : [ "http://www.mendeley.com/documents/?uuid=1bddb9ee-2aed-4a41-851d-e0152afd5418" ] }, { "id" : "ITEM-2", "itemData" : { "author" : [ { "dropping-particle" : "", "family" : "Bailey", "given" : "V L", "non-dropping-particle" : "", "parse-names" : false, "suffix" : "" }, { "dropping-particle" : "", "family" : "Smith", "given" : "J L", "non-dropping-particle" : "", "parse-names" : false, "suffix" : "" }, { "dropping-particle" : "", "family" : "Jr", "given" : "H Bolton", "non-dropping-particle" : "", "parse-names" : false, "suffix" : "" } ], "id" : "ITEM-2", "issued" : { "date-parts" : [ [ "2002" ] ] }, "title" : "Fungal-to-bacterial ratios in soils investigated for enhanced C sequestration", "type" : "article-journal", "volume" : "34" }, "uris" : [ "http://www.mendeley.com/documents/?uuid=b71025fa-07fe-4afb-8031-b8ec247d38ae" ] }, { "id" : "ITEM-3", "itemData" : { "abstract" : "The effect of crop residue and soil organic matter (SOM) quality on the functional characteristics of soil microbial communities was investigated. Five shoot and root materials with contrasting biochemical qualities were incorporated into soil taken from a cultivated field (FC) and a field edge (FE). These soils had contrasting native SOM qualities, with organic C contents of 0.9 and 2.5%, respectively. The amended soils were incubated under controlled environment conditions before the metabolic characteristics of the soil microbial community were determined by analysis of the activities of 19 hydrolytic enzymes, by substrate utilization within Biolog GN microplates, and C and N mineralization dynamics. For enzyme and Biolog data, metabolic diversity and community level physiological profiles (CLPP) were determined by calculating Shannon's diversity index and performing canonical variate analysis, respectively. Soil type significantly affected mineralization of N from the residues, although the size and direction of the effect varied according to the crop residue material added. Both enzyme and Biolog metabolic diversity were affected by the type of crop residue incorporated. Enzyme diversity was higher in FE relative to FC soil, but soil type had no effect on metabolic diversity recorded in Biolog microplates. There were significant interactions between soil type and crop residue material for respiration, N mineralization and enzyme diversity. During the early stages of decomposition, there were similarities in the response of enzyme and Biolog CLPP to crop residue quality and soil type. In the high OM soil, there was evidence for convergence of CLPP in treatments receiving low and high quality crop residue types. However, in the low SOM soil, CLPP of low and high quality crop residue treatments were clearly different. The length of time required for the CLPP of residue amended soil to converge with that of unamended control soil depended on both residue and soil type. We conclude that both crop residue and SOM quality can affect the functional diversity of the soil microbial community, and that enzyme and Biolog analyses reflect complementary, but not inter-changeable, analyses.", "author" : [ { "dropping-particle" : "", "family" : "Bending", "given" : "Gary D", "non-dropping-particle" : "", "parse-names" : false, "suffix" : "" }, { "dropping-particle" : "", "family" : "Turner", "given" : "Mary K", "non-dropping-particle" : "", "parse-names" : false, "suffix" : "" }, { "dropping-particle" : "", "family" : "Jones", "given" : "Julie E", "non-dropping-particle" : "", "parse-names" : false, "suffix" : "" } ], "container-title" : "Soil Biology and Biochemistry", "id" : "ITEM-3", "issue" : "8", "issued" : { "date-parts" : [ [ "2002" ] ] }, "page" : "1073-1082", "title" : "Interactions between crop residue and soil organic matter quality and the functional diversity of soil microbial communities", "type" : "article-journal", "volume" : "34" }, "uris" : [ "http://www.mendeley.com/documents/?uuid=0e28128f-f340-4e0c-9317-69432ff1c5c6" ] } ], "mendeley" : { "previouslyFormattedCitation" : "(Drijber et al., 2000; Bailey et al., 2002; Bending et al., 2002)" }, "properties" : { "noteIndex" : 0 }, "schema" : "https://github.com/citation-style-language/schema/raw/master/csl-citation.json" }</w:instrText>
      </w:r>
      <w:r>
        <w:fldChar w:fldCharType="separate"/>
      </w:r>
      <w:r w:rsidRPr="00551831">
        <w:rPr>
          <w:noProof/>
        </w:rPr>
        <w:t>(Drijber et al., 2000; Bailey et al., 2002; Bending et al., 2002)</w:t>
      </w:r>
      <w:r>
        <w:fldChar w:fldCharType="end"/>
      </w:r>
      <w:r>
        <w:t xml:space="preserve">. The plant residue stoichiometry in terms of its C: N: P ratios will have an influence on microbial biomass and activity </w:t>
      </w:r>
      <w:r>
        <w:fldChar w:fldCharType="begin" w:fldLock="1"/>
      </w:r>
      <w:r>
        <w:instrText>ADDIN CSL_CITATION { "citationItems" : [ { "id" : "ITEM-1", "itemData" : { "DOI" : "10.1111/nph.12531", "ISSN" : "0028646X", "PMID" : "24117992", "abstract" : "As a consequence of the tight linkages among soils, plants and microbes inhabiting the rhizosphere, we hypothesized that soil nutrient and microbial stoichiometry would differ among plant species and be correlated within plant rhizospheres. We assessed plant tissue carbon (C) : nitrogen (N) : phosphorus (P) ratios for eight species representing four different plant functional groups in a semiarid grassland during near-peak biomass. Using intact plant species-specific rhizospheres, we examined soil C : N : P, microbial biomass C : N, and soil enzyme C : N : P nutrient acquisition activities. We found that few of the plant species' rhizospheres demonstrated distinct stoichiometric properties from other plant species and unvegetated soil. Plant tissue nutrient ratios and components of below-ground rhizosphere stoichiometry predominantly differed between the C4 plant species Buchloe dactyloides and the legume Astragalus laxmannii. The rhizospheres under the C4 grass B. dactyloides exhibited relatively higher microbial C and lower soil N, indicative of distinct soil organic matter (SOM) decomposition and nutrient mineralization activities. Assessing the ecological stoichiometry among plant species' rhizospheres is a high-resolution tool useful for linking plant community composition to below-ground soil microbial and nutrient characteristics. By identifying how rhizospheres differ among plant species, we can better assess how plant-microbial interactions associated with ecosystem-level processes may be influenced by plant community shifts.", "author" : [ { "dropping-particle" : "", "family" : "Bell", "given" : "Colin", "non-dropping-particle" : "", "parse-names" : false, "suffix" : "" }, { "dropping-particle" : "", "family" : "Carrillo", "given" : "Yolima", "non-dropping-particle" : "", "parse-names" : false, "suffix" : "" }, { "dropping-particle" : "", "family" : "Boot", "given" : "Claudia M.", "non-dropping-particle" : "", "parse-names" : false, "suffix" : "" }, { "dropping-particle" : "", "family" : "Rocca", "given" : "Jennifer D.", "non-dropping-particle" : "", "parse-names" : false, "suffix" : "" }, { "dropping-particle" : "", "family" : "Pendall", "given" : "Elise", "non-dropping-particle" : "", "parse-names" : false, "suffix" : "" }, { "dropping-particle" : "", "family" : "Wallenstein", "given" : "Matthew D.", "non-dropping-particle" : "", "parse-names" : false, "suffix" : "" } ], "container-title" : "New Phytologist", "id" : "ITEM-1", "issue" : "2", "issued" : { "date-parts" : [ [ "2014", "1", "4" ] ] }, "page" : "505-517", "title" : "Rhizosphere stoichiometry: are C : N : P ratios of plants, soils, and enzymes conserved at the plant species-level?", "type" : "article-journal", "volume" : "201" }, "uris" : [ "http://www.mendeley.com/documents/?uuid=d3ed13da-835c-4108-9755-a7dda0b2dd25" ] } ], "mendeley" : { "previouslyFormattedCitation" : "(Bell et al., 2014)" }, "properties" : { "noteIndex" : 0 }, "schema" : "https://github.com/citation-style-language/schema/raw/master/csl-citation.json" }</w:instrText>
      </w:r>
      <w:r>
        <w:fldChar w:fldCharType="separate"/>
      </w:r>
      <w:r w:rsidRPr="00412D5F">
        <w:rPr>
          <w:noProof/>
        </w:rPr>
        <w:t>(Bell et al., 2014)</w:t>
      </w:r>
      <w:r>
        <w:fldChar w:fldCharType="end"/>
      </w:r>
      <w:r>
        <w:t xml:space="preserve">. The C/N ratios in plant residue will drive the dynamics of mineralization vs immobilization, while the lignin/cellulose content will drive the decomposition rate as well as the dominance of bacteria vs fungi. The crops used as cover crop or for crop rotation would therefore have an influence on microbial dynamics which has been observed under various ConsAg programs </w:t>
      </w:r>
      <w:r>
        <w:fldChar w:fldCharType="begin" w:fldLock="1"/>
      </w:r>
      <w:r>
        <w:instrText>ADDIN CSL_CITATION { "citationItems" : [ { "id" : "ITEM-1", "itemData" : { "DOI" : "10.1002/jpln.200321215", "ISSN" : "1436-8730", "author" : [ { "dropping-particle" : "", "family" : "Acosta-Mart\u00ednez", "given" : "Veronica", "non-dropping-particle" : "", "parse-names" : false, "suffix" : "" }, { "dropping-particle" : "", "family" : "Klose", "given" : "Susanne", "non-dropping-particle" : "", "parse-names" : false, "suffix" : "" }, { "dropping-particle" : "", "family" : "Zobeck", "given" : "Ted M.", "non-dropping-particle" : "", "parse-names" : false, "suffix" : "" } ], "container-title" : "Journal of Plant Nutrition and Soil Science", "id" : "ITEM-1", "issue" : "6", "issued" : { "date-parts" : [ [ "2003", "12" ] ] }, "page" : "699-707", "title" : "Enzyme activities in semiarid soils under conservation reserve program, native rangeland, and cropland", "type" : "article-journal", "volume" : "166" }, "uris" : [ "http://www.mendeley.com/documents/?uuid=199b690f-f2db-4001-903b-524f2fe766d5" ] }, { "id" : "ITEM-2", "itemData" : { "DOI" : "10.2136/sssaj2008.0065", "ISSN" : "1435-0661", "author" : [ { "dropping-particle" : "", "family" : "Acosta-Mart\u00ednez", "given" : "V.", "non-dropping-particle" : "", "parse-names" : false, "suffix" : "" }, { "dropping-particle" : "", "family" : "Burow", "given" : "G.", "non-dropping-particle" : "", "parse-names" : false, "suffix" : "" }, { "dropping-particle" : "", "family" : "Zobeck", "given" : "T. M.", "non-dropping-particle" : "", "parse-names" : false, "suffix" : "" }, { "dropping-particle" : "", "family" : "Allen", "given" : "V. G.", "non-dropping-particle" : "", "parse-names" : false, "suffix" : "" } ], "container-title" : "Soil Science Society of America Journal", "id" : "ITEM-2", "issue" : "4", "issued" : { "date-parts" : [ [ "2010" ] ] }, "page" : "1181", "title" : "Soil Microbial Communities and Function in Alternative Systems to Continuous Cotton", "type" : "article-journal", "volume" : "74" }, "uris" : [ "http://www.mendeley.com/documents/?uuid=1c8cbdb5-cba9-472d-84a5-d1c43374bdb3" ] }, { "id" : "ITEM-3", "itemData" : { "author" : [ { "dropping-particle" : "", "family" : "Acosta-Martinez", "given" : "V", "non-dropping-particle" : "", "parse-names" : false, "suffix" : "" } ], "container-title" : "Soil Science Society of \u2026", "id" : "ITEM-3", "issued" : { "date-parts" : [ [ "2004" ] ] }, "page" : "1875-1884", "title" : "Soil microbial, chemical and physical properties in continuous cotton and integrated crop\u2013livestock systems", "type" : "article-journal" }, "uris" : [ "http://www.mendeley.com/documents/?uuid=58f0a51f-3dc5-44a8-acc9-85c45cea9381" ] }, { "id" : "ITEM-4", "itemData" : { "DOI" : "10.1016/j.apsoil.2013.07.014", "ISSN" : "09291393", "abstract" : "Cover crops have traditionally been used to reduce soil erosion and build soil quality, but more recently cover crops are being used as an effective tool in organic weed management. Many studies have demonstrated microbial community response to individual cover crop species, but the effects of mixed species cover crop communities have received less attention. Moreover, the relationship between arable weeds and soil microbial communities is not well understood. The objective of this study was to determine the relative influence of cover crop diversity, early-season weed communities, and tillage on soil microbial community structure in an organic cropping system through the extraction of fatty acid methyl esters (FAMEs). A field experiment was conducted between 2009 and 2011 near Mead, NE where spring-sown mixtures of zero (control), two, and eight cover crop species were included in a sunflower\u2013soybean\u2013corn crop rotation. A mixture of four weed species was planted in all experimental units (excluding the no-cover control), and also included as an individual treatment. Cover crops and weeds were planted in late-March, then terminated in late-May using a field disk or sweep plow undercutter, and main crops were planted within one week of termination. Three (2009) or four (2010\u201311) soil cores were taken to a depth of 20cm in all experimental units at 45, 32, and 25 days following cover crop termination in 2009, 2010, and 2011, respectively. Total FAMEs pooled across 2009 and 2010 were greatest in the two species mixture\u2013undercutter treatment combination (140.8\u00b13.9nmolg\u22121) followed by the eight species mixture\u2013undercutter treatment combination (132.4\u00b13.9nmolg\u22121). Abundance of five (2009 and 2010) and seventeen (2011) FAME biomarkers was reduced in the weedy treatment relative to both cover-cropped treatments and the no-cover control. In 2009 and 2010, termination with the undercutter reduced abundance of most actinomycete biomarkers while termination with the field disk reduced abundance of C18:1(cis11) and iC16:0. Canonical discriminant analysis of the microbial community successfully segregated most cover crop mixture by termination method treatment combinations in 2009 and 2010. Microbial communities were most strongly influenced by the presence and type of early-spring plant communities, as weeds exerted a strong negative influence on abundance of many key microbial biomarkers, including the AMF markers C16:1(cis11) and C18:1(cis11). Weeds may alter soil\u2026", "author" : [ { "dropping-particle" : "", "family" : "Wortman", "given" : "Sam E.", "non-dropping-particle" : "", "parse-names" : false, "suffix" : "" }, { "dropping-particle" : "", "family" : "Drijber", "given" : "Rhae A.", "non-dropping-particle" : "", "parse-names" : false, "suffix" : "" }, { "dropping-particle" : "", "family" : "Francis", "given" : "Charles A.", "non-dropping-particle" : "", "parse-names" : false, "suffix" : "" }, { "dropping-particle" : "", "family" : "Lindquist", "given" : "John L.", "non-dropping-particle" : "", "parse-names" : false, "suffix" : "" } ], "container-title" : "Applied Soil Ecology", "id" : "ITEM-4", "issued" : { "date-parts" : [ [ "2013", "10" ] ] }, "page" : "232-241", "title" : "Arable weeds, cover crops, and tillage drive soil microbial community composition in organic cropping systems", "type" : "article-journal", "volume" : "72" }, "uris" : [ "http://www.mendeley.com/documents/?uuid=28029e33-a332-4e02-ad32-fb93a6f2ff63" ] } ], "mendeley" : { "previouslyFormattedCitation" : "(Acosta-Mart\u00ednez et al., 2003, 2010; Acosta-Martinez, 2004; Wortman et al., 2013)" }, "properties" : { "noteIndex" : 0 }, "schema" : "https://github.com/citation-style-language/schema/raw/master/csl-citation.json" }</w:instrText>
      </w:r>
      <w:r>
        <w:fldChar w:fldCharType="separate"/>
      </w:r>
      <w:r w:rsidRPr="00412D5F">
        <w:rPr>
          <w:noProof/>
        </w:rPr>
        <w:t>(Acosta-Martínez et al., 2003, 2010; Acosta-Martinez, 2004; Wortman et al., 2013)</w:t>
      </w:r>
      <w:r>
        <w:fldChar w:fldCharType="end"/>
      </w:r>
      <w:r>
        <w:t xml:space="preserve">. For example, mycorrhizal colonization levels in cotton production have been shown to be greater in crop rotations that included wheat or corn than continuous cotton </w:t>
      </w:r>
      <w:r>
        <w:fldChar w:fldCharType="begin" w:fldLock="1"/>
      </w:r>
      <w:r>
        <w:instrText>ADDIN CSL_CITATION { "citationItems" : [ { "id" : "ITEM-1", "itemData" : { "DOI" : "10.2136/sssaj2008.0065", "ISSN" : "1435-0661", "author" : [ { "dropping-particle" : "", "family" : "Acosta-Mart\u00ednez", "given" : "V.", "non-dropping-particle" : "", "parse-names" : false, "suffix" : "" }, { "dropping-particle" : "", "family" : "Burow", "given" : "G.", "non-dropping-particle" : "", "parse-names" : false, "suffix" : "" }, { "dropping-particle" : "", "family" : "Zobeck", "given" : "T. M.", "non-dropping-particle" : "", "parse-names" : false, "suffix" : "" }, { "dropping-particle" : "", "family" : "Allen", "given" : "V. G.", "non-dropping-particle" : "", "parse-names" : false, "suffix" : "" } ], "container-title" : "Soil Science Society of America Journal", "id" : "ITEM-1", "issue" : "4", "issued" : { "date-parts" : [ [ "2010" ] ] }, "page" : "1181", "title" : "Soil Microbial Communities and Function in Alternative Systems to Continuous Cotton", "type" : "article-journal", "volume" : "74" }, "uris" : [ "http://www.mendeley.com/documents/?uuid=1c8cbdb5-cba9-472d-84a5-d1c43374bdb3" ] }, { "id" : "ITEM-2", "itemData" : { "DOI" : "10.1016/j.apsoil.2007.10.006", "ISSN" : "09291393", "abstract" : "Crop management practices, such as tillage and diversified crop rotations, impact microbial activity, organic matter turnover, and ultimately soil C and N sequestration. The objectives of this study were to determine the impacts of tillage on soil microbial biomass, mineralized C and N, and soil organic C (SOC) and N (SON) contents for different cotton (Gossypium hirsutum L.) cropping systems in a south-central Texas silt loam soil. Tillage influenced SOC and SON, but most effects were observed at 0\u20135cm rather than 5\u201315cm. Reduced tillage (RT) in a continuous cotton monoculture increased SOC by 24% and SON by 27% compared to conventional tillage (CT) at 0\u20135cm, but tillage had no effect at 5\u201315cm. Crop rotation increased soil C and N contents compared to continuous cotton, as a cotton-corn (Zea mays L.) rotation under CT increased SOC by 28% and SON by 26% at 0\u20135cm compared to CT continuous cotton. Soil organic C and SON were both 18% greater for cotton-corn than continuous cotton at 5\u201315cm. For the 0\u201315cm depth interval, the CT cotton-corn rotation increased SOC by an average of 518kgCha\u22121year\u22121 and SON by 57kgNha\u22121year\u22121 compared to CT continuous cotton. Cotton under RT sequestered 254kgCha\u22121year\u22121 and 33kgNha\u22121year\u22121 more than cotton under CT. Reduced tillage increased soil microbial biomass C (MBC) by an average of 11 and 18% compared to CT continuous cotton and the cotton-corn rotation, respectively, while microbial biomass N (MBN) for RT was 62% greater than for CT. Tillage decreased mineralized C and N at both depth intervals, while cotton-corn showed higher mineralized C than continuous cotton. Soils for cropping systems that sequestered the most C and N also had the highest microbial biomass and mineralized C and N, indicating close relationships between microbial activity and soil C and N sequestration. Beneficial effects of RT and intensive cropping were enhanced soil C and N sequestration rates and potentially lower N fertilizer requirements for crops.", "author" : [ { "dropping-particle" : "", "family" : "Wright", "given" : "Alan L.", "non-dropping-particle" : "", "parse-names" : false, "suffix" : "" }, { "dropping-particle" : "", "family" : "Hons", "given" : "Frank M.", "non-dropping-particle" : "", "parse-names" : false, "suffix" : "" }, { "dropping-particle" : "", "family" : "Lemon", "given" : "Robert G.", "non-dropping-particle" : "", "parse-names" : false, "suffix" : "" }, { "dropping-particle" : "", "family" : "McFarland", "given" : "Mark L.", "non-dropping-particle" : "", "parse-names" : false, "suffix" : "" }, { "dropping-particle" : "", "family" : "Nichols", "given" : "Robert L.", "non-dropping-particle" : "", "parse-names" : false, "suffix" : "" } ], "container-title" : "Applied Soil Ecology", "id" : "ITEM-2", "issue" : "2", "issued" : { "date-parts" : [ [ "2008", "2" ] ] }, "page" : "168-173", "title" : "Microbial activity and soil C sequestration for reduced and conventional tillage cotton", "type" : "article-journal", "volume" : "38" }, "uris" : [ "http://www.mendeley.com/documents/?uuid=0fe43e08-ee50-4295-b742-41fe153fcf3b" ] } ], "mendeley" : { "previouslyFormattedCitation" : "(Wright et al., 2008; Acosta-Mart\u00ednez et al., 2010)" }, "properties" : { "noteIndex" : 0 }, "schema" : "https://github.com/citation-style-language/schema/raw/master/csl-citation.json" }</w:instrText>
      </w:r>
      <w:r>
        <w:fldChar w:fldCharType="separate"/>
      </w:r>
      <w:r w:rsidRPr="004B3F39">
        <w:rPr>
          <w:noProof/>
        </w:rPr>
        <w:t>(Wright et al., 2008; Acosta-Martínez et al., 2010)</w:t>
      </w:r>
      <w:r>
        <w:fldChar w:fldCharType="end"/>
      </w:r>
      <w:r>
        <w:t xml:space="preserve">, supporting the theory that plant species diversity may correlate with microbial diversity.   </w:t>
      </w:r>
    </w:p>
    <w:p w:rsidR="00700712" w:rsidRDefault="00700712" w:rsidP="00700712">
      <w:pPr>
        <w:spacing w:line="480" w:lineRule="auto"/>
      </w:pPr>
      <w:r>
        <w:t xml:space="preserve">The inclusion of  cover crops with different substrate quality, either high C residue crops and/or leguminous nitrogen(N) fixing cover crops on the other hand usually necessitates changing strategies in the application of N based fertilizers </w:t>
      </w:r>
      <w:r>
        <w:fldChar w:fldCharType="begin" w:fldLock="1"/>
      </w:r>
      <w:r>
        <w:instrText>ADDIN CSL_CITATION { "citationItems" : [ { "id" : "ITEM-1", "itemData" : { "DOI" : "10.2136/sssaj2007.0313", "ISSN" : "1435-0661", "author" : [ { "dropping-particle" : "", "family" : "Reiter", "given" : "M. S.", "non-dropping-particle" : "", "parse-names" : false, "suffix" : "" }, { "dropping-particle" : "", "family" : "Reeves", "given" : "D. W.", "non-dropping-particle" : "", "parse-names" : false, "suffix" : "" }, { "dropping-particle" : "", "family" : "Burmester", "given" : "C. H.", "non-dropping-particle" : "", "parse-names" : false, "suffix" : "" }, { "dropping-particle" : "", "family" : "Torbert", "given" : "H. a.", "non-dropping-particle" : "", "parse-names" : false, "suffix" : "" } ], "container-title" : "Soil Science Society of America Journal", "id" : "ITEM-1", "issue" : "5", "issued" : { "date-parts" : [ [ "2008" ] ] }, "page" : "1321", "title" : "Cotton Nitrogen Management in a High-Residue Conservation System: Cover Crop Fertilization", "type" : "article-journal", "volume" : "72" }, "uris" : [ "http://www.mendeley.com/documents/?uuid=d377314d-6d16-49f5-ba6b-696959f7428f" ] } ], "mendeley" : { "previouslyFormattedCitation" : "(Reiter et al., 2008)" }, "properties" : { "noteIndex" : 0 }, "schema" : "https://github.com/citation-style-language/schema/raw/master/csl-citation.json" }</w:instrText>
      </w:r>
      <w:r>
        <w:fldChar w:fldCharType="separate"/>
      </w:r>
      <w:r w:rsidRPr="00F56B62">
        <w:rPr>
          <w:noProof/>
        </w:rPr>
        <w:t>(Reiter et al., 2008)</w:t>
      </w:r>
      <w:r>
        <w:fldChar w:fldCharType="end"/>
      </w:r>
      <w:r>
        <w:t xml:space="preserve">. High C </w:t>
      </w:r>
      <w:r>
        <w:lastRenderedPageBreak/>
        <w:t xml:space="preserve">residue crops usually require additional N to counteract immobilization, while N rate would be lowered for low C residue crops to compensate for N mineralization. The manipulation of N rate application introduces another influential factor on microbial community dynamics.  N additions has been shown to have variable effects on microbial biomass and activity </w:t>
      </w:r>
      <w:r>
        <w:fldChar w:fldCharType="begin" w:fldLock="1"/>
      </w:r>
      <w:r>
        <w:instrText>ADDIN CSL_CITATION { "citationItems" : [ { "id" : "ITEM-1", "itemData" : { "author" : [ { "dropping-particle" : "", "family" : "Wardle", "given" : "DA", "non-dropping-particle" : "", "parse-names" : false, "suffix" : "" } ], "container-title" : "Biological reviews", "id" : "ITEM-1", "issued" : { "date-parts" : [ [ "1992" ] ] }, "page" : "321-358", "title" : "A comparative assessment of factors which influence microbial biomass carbon and nitrogen levels in soil", "type" : "article-journal", "volume" : "67" }, "uris" : [ "http://www.mendeley.com/documents/?uuid=ed0f3d0f-5a66-4992-acf6-f0e59dd7d066" ] }, { "id" : "ITEM-2", "itemData" : { "DOI" : "10.1111/j.1461-0248.2008.01230.x", "ISSN" : "1461-0248", "PMID" : "18673384", "abstract" : "Nitrogen (N) enrichment is an element of global change that could influence the growth and abundance of many organisms. In this meta-analysis, I synthesized responses of microbial biomass to N additions in 82 published field studies. I hypothesized that the biomass of fungi, bacteria or the microbial community as a whole would be altered under N additions. I also predicted that changes in biomass would parallel changes in soil CO2 emissions. Microbial biomass declined 15% on average under N fertilization, but fungi and bacteria were not significantly altered in studies that examined each group separately. Moreover, declines in abundance of microbes and fungi were more evident in studies of longer durations and with higher total amounts of N added. In addition, responses of microbial biomass to N fertilization were significantly correlated with responses of soil CO2 emissions. There were no significant effects of biomes, fertilizer types, ambient N deposition rates or methods of measuring biomass. Altogether, these results suggest that N enrichment could reduce microbial biomass in many ecosystems, with corresponding declines in soil CO2 emissions.", "author" : [ { "dropping-particle" : "", "family" : "Treseder", "given" : "Kathleen K", "non-dropping-particle" : "", "parse-names" : false, "suffix" : "" } ], "container-title" : "Ecology letters", "id" : "ITEM-2", "issue" : "10", "issued" : { "date-parts" : [ [ "2008", "10" ] ] }, "page" : "1111-20", "title" : "Nitrogen additions and microbial biomass: a meta-analysis of ecosystem studies.", "type" : "article-journal", "volume" : "11" }, "uris" : [ "http://www.mendeley.com/documents/?uuid=919d7fbd-06dc-4122-b532-f6be22bf1859" ] } ], "mendeley" : { "previouslyFormattedCitation" : "(Wardle, 1992; Treseder, 2008)" }, "properties" : { "noteIndex" : 0 }, "schema" : "https://github.com/citation-style-language/schema/raw/master/csl-citation.json" }</w:instrText>
      </w:r>
      <w:r>
        <w:fldChar w:fldCharType="separate"/>
      </w:r>
      <w:r w:rsidRPr="00731EF3">
        <w:rPr>
          <w:noProof/>
        </w:rPr>
        <w:t>(Wardle, 1992; Treseder, 2008)</w:t>
      </w:r>
      <w:r>
        <w:fldChar w:fldCharType="end"/>
      </w:r>
      <w:r>
        <w:t xml:space="preserve">. N can be beneficial by promoting plant growth and thus increasing the quantity of residue that can be returned to soil </w:t>
      </w:r>
      <w:r>
        <w:fldChar w:fldCharType="begin" w:fldLock="1"/>
      </w:r>
      <w:r>
        <w:instrText>ADDIN CSL_CITATION { "citationItems" : [ { "id" : "ITEM-1", "itemData" : { "DOI" : "10.1079/SUM2005291", "ISSN" : "02660032", "author" : [ { "dropping-particle" : "", "family" : "Alvarez", "given" : "R.", "non-dropping-particle" : "", "parse-names" : false, "suffix" : "" } ], "container-title" : "Soil Use and Management", "id" : "ITEM-1", "issue" : "1", "issued" : { "date-parts" : [ [ "2005", "3", "1" ] ] }, "page" : "38-52", "title" : "A review of nitrogen fertilizer and conservation tillage effects on soil organic carbon storage", "type" : "article-journal", "volume" : "21" }, "uris" : [ "http://www.mendeley.com/documents/?uuid=40ef0380-784d-4e42-96db-fd594206650e" ] } ], "mendeley" : { "previouslyFormattedCitation" : "(Alvarez, 2005)" }, "properties" : { "noteIndex" : 0 }, "schema" : "https://github.com/citation-style-language/schema/raw/master/csl-citation.json" }</w:instrText>
      </w:r>
      <w:r>
        <w:fldChar w:fldCharType="separate"/>
      </w:r>
      <w:r w:rsidRPr="00787AC5">
        <w:rPr>
          <w:noProof/>
        </w:rPr>
        <w:t>(Alvarez, 2005)</w:t>
      </w:r>
      <w:r>
        <w:fldChar w:fldCharType="end"/>
      </w:r>
      <w:r>
        <w:t xml:space="preserve">. On the other hand, nitrogen (N) fertilizers can change soil chemistry, creating conditions that can be toxic to soil microorganisms. For example, high levels of N fertilizers  can lead to acidic conditions, which can hinder the activity of beneficial microorganisms and also limit the availability of certain plant nutrients </w:t>
      </w:r>
      <w:r>
        <w:fldChar w:fldCharType="begin" w:fldLock="1"/>
      </w:r>
      <w:r>
        <w:instrText>ADDIN CSL_CITATION { "citationItems" : [ { "id" : "ITEM-1", "itemData" : { "DOI" : "10.1111/j.1461-0248.2008.01230.x", "ISSN" : "1461-0248", "PMID" : "18673384", "abstract" : "Nitrogen (N) enrichment is an element of global change that could influence the growth and abundance of many organisms. In this meta-analysis, I synthesized responses of microbial biomass to N additions in 82 published field studies. I hypothesized that the biomass of fungi, bacteria or the microbial community as a whole would be altered under N additions. I also predicted that changes in biomass would parallel changes in soil CO2 emissions. Microbial biomass declined 15% on average under N fertilization, but fungi and bacteria were not significantly altered in studies that examined each group separately. Moreover, declines in abundance of microbes and fungi were more evident in studies of longer durations and with higher total amounts of N added. In addition, responses of microbial biomass to N fertilization were significantly correlated with responses of soil CO2 emissions. There were no significant effects of biomes, fertilizer types, ambient N deposition rates or methods of measuring biomass. Altogether, these results suggest that N enrichment could reduce microbial biomass in many ecosystems, with corresponding declines in soil CO2 emissions.", "author" : [ { "dropping-particle" : "", "family" : "Treseder", "given" : "Kathleen K", "non-dropping-particle" : "", "parse-names" : false, "suffix" : "" } ], "container-title" : "Ecology letters", "id" : "ITEM-1", "issue" : "10", "issued" : { "date-parts" : [ [ "2008", "10" ] ] }, "page" : "1111-20", "title" : "Nitrogen additions and microbial biomass: a meta-analysis of ecosystem studies.", "type" : "article-journal", "volume" : "11" }, "uris" : [ "http://www.mendeley.com/documents/?uuid=919d7fbd-06dc-4122-b532-f6be22bf1859" ] } ], "mendeley" : { "previouslyFormattedCitation" : "(Treseder, 2008)" }, "properties" : { "noteIndex" : 0 }, "schema" : "https://github.com/citation-style-language/schema/raw/master/csl-citation.json" }</w:instrText>
      </w:r>
      <w:r>
        <w:fldChar w:fldCharType="separate"/>
      </w:r>
      <w:r w:rsidRPr="0067237D">
        <w:rPr>
          <w:noProof/>
        </w:rPr>
        <w:t>(Treseder, 2008)</w:t>
      </w:r>
      <w:r>
        <w:fldChar w:fldCharType="end"/>
      </w:r>
      <w:r>
        <w:t xml:space="preserve">. </w:t>
      </w:r>
    </w:p>
    <w:p w:rsidR="00700712" w:rsidRPr="003C4378" w:rsidRDefault="00700712" w:rsidP="00700712">
      <w:pPr>
        <w:spacing w:line="480" w:lineRule="auto"/>
      </w:pPr>
      <w:r>
        <w:t xml:space="preserve">The ConsAg practices clearly have a significant effect on soil microbial structure as shown by previous studies </w:t>
      </w:r>
      <w:r>
        <w:fldChar w:fldCharType="begin" w:fldLock="1"/>
      </w:r>
      <w:r>
        <w:instrText>ADDIN CSL_CITATION { "citationItems" : [ { "id" : "ITEM-1", "itemData" : { "author" : [ { "dropping-particle" : "", "family" : "Lupwayi", "given" : "N Z", "non-dropping-particle" : "", "parse-names" : false, "suffix" : "" }, { "dropping-particle" : "", "family" : "Rice", "given" : "W A", "non-dropping-particle" : "", "parse-names" : false, "suffix" : "" }, { "dropping-particle" : "", "family" : "Clayton", "given" : "G W", "non-dropping-particle" : "", "parse-names" : false, "suffix" : "" } ], "id" : "ITEM-1", "issue" : "13", "issued" : { "date-parts" : [ [ "1998" ] ] }, "page" : "1733-1741", "title" : "SOIL MICROBIAL DIVERSITY AND COMMUNITY STRUCTURE UNDER WHEAT AS INFLUENCED BY", "type" : "article-journal", "volume" : "30" }, "uris" : [ "http://www.mendeley.com/documents/?uuid=ee48e427-6230-40f9-a4b6-064b2b69ab63" ] }, { "id" : "ITEM-2", "itemData" : { "DOI" : "10.1016/j.soilbio.2003.08.016", "ISSN" : "00380717", "author" : [ { "dropping-particle" : "", "family" : "Feng", "given" : "Y.", "non-dropping-particle" : "", "parse-names" : false, "suffix" : "" }, { "dropping-particle" : "", "family" : "Motta", "given" : "a.C.", "non-dropping-particle" : "", "parse-names" : false, "suffix" : "" }, { "dropping-particle" : "", "family" : "Reeves", "given" : "D.W.", "non-dropping-particle" : "", "parse-names" : false, "suffix" : "" }, { "dropping-particle" : "", "family" : "Burmester", "given" : "C.H.", "non-dropping-particle" : "", "parse-names" : false, "suffix" : "" }, { "dropping-particle" : "", "family" : "Santen", "given" : "E.", "non-dropping-particle" : "van", "parse-names" : false, "suffix" : "" }, { "dropping-particle" : "", "family" : "Osborne", "given" : "J.a.", "non-dropping-particle" : "", "parse-names" : false, "suffix" : "" } ], "container-title" : "Soil Biology and Biochemistry", "id" : "ITEM-2", "issue" : "12", "issued" : { "date-parts" : [ [ "2003", "12" ] ] }, "page" : "1693-1703", "title" : "Soil microbial communities under conventional-till and no-till continuous cotton systems", "type" : "article-journal", "volume" : "35" }, "uris" : [ "http://www.mendeley.com/documents/?uuid=2b39d351-1ec5-4e55-a5fd-743fff783b1f" ] }, { "id" : "ITEM-3", "itemData" : { "DOI" : "10.1016/j.soilbio.2003.10.026", "ISSN" : "00380717", "author" : [ { "dropping-particle" : "", "family" : "Spedding", "given" : "T.a.", "non-dropping-particle" : "", "parse-names" : false, "suffix" : "" }, { "dropping-particle" : "", "family" : "Hamel", "given" : "C.", "non-dropping-particle" : "", "parse-names" : false, "suffix" : "" }, { "dropping-particle" : "", "family" : "Mehuys", "given" : "G.R.", "non-dropping-particle" : "", "parse-names" : false, "suffix" : "" }, { "dropping-particle" : "", "family" : "Madramootoo", "given" : "C.a.", "non-dropping-particle" : "", "parse-names" : false, "suffix" : "" } ], "container-title" : "Soil Biology and Biochemistry", "id" : "ITEM-3", "issue" : "3", "issued" : { "date-parts" : [ [ "2004", "3" ] ] }, "page" : "499-512", "title" : "Soil microbial dynamics in maize-growing soil under different tillage and residue management systems", "type" : "article-journal", "volume" : "36" }, "uris" : [ "http://www.mendeley.com/documents/?uuid=1023c20e-6125-45ca-9e24-42d0756b10b2" ] } ], "mendeley" : { "previouslyFormattedCitation" : "(Lupwayi et al., 1998; Feng et al., 2003; Spedding et al., 2004)" }, "properties" : { "noteIndex" : 0 }, "schema" : "https://github.com/citation-style-language/schema/raw/master/csl-citation.json" }</w:instrText>
      </w:r>
      <w:r>
        <w:fldChar w:fldCharType="separate"/>
      </w:r>
      <w:r w:rsidRPr="00A70D3B">
        <w:t>(Lupwayi et al., 1998; Feng et al., 2003; Spedding et al., 2004)</w:t>
      </w:r>
      <w:r>
        <w:fldChar w:fldCharType="end"/>
      </w:r>
      <w:r>
        <w:t>.  However, the long term shifts of microbial community structure upon changing to ConsAg management practices as well as the effects of the interactions of the different ConsAg practices on microbial community dynamics are yet to be fully understood/characterized.  For example, although the F:B ratio is generally expected to be higher under reduced tillage practices, that is not usually the case</w:t>
      </w:r>
      <w:r>
        <w:fldChar w:fldCharType="begin" w:fldLock="1"/>
      </w:r>
      <w:r>
        <w:instrText>ADDIN CSL_CITATION { "citationItems" : [ { "id" : "ITEM-1", "itemData" : { "DOI" : "10.2136/sssaj2007.0392", "ISSN" : "1435-0661", "PMID" : "592", "author" : [ { "dropping-particle" : "", "family" : "Helgason", "given" : "Bobbi L.", "non-dropping-particle" : "", "parse-names" : false, "suffix" : "" }, { "dropping-particle" : "", "family" : "Walley", "given" : "Fran L.", "non-dropping-particle" : "", "parse-names" : false, "suffix" : "" }, { "dropping-particle" : "", "family" : "Germida", "given" : "James J.", "non-dropping-particle" : "", "parse-names" : false, "suffix" : "" } ], "container-title" : "Soil Science Society of America Journal", "id" : "ITEM-1", "issue" : "1", "issued" : { "date-parts" : [ [ "2009", "10", "4" ] ] }, "page" : "120", "publisher" : "Proquest", "title" : "Fungal and Bacterial Abundance in Long-Term No-Till and Intensive-Till Soils of the Northern Great Plains", "type" : "article-journal", "volume" : "73" }, "uris" : [ "http://www.mendeley.com/documents/?uuid=91c655f8-5e42-4a94-9265-17f9084a35f7" ] }, { "id" : "ITEM-2", "itemData" : { "DOI" : "10.1155/2012/548620", "ISSN" : "1687-7667", "author" : [ { "dropping-particle" : "", "family" : "Mathew", "given" : "Reji P.", "non-dropping-particle" : "", "parse-names" : false, "suffix" : "" }, { "dropping-particle" : "", "family" : "Feng", "given" : "Yucheng", "non-dropping-particle" : "", "parse-names" : false, "suffix" : "" }, { "dropping-particle" : "", "family" : "Githinji", "given" : "Leonard", "non-dropping-particle" : "", "parse-names" : false, "suffix" : "" }, { "dropping-particle" : "", "family" : "Ankumah", "given" : "Ramble", "non-dropping-particle" : "", "parse-names" : false, "suffix" : "" }, { "dropping-particle" : "", "family" : "Balkcom", "given" : "Kipling S.", "non-dropping-particle" : "", "parse-names" : false, "suffix" : "" } ], "container-title" : "Applied and Environmental Soil Science", "id" : "ITEM-2", "issued" : { "date-parts" : [ [ "2012" ] ] }, "page" : "1-10", "title" : "Impact of No-Tillage and Conventional Tillage Systems on Soil Microbial Communities", "type" : "article-journal", "volume" : "2012" }, "uris" : [ "http://www.mendeley.com/documents/?uuid=96c0251a-a41e-4b60-a48d-67010bbbba89" ] }, { "id" : "ITEM-3", "itemData" : { "DOI" : "10.1016/j.soilbio.2003.08.016", "ISSN" : "00380717", "author" : [ { "dropping-particle" : "", "family" : "Feng", "given" : "Y.", "non-dropping-particle" : "", "parse-names" : false, "suffix" : "" }, { "dropping-particle" : "", "family" : "Motta", "given" : "a.C.", "non-dropping-particle" : "", "parse-names" : false, "suffix" : "" }, { "dropping-particle" : "", "family" : "Reeves", "given" : "D.W.", "non-dropping-particle" : "", "parse-names" : false, "suffix" : "" }, { "dropping-particle" : "", "family" : "Burmester", "given" : "C.H.", "non-dropping-particle" : "", "parse-names" : false, "suffix" : "" }, { "dropping-particle" : "", "family" : "Santen", "given" : "E.", "non-dropping-particle" : "van", "parse-names" : false, "suffix" : "" }, { "dropping-particle" : "", "family" : "Osborne", "given" : "J.a.", "non-dropping-particle" : "", "parse-names" : false, "suffix" : "" } ], "container-title" : "Soil Biology and Biochemistry", "id" : "ITEM-3", "issue" : "12", "issued" : { "date-parts" : [ [ "2003", "12" ] ] }, "page" : "1693-1703", "title" : "Soil microbial communities under conventional-till and no-till continuous cotton systems", "type" : "article-journal", "volume" : "35" }, "uris" : [ "http://www.mendeley.com/documents/?uuid=2b39d351-1ec5-4e55-a5fd-743fff783b1f" ] } ], "mendeley" : { "previouslyFormattedCitation" : "(Feng et al., 2003; Helgason et al., 2009; Mathew et al., 2012)" }, "properties" : { "noteIndex" : 0 }, "schema" : "https://github.com/citation-style-language/schema/raw/master/csl-citation.json" }</w:instrText>
      </w:r>
      <w:r>
        <w:fldChar w:fldCharType="separate"/>
      </w:r>
      <w:r w:rsidRPr="00B531B2">
        <w:t>(Feng et al., 2003; Helgason et al., 2009; Mathew et al., 2012)</w:t>
      </w:r>
      <w:r>
        <w:fldChar w:fldCharType="end"/>
      </w:r>
      <w:r>
        <w:t xml:space="preserve">. The F:B ratio is hypothesized to be higher under minimized tillage practices because they have a higher microbial growth efficiency, their cell walls are more resistant to degradation than bacteria and they are able to utilize more recalcitrant residue </w:t>
      </w:r>
      <w:r>
        <w:fldChar w:fldCharType="begin" w:fldLock="1"/>
      </w:r>
      <w:r>
        <w:instrText>ADDIN CSL_CITATION { "citationItems" : [ { "id" : "ITEM-1", "itemData" : { "author" : [ { "dropping-particle" : "", "family" : "Six", "given" : "J", "non-dropping-particle" : "", "parse-names" : false, "suffix" : "" }, { "dropping-particle" : "", "family" : "Jastrow", "given" : "JD", "non-dropping-particle" : "", "parse-names" : false, "suffix" : "" } ], "container-title" : "Encyclopedia of Soil Science", "id" : "ITEM-1", "issued" : { "date-parts" : [ [ "2002" ] ] }, "page" : "936-942", "title" : "Organic matter turnover", "type" : "article-journal" }, "uris" : [ "http://www.mendeley.com/documents/?uuid=eb138233-ed3c-4787-bbdc-11f83aaf066a" ] }, { "id" : "ITEM-2", "itemData" : { "DOI" : "10.1007/s10584-006-9178-3", "ISSN" : "0165-0009", "author" : [ { "dropping-particle" : "", "family" : "Jastrow", "given" : "Julie D.", "non-dropping-particle" : "", "parse-names" : false, "suffix" : "" }, { "dropping-particle" : "", "family" : "Amonette", "given" : "James E.", "non-dropping-particle" : "", "parse-names" : false, "suffix" : "" }, { "dropping-particle" : "", "family" : "Bailey", "given" : "Vanessa L.", "non-dropping-particle" : "", "parse-names" : false, "suffix" : "" } ], "container-title" : "Climatic Change", "id" : "ITEM-2", "issue" : "1-2", "issued" : { "date-parts" : [ [ "2006", "12", "21" ] ] }, "page" : "5-23", "title" : "Mechanisms controlling soil carbon turnover and their potential application for enhancing carbon sequestration", "type" : "article-journal", "volume" : "80" }, "uris" : [ "http://www.mendeley.com/documents/?uuid=e78467c3-b519-4b6a-a157-cb215964ea7f" ] }, { "id" : "ITEM-3", "itemData" : { "DOI" : "10.1111/ele.12125", "ISSN" : "1461-0248", "PMID" : "23692657", "abstract" : "Since fungi and bacteria are the dominant decomposers in soil, their distinct physiologies are likely to differentially influence rates of ecosystem carbon (C) and nitrogen (N) cycling. We used meta-analysis and an enzyme-driven biogeochemical model to explore the drivers and biogeochemical consequences of changes in the fungal-to-bacterial ratio (F : B). In our meta-analysis data set, F : B increased with soil C : N ratio (R(2) = 0.224, P &lt; 0.001), a relationship predicted by our model. We found that differences in biomass turnover rates influenced F : B under conditions of C limitation, while differences in biomass stoichiometry set the upper bounds on F : B once a nutrient limitation threshold was reached. Ecological interactions between the two groups shifted along a gradient of resource stoichiometry. At intermediate substrate C : N, fungal N mineralisation fuelled bacterial growth, increasing total microbial biomass and decreasing net N mineralisation. Therefore, we conclude that differences in bacterial and fungal physiology may have large consequences for ecosystem-scale C and N cycling.", "author" : [ { "dropping-particle" : "", "family" : "Waring", "given" : "Bonnie G", "non-dropping-particle" : "", "parse-names" : false, "suffix" : "" }, { "dropping-particle" : "", "family" : "Averill", "given" : "Colin", "non-dropping-particle" : "", "parse-names" : false, "suffix" : "" }, { "dropping-particle" : "V", "family" : "Hawkes", "given" : "Christine", "non-dropping-particle" : "", "parse-names" : false, "suffix" : "" } ], "container-title" : "Ecology letters", "id" : "ITEM-3", "issue" : "7", "issued" : { "date-parts" : [ [ "2013", "7" ] ] }, "page" : "887-94", "title" : "Differences in fungal and bacterial physiology alter soil carbon and nitrogen cycling: insights from meta-analysis and theoretical models.", "type" : "article-journal", "volume" : "16" }, "uris" : [ "http://www.mendeley.com/documents/?uuid=be2988ce-c692-475d-862f-6c1683364ea0" ] } ], "mendeley" : { "previouslyFormattedCitation" : "(Six and Jastrow, 2002; Jastrow et al., 2006; Waring et al., 2013)" }, "properties" : { "noteIndex" : 0 }, "schema" : "https://github.com/citation-style-language/schema/raw/master/csl-citation.json" }</w:instrText>
      </w:r>
      <w:r>
        <w:fldChar w:fldCharType="separate"/>
      </w:r>
      <w:r w:rsidRPr="00842894">
        <w:t>(Six and Jastrow, 2002; Jastrow et al., 2006; Waring et al., 2013)</w:t>
      </w:r>
      <w:r>
        <w:fldChar w:fldCharType="end"/>
      </w:r>
      <w:r>
        <w:t xml:space="preserve">. It is therefore expected that the F:B ratio would correspond to the </w:t>
      </w:r>
      <w:r>
        <w:lastRenderedPageBreak/>
        <w:t xml:space="preserve">increase in microbial biomass C and organic carbon content observed in these  systems </w:t>
      </w:r>
      <w:r>
        <w:fldChar w:fldCharType="begin" w:fldLock="1"/>
      </w:r>
      <w:r>
        <w:instrText>ADDIN CSL_CITATION { "citationItems" : [ { "id" : "ITEM-1", "itemData" : { "DOI" : "10.2136/sssaj2004.0347", "ISSN" : "1435-0661", "author" : [ { "dropping-particle" : "", "family" : "Six", "given" : "J.", "non-dropping-particle" : "", "parse-names" : false, "suffix" : "" }, { "dropping-particle" : "", "family" : "Frey", "given" : "S. D.", "non-dropping-particle" : "", "parse-names" : false, "suffix" : "" }, { "dropping-particle" : "", "family" : "Thiet", "given" : "R. K.", "non-dropping-particle" : "", "parse-names" : false, "suffix" : "" }, { "dropping-particle" : "", "family" : "Batten", "given" : "K. M.", "non-dropping-particle" : "", "parse-names" : false, "suffix" : "" } ], "container-title" : "Soil Science Society of America Journal", "id" : "ITEM-1", "issue" : "2", "issued" : { "date-parts" : [ [ "2006" ] ] }, "page" : "555", "title" : "Bacterial and Fungal Contributions to Carbon Sequestration in Agroecosystems", "type" : "article-journal", "volume" : "70" }, "uris" : [ "http://www.mendeley.com/documents/?uuid=163e5a4f-836a-469c-8a78-7aee531a9f9d" ] }, { "id" : "ITEM-2", "itemData" : { "DOI" : "10.1007/s10584-006-9178-3", "ISSN" : "0165-0009", "author" : [ { "dropping-particle" : "", "family" : "Jastrow", "given" : "Julie D.", "non-dropping-particle" : "", "parse-names" : false, "suffix" : "" }, { "dropping-particle" : "", "family" : "Amonette", "given" : "James E.", "non-dropping-particle" : "", "parse-names" : false, "suffix" : "" }, { "dropping-particle" : "", "family" : "Bailey", "given" : "Vanessa L.", "non-dropping-particle" : "", "parse-names" : false, "suffix" : "" } ], "container-title" : "Climatic Change", "id" : "ITEM-2", "issue" : "1-2", "issued" : { "date-parts" : [ [ "2006", "12", "21" ] ] }, "page" : "5-23", "title" : "Mechanisms controlling soil carbon turnover and their potential application for enhancing carbon sequestration", "type" : "article-journal", "volume" : "80" }, "uris" : [ "http://www.mendeley.com/documents/?uuid=e78467c3-b519-4b6a-a157-cb215964ea7f" ] }, { "id" : "ITEM-3", "itemData" : { "DOI" : "10.1111/ele.12125", "ISSN" : "1461-0248", "PMID" : "23692657", "abstract" : "Since fungi and bacteria are the dominant decomposers in soil, their distinct physiologies are likely to differentially influence rates of ecosystem carbon (C) and nitrogen (N) cycling. We used meta-analysis and an enzyme-driven biogeochemical model to explore the drivers and biogeochemical consequences of changes in the fungal-to-bacterial ratio (F : B). In our meta-analysis data set, F : B increased with soil C : N ratio (R(2) = 0.224, P &lt; 0.001), a relationship predicted by our model. We found that differences in biomass turnover rates influenced F : B under conditions of C limitation, while differences in biomass stoichiometry set the upper bounds on F : B once a nutrient limitation threshold was reached. Ecological interactions between the two groups shifted along a gradient of resource stoichiometry. At intermediate substrate C : N, fungal N mineralisation fuelled bacterial growth, increasing total microbial biomass and decreasing net N mineralisation. Therefore, we conclude that differences in bacterial and fungal physiology may have large consequences for ecosystem-scale C and N cycling.", "author" : [ { "dropping-particle" : "", "family" : "Waring", "given" : "Bonnie G", "non-dropping-particle" : "", "parse-names" : false, "suffix" : "" }, { "dropping-particle" : "", "family" : "Averill", "given" : "Colin", "non-dropping-particle" : "", "parse-names" : false, "suffix" : "" }, { "dropping-particle" : "V", "family" : "Hawkes", "given" : "Christine", "non-dropping-particle" : "", "parse-names" : false, "suffix" : "" } ], "container-title" : "Ecology letters", "id" : "ITEM-3", "issue" : "7", "issued" : { "date-parts" : [ [ "2013", "7" ] ] }, "page" : "887-94", "title" : "Differences in fungal and bacterial physiology alter soil carbon and nitrogen cycling: insights from meta-analysis and theoretical models.", "type" : "article-journal", "volume" : "16" }, "uris" : [ "http://www.mendeley.com/documents/?uuid=be2988ce-c692-475d-862f-6c1683364ea0" ] } ], "mendeley" : { "previouslyFormattedCitation" : "(Six et al., 2006; Jastrow et al., 2006; Waring et al., 2013)" }, "properties" : { "noteIndex" : 0 }, "schema" : "https://github.com/citation-style-language/schema/raw/master/csl-citation.json" }</w:instrText>
      </w:r>
      <w:r>
        <w:fldChar w:fldCharType="separate"/>
      </w:r>
      <w:r w:rsidRPr="00842894">
        <w:t>(Six et al., 2006; Jastrow et al., 2006; Waring et al., 2013)</w:t>
      </w:r>
      <w:r>
        <w:fldChar w:fldCharType="end"/>
      </w:r>
      <w:r>
        <w:t xml:space="preserve">. </w:t>
      </w:r>
      <w:r w:rsidRPr="003C4378">
        <w:t xml:space="preserve">The lack of fungal dominance in some studies despite observed increases in C sequestration therefore indicates possibility </w:t>
      </w:r>
      <w:r>
        <w:t xml:space="preserve">of microbial </w:t>
      </w:r>
      <w:r w:rsidRPr="003C4378">
        <w:t>functional redundancy.</w:t>
      </w:r>
      <w:r>
        <w:t xml:space="preserve"> </w:t>
      </w:r>
      <w:r w:rsidRPr="003C4378">
        <w:t xml:space="preserve">It has also been stated that changes in microbial community composition may be relatively constrained in agricultural landscapes with a legacy of intensive agricultural management (Bowles et al 2014).  </w:t>
      </w:r>
    </w:p>
    <w:p w:rsidR="00700712" w:rsidRPr="00700712" w:rsidRDefault="00700712" w:rsidP="002D3535">
      <w:pPr>
        <w:spacing w:line="480" w:lineRule="auto"/>
      </w:pPr>
      <w:r>
        <w:t>This project therefore aimed at doing a comparative analysis of the microbial community composition of soils under a long term ConsAg continuous cotton production in West Tennessee.</w:t>
      </w:r>
    </w:p>
    <w:p w:rsidR="00236E6D" w:rsidRDefault="00236E6D" w:rsidP="005E54E2"/>
    <w:p w:rsidR="00700712" w:rsidRDefault="00700712" w:rsidP="00700712">
      <w:pPr>
        <w:pStyle w:val="Heading2"/>
      </w:pPr>
      <w:bookmarkStart w:id="52" w:name="_Toc391021448"/>
      <w:r w:rsidRPr="007503B0">
        <w:t>Materials and Methods</w:t>
      </w:r>
      <w:bookmarkEnd w:id="52"/>
    </w:p>
    <w:p w:rsidR="00700712" w:rsidRPr="00B41D60" w:rsidRDefault="00700712" w:rsidP="00700712">
      <w:pPr>
        <w:pStyle w:val="Heading3"/>
      </w:pPr>
      <w:bookmarkStart w:id="53" w:name="_Toc391021449"/>
      <w:r>
        <w:t>Study Site and Soil Sampling</w:t>
      </w:r>
      <w:bookmarkEnd w:id="53"/>
    </w:p>
    <w:p w:rsidR="00C9116C" w:rsidRDefault="00C9116C" w:rsidP="00C9116C">
      <w:pPr>
        <w:spacing w:line="480" w:lineRule="auto"/>
      </w:pPr>
      <w:r>
        <w:t xml:space="preserve">The research site is located </w:t>
      </w:r>
      <w:r w:rsidRPr="004D45F7">
        <w:t xml:space="preserve">at the West Tennessee Experiment Station (WTES), </w:t>
      </w:r>
      <w:r>
        <w:t>Jackson</w:t>
      </w:r>
      <w:r w:rsidRPr="004D45F7">
        <w:t xml:space="preserve">, Tennessee. </w:t>
      </w:r>
      <w:r>
        <w:t xml:space="preserve"> The site is under a</w:t>
      </w:r>
      <w:r w:rsidRPr="004D45F7">
        <w:t xml:space="preserve"> Lexington silt loam (fine-silty, mixed, thermic, Ultic Hapludalf), well</w:t>
      </w:r>
      <w:r>
        <w:t>-</w:t>
      </w:r>
      <w:r w:rsidRPr="004D45F7">
        <w:t xml:space="preserve">drained </w:t>
      </w:r>
      <w:r>
        <w:t xml:space="preserve">soil </w:t>
      </w:r>
      <w:r w:rsidRPr="004D45F7">
        <w:t xml:space="preserve">with a 0-2% slope. The plots </w:t>
      </w:r>
      <w:r>
        <w:t>we</w:t>
      </w:r>
      <w:r w:rsidRPr="004D45F7">
        <w:t>re set up in</w:t>
      </w:r>
      <w:r>
        <w:t xml:space="preserve"> 1981 in a </w:t>
      </w:r>
      <w:r w:rsidRPr="004D45F7">
        <w:t xml:space="preserve">randomized block </w:t>
      </w:r>
      <w:r>
        <w:t xml:space="preserve">split-split plot </w:t>
      </w:r>
      <w:r w:rsidRPr="004D45F7">
        <w:t>design</w:t>
      </w:r>
      <w:r>
        <w:t xml:space="preserve"> consisting of four </w:t>
      </w:r>
      <w:r w:rsidRPr="004D45F7">
        <w:t>nitrogen</w:t>
      </w:r>
      <w:r>
        <w:t xml:space="preserve"> treatment</w:t>
      </w:r>
      <w:r w:rsidRPr="004D45F7">
        <w:t xml:space="preserve"> </w:t>
      </w:r>
      <w:r>
        <w:t>levels (0, 34, 67</w:t>
      </w:r>
      <w:r w:rsidRPr="004D45F7">
        <w:t>, and 101kg/ha</w:t>
      </w:r>
      <w:r>
        <w:t xml:space="preserve">) as  the </w:t>
      </w:r>
      <w:r w:rsidRPr="004D45F7">
        <w:t>main plots</w:t>
      </w:r>
      <w:r>
        <w:t xml:space="preserve">; the main plots are subdivided into sub-plots of four cover crop treatments </w:t>
      </w:r>
      <w:r w:rsidRPr="004D45F7">
        <w:t>hairy vetch (</w:t>
      </w:r>
      <w:r w:rsidRPr="00395313">
        <w:rPr>
          <w:i/>
        </w:rPr>
        <w:t>Vicia villosa</w:t>
      </w:r>
      <w:r w:rsidRPr="004D45F7">
        <w:t>), winter wheat (</w:t>
      </w:r>
      <w:r w:rsidRPr="00395313">
        <w:rPr>
          <w:i/>
        </w:rPr>
        <w:t>Triticum aestivum</w:t>
      </w:r>
      <w:r w:rsidRPr="004D45F7">
        <w:t>)</w:t>
      </w:r>
      <w:r>
        <w:t xml:space="preserve">, </w:t>
      </w:r>
      <w:r w:rsidRPr="005E6BF1">
        <w:rPr>
          <w:rFonts w:ascii="Calibri" w:hAnsi="Calibri" w:cs="Calibri"/>
        </w:rPr>
        <w:t>crimson clover</w:t>
      </w:r>
      <w:r>
        <w:rPr>
          <w:rFonts w:ascii="Calibri" w:hAnsi="Calibri" w:cs="Calibri"/>
        </w:rPr>
        <w:t xml:space="preserve"> </w:t>
      </w:r>
      <w:r w:rsidRPr="000B56FA">
        <w:rPr>
          <w:i/>
        </w:rPr>
        <w:t>(Trifolium incarnatum),</w:t>
      </w:r>
      <w:r>
        <w:rPr>
          <w:rFonts w:ascii="Calibri" w:hAnsi="Calibri" w:cs="Calibri"/>
          <w:bCs/>
          <w:i/>
          <w:iCs/>
        </w:rPr>
        <w:t xml:space="preserve"> </w:t>
      </w:r>
      <w:r>
        <w:t xml:space="preserve"> and no cover; each of the sub-plots are then further subdivided into two with one portion tilled (till)and the other portion left untilled (no-till) . All treatment sets have four replications. </w:t>
      </w:r>
      <w:r w:rsidRPr="004D45F7">
        <w:t>Tillage is</w:t>
      </w:r>
      <w:r>
        <w:t xml:space="preserve"> usually</w:t>
      </w:r>
      <w:r w:rsidRPr="004D45F7">
        <w:t xml:space="preserve"> done two times </w:t>
      </w:r>
      <w:r w:rsidRPr="004D45F7">
        <w:lastRenderedPageBreak/>
        <w:t xml:space="preserve">before planting </w:t>
      </w:r>
      <w:r>
        <w:t xml:space="preserve">by </w:t>
      </w:r>
      <w:r w:rsidRPr="004D45F7">
        <w:t xml:space="preserve">a standard disc harrow </w:t>
      </w:r>
      <w:r>
        <w:t>followed by</w:t>
      </w:r>
      <w:r w:rsidRPr="004D45F7">
        <w:t xml:space="preserve"> smoothing and breaking up of clods by a triple-K</w:t>
      </w:r>
      <w:r>
        <w:t xml:space="preserve"> harrow</w:t>
      </w:r>
      <w:r w:rsidRPr="004D45F7">
        <w:t>.</w:t>
      </w:r>
      <w:r>
        <w:t xml:space="preserve"> </w:t>
      </w:r>
    </w:p>
    <w:p w:rsidR="00C9116C" w:rsidRDefault="00C9116C" w:rsidP="00C9116C">
      <w:pPr>
        <w:spacing w:line="480" w:lineRule="auto"/>
      </w:pPr>
      <w:r w:rsidRPr="006674AB">
        <w:t xml:space="preserve">Sampling was done </w:t>
      </w:r>
      <w:r>
        <w:t>at the beginning of the</w:t>
      </w:r>
      <w:r w:rsidRPr="006674AB">
        <w:t xml:space="preserve"> cotton growing season</w:t>
      </w:r>
      <w:r>
        <w:t xml:space="preserve"> of</w:t>
      </w:r>
      <w:r w:rsidRPr="006674AB">
        <w:t xml:space="preserve"> 2013 in June after cotton planting</w:t>
      </w:r>
      <w:r>
        <w:t>. Two main cover crop species representing a grass species (winter wheat)  and a  leguminous cover crop species (hairy vetch) were selected for this study, under all four nitrogen fertilization rate (0, 34, 67</w:t>
      </w:r>
      <w:r w:rsidRPr="004D45F7">
        <w:t>, and 101</w:t>
      </w:r>
      <w:r>
        <w:t xml:space="preserve"> </w:t>
      </w:r>
      <w:r w:rsidRPr="004D45F7">
        <w:t>kg</w:t>
      </w:r>
      <w:r>
        <w:t xml:space="preserve"> N </w:t>
      </w:r>
      <w:r w:rsidRPr="004D45F7">
        <w:t>/ha</w:t>
      </w:r>
      <w:r>
        <w:t>) from both till and no-till plots</w:t>
      </w:r>
      <w:r w:rsidRPr="00D96C3D">
        <w:t xml:space="preserve"> </w:t>
      </w:r>
      <w:r>
        <w:t>were sampled.  The soil was sampled</w:t>
      </w:r>
      <w:r w:rsidRPr="004D45F7">
        <w:t xml:space="preserve"> from the top 0-7.5cm f</w:t>
      </w:r>
      <w:r>
        <w:t>rom a minimum of 20</w:t>
      </w:r>
      <w:r w:rsidRPr="004D45F7">
        <w:t xml:space="preserve"> randomly selected points</w:t>
      </w:r>
      <w:r>
        <w:t xml:space="preserve"> next to the rows of cotton plants</w:t>
      </w:r>
      <w:r w:rsidRPr="004D45F7">
        <w:t xml:space="preserve"> in each plot. Care was taken not to contaminate soils from different </w:t>
      </w:r>
      <w:r>
        <w:t>plots by cleaning the soil sampling probes</w:t>
      </w:r>
      <w:r w:rsidRPr="004D45F7">
        <w:t xml:space="preserve"> </w:t>
      </w:r>
      <w:r>
        <w:t xml:space="preserve">from plot to plot </w:t>
      </w:r>
      <w:r w:rsidRPr="004D45F7">
        <w:t xml:space="preserve">with 70% ethanol.  Sub-samples from each plot were </w:t>
      </w:r>
      <w:r w:rsidRPr="00E92D0F">
        <w:t>homogenized and portioned into three with one portion meant for DNA extraction immediately flash frozen using liquid nitrogen and stored in a cooler containing dry ice for transportation back to the lab after which the soils were stored in the freezer (-80° C) until needed.</w:t>
      </w:r>
    </w:p>
    <w:p w:rsidR="00C9116C" w:rsidRDefault="00C9116C" w:rsidP="00C9116C">
      <w:pPr>
        <w:pStyle w:val="Heading3"/>
      </w:pPr>
      <w:bookmarkStart w:id="54" w:name="_Toc391021450"/>
      <w:r>
        <w:t>DNA Extraction, PCR Amplification and Sequencing</w:t>
      </w:r>
      <w:bookmarkEnd w:id="54"/>
      <w:r>
        <w:t xml:space="preserve"> </w:t>
      </w:r>
    </w:p>
    <w:p w:rsidR="002D3535" w:rsidRDefault="002D3535" w:rsidP="002D3535">
      <w:pPr>
        <w:spacing w:line="480" w:lineRule="auto"/>
      </w:pPr>
      <w:bookmarkStart w:id="55" w:name="_Toc289175840"/>
      <w:r>
        <w:t xml:space="preserve">Total soil DNA was extracted from each of the collected soil samples from each plot using the Power Soil DNA extraction kit (MoBio Laboratories, Carlsbad, CA) as directed by the manufacturer's instructions, with slight modifications. </w:t>
      </w:r>
      <w:r w:rsidRPr="0084324D">
        <w:t>Specifically, soil samples (</w:t>
      </w:r>
      <w:r>
        <w:t>0.35</w:t>
      </w:r>
      <w:r w:rsidRPr="0084324D">
        <w:t xml:space="preserve"> g) </w:t>
      </w:r>
      <w:r>
        <w:t>were pre-heated in a hot water bath at</w:t>
      </w:r>
      <w:r w:rsidRPr="0084324D">
        <w:t xml:space="preserve"> 65</w:t>
      </w:r>
      <w:r>
        <w:t xml:space="preserve"> </w:t>
      </w:r>
      <w:r w:rsidRPr="0084324D">
        <w:t xml:space="preserve">C for </w:t>
      </w:r>
      <w:r>
        <w:t>2</w:t>
      </w:r>
      <w:r w:rsidRPr="0084324D">
        <w:t>0 min</w:t>
      </w:r>
      <w:r>
        <w:t xml:space="preserve"> before the homogenization step. </w:t>
      </w:r>
      <w:r w:rsidRPr="0084324D">
        <w:t xml:space="preserve"> The remaining</w:t>
      </w:r>
      <w:r>
        <w:t xml:space="preserve"> </w:t>
      </w:r>
      <w:r w:rsidRPr="0084324D">
        <w:t>steps were performed as directed by the manufacturer. DNA was</w:t>
      </w:r>
      <w:r>
        <w:t xml:space="preserve"> </w:t>
      </w:r>
      <w:r w:rsidRPr="0084324D">
        <w:t xml:space="preserve">extracted from </w:t>
      </w:r>
      <w:r>
        <w:t xml:space="preserve">each replicate </w:t>
      </w:r>
      <w:r w:rsidRPr="0084324D">
        <w:t>plot</w:t>
      </w:r>
      <w:r>
        <w:t xml:space="preserve"> sample were quantified using the PicoGreen® dsDNA quantitation assay and</w:t>
      </w:r>
      <w:r w:rsidRPr="0084324D">
        <w:t xml:space="preserve"> </w:t>
      </w:r>
      <w:r>
        <w:t>samples</w:t>
      </w:r>
      <w:r w:rsidRPr="0084324D">
        <w:t xml:space="preserve"> stored at</w:t>
      </w:r>
      <w:r>
        <w:t xml:space="preserve"> </w:t>
      </w:r>
      <w:r w:rsidRPr="0084324D">
        <w:t>20</w:t>
      </w:r>
      <w:r>
        <w:t xml:space="preserve"> C. In preparation for DNA sequencing, samples from replicate plots of each treatment were pooled together </w:t>
      </w:r>
      <w:r>
        <w:lastRenderedPageBreak/>
        <w:t>based on equal concentration resulting in a total of 24 pooled samples. Bacterial sequencing was done using tag encoded rRNA primers</w:t>
      </w:r>
      <w:r w:rsidRPr="00FD3C06">
        <w:t xml:space="preserve"> (F515/R806)</w:t>
      </w:r>
      <w:r>
        <w:t xml:space="preserve"> targeting</w:t>
      </w:r>
      <w:r w:rsidRPr="00FD3C06">
        <w:t xml:space="preserve"> the V4 region of the 16S rRNA</w:t>
      </w:r>
      <w:r>
        <w:t xml:space="preserve"> as developed for paired end sequencing for illumina Miseq platforms (</w:t>
      </w:r>
      <w:r w:rsidRPr="00BF6BF0">
        <w:t>Caporaso et al</w:t>
      </w:r>
      <w:r>
        <w:t xml:space="preserve">., 2011). The paired-end sequencing was performed at The Center for Environmental Biotechnology (CEB), at the University of Tennessee, Knoxville.  </w:t>
      </w:r>
    </w:p>
    <w:p w:rsidR="002D3535" w:rsidRPr="006973C4" w:rsidRDefault="002D3535" w:rsidP="002D3535">
      <w:pPr>
        <w:pStyle w:val="Heading3"/>
      </w:pPr>
      <w:bookmarkStart w:id="56" w:name="_Toc391021451"/>
      <w:r>
        <w:t xml:space="preserve">Quantitative </w:t>
      </w:r>
      <w:r w:rsidRPr="006973C4">
        <w:t>PCR analysis</w:t>
      </w:r>
      <w:r>
        <w:t xml:space="preserve"> of fungi and bacteria abundance</w:t>
      </w:r>
      <w:bookmarkEnd w:id="56"/>
      <w:r>
        <w:t xml:space="preserve"> </w:t>
      </w:r>
    </w:p>
    <w:p w:rsidR="002D3535" w:rsidRDefault="002D3535" w:rsidP="002D3535">
      <w:pPr>
        <w:spacing w:line="480" w:lineRule="auto"/>
      </w:pPr>
      <w:r w:rsidRPr="006973C4">
        <w:t>Relative abundances of bacteria and fungi were quantified</w:t>
      </w:r>
      <w:r>
        <w:t xml:space="preserve"> </w:t>
      </w:r>
      <w:r w:rsidRPr="006973C4">
        <w:t>according to</w:t>
      </w:r>
      <w:r>
        <w:t xml:space="preserve"> </w:t>
      </w:r>
      <w:r w:rsidRPr="006973C4">
        <w:t xml:space="preserve">Fierer et al. (2005). </w:t>
      </w:r>
      <w:r>
        <w:t>Standard curves to estimate bac</w:t>
      </w:r>
      <w:r w:rsidRPr="006973C4">
        <w:t>teria</w:t>
      </w:r>
      <w:r>
        <w:t xml:space="preserve">l and fungal small-subunit rRNA </w:t>
      </w:r>
      <w:r w:rsidRPr="006973C4">
        <w:t>gene abundances consisted of</w:t>
      </w:r>
      <w:r>
        <w:t xml:space="preserve"> </w:t>
      </w:r>
      <w:r w:rsidRPr="006973C4">
        <w:t>a 10-fold serial dilution of a plasmid containing a full-length copy</w:t>
      </w:r>
      <w:r>
        <w:t xml:space="preserve"> </w:t>
      </w:r>
      <w:r w:rsidRPr="006973C4">
        <w:t>of either the</w:t>
      </w:r>
      <w:r>
        <w:t xml:space="preserve"> </w:t>
      </w:r>
      <w:r w:rsidRPr="006973C4">
        <w:t>E. coli</w:t>
      </w:r>
      <w:r>
        <w:t xml:space="preserve"> </w:t>
      </w:r>
      <w:r w:rsidRPr="006973C4">
        <w:t>16S rRNA gene or the</w:t>
      </w:r>
      <w:r>
        <w:t xml:space="preserve"> </w:t>
      </w:r>
      <w:r w:rsidRPr="006973C4">
        <w:rPr>
          <w:highlight w:val="cyan"/>
        </w:rPr>
        <w:t>Saccharomyces cerevisiae</w:t>
      </w:r>
      <w:r w:rsidRPr="00F73BB6">
        <w:rPr>
          <w:highlight w:val="cyan"/>
        </w:rPr>
        <w:t xml:space="preserve"> </w:t>
      </w:r>
      <w:r w:rsidRPr="006973C4">
        <w:rPr>
          <w:highlight w:val="cyan"/>
        </w:rPr>
        <w:t>18S rRNA gene</w:t>
      </w:r>
      <w:r w:rsidRPr="006973C4">
        <w:t>. The 25</w:t>
      </w:r>
      <w:r>
        <w:t>u</w:t>
      </w:r>
      <w:r w:rsidRPr="006973C4">
        <w:t>l qPCR reactions contained 12.5ml SYBR</w:t>
      </w:r>
      <w:r>
        <w:t xml:space="preserve"> green </w:t>
      </w:r>
      <w:r w:rsidRPr="006973C4">
        <w:t>Master Mix (</w:t>
      </w:r>
      <w:r>
        <w:t>……</w:t>
      </w:r>
      <w:r w:rsidRPr="006973C4">
        <w:t xml:space="preserve">, NY, USA), </w:t>
      </w:r>
      <w:r>
        <w:t>1u</w:t>
      </w:r>
      <w:r w:rsidRPr="006973C4">
        <w:t>l each 10mM</w:t>
      </w:r>
      <w:r>
        <w:t xml:space="preserve"> </w:t>
      </w:r>
      <w:r w:rsidRPr="006973C4">
        <w:t xml:space="preserve">forward and reverse primers, and </w:t>
      </w:r>
      <w:r>
        <w:t>5</w:t>
      </w:r>
      <w:r w:rsidRPr="006973C4">
        <w:t>.5m</w:t>
      </w:r>
      <w:r w:rsidR="0037722A">
        <w:t>l sterile</w:t>
      </w:r>
      <w:r>
        <w:t xml:space="preserve"> DNA free</w:t>
      </w:r>
      <w:r w:rsidR="0037722A">
        <w:t xml:space="preserve"> </w:t>
      </w:r>
      <w:r w:rsidRPr="006973C4">
        <w:t>water.</w:t>
      </w:r>
      <w:r>
        <w:t xml:space="preserve"> </w:t>
      </w:r>
      <w:r w:rsidRPr="006973C4">
        <w:t xml:space="preserve">Standard and environmental DNA samples were added at </w:t>
      </w:r>
      <w:r>
        <w:t>5ul</w:t>
      </w:r>
      <w:r w:rsidRPr="006973C4">
        <w:t xml:space="preserve"> per</w:t>
      </w:r>
      <w:r>
        <w:t xml:space="preserve"> </w:t>
      </w:r>
      <w:r w:rsidRPr="006973C4">
        <w:t>rea</w:t>
      </w:r>
      <w:r>
        <w:t xml:space="preserve">ction. The reaction was carried </w:t>
      </w:r>
      <w:r w:rsidRPr="006973C4">
        <w:t xml:space="preserve">out on a </w:t>
      </w:r>
      <w:r>
        <w:t xml:space="preserve">Bio-Rad </w:t>
      </w:r>
      <w:r w:rsidRPr="006973C4">
        <w:t>thermocycler () using the program of 94C for 3 min followed</w:t>
      </w:r>
      <w:r>
        <w:t xml:space="preserve"> </w:t>
      </w:r>
      <w:r w:rsidRPr="006973C4">
        <w:t>by 40 cycles of 94</w:t>
      </w:r>
      <w:r>
        <w:t xml:space="preserve"> </w:t>
      </w:r>
      <w:r w:rsidRPr="006973C4">
        <w:t>C for 30 s, 50C for 45 s and 72C for 30 s.</w:t>
      </w:r>
      <w:r>
        <w:t xml:space="preserve"> </w:t>
      </w:r>
      <w:r w:rsidRPr="006973C4">
        <w:t>Ratios of fungal to bacterial gene copy numbers were generated</w:t>
      </w:r>
      <w:r>
        <w:t xml:space="preserve"> </w:t>
      </w:r>
      <w:r w:rsidRPr="006973C4">
        <w:t>using a regression equation for each assay relating the cycle</w:t>
      </w:r>
      <w:r>
        <w:t xml:space="preserve"> </w:t>
      </w:r>
      <w:r w:rsidRPr="006973C4">
        <w:t>threshold (Ct) value to the known number of copies in the</w:t>
      </w:r>
      <w:r>
        <w:t xml:space="preserve"> </w:t>
      </w:r>
      <w:r w:rsidRPr="006973C4">
        <w:t xml:space="preserve">standards. All qPCR reactions were run in </w:t>
      </w:r>
      <w:r>
        <w:t>tri</w:t>
      </w:r>
      <w:r w:rsidRPr="006973C4">
        <w:t>plicate with the</w:t>
      </w:r>
      <w:r>
        <w:t xml:space="preserve"> </w:t>
      </w:r>
      <w:r w:rsidRPr="006973C4">
        <w:t xml:space="preserve">DNA sample from each </w:t>
      </w:r>
      <w:r>
        <w:t xml:space="preserve">replicate </w:t>
      </w:r>
      <w:r w:rsidRPr="006973C4">
        <w:t>plot</w:t>
      </w:r>
      <w:r>
        <w:t xml:space="preserve"> sample. </w:t>
      </w:r>
    </w:p>
    <w:p w:rsidR="002D3535" w:rsidRDefault="002D3535" w:rsidP="002D3535">
      <w:pPr>
        <w:pStyle w:val="Heading3"/>
      </w:pPr>
      <w:bookmarkStart w:id="57" w:name="_Toc391021452"/>
      <w:r>
        <w:lastRenderedPageBreak/>
        <w:t>Bioinformatics and statistics</w:t>
      </w:r>
      <w:bookmarkEnd w:id="57"/>
      <w:r>
        <w:t xml:space="preserve"> </w:t>
      </w:r>
    </w:p>
    <w:p w:rsidR="002D3535" w:rsidRDefault="002D3535" w:rsidP="002D3535">
      <w:pPr>
        <w:spacing w:line="480" w:lineRule="auto"/>
      </w:pPr>
      <w:r>
        <w:t xml:space="preserve">Sequence quality filtering and bioinformatics was performed using the QIIME pipeline following the guidelines provided for multiplexing and de-multiplexing of paired end illumina sequence data.  A total of 5 million reads were obtained from the miseq sequence run having a quality score of 30 of 150 bp long forward and reverse reads. The forward and reverse reads were paired and trimmed to obtain a minimum of 250 bp reads that were then used for further analysis for clustering and taxonomic assignments of reads </w:t>
      </w:r>
    </w:p>
    <w:p w:rsidR="002D3535" w:rsidRDefault="002D3535" w:rsidP="002D3535">
      <w:pPr>
        <w:spacing w:line="480" w:lineRule="auto"/>
      </w:pPr>
      <w:r>
        <w:t xml:space="preserve">Alpha rarefaction was performed using the Phylogenetic Diversity, Chao1, and observed species metrics. Ten sampling repetitions were performed, without replacement, at </w:t>
      </w:r>
      <w:r w:rsidR="0037722A">
        <w:t>the</w:t>
      </w:r>
      <w:r>
        <w:t xml:space="preserve"> sampling depth. Beta diversity was estimated by computing weighted and unweighted UniFrac distances between samples using QIIME. Samples were clustered based on their between-samples distances using UPGMA, and jackknifing was performed by resampling 100 times with replacement at a depth of 62, 400 sequences per sample. </w:t>
      </w:r>
    </w:p>
    <w:p w:rsidR="002D3535" w:rsidRDefault="002D3535" w:rsidP="002D3535">
      <w:r>
        <w:br w:type="page"/>
      </w:r>
    </w:p>
    <w:p w:rsidR="002D3535" w:rsidRDefault="002D3535" w:rsidP="002D3535">
      <w:pPr>
        <w:pStyle w:val="Heading2"/>
      </w:pPr>
      <w:bookmarkStart w:id="58" w:name="_Toc391021453"/>
      <w:r>
        <w:t>RESULTS</w:t>
      </w:r>
      <w:bookmarkEnd w:id="58"/>
      <w:r>
        <w:t xml:space="preserve"> </w:t>
      </w:r>
    </w:p>
    <w:p w:rsidR="00B81BC4" w:rsidRDefault="00B81BC4" w:rsidP="005539C7">
      <w:pPr>
        <w:spacing w:line="480" w:lineRule="auto"/>
        <w:rPr>
          <w:rFonts w:ascii="Calibri" w:hAnsi="Calibri" w:cs="Times New Roman"/>
          <w:sz w:val="22"/>
          <w:szCs w:val="22"/>
        </w:rPr>
      </w:pPr>
      <w:r>
        <w:rPr>
          <w:rFonts w:ascii="Calibri" w:hAnsi="Calibri" w:cs="Times New Roman"/>
          <w:sz w:val="22"/>
          <w:szCs w:val="22"/>
        </w:rPr>
        <w:t>Alpha diversity and Beta-diversity measures</w:t>
      </w:r>
    </w:p>
    <w:p w:rsidR="00B81BC4" w:rsidRDefault="00B81BC4" w:rsidP="005539C7">
      <w:pPr>
        <w:spacing w:line="480" w:lineRule="auto"/>
        <w:rPr>
          <w:rFonts w:ascii="Calibri" w:hAnsi="Calibri" w:cs="Times New Roman"/>
          <w:sz w:val="22"/>
          <w:szCs w:val="22"/>
        </w:rPr>
      </w:pPr>
    </w:p>
    <w:p w:rsidR="00B81BC4" w:rsidRDefault="00B81BC4" w:rsidP="005539C7">
      <w:pPr>
        <w:spacing w:line="480" w:lineRule="auto"/>
        <w:rPr>
          <w:rFonts w:ascii="Calibri" w:hAnsi="Calibri" w:cs="Times New Roman"/>
          <w:sz w:val="22"/>
          <w:szCs w:val="22"/>
        </w:rPr>
      </w:pPr>
    </w:p>
    <w:p w:rsidR="00B81BC4" w:rsidRDefault="00B81BC4" w:rsidP="005539C7">
      <w:pPr>
        <w:spacing w:line="480" w:lineRule="auto"/>
        <w:rPr>
          <w:rFonts w:ascii="Calibri" w:hAnsi="Calibri" w:cs="Times New Roman"/>
          <w:sz w:val="22"/>
          <w:szCs w:val="22"/>
        </w:rPr>
      </w:pPr>
    </w:p>
    <w:p w:rsidR="00B81BC4" w:rsidRDefault="00B81BC4" w:rsidP="005539C7">
      <w:pPr>
        <w:spacing w:line="480" w:lineRule="auto"/>
        <w:rPr>
          <w:rFonts w:ascii="Calibri" w:hAnsi="Calibri" w:cs="Times New Roman"/>
          <w:sz w:val="22"/>
          <w:szCs w:val="22"/>
        </w:rPr>
      </w:pPr>
      <w:r>
        <w:rPr>
          <w:rFonts w:ascii="Calibri" w:hAnsi="Calibri" w:cs="Times New Roman"/>
          <w:sz w:val="22"/>
          <w:szCs w:val="22"/>
        </w:rPr>
        <w:t xml:space="preserve">Bacterial Taxonomic Composition </w:t>
      </w:r>
      <w:bookmarkStart w:id="59" w:name="_GoBack"/>
      <w:bookmarkEnd w:id="59"/>
    </w:p>
    <w:p w:rsidR="002D3535" w:rsidRDefault="005539C7" w:rsidP="005539C7">
      <w:pPr>
        <w:spacing w:line="480" w:lineRule="auto"/>
      </w:pPr>
      <w:r w:rsidRPr="005539C7">
        <w:rPr>
          <w:rFonts w:ascii="Calibri" w:hAnsi="Calibri" w:cs="Times New Roman"/>
          <w:sz w:val="22"/>
          <w:szCs w:val="22"/>
        </w:rPr>
        <w:t xml:space="preserve">Of the classifiable sequences, </w:t>
      </w:r>
      <w:r>
        <w:t xml:space="preserve">25 phyla were identified across the sample set. </w:t>
      </w:r>
      <w:r w:rsidRPr="005539C7">
        <w:rPr>
          <w:rFonts w:ascii="Calibri" w:hAnsi="Calibri" w:cs="Times New Roman"/>
          <w:sz w:val="22"/>
          <w:szCs w:val="22"/>
        </w:rPr>
        <w:t xml:space="preserve">The dominant phyla were </w:t>
      </w:r>
      <w:r>
        <w:t xml:space="preserve">Proteobacteria, </w:t>
      </w:r>
      <w:r w:rsidRPr="005539C7">
        <w:rPr>
          <w:rFonts w:ascii="Calibri" w:hAnsi="Calibri" w:cs="Times New Roman"/>
          <w:sz w:val="22"/>
          <w:szCs w:val="22"/>
        </w:rPr>
        <w:t xml:space="preserve">Acidobacteria, Actinobacteria, </w:t>
      </w:r>
      <w:r w:rsidRPr="000F0573">
        <w:t>Planctomycetes</w:t>
      </w:r>
      <w:r>
        <w:t xml:space="preserve">, and </w:t>
      </w:r>
      <w:r w:rsidRPr="000F0573">
        <w:t>Chloroflexi</w:t>
      </w:r>
      <w:r>
        <w:t xml:space="preserve"> with the percent relative abundance across treatments </w:t>
      </w:r>
      <w:r w:rsidRPr="005539C7">
        <w:rPr>
          <w:rFonts w:ascii="Calibri" w:hAnsi="Calibri" w:cs="Times New Roman"/>
          <w:sz w:val="22"/>
          <w:szCs w:val="22"/>
        </w:rPr>
        <w:t>r</w:t>
      </w:r>
      <w:r>
        <w:t>anging</w:t>
      </w:r>
      <w:r w:rsidRPr="005539C7">
        <w:rPr>
          <w:rFonts w:ascii="Calibri" w:hAnsi="Calibri" w:cs="Times New Roman"/>
          <w:sz w:val="22"/>
          <w:szCs w:val="22"/>
        </w:rPr>
        <w:t xml:space="preserve"> approx</w:t>
      </w:r>
      <w:r>
        <w:t>imately between 27-30%, 17-21%, 13-19%, 10-17%, and 7-13</w:t>
      </w:r>
      <w:r w:rsidRPr="005539C7">
        <w:rPr>
          <w:rFonts w:ascii="Calibri" w:hAnsi="Calibri" w:cs="Times New Roman"/>
          <w:sz w:val="22"/>
          <w:szCs w:val="22"/>
        </w:rPr>
        <w:t xml:space="preserve">% </w:t>
      </w:r>
      <w:r>
        <w:t xml:space="preserve">respectively (fig 3). </w:t>
      </w:r>
    </w:p>
    <w:bookmarkEnd w:id="55"/>
    <w:p w:rsidR="00F710F9" w:rsidRDefault="00D25C54" w:rsidP="00D25C54">
      <w:pPr>
        <w:pStyle w:val="Caption"/>
      </w:pPr>
      <w:r>
        <w:rPr>
          <w:noProof/>
        </w:rPr>
        <w:lastRenderedPageBreak/>
        <w:pict>
          <v:shape id="_x0000_s1071" type="#_x0000_t202" style="position:absolute;margin-left:-10.15pt;margin-top:578.05pt;width:429.75pt;height:53.4pt;z-index:10;mso-position-horizontal-relative:text;mso-position-vertical-relative:text" stroked="f">
            <v:textbox style="mso-next-textbox:#_x0000_s1071;mso-fit-shape-to-text:t" inset="0,0,0,0">
              <w:txbxContent>
                <w:p w:rsidR="00DB5C50" w:rsidRDefault="00DB5C50" w:rsidP="000E6BE4">
                  <w:pPr>
                    <w:pStyle w:val="Caption"/>
                  </w:pPr>
                  <w:bookmarkStart w:id="60" w:name="_Toc390954666"/>
                  <w:r>
                    <w:t>Figure 2</w:t>
                  </w:r>
                  <w:r>
                    <w:noBreakHyphen/>
                  </w:r>
                  <w:fldSimple w:instr=" SEQ Figure \* ARABIC \s 1 ">
                    <w:r>
                      <w:rPr>
                        <w:noProof/>
                      </w:rPr>
                      <w:t>1</w:t>
                    </w:r>
                  </w:fldSimple>
                  <w:r>
                    <w:t xml:space="preserve">: </w:t>
                  </w:r>
                  <w:r w:rsidRPr="000E6BE4">
                    <w:t xml:space="preserve">Rarefaction curves showing the total sequence depth (left) and sub-sampling depth (right) </w:t>
                  </w:r>
                  <w:r>
                    <w:t>based on treatment effects</w:t>
                  </w:r>
                  <w:r w:rsidRPr="000E6BE4">
                    <w:t xml:space="preserve"> N-rate, cover crop and tillage.</w:t>
                  </w:r>
                  <w:bookmarkEnd w:id="60"/>
                  <w:r w:rsidRPr="000E6BE4">
                    <w:t xml:space="preserve">  </w:t>
                  </w:r>
                </w:p>
              </w:txbxContent>
            </v:textbox>
            <w10:wrap type="square"/>
          </v:shape>
        </w:pict>
      </w:r>
      <w:r>
        <w:rPr>
          <w:noProof/>
        </w:rPr>
        <w:pict>
          <v:shape id="_x0000_s1070" type="#_x0000_t75" style="position:absolute;margin-left:-3.4pt;margin-top:-6pt;width:429.75pt;height:572.05pt;z-index:9;mso-position-horizontal-relative:text;mso-position-vertical-relative:text">
            <v:imagedata r:id="rId27" o:title=""/>
            <w10:wrap type="square"/>
          </v:shape>
          <o:OLEObject Type="Embed" ProgID="SigmaPlotGraphicObject.11" ShapeID="_x0000_s1070" DrawAspect="Content" ObjectID="_1464812567" r:id="rId28"/>
        </w:pict>
      </w:r>
    </w:p>
    <w:p w:rsidR="000E6BE4" w:rsidRDefault="000E6BE4" w:rsidP="00F70F21">
      <w:pPr>
        <w:spacing w:line="276" w:lineRule="auto"/>
      </w:pPr>
      <w:bookmarkStart w:id="61" w:name="_Toc390954648"/>
      <w:r>
        <w:lastRenderedPageBreak/>
        <w:t>Table 2</w:t>
      </w:r>
      <w:r w:rsidR="00A85C1F">
        <w:noBreakHyphen/>
      </w:r>
      <w:fldSimple w:instr=" SEQ Table \* ARABIC \s 1 ">
        <w:r w:rsidR="00A85C1F">
          <w:rPr>
            <w:noProof/>
          </w:rPr>
          <w:t>1</w:t>
        </w:r>
      </w:fldSimple>
      <w:r>
        <w:t xml:space="preserve">: </w:t>
      </w:r>
      <w:r w:rsidR="00F70F21" w:rsidRPr="006F7AAC">
        <w:t xml:space="preserve">Alpha diversity </w:t>
      </w:r>
      <w:r w:rsidR="00F70F21">
        <w:t xml:space="preserve">index </w:t>
      </w:r>
      <w:r w:rsidR="006708E8">
        <w:t xml:space="preserve">measures for </w:t>
      </w:r>
      <w:r w:rsidR="00F70F21" w:rsidRPr="006F7AAC">
        <w:t>richness</w:t>
      </w:r>
      <w:r w:rsidR="006708E8">
        <w:t xml:space="preserve"> (PD-whole tree and Chao)</w:t>
      </w:r>
      <w:r w:rsidR="00F70F21" w:rsidRPr="006F7AAC">
        <w:t xml:space="preserve"> and evenness</w:t>
      </w:r>
      <w:r w:rsidR="006708E8">
        <w:t xml:space="preserve"> (Shannon and Simpson)</w:t>
      </w:r>
      <w:r w:rsidR="00F70F21" w:rsidRPr="006F7AAC">
        <w:t xml:space="preserve"> of the bacterial taxa composition across N-rate, cover crop and tillage treatments</w:t>
      </w:r>
      <w:bookmarkEnd w:id="61"/>
      <w:r w:rsidR="00F70F21" w:rsidRPr="006F7AAC">
        <w:t xml:space="preserve"> </w:t>
      </w:r>
    </w:p>
    <w:tbl>
      <w:tblPr>
        <w:tblW w:w="8643" w:type="dxa"/>
        <w:tblInd w:w="93" w:type="dxa"/>
        <w:tblLook w:val="04A0" w:firstRow="1" w:lastRow="0" w:firstColumn="1" w:lastColumn="0" w:noHBand="0" w:noVBand="1"/>
      </w:tblPr>
      <w:tblGrid>
        <w:gridCol w:w="1340"/>
        <w:gridCol w:w="1780"/>
        <w:gridCol w:w="1947"/>
        <w:gridCol w:w="1576"/>
        <w:gridCol w:w="2000"/>
      </w:tblGrid>
      <w:tr w:rsidR="00D25C54" w:rsidRPr="006E268A" w:rsidTr="000E6BE4">
        <w:trPr>
          <w:trHeight w:val="300"/>
        </w:trPr>
        <w:tc>
          <w:tcPr>
            <w:tcW w:w="1340" w:type="dxa"/>
            <w:tcBorders>
              <w:top w:val="single" w:sz="4" w:space="0" w:color="auto"/>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bookmarkStart w:id="62" w:name="_Toc140575285"/>
          </w:p>
        </w:tc>
        <w:tc>
          <w:tcPr>
            <w:tcW w:w="1780" w:type="dxa"/>
            <w:tcBorders>
              <w:top w:val="single" w:sz="4" w:space="0" w:color="auto"/>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PD-whole</w:t>
            </w:r>
            <w:r>
              <w:rPr>
                <w:rFonts w:ascii="Calibri" w:hAnsi="Calibri" w:cs="Times New Roman"/>
                <w:b/>
                <w:color w:val="000000"/>
              </w:rPr>
              <w:t xml:space="preserve"> </w:t>
            </w:r>
            <w:r w:rsidRPr="006E268A">
              <w:rPr>
                <w:rFonts w:ascii="Calibri" w:hAnsi="Calibri" w:cs="Times New Roman"/>
                <w:b/>
                <w:color w:val="000000"/>
              </w:rPr>
              <w:t>tree</w:t>
            </w:r>
          </w:p>
        </w:tc>
        <w:tc>
          <w:tcPr>
            <w:tcW w:w="1947" w:type="dxa"/>
            <w:tcBorders>
              <w:top w:val="single" w:sz="4" w:space="0" w:color="auto"/>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Chao</w:t>
            </w:r>
          </w:p>
        </w:tc>
        <w:tc>
          <w:tcPr>
            <w:tcW w:w="1576" w:type="dxa"/>
            <w:tcBorders>
              <w:top w:val="single" w:sz="4" w:space="0" w:color="auto"/>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Shannon</w:t>
            </w:r>
          </w:p>
        </w:tc>
        <w:tc>
          <w:tcPr>
            <w:tcW w:w="2000" w:type="dxa"/>
            <w:tcBorders>
              <w:top w:val="single" w:sz="4" w:space="0" w:color="auto"/>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Simpson</w:t>
            </w:r>
          </w:p>
        </w:tc>
      </w:tr>
      <w:tr w:rsidR="00D25C54" w:rsidRPr="006E268A" w:rsidTr="000E6BE4">
        <w:trPr>
          <w:trHeight w:val="300"/>
        </w:trPr>
        <w:tc>
          <w:tcPr>
            <w:tcW w:w="134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N-Rate</w:t>
            </w:r>
          </w:p>
        </w:tc>
        <w:tc>
          <w:tcPr>
            <w:tcW w:w="178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p>
        </w:tc>
        <w:tc>
          <w:tcPr>
            <w:tcW w:w="1947"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p>
        </w:tc>
        <w:tc>
          <w:tcPr>
            <w:tcW w:w="1576"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p>
        </w:tc>
        <w:tc>
          <w:tcPr>
            <w:tcW w:w="200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 </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0N</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112.82(0.80)b</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2918.40(23.06)b</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10.31(0.05)b</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0.9983(9.06E-05)a</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34N</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116.11(0.84)a</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2990.86(15.86)a</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10.34(0.05)ab</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0.9983(1.24E-04)a</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67N</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117.07(0.67)a</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3018.22(14.08)a</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10.40(0.03)a</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0.9984(1.17E-04)a</w:t>
            </w:r>
          </w:p>
        </w:tc>
      </w:tr>
      <w:tr w:rsidR="00D25C54" w:rsidRPr="006E268A" w:rsidTr="000E6BE4">
        <w:trPr>
          <w:trHeight w:val="300"/>
        </w:trPr>
        <w:tc>
          <w:tcPr>
            <w:tcW w:w="134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101N</w:t>
            </w:r>
          </w:p>
        </w:tc>
        <w:tc>
          <w:tcPr>
            <w:tcW w:w="178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110.41(5.96)b</w:t>
            </w:r>
          </w:p>
        </w:tc>
        <w:tc>
          <w:tcPr>
            <w:tcW w:w="1947"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2858.76(156.21)b</w:t>
            </w:r>
          </w:p>
        </w:tc>
        <w:tc>
          <w:tcPr>
            <w:tcW w:w="1576"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10.05(0.27)c</w:t>
            </w:r>
          </w:p>
        </w:tc>
        <w:tc>
          <w:tcPr>
            <w:tcW w:w="200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0.9978(4.60E-04)b</w:t>
            </w:r>
          </w:p>
        </w:tc>
      </w:tr>
      <w:tr w:rsidR="00D25C54" w:rsidRPr="006E268A" w:rsidTr="000E6BE4">
        <w:trPr>
          <w:trHeight w:val="300"/>
        </w:trPr>
        <w:tc>
          <w:tcPr>
            <w:tcW w:w="134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Cover Crop</w:t>
            </w:r>
          </w:p>
        </w:tc>
        <w:tc>
          <w:tcPr>
            <w:tcW w:w="178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1947"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1576"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200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 </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Vetch</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112.38(6.11)a</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2902.16(155)a</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10.20(0.30)a</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0.9981(5.12E-04)a</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Wheat</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114.90(1.78)a</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2968.00(35)a</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10.30(0.13)a</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0.9983(2.39E-04)a</w:t>
            </w:r>
          </w:p>
        </w:tc>
      </w:tr>
      <w:tr w:rsidR="00D25C54" w:rsidRPr="006E268A" w:rsidTr="000E6BE4">
        <w:trPr>
          <w:trHeight w:val="300"/>
        </w:trPr>
        <w:tc>
          <w:tcPr>
            <w:tcW w:w="134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NoCover</w:t>
            </w:r>
          </w:p>
        </w:tc>
        <w:tc>
          <w:tcPr>
            <w:tcW w:w="178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114.76(1.20)a</w:t>
            </w:r>
          </w:p>
        </w:tc>
        <w:tc>
          <w:tcPr>
            <w:tcW w:w="1947"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2962.57(47)a</w:t>
            </w:r>
          </w:p>
        </w:tc>
        <w:tc>
          <w:tcPr>
            <w:tcW w:w="1576"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10.32(0.05)a</w:t>
            </w:r>
          </w:p>
        </w:tc>
        <w:tc>
          <w:tcPr>
            <w:tcW w:w="200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0.9982(6.21E-05)a</w:t>
            </w:r>
          </w:p>
        </w:tc>
      </w:tr>
      <w:tr w:rsidR="00D25C54" w:rsidRPr="006E268A" w:rsidTr="000E6BE4">
        <w:trPr>
          <w:trHeight w:val="300"/>
        </w:trPr>
        <w:tc>
          <w:tcPr>
            <w:tcW w:w="134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Tillage</w:t>
            </w:r>
          </w:p>
        </w:tc>
        <w:tc>
          <w:tcPr>
            <w:tcW w:w="178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1947"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1576"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p>
        </w:tc>
        <w:tc>
          <w:tcPr>
            <w:tcW w:w="2000" w:type="dxa"/>
            <w:tcBorders>
              <w:top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b/>
                <w:color w:val="000000"/>
              </w:rPr>
            </w:pPr>
            <w:r w:rsidRPr="006E268A">
              <w:rPr>
                <w:rFonts w:ascii="Calibri" w:hAnsi="Calibri" w:cs="Times New Roman"/>
                <w:b/>
                <w:color w:val="000000"/>
              </w:rPr>
              <w:t> </w:t>
            </w:r>
          </w:p>
        </w:tc>
      </w:tr>
      <w:tr w:rsidR="00D25C54" w:rsidRPr="006E268A" w:rsidTr="000E6BE4">
        <w:trPr>
          <w:trHeight w:val="300"/>
        </w:trPr>
        <w:tc>
          <w:tcPr>
            <w:tcW w:w="134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NoTill</w:t>
            </w:r>
          </w:p>
        </w:tc>
        <w:tc>
          <w:tcPr>
            <w:tcW w:w="178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113.12(5.33)a</w:t>
            </w:r>
          </w:p>
        </w:tc>
        <w:tc>
          <w:tcPr>
            <w:tcW w:w="1947"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2923.17(135)a</w:t>
            </w:r>
          </w:p>
        </w:tc>
        <w:tc>
          <w:tcPr>
            <w:tcW w:w="1576"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10.22(0.25)a</w:t>
            </w:r>
          </w:p>
        </w:tc>
        <w:tc>
          <w:tcPr>
            <w:tcW w:w="2000" w:type="dxa"/>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0.9981(4.5E-4)a</w:t>
            </w:r>
          </w:p>
        </w:tc>
      </w:tr>
      <w:tr w:rsidR="00D25C54" w:rsidRPr="006E268A" w:rsidTr="000E6BE4">
        <w:trPr>
          <w:trHeight w:val="300"/>
        </w:trPr>
        <w:tc>
          <w:tcPr>
            <w:tcW w:w="134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Till</w:t>
            </w:r>
          </w:p>
        </w:tc>
        <w:tc>
          <w:tcPr>
            <w:tcW w:w="178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114.77(2.14)a</w:t>
            </w:r>
          </w:p>
        </w:tc>
        <w:tc>
          <w:tcPr>
            <w:tcW w:w="1947"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2962.02(51)a</w:t>
            </w:r>
          </w:p>
        </w:tc>
        <w:tc>
          <w:tcPr>
            <w:tcW w:w="1576"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10.32(0.10)a</w:t>
            </w:r>
          </w:p>
        </w:tc>
        <w:tc>
          <w:tcPr>
            <w:tcW w:w="2000" w:type="dxa"/>
            <w:tcBorders>
              <w:bottom w:val="single" w:sz="4" w:space="0" w:color="auto"/>
            </w:tcBorders>
            <w:shd w:val="clear" w:color="auto" w:fill="auto"/>
            <w:noWrap/>
            <w:vAlign w:val="bottom"/>
            <w:hideMark/>
          </w:tcPr>
          <w:p w:rsidR="00D25C54" w:rsidRPr="006E268A" w:rsidRDefault="00D25C54" w:rsidP="00685552">
            <w:pPr>
              <w:spacing w:line="240" w:lineRule="auto"/>
              <w:rPr>
                <w:rFonts w:ascii="Calibri" w:hAnsi="Calibri" w:cs="Times New Roman"/>
                <w:color w:val="000000"/>
              </w:rPr>
            </w:pPr>
            <w:r w:rsidRPr="006E268A">
              <w:rPr>
                <w:rFonts w:ascii="Calibri" w:hAnsi="Calibri" w:cs="Times New Roman"/>
                <w:color w:val="000000"/>
              </w:rPr>
              <w:t>0.9983(1.74E-4)a</w:t>
            </w:r>
          </w:p>
        </w:tc>
      </w:tr>
    </w:tbl>
    <w:p w:rsidR="00D25C54" w:rsidRDefault="00D25C54" w:rsidP="00D25C54">
      <w:pPr>
        <w:spacing w:line="276" w:lineRule="auto"/>
      </w:pPr>
    </w:p>
    <w:p w:rsidR="00D25C54" w:rsidRDefault="00D25C54" w:rsidP="00D25C54">
      <w:pPr>
        <w:spacing w:line="276" w:lineRule="auto"/>
      </w:pPr>
    </w:p>
    <w:p w:rsidR="00D25C54" w:rsidRDefault="00D25C54" w:rsidP="00D25C54">
      <w:pPr>
        <w:spacing w:line="276" w:lineRule="auto"/>
      </w:pPr>
    </w:p>
    <w:p w:rsidR="00F70F21" w:rsidRDefault="00D25C54" w:rsidP="00F70F21">
      <w:pPr>
        <w:keepNext/>
        <w:spacing w:line="276" w:lineRule="auto"/>
      </w:pPr>
      <w:r>
        <w:object w:dxaOrig="10410" w:dyaOrig="5655">
          <v:shape id="_x0000_i1025" type="#_x0000_t75" style="width:468pt;height:254.25pt" o:ole="">
            <v:imagedata r:id="rId29" o:title=""/>
          </v:shape>
          <o:OLEObject Type="Embed" ProgID="SigmaPlotGraphicObject.11" ShapeID="_x0000_i1025" DrawAspect="Content" ObjectID="_1464812561" r:id="rId30"/>
        </w:object>
      </w:r>
    </w:p>
    <w:p w:rsidR="00A5301E" w:rsidRDefault="00F70F21" w:rsidP="00A5301E">
      <w:pPr>
        <w:pStyle w:val="Caption"/>
        <w:spacing w:before="0" w:after="0" w:line="240" w:lineRule="auto"/>
        <w:rPr>
          <w:b w:val="0"/>
        </w:rPr>
      </w:pPr>
      <w:bookmarkStart w:id="63" w:name="_Toc390954667"/>
      <w:r w:rsidRPr="00F70F21">
        <w:rPr>
          <w:b w:val="0"/>
        </w:rPr>
        <w:t>Figure 2</w:t>
      </w:r>
      <w:r w:rsidRPr="00F70F21">
        <w:rPr>
          <w:b w:val="0"/>
        </w:rPr>
        <w:noBreakHyphen/>
      </w:r>
      <w:r w:rsidR="00CF46E6">
        <w:rPr>
          <w:b w:val="0"/>
        </w:rPr>
        <w:fldChar w:fldCharType="begin"/>
      </w:r>
      <w:r w:rsidR="00CF46E6">
        <w:rPr>
          <w:b w:val="0"/>
        </w:rPr>
        <w:instrText xml:space="preserve"> SEQ Figure \* ARABIC \s 1 </w:instrText>
      </w:r>
      <w:r w:rsidR="00CF46E6">
        <w:rPr>
          <w:b w:val="0"/>
        </w:rPr>
        <w:fldChar w:fldCharType="separate"/>
      </w:r>
      <w:r w:rsidR="00CF46E6">
        <w:rPr>
          <w:b w:val="0"/>
          <w:noProof/>
        </w:rPr>
        <w:t>2</w:t>
      </w:r>
      <w:r w:rsidR="00CF46E6">
        <w:rPr>
          <w:b w:val="0"/>
        </w:rPr>
        <w:fldChar w:fldCharType="end"/>
      </w:r>
      <w:r w:rsidRPr="00F70F21">
        <w:rPr>
          <w:b w:val="0"/>
        </w:rPr>
        <w:t>: Non-metric dimensional scaling representing the beta-diversity measures across all samples.</w:t>
      </w:r>
      <w:bookmarkEnd w:id="63"/>
      <w:r w:rsidRPr="00F70F21">
        <w:rPr>
          <w:b w:val="0"/>
        </w:rPr>
        <w:t xml:space="preserve"> </w:t>
      </w:r>
    </w:p>
    <w:p w:rsidR="00D25C54" w:rsidRPr="00F70F21" w:rsidRDefault="00F70F21" w:rsidP="00A5301E">
      <w:pPr>
        <w:pStyle w:val="Caption"/>
        <w:spacing w:before="0" w:after="0" w:line="240" w:lineRule="auto"/>
        <w:rPr>
          <w:b w:val="0"/>
        </w:rPr>
      </w:pPr>
      <w:r w:rsidRPr="00F70F21">
        <w:rPr>
          <w:b w:val="0"/>
        </w:rPr>
        <w:t xml:space="preserve">N-rate treatments represented by color; Red= 101N-rate, Pink= 67N-rate, Green=34N-rate, and Blue= 0N-rate; symbol shapes represents the tillage treatment; Circles= NoTill treatments, Triangles= Till treatments; Symbol names designate the cover crop treatments: VCH=Hairy Vetch, WHT=Winter Wheat and NC=NoCover crop.   </w:t>
      </w: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685552" w:rsidRDefault="00685552" w:rsidP="005539C7">
      <w:pPr>
        <w:pStyle w:val="Caption"/>
        <w:sectPr w:rsidR="00685552" w:rsidSect="003278BB">
          <w:pgSz w:w="12240" w:h="15840" w:code="1"/>
          <w:pgMar w:top="1440" w:right="1800" w:bottom="1872" w:left="1800" w:header="720" w:footer="1440" w:gutter="0"/>
          <w:cols w:space="720"/>
          <w:noEndnote/>
          <w:docGrid w:linePitch="360"/>
        </w:sectPr>
      </w:pPr>
    </w:p>
    <w:p w:rsidR="00A74407" w:rsidRDefault="00A74407" w:rsidP="00CF46E6">
      <w:pPr>
        <w:pStyle w:val="Caption"/>
      </w:pPr>
    </w:p>
    <w:p w:rsidR="00CF46E6" w:rsidRPr="00A74407" w:rsidRDefault="00CF46E6" w:rsidP="00CF46E6">
      <w:pPr>
        <w:pStyle w:val="Caption"/>
        <w:rPr>
          <w:sz w:val="20"/>
          <w:szCs w:val="20"/>
        </w:rPr>
      </w:pPr>
      <w:bookmarkStart w:id="64" w:name="_Toc390954668"/>
      <w:r>
        <w:rPr>
          <w:noProof/>
        </w:rPr>
        <w:pict>
          <v:shape id="_x0000_s1074" type="#_x0000_t75" style="position:absolute;margin-left:16.2pt;margin-top:-49.85pt;width:585.45pt;height:396.2pt;z-index:-1;mso-position-horizontal-relative:text;mso-position-vertical-relative:text" wrapcoords="-27 0 -27 21519 21355 21519 21355 0 -27 0">
            <v:imagedata r:id="rId31" o:title=""/>
            <w10:wrap type="tight"/>
          </v:shape>
          <o:OLEObject Type="Embed" ProgID="SigmaPlotGraphicObject.11" ShapeID="_x0000_s1074" DrawAspect="Content" ObjectID="_1464812568" r:id="rId32"/>
        </w:pict>
      </w:r>
      <w:r>
        <w:t>Figure 2</w:t>
      </w:r>
      <w:r>
        <w:noBreakHyphen/>
      </w:r>
      <w:fldSimple w:instr=" SEQ Figure \* ARABIC \s 1 ">
        <w:r>
          <w:rPr>
            <w:noProof/>
          </w:rPr>
          <w:t>3</w:t>
        </w:r>
      </w:fldSimple>
      <w:r>
        <w:t xml:space="preserve"> </w:t>
      </w:r>
      <w:r w:rsidRPr="00A74407">
        <w:rPr>
          <w:rFonts w:ascii="Dutch801BT-Roman" w:hAnsi="Dutch801BT-Roman" w:cs="Dutch801BT-Roman"/>
          <w:sz w:val="20"/>
          <w:szCs w:val="20"/>
        </w:rPr>
        <w:t xml:space="preserve">Relative abundances of dominant bacterial taxa under </w:t>
      </w:r>
      <w:r w:rsidR="0037722A">
        <w:rPr>
          <w:rFonts w:ascii="Dutch801BT-Roman" w:hAnsi="Dutch801BT-Roman" w:cs="Dutch801BT-Roman"/>
          <w:sz w:val="20"/>
          <w:szCs w:val="20"/>
        </w:rPr>
        <w:t>tillage treatments (</w:t>
      </w:r>
      <w:r w:rsidRPr="00A74407">
        <w:rPr>
          <w:rFonts w:ascii="Dutch801BT-Roman" w:hAnsi="Dutch801BT-Roman" w:cs="Dutch801BT-Roman"/>
          <w:sz w:val="20"/>
          <w:szCs w:val="20"/>
        </w:rPr>
        <w:t>NoTill and Till</w:t>
      </w:r>
      <w:r w:rsidR="0037722A">
        <w:rPr>
          <w:rFonts w:ascii="Dutch801BT-Roman" w:hAnsi="Dutch801BT-Roman" w:cs="Dutch801BT-Roman"/>
          <w:sz w:val="20"/>
          <w:szCs w:val="20"/>
        </w:rPr>
        <w:t>)</w:t>
      </w:r>
      <w:r w:rsidRPr="00A74407">
        <w:rPr>
          <w:rFonts w:ascii="Dutch801BT-Roman" w:hAnsi="Dutch801BT-Roman" w:cs="Dutch801BT-Roman"/>
          <w:sz w:val="20"/>
          <w:szCs w:val="20"/>
        </w:rPr>
        <w:t xml:space="preserve"> and cover crops</w:t>
      </w:r>
      <w:r w:rsidR="0037722A">
        <w:rPr>
          <w:rFonts w:ascii="Dutch801BT-Roman" w:hAnsi="Dutch801BT-Roman" w:cs="Dutch801BT-Roman"/>
          <w:sz w:val="20"/>
          <w:szCs w:val="20"/>
        </w:rPr>
        <w:t xml:space="preserve"> (</w:t>
      </w:r>
      <w:r w:rsidRPr="00A74407">
        <w:rPr>
          <w:rFonts w:ascii="Dutch801BT-Roman" w:hAnsi="Dutch801BT-Roman" w:cs="Dutch801BT-Roman"/>
          <w:sz w:val="20"/>
          <w:szCs w:val="20"/>
        </w:rPr>
        <w:t>Hairy vetch, winter wheat and NoCover</w:t>
      </w:r>
      <w:r w:rsidR="0037722A">
        <w:rPr>
          <w:rFonts w:ascii="Dutch801BT-Roman" w:hAnsi="Dutch801BT-Roman" w:cs="Dutch801BT-Roman"/>
          <w:sz w:val="20"/>
          <w:szCs w:val="20"/>
        </w:rPr>
        <w:t>)</w:t>
      </w:r>
      <w:r w:rsidRPr="00A74407">
        <w:rPr>
          <w:rFonts w:ascii="Dutch801BT-Roman" w:hAnsi="Dutch801BT-Roman" w:cs="Dutch801BT-Roman"/>
          <w:sz w:val="20"/>
          <w:szCs w:val="20"/>
        </w:rPr>
        <w:t xml:space="preserve"> across all nitrogen fertilization rater (0, 34, 67 and 101N rates)</w:t>
      </w:r>
      <w:bookmarkEnd w:id="64"/>
    </w:p>
    <w:p w:rsidR="00685552" w:rsidRDefault="00685552" w:rsidP="005539C7">
      <w:pPr>
        <w:pStyle w:val="Caption"/>
        <w:sectPr w:rsidR="00685552" w:rsidSect="00685552">
          <w:pgSz w:w="15840" w:h="12240" w:orient="landscape" w:code="1"/>
          <w:pgMar w:top="1800" w:right="1440" w:bottom="1800" w:left="1872" w:header="720" w:footer="1440" w:gutter="0"/>
          <w:cols w:space="720"/>
          <w:noEndnote/>
          <w:docGrid w:linePitch="360"/>
        </w:sectPr>
      </w:pPr>
    </w:p>
    <w:p w:rsidR="00A85C1F" w:rsidRDefault="00A85C1F" w:rsidP="00A85C1F">
      <w:pPr>
        <w:pStyle w:val="Caption"/>
      </w:pPr>
      <w:bookmarkStart w:id="65" w:name="_Toc390954649"/>
      <w:r>
        <w:lastRenderedPageBreak/>
        <w:t>Table 2</w:t>
      </w:r>
      <w:r>
        <w:noBreakHyphen/>
      </w:r>
      <w:fldSimple w:instr=" SEQ Table \* ARABIC \s 1 ">
        <w:r>
          <w:rPr>
            <w:noProof/>
          </w:rPr>
          <w:t>2</w:t>
        </w:r>
      </w:fldSimple>
      <w:r w:rsidR="009A2E66">
        <w:t xml:space="preserve"> Relative abundance of phylum that are significantly different across N-rates (0, 34, 67 and 101 N-rate), cover crop (Hairy vetch, Winter wheat, and NoCover) and tillage options (NoTill and Till)</w:t>
      </w:r>
      <w:bookmarkEnd w:id="65"/>
    </w:p>
    <w:tbl>
      <w:tblPr>
        <w:tblW w:w="9479" w:type="dxa"/>
        <w:tblInd w:w="93" w:type="dxa"/>
        <w:tblLook w:val="04A0" w:firstRow="1" w:lastRow="0" w:firstColumn="1" w:lastColumn="0" w:noHBand="0" w:noVBand="1"/>
      </w:tblPr>
      <w:tblGrid>
        <w:gridCol w:w="1980"/>
        <w:gridCol w:w="1580"/>
        <w:gridCol w:w="1576"/>
        <w:gridCol w:w="1493"/>
        <w:gridCol w:w="1450"/>
        <w:gridCol w:w="1400"/>
      </w:tblGrid>
      <w:tr w:rsidR="00A74407" w:rsidRPr="00FD3C06" w:rsidTr="00A74407">
        <w:trPr>
          <w:trHeight w:val="300"/>
        </w:trPr>
        <w:tc>
          <w:tcPr>
            <w:tcW w:w="1980"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Taxon</w:t>
            </w:r>
          </w:p>
        </w:tc>
        <w:tc>
          <w:tcPr>
            <w:tcW w:w="1580"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0N</w:t>
            </w:r>
          </w:p>
        </w:tc>
        <w:tc>
          <w:tcPr>
            <w:tcW w:w="1576"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34N</w:t>
            </w:r>
          </w:p>
        </w:tc>
        <w:tc>
          <w:tcPr>
            <w:tcW w:w="1493"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67N</w:t>
            </w:r>
          </w:p>
        </w:tc>
        <w:tc>
          <w:tcPr>
            <w:tcW w:w="1450"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101N</w:t>
            </w:r>
          </w:p>
        </w:tc>
        <w:tc>
          <w:tcPr>
            <w:tcW w:w="1400" w:type="dxa"/>
            <w:tcBorders>
              <w:top w:val="single" w:sz="4" w:space="0" w:color="auto"/>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p-values (corrected)</w:t>
            </w:r>
          </w:p>
        </w:tc>
      </w:tr>
      <w:tr w:rsidR="00A74407" w:rsidRPr="00FD3C06" w:rsidTr="00A74407">
        <w:trPr>
          <w:trHeight w:val="300"/>
        </w:trPr>
        <w:tc>
          <w:tcPr>
            <w:tcW w:w="1980"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rPr>
                <w:rFonts w:ascii="Calibri" w:hAnsi="Calibri" w:cs="Times New Roman"/>
                <w:b/>
                <w:color w:val="000000"/>
              </w:rPr>
            </w:pPr>
            <w:r w:rsidRPr="00FD3C06">
              <w:rPr>
                <w:rFonts w:ascii="Calibri" w:hAnsi="Calibri" w:cs="Times New Roman"/>
                <w:b/>
                <w:color w:val="000000"/>
              </w:rPr>
              <w:t>N-Rate</w:t>
            </w:r>
          </w:p>
        </w:tc>
        <w:tc>
          <w:tcPr>
            <w:tcW w:w="1580"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rPr>
                <w:rFonts w:ascii="Calibri" w:hAnsi="Calibri" w:cs="Times New Roman"/>
                <w:b/>
                <w:color w:val="000000"/>
              </w:rPr>
            </w:pPr>
          </w:p>
        </w:tc>
        <w:tc>
          <w:tcPr>
            <w:tcW w:w="1576"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rPr>
                <w:rFonts w:ascii="Calibri" w:hAnsi="Calibri" w:cs="Times New Roman"/>
                <w:b/>
                <w:color w:val="000000"/>
              </w:rPr>
            </w:pPr>
          </w:p>
        </w:tc>
        <w:tc>
          <w:tcPr>
            <w:tcW w:w="1493"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rPr>
                <w:rFonts w:ascii="Calibri" w:hAnsi="Calibri" w:cs="Times New Roman"/>
                <w:b/>
                <w:color w:val="000000"/>
              </w:rPr>
            </w:pPr>
          </w:p>
        </w:tc>
        <w:tc>
          <w:tcPr>
            <w:tcW w:w="1450"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rPr>
                <w:rFonts w:ascii="Calibri" w:hAnsi="Calibri" w:cs="Times New Roman"/>
                <w:b/>
                <w:color w:val="000000"/>
              </w:rPr>
            </w:pPr>
          </w:p>
        </w:tc>
        <w:tc>
          <w:tcPr>
            <w:tcW w:w="1400" w:type="dxa"/>
            <w:tcBorders>
              <w:top w:val="single" w:sz="4" w:space="0" w:color="auto"/>
              <w:left w:val="nil"/>
              <w:right w:val="nil"/>
            </w:tcBorders>
            <w:shd w:val="clear" w:color="auto" w:fill="auto"/>
            <w:noWrap/>
            <w:vAlign w:val="bottom"/>
          </w:tcPr>
          <w:p w:rsidR="00A74407" w:rsidRPr="00FD3C06" w:rsidRDefault="00A74407" w:rsidP="001B51E2">
            <w:pPr>
              <w:spacing w:line="240" w:lineRule="auto"/>
              <w:jc w:val="right"/>
              <w:rPr>
                <w:rFonts w:ascii="Calibri" w:hAnsi="Calibri" w:cs="Times New Roman"/>
                <w:b/>
                <w:color w:val="000000"/>
              </w:rPr>
            </w:pPr>
          </w:p>
        </w:tc>
      </w:tr>
      <w:tr w:rsidR="00A74407" w:rsidRPr="00FD3C06" w:rsidTr="00A74407">
        <w:trPr>
          <w:trHeight w:val="300"/>
        </w:trPr>
        <w:tc>
          <w:tcPr>
            <w:tcW w:w="198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Acidobacteria</w:t>
            </w:r>
          </w:p>
        </w:tc>
        <w:tc>
          <w:tcPr>
            <w:tcW w:w="158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24.81(1.29)</w:t>
            </w:r>
            <w:r>
              <w:rPr>
                <w:rFonts w:ascii="Calibri" w:hAnsi="Calibri" w:cs="Times New Roman"/>
                <w:color w:val="000000"/>
              </w:rPr>
              <w:t>a</w:t>
            </w:r>
          </w:p>
        </w:tc>
        <w:tc>
          <w:tcPr>
            <w:tcW w:w="1576"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20.04(1.15)</w:t>
            </w:r>
            <w:r>
              <w:rPr>
                <w:rFonts w:ascii="Calibri" w:hAnsi="Calibri" w:cs="Times New Roman"/>
                <w:color w:val="000000"/>
              </w:rPr>
              <w:t>ab</w:t>
            </w:r>
          </w:p>
        </w:tc>
        <w:tc>
          <w:tcPr>
            <w:tcW w:w="1493"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18.77(0.97)</w:t>
            </w:r>
            <w:r>
              <w:rPr>
                <w:rFonts w:ascii="Calibri" w:hAnsi="Calibri" w:cs="Times New Roman"/>
                <w:color w:val="000000"/>
              </w:rPr>
              <w:t>b</w:t>
            </w:r>
          </w:p>
        </w:tc>
        <w:tc>
          <w:tcPr>
            <w:tcW w:w="145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15.70(1.85)</w:t>
            </w:r>
            <w:r>
              <w:rPr>
                <w:rFonts w:ascii="Calibri" w:hAnsi="Calibri" w:cs="Times New Roman"/>
                <w:color w:val="000000"/>
              </w:rPr>
              <w:t>c</w:t>
            </w:r>
          </w:p>
        </w:tc>
        <w:tc>
          <w:tcPr>
            <w:tcW w:w="1400" w:type="dxa"/>
            <w:tcBorders>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3.35</w:t>
            </w:r>
            <w:r>
              <w:rPr>
                <w:rFonts w:ascii="Calibri" w:hAnsi="Calibri" w:cs="Times New Roman"/>
                <w:color w:val="000000"/>
              </w:rPr>
              <w:t>e</w:t>
            </w:r>
            <w:r w:rsidRPr="00FD3C06">
              <w:rPr>
                <w:rFonts w:ascii="Calibri" w:hAnsi="Calibri" w:cs="Times New Roman"/>
                <w:color w:val="000000"/>
              </w:rPr>
              <w:t>-08</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Planctomycetes</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9.73(1.30)b</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11.46(2.59)b</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11.69(0.83)b</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15.41(2.49)a</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1</w:t>
            </w:r>
            <w:r>
              <w:rPr>
                <w:rFonts w:ascii="Calibri" w:hAnsi="Calibri" w:cs="Times New Roman"/>
                <w:color w:val="000000"/>
              </w:rPr>
              <w:t>.</w:t>
            </w:r>
            <w:r w:rsidRPr="00FD3C06">
              <w:rPr>
                <w:rFonts w:ascii="Calibri" w:hAnsi="Calibri" w:cs="Times New Roman"/>
                <w:color w:val="000000"/>
              </w:rPr>
              <w:t>83</w:t>
            </w:r>
            <w:r>
              <w:rPr>
                <w:rFonts w:ascii="Calibri" w:hAnsi="Calibri" w:cs="Times New Roman"/>
                <w:color w:val="000000"/>
              </w:rPr>
              <w:t>e-03</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Nitrospirae</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2.73(0.56)</w:t>
            </w:r>
            <w:r>
              <w:rPr>
                <w:rFonts w:ascii="Calibri" w:hAnsi="Calibri" w:cs="Times New Roman"/>
                <w:color w:val="000000"/>
              </w:rPr>
              <w:t>a</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2.44(0.45)</w:t>
            </w:r>
            <w:r>
              <w:rPr>
                <w:rFonts w:ascii="Calibri" w:hAnsi="Calibri" w:cs="Times New Roman"/>
                <w:color w:val="000000"/>
              </w:rPr>
              <w:t>ab</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1.60(0.45)</w:t>
            </w:r>
            <w:r>
              <w:rPr>
                <w:rFonts w:ascii="Calibri" w:hAnsi="Calibri" w:cs="Times New Roman"/>
                <w:color w:val="000000"/>
              </w:rPr>
              <w:t>b</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0.71(0.30)</w:t>
            </w:r>
            <w:r>
              <w:rPr>
                <w:rFonts w:ascii="Calibri" w:hAnsi="Calibri" w:cs="Times New Roman"/>
                <w:color w:val="000000"/>
              </w:rPr>
              <w:t>c</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3.80</w:t>
            </w:r>
            <w:r>
              <w:rPr>
                <w:rFonts w:ascii="Calibri" w:hAnsi="Calibri" w:cs="Times New Roman"/>
                <w:color w:val="000000"/>
              </w:rPr>
              <w:t>e</w:t>
            </w:r>
            <w:r w:rsidRPr="00FD3C06">
              <w:rPr>
                <w:rFonts w:ascii="Calibri" w:hAnsi="Calibri" w:cs="Times New Roman"/>
                <w:color w:val="000000"/>
              </w:rPr>
              <w:t>-06</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AD3</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0.25(0.13)</w:t>
            </w:r>
            <w:r>
              <w:rPr>
                <w:rFonts w:ascii="Calibri" w:hAnsi="Calibri" w:cs="Times New Roman"/>
                <w:color w:val="000000"/>
              </w:rPr>
              <w:t>c</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0.44(0.26)</w:t>
            </w:r>
            <w:r>
              <w:rPr>
                <w:rFonts w:ascii="Calibri" w:hAnsi="Calibri" w:cs="Times New Roman"/>
                <w:color w:val="000000"/>
              </w:rPr>
              <w:t>b</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0.54(0.22)</w:t>
            </w:r>
            <w:r>
              <w:rPr>
                <w:rFonts w:ascii="Calibri" w:hAnsi="Calibri" w:cs="Times New Roman"/>
                <w:color w:val="000000"/>
              </w:rPr>
              <w:t>ab</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0.85(0.18)</w:t>
            </w:r>
            <w:r>
              <w:rPr>
                <w:rFonts w:ascii="Calibri" w:hAnsi="Calibri" w:cs="Times New Roman"/>
                <w:color w:val="000000"/>
              </w:rPr>
              <w:t>a</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0.002</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WPS-2</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0.02(0.01)b</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0.17(0.05)b</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0.39(0.12)b</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1.18(0.61)a</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5.82</w:t>
            </w:r>
            <w:r>
              <w:rPr>
                <w:rFonts w:ascii="Calibri" w:hAnsi="Calibri" w:cs="Times New Roman"/>
                <w:color w:val="000000"/>
              </w:rPr>
              <w:t>e</w:t>
            </w:r>
            <w:r w:rsidRPr="00FD3C06">
              <w:rPr>
                <w:rFonts w:ascii="Calibri" w:hAnsi="Calibri" w:cs="Times New Roman"/>
                <w:color w:val="000000"/>
              </w:rPr>
              <w:t>-05</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WS3</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0.51(0.15)</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0.48(0.09)</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0.34(0.09)</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0.14(0.10)</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1</w:t>
            </w:r>
            <w:r>
              <w:rPr>
                <w:rFonts w:ascii="Calibri" w:hAnsi="Calibri" w:cs="Times New Roman"/>
                <w:color w:val="000000"/>
              </w:rPr>
              <w:t>.</w:t>
            </w:r>
            <w:r w:rsidRPr="00FD3C06">
              <w:rPr>
                <w:rFonts w:ascii="Calibri" w:hAnsi="Calibri" w:cs="Times New Roman"/>
                <w:color w:val="000000"/>
              </w:rPr>
              <w:t>47</w:t>
            </w:r>
            <w:r>
              <w:rPr>
                <w:rFonts w:ascii="Calibri" w:hAnsi="Calibri" w:cs="Times New Roman"/>
                <w:color w:val="000000"/>
              </w:rPr>
              <w:t>e-04</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Elusimicrobia</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0.004(0.002)</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0.06(0.01)</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0.09(0.002)</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0.01(0.003)</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0.022</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Fibrobacteres</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0.04(0.01)</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0.017</w:t>
            </w:r>
          </w:p>
        </w:tc>
      </w:tr>
      <w:tr w:rsidR="00A74407" w:rsidRPr="00FD3C06" w:rsidTr="00A74407">
        <w:trPr>
          <w:trHeight w:val="300"/>
        </w:trPr>
        <w:tc>
          <w:tcPr>
            <w:tcW w:w="19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Spirochaetes</w:t>
            </w:r>
          </w:p>
        </w:tc>
        <w:tc>
          <w:tcPr>
            <w:tcW w:w="15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576"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w:t>
            </w:r>
          </w:p>
        </w:tc>
        <w:tc>
          <w:tcPr>
            <w:tcW w:w="1493"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45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w:t>
            </w:r>
          </w:p>
        </w:tc>
        <w:tc>
          <w:tcPr>
            <w:tcW w:w="1400" w:type="dxa"/>
            <w:tcBorders>
              <w:top w:val="nil"/>
              <w:left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0.04</w:t>
            </w:r>
          </w:p>
        </w:tc>
      </w:tr>
      <w:tr w:rsidR="00A74407" w:rsidRPr="00FD3C06" w:rsidTr="00A74407">
        <w:trPr>
          <w:trHeight w:val="300"/>
        </w:trPr>
        <w:tc>
          <w:tcPr>
            <w:tcW w:w="19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WS2</w:t>
            </w:r>
          </w:p>
        </w:tc>
        <w:tc>
          <w:tcPr>
            <w:tcW w:w="15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0.04(0.07)</w:t>
            </w:r>
          </w:p>
        </w:tc>
        <w:tc>
          <w:tcPr>
            <w:tcW w:w="1576"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0.03(0.06)</w:t>
            </w:r>
          </w:p>
        </w:tc>
        <w:tc>
          <w:tcPr>
            <w:tcW w:w="1493"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45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w:t>
            </w:r>
          </w:p>
        </w:tc>
        <w:tc>
          <w:tcPr>
            <w:tcW w:w="140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3</w:t>
            </w:r>
            <w:r>
              <w:rPr>
                <w:rFonts w:ascii="Calibri" w:hAnsi="Calibri" w:cs="Times New Roman"/>
                <w:color w:val="000000"/>
              </w:rPr>
              <w:t>.</w:t>
            </w:r>
            <w:r w:rsidRPr="00FD3C06">
              <w:rPr>
                <w:rFonts w:ascii="Calibri" w:hAnsi="Calibri" w:cs="Times New Roman"/>
                <w:color w:val="000000"/>
              </w:rPr>
              <w:t>40</w:t>
            </w:r>
            <w:r>
              <w:rPr>
                <w:rFonts w:ascii="Calibri" w:hAnsi="Calibri" w:cs="Times New Roman"/>
                <w:color w:val="000000"/>
              </w:rPr>
              <w:t>e-04</w:t>
            </w:r>
          </w:p>
        </w:tc>
      </w:tr>
      <w:tr w:rsidR="00A74407" w:rsidRPr="00FD3C06" w:rsidTr="00A74407">
        <w:trPr>
          <w:trHeight w:val="300"/>
        </w:trPr>
        <w:tc>
          <w:tcPr>
            <w:tcW w:w="1980"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r w:rsidRPr="00FD3C06">
              <w:rPr>
                <w:rFonts w:ascii="Calibri" w:hAnsi="Calibri" w:cs="Times New Roman"/>
                <w:b/>
                <w:color w:val="000000"/>
              </w:rPr>
              <w:t>COVER CROP</w:t>
            </w:r>
          </w:p>
        </w:tc>
        <w:tc>
          <w:tcPr>
            <w:tcW w:w="1580"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576"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93"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50"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00" w:type="dxa"/>
            <w:tcBorders>
              <w:top w:val="single" w:sz="4" w:space="0" w:color="auto"/>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Taxon</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Vetch</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Wheat</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NoCover</w:t>
            </w:r>
          </w:p>
        </w:tc>
        <w:tc>
          <w:tcPr>
            <w:tcW w:w="2850" w:type="dxa"/>
            <w:gridSpan w:val="2"/>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p-values (corrected)</w:t>
            </w: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Actinobacteria</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13.45(1.75)</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15.93(2.76)</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11.86(0.85)</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Pr>
                <w:rFonts w:ascii="Calibri" w:hAnsi="Calibri" w:cs="Times New Roman"/>
                <w:color w:val="000000"/>
              </w:rPr>
              <w:t>5.00e-03</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Bacteroidetes</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0.86(0.22)</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0.92(0.31)</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1.52(0.01)</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5</w:t>
            </w:r>
            <w:r>
              <w:rPr>
                <w:rFonts w:ascii="Calibri" w:hAnsi="Calibri" w:cs="Times New Roman"/>
                <w:color w:val="000000"/>
              </w:rPr>
              <w:t>.</w:t>
            </w:r>
            <w:r w:rsidRPr="00FD3C06">
              <w:rPr>
                <w:rFonts w:ascii="Calibri" w:hAnsi="Calibri" w:cs="Times New Roman"/>
                <w:color w:val="000000"/>
              </w:rPr>
              <w:t>38</w:t>
            </w:r>
            <w:r>
              <w:rPr>
                <w:rFonts w:ascii="Calibri" w:hAnsi="Calibri" w:cs="Times New Roman"/>
                <w:color w:val="000000"/>
              </w:rPr>
              <w:t>e-03</w:t>
            </w: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Chlorobi</w:t>
            </w:r>
          </w:p>
        </w:tc>
        <w:tc>
          <w:tcPr>
            <w:tcW w:w="15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0.02(0.00)</w:t>
            </w:r>
          </w:p>
        </w:tc>
        <w:tc>
          <w:tcPr>
            <w:tcW w:w="1576"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493"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0.04(0.01)</w:t>
            </w:r>
          </w:p>
        </w:tc>
        <w:tc>
          <w:tcPr>
            <w:tcW w:w="1450" w:type="dxa"/>
            <w:tcBorders>
              <w:top w:val="nil"/>
              <w:left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0.08</w:t>
            </w:r>
          </w:p>
        </w:tc>
        <w:tc>
          <w:tcPr>
            <w:tcW w:w="140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Verrucomicrobia</w:t>
            </w:r>
          </w:p>
        </w:tc>
        <w:tc>
          <w:tcPr>
            <w:tcW w:w="15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4.84(1.07)b</w:t>
            </w:r>
          </w:p>
        </w:tc>
        <w:tc>
          <w:tcPr>
            <w:tcW w:w="1576"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5.37(0.70)ab</w:t>
            </w:r>
          </w:p>
        </w:tc>
        <w:tc>
          <w:tcPr>
            <w:tcW w:w="1493"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6.32(1.22)a</w:t>
            </w:r>
          </w:p>
        </w:tc>
        <w:tc>
          <w:tcPr>
            <w:tcW w:w="145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0.05</w:t>
            </w:r>
          </w:p>
        </w:tc>
        <w:tc>
          <w:tcPr>
            <w:tcW w:w="140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r w:rsidRPr="00FD3C06">
              <w:rPr>
                <w:rFonts w:ascii="Calibri" w:hAnsi="Calibri" w:cs="Times New Roman"/>
                <w:b/>
                <w:color w:val="000000"/>
              </w:rPr>
              <w:t>TILLAGE</w:t>
            </w:r>
          </w:p>
        </w:tc>
        <w:tc>
          <w:tcPr>
            <w:tcW w:w="1580"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576"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93"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50"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c>
          <w:tcPr>
            <w:tcW w:w="1400" w:type="dxa"/>
            <w:tcBorders>
              <w:top w:val="single" w:sz="4" w:space="0" w:color="auto"/>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b/>
                <w:color w:val="000000"/>
              </w:rPr>
            </w:pPr>
          </w:p>
        </w:tc>
      </w:tr>
      <w:tr w:rsidR="00A74407" w:rsidRPr="00FD3C06" w:rsidTr="00A74407">
        <w:trPr>
          <w:trHeight w:val="300"/>
        </w:trPr>
        <w:tc>
          <w:tcPr>
            <w:tcW w:w="198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Taxon</w:t>
            </w:r>
          </w:p>
        </w:tc>
        <w:tc>
          <w:tcPr>
            <w:tcW w:w="158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NoTill</w:t>
            </w:r>
          </w:p>
        </w:tc>
        <w:tc>
          <w:tcPr>
            <w:tcW w:w="1576"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TILL</w:t>
            </w:r>
          </w:p>
        </w:tc>
        <w:tc>
          <w:tcPr>
            <w:tcW w:w="2943" w:type="dxa"/>
            <w:gridSpan w:val="2"/>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p-values (corrected)</w:t>
            </w:r>
          </w:p>
        </w:tc>
        <w:tc>
          <w:tcPr>
            <w:tcW w:w="1400" w:type="dxa"/>
            <w:tcBorders>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Verrucomicrobia</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6.02(1.28)</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4.97(0.80)</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0.038836939</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Armatimonadetes</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1.28(0.28)</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1.73(0.24)</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0.000777282</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AD3</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0.66(0.28)</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0.39(0.25)</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0.026898199</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BRC1</w:t>
            </w:r>
          </w:p>
        </w:tc>
        <w:tc>
          <w:tcPr>
            <w:tcW w:w="158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0.04(0.01)</w:t>
            </w:r>
          </w:p>
        </w:tc>
        <w:tc>
          <w:tcPr>
            <w:tcW w:w="1576"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0.05(0.01)</w:t>
            </w:r>
          </w:p>
        </w:tc>
        <w:tc>
          <w:tcPr>
            <w:tcW w:w="1493" w:type="dxa"/>
            <w:tcBorders>
              <w:top w:val="nil"/>
              <w:left w:val="nil"/>
              <w:bottom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0.020580314</w:t>
            </w:r>
          </w:p>
        </w:tc>
        <w:tc>
          <w:tcPr>
            <w:tcW w:w="145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bottom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Chlorobi</w:t>
            </w:r>
          </w:p>
        </w:tc>
        <w:tc>
          <w:tcPr>
            <w:tcW w:w="158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0.02(0.01)</w:t>
            </w:r>
          </w:p>
        </w:tc>
        <w:tc>
          <w:tcPr>
            <w:tcW w:w="1576"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0.04(0.01)</w:t>
            </w:r>
          </w:p>
        </w:tc>
        <w:tc>
          <w:tcPr>
            <w:tcW w:w="1493" w:type="dxa"/>
            <w:tcBorders>
              <w:top w:val="nil"/>
              <w:left w:val="nil"/>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0.002538564</w:t>
            </w:r>
          </w:p>
        </w:tc>
        <w:tc>
          <w:tcPr>
            <w:tcW w:w="145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r w:rsidR="00A74407" w:rsidRPr="00FD3C06" w:rsidTr="00A74407">
        <w:trPr>
          <w:trHeight w:val="300"/>
        </w:trPr>
        <w:tc>
          <w:tcPr>
            <w:tcW w:w="19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Spirochaetes</w:t>
            </w:r>
          </w:p>
        </w:tc>
        <w:tc>
          <w:tcPr>
            <w:tcW w:w="158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0.02(0.00)</w:t>
            </w:r>
          </w:p>
        </w:tc>
        <w:tc>
          <w:tcPr>
            <w:tcW w:w="1576"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r w:rsidRPr="00FD3C06">
              <w:rPr>
                <w:rFonts w:ascii="Calibri" w:hAnsi="Calibri" w:cs="Times New Roman"/>
                <w:color w:val="000000"/>
              </w:rPr>
              <w:t>0.03(0.01)</w:t>
            </w:r>
          </w:p>
        </w:tc>
        <w:tc>
          <w:tcPr>
            <w:tcW w:w="1493"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jc w:val="right"/>
              <w:rPr>
                <w:rFonts w:ascii="Calibri" w:hAnsi="Calibri" w:cs="Times New Roman"/>
                <w:color w:val="000000"/>
              </w:rPr>
            </w:pPr>
            <w:r w:rsidRPr="00FD3C06">
              <w:rPr>
                <w:rFonts w:ascii="Calibri" w:hAnsi="Calibri" w:cs="Times New Roman"/>
                <w:color w:val="000000"/>
              </w:rPr>
              <w:t>0.000801916</w:t>
            </w:r>
          </w:p>
        </w:tc>
        <w:tc>
          <w:tcPr>
            <w:tcW w:w="145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c>
          <w:tcPr>
            <w:tcW w:w="1400" w:type="dxa"/>
            <w:tcBorders>
              <w:top w:val="nil"/>
              <w:left w:val="nil"/>
              <w:bottom w:val="single" w:sz="4" w:space="0" w:color="auto"/>
              <w:right w:val="nil"/>
            </w:tcBorders>
            <w:shd w:val="clear" w:color="auto" w:fill="auto"/>
            <w:noWrap/>
            <w:vAlign w:val="bottom"/>
            <w:hideMark/>
          </w:tcPr>
          <w:p w:rsidR="00A74407" w:rsidRPr="00FD3C06" w:rsidRDefault="00A74407" w:rsidP="001B51E2">
            <w:pPr>
              <w:spacing w:line="240" w:lineRule="auto"/>
              <w:rPr>
                <w:rFonts w:ascii="Calibri" w:hAnsi="Calibri" w:cs="Times New Roman"/>
                <w:color w:val="000000"/>
              </w:rPr>
            </w:pPr>
          </w:p>
        </w:tc>
      </w:tr>
    </w:tbl>
    <w:p w:rsidR="00A74407" w:rsidRDefault="00A74407" w:rsidP="00A74407">
      <w:pPr>
        <w:pStyle w:val="Heading1"/>
        <w:spacing w:line="480" w:lineRule="auto"/>
      </w:pPr>
    </w:p>
    <w:p w:rsidR="00A74407" w:rsidRDefault="00A74407" w:rsidP="00A74407">
      <w:pPr>
        <w:pStyle w:val="Heading1"/>
        <w:spacing w:line="480" w:lineRule="auto"/>
      </w:pPr>
    </w:p>
    <w:p w:rsidR="00A74407" w:rsidRDefault="00A74407" w:rsidP="00A74407">
      <w:pPr>
        <w:pStyle w:val="Heading1"/>
        <w:spacing w:line="480" w:lineRule="auto"/>
      </w:pPr>
    </w:p>
    <w:p w:rsidR="00A74407" w:rsidRDefault="00A74407" w:rsidP="00A74407">
      <w:pPr>
        <w:pStyle w:val="Heading1"/>
        <w:spacing w:line="480" w:lineRule="auto"/>
      </w:pPr>
    </w:p>
    <w:p w:rsidR="00A74407" w:rsidRDefault="00A74407" w:rsidP="00A74407">
      <w:pPr>
        <w:pStyle w:val="Heading1"/>
        <w:spacing w:line="480" w:lineRule="auto"/>
      </w:pPr>
    </w:p>
    <w:p w:rsidR="00A74407" w:rsidRDefault="00A74407" w:rsidP="00A74407">
      <w:pPr>
        <w:pStyle w:val="Heading1"/>
        <w:spacing w:line="480" w:lineRule="auto"/>
      </w:pPr>
    </w:p>
    <w:p w:rsidR="00A74407" w:rsidRDefault="00A74407" w:rsidP="00A74407">
      <w:pPr>
        <w:pStyle w:val="Heading2"/>
        <w:spacing w:line="480" w:lineRule="auto"/>
      </w:pPr>
      <w:bookmarkStart w:id="66" w:name="_Toc391021454"/>
      <w:r>
        <w:t>DISCUSSION</w:t>
      </w:r>
      <w:bookmarkEnd w:id="66"/>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p w:rsidR="00D25C54" w:rsidRDefault="00D25C54" w:rsidP="005539C7">
      <w:pPr>
        <w:pStyle w:val="Caption"/>
      </w:pPr>
    </w:p>
    <w:bookmarkEnd w:id="62"/>
    <w:p w:rsidR="00236E6D" w:rsidRPr="005E54E2" w:rsidRDefault="00236E6D" w:rsidP="005E54E2"/>
    <w:p w:rsidR="004C2071" w:rsidRDefault="00163285" w:rsidP="00904969">
      <w:r>
        <w:br w:type="page"/>
      </w:r>
    </w:p>
    <w:p w:rsidR="00163285" w:rsidRDefault="004C2071" w:rsidP="00886BA4">
      <w:pPr>
        <w:pStyle w:val="Heading2"/>
        <w:spacing w:line="480" w:lineRule="auto"/>
      </w:pPr>
      <w:bookmarkStart w:id="67" w:name="_Toc289175842"/>
      <w:bookmarkStart w:id="68" w:name="_Toc391021455"/>
      <w:r>
        <w:t>References</w:t>
      </w:r>
      <w:bookmarkEnd w:id="67"/>
      <w:bookmarkEnd w:id="68"/>
    </w:p>
    <w:p w:rsidR="00163285" w:rsidRDefault="00163285" w:rsidP="003278BB"/>
    <w:p w:rsidR="00163285" w:rsidRPr="009E61A8" w:rsidRDefault="00163285" w:rsidP="003278BB"/>
    <w:p w:rsidR="00E402F8" w:rsidRPr="005E54E2" w:rsidRDefault="00E402F8" w:rsidP="002D3535">
      <w:pPr>
        <w:pStyle w:val="Heading1"/>
      </w:pPr>
    </w:p>
    <w:p w:rsidR="00E402F8" w:rsidRDefault="00E402F8" w:rsidP="003278BB">
      <w:pPr>
        <w:pStyle w:val="Heading1"/>
        <w:jc w:val="left"/>
      </w:pPr>
    </w:p>
    <w:p w:rsidR="00E402F8" w:rsidRDefault="00E402F8" w:rsidP="003278BB">
      <w:pPr>
        <w:pStyle w:val="Heading1"/>
        <w:jc w:val="left"/>
      </w:pPr>
    </w:p>
    <w:p w:rsidR="00E402F8" w:rsidRDefault="00E402F8" w:rsidP="003278BB">
      <w:pPr>
        <w:pStyle w:val="Heading1"/>
        <w:jc w:val="left"/>
      </w:pPr>
    </w:p>
    <w:p w:rsidR="00E402F8" w:rsidRDefault="00E402F8" w:rsidP="003278BB">
      <w:pPr>
        <w:pStyle w:val="Heading1"/>
        <w:jc w:val="left"/>
      </w:pPr>
    </w:p>
    <w:p w:rsidR="00E402F8" w:rsidRDefault="00E402F8" w:rsidP="003278BB">
      <w:pPr>
        <w:pStyle w:val="Heading1"/>
        <w:jc w:val="left"/>
      </w:pPr>
    </w:p>
    <w:p w:rsidR="004C2071" w:rsidRDefault="00163285" w:rsidP="003278BB">
      <w:pPr>
        <w:pStyle w:val="Heading1"/>
        <w:jc w:val="left"/>
      </w:pPr>
      <w:r>
        <w:br w:type="page"/>
      </w:r>
    </w:p>
    <w:p w:rsidR="004C2071" w:rsidRDefault="004C2071" w:rsidP="005E54E2"/>
    <w:p w:rsidR="00333D31" w:rsidRDefault="00C97801" w:rsidP="00333D31">
      <w:pPr>
        <w:pStyle w:val="Heading1"/>
      </w:pPr>
      <w:bookmarkStart w:id="69" w:name="_Toc391021456"/>
      <w:r>
        <w:t>CHAPTER I</w:t>
      </w:r>
      <w:r w:rsidR="00A5301E">
        <w:t>II</w:t>
      </w:r>
      <w:r w:rsidR="00333D31">
        <w:br/>
      </w:r>
      <w:r w:rsidR="00CF753F" w:rsidRPr="003939CE">
        <w:rPr>
          <w:caps w:val="0"/>
        </w:rPr>
        <w:t>Soils and Civilizations: Using a General Education Course to Teach Agricultural Relevance</w:t>
      </w:r>
      <w:bookmarkEnd w:id="69"/>
    </w:p>
    <w:p w:rsidR="00333D31" w:rsidRDefault="00333D31" w:rsidP="001276F6">
      <w:pPr>
        <w:spacing w:line="480" w:lineRule="auto"/>
      </w:pPr>
      <w:r>
        <w:br w:type="page"/>
      </w:r>
      <w:r w:rsidRPr="005E54E2">
        <w:lastRenderedPageBreak/>
        <w:t xml:space="preserve">A version of this chapter was originally published by </w:t>
      </w:r>
      <w:r>
        <w:t xml:space="preserve">the </w:t>
      </w:r>
      <w:r w:rsidRPr="00451F71">
        <w:t xml:space="preserve">North American Colleges and Teachers of Agriculture (NACTA) </w:t>
      </w:r>
      <w:r>
        <w:t xml:space="preserve">Journal in the </w:t>
      </w:r>
      <w:r w:rsidRPr="00451F71">
        <w:t>September 2013 Special Issue</w:t>
      </w:r>
      <w:r>
        <w:t>:</w:t>
      </w:r>
      <w:r w:rsidRPr="005E54E2">
        <w:t xml:space="preserve"> </w:t>
      </w:r>
    </w:p>
    <w:p w:rsidR="00333D31" w:rsidRDefault="00333D31" w:rsidP="001276F6">
      <w:pPr>
        <w:spacing w:line="480" w:lineRule="auto"/>
      </w:pPr>
    </w:p>
    <w:p w:rsidR="00333D31" w:rsidRDefault="00333D31" w:rsidP="001276F6">
      <w:pPr>
        <w:spacing w:line="480" w:lineRule="auto"/>
      </w:pPr>
      <w:r w:rsidRPr="00451F71">
        <w:t>O'Dell, D., L. Mbut</w:t>
      </w:r>
      <w:r>
        <w:t>h</w:t>
      </w:r>
      <w:r w:rsidRPr="00451F71">
        <w:t xml:space="preserve">ia, D. M. Lambert, and N. S. Eash.  </w:t>
      </w:r>
      <w:r>
        <w:t>“</w:t>
      </w:r>
      <w:r w:rsidRPr="00451F71">
        <w:t>Soils and Civilizations: Using a General Education Course to Teach Agricultural Relevance.</w:t>
      </w:r>
      <w:r>
        <w:t>”</w:t>
      </w:r>
      <w:r w:rsidRPr="00451F71">
        <w:t xml:space="preserve">  </w:t>
      </w:r>
      <w:r w:rsidRPr="00451F71">
        <w:rPr>
          <w:i/>
        </w:rPr>
        <w:t>NACTA Journal</w:t>
      </w:r>
      <w:r w:rsidRPr="00451F71">
        <w:t>, 57(3a)</w:t>
      </w:r>
      <w:r>
        <w:t xml:space="preserve"> (2009)</w:t>
      </w:r>
      <w:r w:rsidRPr="00451F71">
        <w:t>: 91-96.</w:t>
      </w:r>
    </w:p>
    <w:p w:rsidR="00333D31" w:rsidRPr="005E54E2" w:rsidRDefault="00333D31" w:rsidP="001276F6">
      <w:pPr>
        <w:spacing w:line="480" w:lineRule="auto"/>
      </w:pPr>
    </w:p>
    <w:p w:rsidR="00333D31" w:rsidRPr="005E54E2" w:rsidRDefault="00333D31" w:rsidP="001276F6">
      <w:pPr>
        <w:spacing w:line="480" w:lineRule="auto"/>
      </w:pPr>
      <w:r w:rsidRPr="005E54E2">
        <w:t>Th</w:t>
      </w:r>
      <w:r>
        <w:t xml:space="preserve">is article was a result of research conducted in conjunction with the general education course, “Soils and Civilizations” taught at UT by Professor Eash.  </w:t>
      </w:r>
      <w:r w:rsidR="009E61A8">
        <w:t>Lilian W. Mbuthia</w:t>
      </w:r>
      <w:r>
        <w:t xml:space="preserve"> participated as a teaching assistant in the course, and was a co-author in analyzing and writing up results of data collected to study the course’s effects on student attitudes.</w:t>
      </w:r>
    </w:p>
    <w:p w:rsidR="00333D31" w:rsidRDefault="00333D31" w:rsidP="001276F6">
      <w:pPr>
        <w:spacing w:line="480" w:lineRule="auto"/>
      </w:pPr>
    </w:p>
    <w:p w:rsidR="00333D31" w:rsidRDefault="00333D31" w:rsidP="001276F6">
      <w:pPr>
        <w:pStyle w:val="Heading2"/>
        <w:spacing w:line="480" w:lineRule="auto"/>
      </w:pPr>
      <w:bookmarkStart w:id="70" w:name="_Toc391021457"/>
      <w:r>
        <w:t>Abstract</w:t>
      </w:r>
      <w:bookmarkEnd w:id="70"/>
    </w:p>
    <w:p w:rsidR="00333D31" w:rsidRDefault="00333D31" w:rsidP="001276F6">
      <w:pPr>
        <w:spacing w:line="480" w:lineRule="auto"/>
      </w:pPr>
      <w:r>
        <w:t xml:space="preserve">The enrollment of students to the major scientific disciplines related to agriculture has been on the decline over the past decades. While it is unclear why enrollments change, few would argue that these same disciplines have not been proactive in raising the awareness and importance of environmental disciplines towards sustainable development and the survival and stability of civilizations. Today, most students are unaware of current food production and food security issues and the career opportunities associated with our majors that are hidden inside the “College of Agriculture.” We developed a general education course that addresses relevant food security issues and outlines the </w:t>
      </w:r>
      <w:r>
        <w:lastRenderedPageBreak/>
        <w:t>sciences contained within agriculture and future opportunities for feeding future generations. The objectives of this paper were to determine how our general education course changes student perception of population, food security and civilization stability and the relationship these concepts have with environmental sustainability. We evaluated student survey responses from two semesters (n=435) of our course. Fifty-two percent of students did not know a major in soil science existed, while 56% responded that they would like to take another course in that discipline. Ninety-nine percent indicated that knowledge of soil science was important in understanding food security, with 43% indicating that their opinion of these issues changed since the beginning of the semester. The food security knowledge and expertise contained within the Agriculture College is seen by students as highly relevant to their future and suggests more forthright marketing through general education courses of our expertise and career opportunities related to these disciplines should be explored further.</w:t>
      </w:r>
    </w:p>
    <w:p w:rsidR="00886BA4" w:rsidRDefault="00886BA4" w:rsidP="001276F6">
      <w:pPr>
        <w:spacing w:line="480" w:lineRule="auto"/>
      </w:pPr>
    </w:p>
    <w:p w:rsidR="00886BA4" w:rsidRDefault="00886BA4" w:rsidP="001276F6">
      <w:pPr>
        <w:spacing w:line="480" w:lineRule="auto"/>
      </w:pPr>
    </w:p>
    <w:p w:rsidR="00886BA4" w:rsidRDefault="00886BA4" w:rsidP="001276F6">
      <w:pPr>
        <w:spacing w:line="480" w:lineRule="auto"/>
      </w:pPr>
    </w:p>
    <w:p w:rsidR="00886BA4" w:rsidRDefault="00886BA4" w:rsidP="001276F6">
      <w:pPr>
        <w:spacing w:line="480" w:lineRule="auto"/>
      </w:pPr>
    </w:p>
    <w:p w:rsidR="00886BA4" w:rsidRDefault="00886BA4" w:rsidP="001276F6">
      <w:pPr>
        <w:spacing w:line="480" w:lineRule="auto"/>
      </w:pPr>
    </w:p>
    <w:p w:rsidR="00886BA4" w:rsidRPr="005E54E2" w:rsidRDefault="00886BA4" w:rsidP="001276F6">
      <w:pPr>
        <w:spacing w:line="480" w:lineRule="auto"/>
      </w:pPr>
    </w:p>
    <w:p w:rsidR="00333D31" w:rsidRDefault="00333D31" w:rsidP="001276F6">
      <w:pPr>
        <w:pStyle w:val="Heading2"/>
        <w:spacing w:line="480" w:lineRule="auto"/>
      </w:pPr>
      <w:bookmarkStart w:id="71" w:name="_Toc391021458"/>
      <w:r>
        <w:lastRenderedPageBreak/>
        <w:t>Introduction</w:t>
      </w:r>
      <w:bookmarkEnd w:id="71"/>
    </w:p>
    <w:p w:rsidR="00333D31" w:rsidRDefault="00333D31" w:rsidP="001276F6">
      <w:pPr>
        <w:spacing w:line="480" w:lineRule="auto"/>
      </w:pPr>
      <w:r>
        <w:t>Climate change, population growth, food security and sustainable intensification are all examples of the buzz words that drive the public discourse shaping our perceptions about the role agriculture and the environment will play in future generations. While roughly 12% of the world’s population does not get enough to eat, most health issues in developed countries revolve around obesity and overconsumption. Population growth is occurring in areas with less productive soils that are degraded or rapidly degrading due to unsustainable agricultural practices (Bindraben, et al., 2012). Agriculture can be a source or a sink in regards to greenhouse gases (GHG) and currently produces as much as 13% of GHG emissions (FAO, 2009; FAO, 2011; FAO, WFP and IFAD 2012; Follett, et al.; 2011).</w:t>
      </w:r>
    </w:p>
    <w:p w:rsidR="00333D31" w:rsidRDefault="00333D31" w:rsidP="001276F6">
      <w:pPr>
        <w:spacing w:line="480" w:lineRule="auto"/>
      </w:pPr>
      <w:r>
        <w:t xml:space="preserve">Since 1960 when our population surpassed 3 billion people, more than 4 billion new faces have populated our planet with an increase of nearly 80 million each year. Malthus (1793) warns us about how populations crash when food production does not grow at the same rate as population. By the time our current college graduates arrive at mid-career–in just 20 years–there will be another two billion persons to clothe and feed. This represents a range of problems that will require the best minds to research and solve these pressing issues. Unfortunately, most of the current young generation has a low awareness and inaccurate perceptions with regards to the importance of agriculture (Terry and Lawver, 1995, Gonzalez, 2006). This has mainly been attributed to urbanization and lack of exposure to food production activities. Farm and rural populations have declined, with less than 5% of the U.S. population now living on farms and less than 2% of the labor </w:t>
      </w:r>
      <w:r>
        <w:lastRenderedPageBreak/>
        <w:t>force working in agriculture (Dimitri, et al., 2005), resulting in less contact by young people with agriculture. Gonzalez (2006) found most high school students either have misconceptions about agriculture or lack knowledge about agricultural fields of study and employment opportunities.</w:t>
      </w:r>
    </w:p>
    <w:p w:rsidR="00333D31" w:rsidRDefault="00333D31" w:rsidP="001276F6">
      <w:pPr>
        <w:spacing w:line="480" w:lineRule="auto"/>
      </w:pPr>
      <w:r>
        <w:t>While the National Academy of Sciences reported significant increases in the number of U.S. college graduates in agricultural and natural resources disciplines from 1987 to 2007, most of the increases were in natural resources conservation, research and animal science fields of study (2009). Several studies have also shown that the enrollment of students to disciplines related to soil and earth sciences has been on the decline since the early 1990’s and 2000’s (Hartemink, 2008; Collins, 2008). Unfortunately, agricultural scientists and Land Grant Universities have generally adopted a “Field of Dreams” approach to marketing our disciplines whereby we do little to entice students to explore the relevancy of our scientific disciplines to food security and civilization sustainability. In 2010, the Soil Science Society of America conducted a survey to further investigate the trends in soil science education and training (Havlin et al., 2010). One of the concerns that prompted the study was the fact that there was declining academic course offering and enrollment to soil science education programs at land grant universities, a concern also raised by Collins (2008). Havlin et al. (2010) recommended promoting soil science during earlier stages of education and opening general soil science courses up to the wider college student population as part of “general education science credits.”</w:t>
      </w:r>
    </w:p>
    <w:p w:rsidR="00333D31" w:rsidRDefault="00333D31" w:rsidP="001276F6">
      <w:pPr>
        <w:spacing w:line="480" w:lineRule="auto"/>
      </w:pPr>
      <w:r>
        <w:t xml:space="preserve">The National Academy of Sciences book, “Transforming Agricultural Education for a Changing World,” presented an imperative to change agricultural education (National </w:t>
      </w:r>
      <w:r>
        <w:lastRenderedPageBreak/>
        <w:t>Academy of Sciences, 2009). The national research priority agenda for 2011-2015 put forth by the American Association for Agricultural Education supports this view (Doerfert, 2011). While many approaches are needed, this paper addresses one ongoing development of a curriculum to increase knowledge of agriculture and soil science by changing fundamental perceptions about agriculture that would appeal to a broader student population. The “Soils and Civilizations” curriculum presented in this paper blends soil science and agriculture with respect to history and civilization and has success at the University of Tennessee (UT) by increasing the number of degrees pursued within the “College of Agriculture.” This class is populated by a variety of students with undeclared majors to upperclassmen in engineering and nursing.</w:t>
      </w:r>
    </w:p>
    <w:p w:rsidR="00333D31" w:rsidRDefault="00333D31" w:rsidP="001276F6">
      <w:pPr>
        <w:spacing w:line="480" w:lineRule="auto"/>
      </w:pPr>
      <w:r>
        <w:t xml:space="preserve">The course fills a general education requirement at UT and has evolved and grown over the nine years of its offering to over 200 students each semester. Several approaches are used in the course and data is being collected to begin to assess the impact this course has on attitudes about agriculture and soil science. Each semester several students change majors and become students in the College of Agriculture and Natural Resources as a result of taking this course. </w:t>
      </w:r>
    </w:p>
    <w:p w:rsidR="00333D31" w:rsidRDefault="00333D31" w:rsidP="001276F6">
      <w:pPr>
        <w:spacing w:line="480" w:lineRule="auto"/>
      </w:pPr>
      <w:r>
        <w:t>The course addresses some of the most important intersections of agriculture and society, including:</w:t>
      </w:r>
    </w:p>
    <w:p w:rsidR="00333D31" w:rsidRDefault="00333D31" w:rsidP="001276F6">
      <w:pPr>
        <w:pStyle w:val="ListParagraph"/>
        <w:numPr>
          <w:ilvl w:val="0"/>
          <w:numId w:val="2"/>
        </w:numPr>
        <w:spacing w:line="480" w:lineRule="auto"/>
      </w:pPr>
      <w:r>
        <w:t>Distribution of both population and food production and their impact on food security</w:t>
      </w:r>
    </w:p>
    <w:p w:rsidR="00333D31" w:rsidRDefault="00333D31" w:rsidP="001276F6">
      <w:pPr>
        <w:pStyle w:val="ListParagraph"/>
        <w:numPr>
          <w:ilvl w:val="0"/>
          <w:numId w:val="2"/>
        </w:numPr>
        <w:spacing w:line="480" w:lineRule="auto"/>
      </w:pPr>
      <w:r>
        <w:t>Environmental degradation and its impact on food production</w:t>
      </w:r>
    </w:p>
    <w:p w:rsidR="00333D31" w:rsidRDefault="00333D31" w:rsidP="001276F6">
      <w:pPr>
        <w:pStyle w:val="ListParagraph"/>
        <w:numPr>
          <w:ilvl w:val="0"/>
          <w:numId w:val="2"/>
        </w:numPr>
        <w:spacing w:line="480" w:lineRule="auto"/>
      </w:pPr>
      <w:r>
        <w:lastRenderedPageBreak/>
        <w:t>Historical analysis of the relationship between civilization success or failure and soil conservation</w:t>
      </w:r>
    </w:p>
    <w:p w:rsidR="00333D31" w:rsidRDefault="00333D31" w:rsidP="001276F6">
      <w:pPr>
        <w:pStyle w:val="ListParagraph"/>
        <w:numPr>
          <w:ilvl w:val="0"/>
          <w:numId w:val="2"/>
        </w:numPr>
        <w:spacing w:line="480" w:lineRule="auto"/>
      </w:pPr>
      <w:r>
        <w:t>The potential impact of climate change on food production</w:t>
      </w:r>
    </w:p>
    <w:p w:rsidR="00333D31" w:rsidRDefault="00333D31" w:rsidP="001276F6">
      <w:pPr>
        <w:pStyle w:val="ListParagraph"/>
        <w:numPr>
          <w:ilvl w:val="0"/>
          <w:numId w:val="2"/>
        </w:numPr>
        <w:spacing w:line="480" w:lineRule="auto"/>
      </w:pPr>
      <w:r>
        <w:t>An analysis of climate change as a contemporary example of the “tragedy of the commons” (Hardin, 1968; Ostrom, 1990)</w:t>
      </w:r>
    </w:p>
    <w:p w:rsidR="00333D31" w:rsidRDefault="00333D31" w:rsidP="001276F6">
      <w:pPr>
        <w:spacing w:line="480" w:lineRule="auto"/>
      </w:pPr>
      <w:r>
        <w:t xml:space="preserve">These topics provide a dynamic and cross-disciplinary subject matter that draws students into the material with issues that they can relate to on a personal level. At the outset, few students think there are environmental issues that could impact their livelihood but by semester’s end there has been some movement on the educational continuum. That combined with the tragic collapse of civilizations provides a dramatic background for learning about soil science, agriculture, history and geography. For example the disappearance of the Anasazi, Sumerians and Nubians provides a rich backdrop for learning about agricultural practices and the impacts of drought, deforestation and salinization. </w:t>
      </w:r>
    </w:p>
    <w:p w:rsidR="00333D31" w:rsidRDefault="00333D31" w:rsidP="001276F6">
      <w:pPr>
        <w:spacing w:line="480" w:lineRule="auto"/>
      </w:pPr>
      <w:r>
        <w:t>The objective of this approach is to:</w:t>
      </w:r>
    </w:p>
    <w:p w:rsidR="00333D31" w:rsidRDefault="00333D31" w:rsidP="001276F6">
      <w:pPr>
        <w:pStyle w:val="ListParagraph"/>
        <w:numPr>
          <w:ilvl w:val="0"/>
          <w:numId w:val="3"/>
        </w:numPr>
        <w:spacing w:line="480" w:lineRule="auto"/>
      </w:pPr>
      <w:r>
        <w:t>Educate the student populace about agriculture</w:t>
      </w:r>
    </w:p>
    <w:p w:rsidR="00333D31" w:rsidRDefault="00333D31" w:rsidP="001276F6">
      <w:pPr>
        <w:pStyle w:val="ListParagraph"/>
        <w:numPr>
          <w:ilvl w:val="0"/>
          <w:numId w:val="3"/>
        </w:numPr>
        <w:spacing w:line="480" w:lineRule="auto"/>
      </w:pPr>
      <w:r>
        <w:t>Make knowledge of agriculture more accessible to non-agriculture students by juxtaposing contemporary food security issues with historical collapses</w:t>
      </w:r>
    </w:p>
    <w:p w:rsidR="00333D31" w:rsidRDefault="00333D31" w:rsidP="001276F6">
      <w:pPr>
        <w:pStyle w:val="ListParagraph"/>
        <w:numPr>
          <w:ilvl w:val="0"/>
          <w:numId w:val="3"/>
        </w:numPr>
        <w:spacing w:line="480" w:lineRule="auto"/>
      </w:pPr>
      <w:r>
        <w:t>Show the importance of agriculture in addressing today’s pressing issues, such as food security and climate change</w:t>
      </w:r>
    </w:p>
    <w:p w:rsidR="00333D31" w:rsidRDefault="00333D31" w:rsidP="001276F6">
      <w:pPr>
        <w:pStyle w:val="ListParagraph"/>
        <w:numPr>
          <w:ilvl w:val="0"/>
          <w:numId w:val="3"/>
        </w:numPr>
        <w:spacing w:line="480" w:lineRule="auto"/>
      </w:pPr>
      <w:r>
        <w:t>Show the relationship between agriculture and natural resource conservation to the rise and fall of civilizations</w:t>
      </w:r>
    </w:p>
    <w:p w:rsidR="00333D31" w:rsidRDefault="00333D31" w:rsidP="001276F6">
      <w:pPr>
        <w:pStyle w:val="ListParagraph"/>
        <w:numPr>
          <w:ilvl w:val="0"/>
          <w:numId w:val="3"/>
        </w:numPr>
        <w:spacing w:line="480" w:lineRule="auto"/>
      </w:pPr>
      <w:r>
        <w:lastRenderedPageBreak/>
        <w:t>Entice students to learn more about agriculture and soil science with follow-up courses and possible pursuit of a major or career in agriculture and soil science.</w:t>
      </w:r>
    </w:p>
    <w:p w:rsidR="00333D31" w:rsidRDefault="00333D31" w:rsidP="001276F6">
      <w:pPr>
        <w:pStyle w:val="Heading2"/>
        <w:spacing w:line="480" w:lineRule="auto"/>
      </w:pPr>
      <w:bookmarkStart w:id="72" w:name="_Toc391021459"/>
      <w:r w:rsidRPr="00866776">
        <w:t>Materials and Methods</w:t>
      </w:r>
      <w:bookmarkEnd w:id="72"/>
    </w:p>
    <w:p w:rsidR="00333D31" w:rsidRDefault="00333D31" w:rsidP="001276F6">
      <w:pPr>
        <w:spacing w:line="480" w:lineRule="auto"/>
      </w:pPr>
      <w:r>
        <w:t>The course “Soils and Civilizations” was developed nine years ago at the University of Tennessee and has been taught 14 times. The class in spring 2013 had 188 students with 233 registered for Fall 2013. For the past five years enrollment has been capped by the seating capacity of the chosen classroom; in 2013 this course is held in the largest lecture hall on campus. The approach involves presenting interesting historical stories combined with science, problems and solutions and engaging and challenging students.</w:t>
      </w:r>
    </w:p>
    <w:p w:rsidR="00333D31" w:rsidRDefault="00333D31" w:rsidP="001276F6">
      <w:pPr>
        <w:spacing w:line="480" w:lineRule="auto"/>
      </w:pPr>
      <w:r>
        <w:t xml:space="preserve">There is no way to precisely measure the impact of a curriculum on students, as ideas and concepts can be presented and discussed that students may not grasp until later in their academic career. However, this paper is an attempt to quantify more immediate change in perception and attitude. During the 2012 fall semester a survey was conducted at the end of the course to characterize attitudes towards agriculture, climate change and soil science and to determine if the course had an impact on their opinions. The survey response rate was 62% (84 of 135 students). Tables 1 and 2 list the survey questions given to students at the end of the fall 2012 semester and the overall response of the students to the questions based on a Likert scale of importance (Table 1) and scale of agreement to several statements (Table 2). For the spring 2013 semester, surveys were conducted at the beginning and end of the semester to capture the actual change in student perceptions to various topics within the period of the course and to gauge how </w:t>
      </w:r>
      <w:r>
        <w:lastRenderedPageBreak/>
        <w:t>significant this course is towards enhancing perceptions about the importance of soils and agriculture to development and food security. Questions were modified and student responses are compared between the beginning and end of the semester for scale of importance questions (Table 3) and scale of agreement statements (Table 4).</w:t>
      </w:r>
    </w:p>
    <w:p w:rsidR="00333D31" w:rsidRDefault="00333D31" w:rsidP="001276F6">
      <w:pPr>
        <w:pStyle w:val="Heading2"/>
        <w:spacing w:line="480" w:lineRule="auto"/>
      </w:pPr>
      <w:bookmarkStart w:id="73" w:name="_Toc391021460"/>
      <w:r w:rsidRPr="00866776">
        <w:t>Results and Discussion</w:t>
      </w:r>
      <w:bookmarkEnd w:id="73"/>
    </w:p>
    <w:p w:rsidR="00333D31" w:rsidRDefault="00333D31" w:rsidP="001276F6">
      <w:pPr>
        <w:spacing w:line="480" w:lineRule="auto"/>
      </w:pPr>
      <w:r>
        <w:t>Thirteen percent of respondents in the fall 2012 survey indicated they were freshmen, 34% sophomores, 27% juniors and 26% seniors, with 56% male and 44% female. Based on the responses to the survey in Tables 1 and 2, we are able to make several noteworthy observations. Most of the students signified recognition of the connection between soils, agriculture and food security with 99% of respondents indicating that the class was somewhat or extremely important for understanding why soil is important to food security. Sixty-eight percent indicated it was extremely important for them to understand food security. Seventy-six percent indicated it was extremely important to understand soil resources to avoid environmental catastrophe. Forty percent of survey respondents agreed that their understanding of the topics covered in this course changed since the beginning of this class, while an additional 43% strongly agreed that their understanding of the topics covered in this course changed since the beginning of this class.</w:t>
      </w:r>
    </w:p>
    <w:p w:rsidR="00333D31" w:rsidRDefault="00333D31" w:rsidP="001276F6">
      <w:pPr>
        <w:spacing w:line="480" w:lineRule="auto"/>
      </w:pPr>
      <w:r>
        <w:t xml:space="preserve">Response to the survey also suggests that this course could have an impact on students actually considering a career in soil science. While 52% indicated that soil science was an unknown discipline to them before the course, the survey shows a change in awareness with 56% agreeing or strongly agreeing that they would like to take another class in soil </w:t>
      </w:r>
      <w:r>
        <w:lastRenderedPageBreak/>
        <w:t>science. Interestingly, 13% agreed that if they had taken the course earlier in their academic career, they might have changed their major to soil science, while an additional 5% strongly agreed they might have changed their major.</w:t>
      </w:r>
    </w:p>
    <w:p w:rsidR="00333D31" w:rsidRDefault="00333D31" w:rsidP="001276F6">
      <w:pPr>
        <w:spacing w:line="480" w:lineRule="auto"/>
      </w:pPr>
      <w:r>
        <w:t>The spring semester began with 193 students registered and 181 completed the course. During this session, 175 students took the survey at the beginning of the semester and 176 students completed the survey at the end. Twenty-nine percent of respondents taking the spring 2013 survey indicated they were freshmen, 21% sophomores, 26% juniors and 23% seniors, with 60% male and 40% female. Forty-six percent indicated they grew up in the suburbs, 16% in the city, 25% in rural areas and 13% on farm. The most significant change in responses by students to survey statements at the end of the course was an increase in the mean from 2.9, where 3 was “No opinion” to 4.1, with 4, being “Agree” in response to the statement, “I have a good understanding of sustainable agriculture.” Another notable change was an increase in the mean from 3.2 to 3.8 in response to the statement, “I think that all students should be required to take a class in agriculture or soil science” and from 3.5 to 4.3 in response to the statement that “The information provided in this course is important for all UT students.”  By the end of the course students indicated that the !Kung Bushmen were an example of a sustainable civilization (Figure 1) and our US civilization is similar to most civilizations studied that have disappeared. While the news politicizes climate change issues, students found climate change to be a fact.</w:t>
      </w:r>
    </w:p>
    <w:p w:rsidR="00333D31" w:rsidRDefault="00333D31" w:rsidP="00333D31">
      <w:pPr>
        <w:pStyle w:val="Caption"/>
      </w:pPr>
      <w:bookmarkStart w:id="74" w:name="_Toc390954650"/>
      <w:r>
        <w:lastRenderedPageBreak/>
        <w:t xml:space="preserve">Table </w:t>
      </w:r>
      <w:r w:rsidR="009A2E66">
        <w:t>3</w:t>
      </w:r>
      <w:r w:rsidR="00A85C1F">
        <w:noBreakHyphen/>
      </w:r>
      <w:fldSimple w:instr=" SEQ Table \* ARABIC \s 1 ">
        <w:r w:rsidR="00A85C1F">
          <w:rPr>
            <w:noProof/>
          </w:rPr>
          <w:t>1</w:t>
        </w:r>
      </w:fldSimple>
      <w:r>
        <w:t xml:space="preserve"> </w:t>
      </w:r>
      <w:r w:rsidRPr="00112AAB">
        <w:t>Student responses at the end of 2012 Fall Semester using a Likert scale based are questions/statements asked with answers on a scale of importanc</w:t>
      </w:r>
      <w:r>
        <w:t>e</w:t>
      </w:r>
      <w:bookmarkEnd w:id="74"/>
    </w:p>
    <w:tbl>
      <w:tblPr>
        <w:tblW w:w="5000" w:type="pct"/>
        <w:tblLayout w:type="fixed"/>
        <w:tblCellMar>
          <w:left w:w="58" w:type="dxa"/>
          <w:right w:w="0" w:type="dxa"/>
        </w:tblCellMar>
        <w:tblLook w:val="04A0" w:firstRow="1" w:lastRow="0" w:firstColumn="1" w:lastColumn="0" w:noHBand="0" w:noVBand="1"/>
      </w:tblPr>
      <w:tblGrid>
        <w:gridCol w:w="239"/>
        <w:gridCol w:w="2699"/>
        <w:gridCol w:w="540"/>
        <w:gridCol w:w="540"/>
        <w:gridCol w:w="451"/>
        <w:gridCol w:w="542"/>
        <w:gridCol w:w="538"/>
        <w:gridCol w:w="451"/>
        <w:gridCol w:w="542"/>
        <w:gridCol w:w="451"/>
        <w:gridCol w:w="362"/>
        <w:gridCol w:w="449"/>
        <w:gridCol w:w="455"/>
        <w:gridCol w:w="449"/>
      </w:tblGrid>
      <w:tr w:rsidR="00333D31" w:rsidTr="00333D31">
        <w:trPr>
          <w:trHeight w:val="315"/>
        </w:trPr>
        <w:tc>
          <w:tcPr>
            <w:tcW w:w="2307" w:type="pct"/>
            <w:gridSpan w:val="4"/>
            <w:vMerge w:val="restart"/>
            <w:tcBorders>
              <w:top w:val="single" w:sz="8" w:space="0" w:color="auto"/>
              <w:left w:val="single" w:sz="8" w:space="0" w:color="auto"/>
              <w:bottom w:val="single" w:sz="4" w:space="0" w:color="000000"/>
              <w:right w:val="single" w:sz="4" w:space="0" w:color="000000"/>
            </w:tcBorders>
            <w:shd w:val="clear" w:color="auto" w:fill="auto"/>
            <w:noWrap/>
            <w:vAlign w:val="bottom"/>
            <w:hideMark/>
          </w:tcPr>
          <w:p w:rsidR="00333D31" w:rsidRDefault="00333D31" w:rsidP="00333D31">
            <w:pPr>
              <w:spacing w:line="240" w:lineRule="auto"/>
              <w:jc w:val="center"/>
              <w:rPr>
                <w:rFonts w:ascii="Calibri" w:hAnsi="Calibri"/>
                <w:b/>
                <w:bCs/>
                <w:color w:val="000000"/>
              </w:rPr>
            </w:pPr>
            <w:r>
              <w:rPr>
                <w:rFonts w:ascii="Calibri" w:hAnsi="Calibri"/>
                <w:b/>
                <w:bCs/>
                <w:color w:val="000000"/>
              </w:rPr>
              <w:t> </w:t>
            </w:r>
          </w:p>
        </w:tc>
        <w:tc>
          <w:tcPr>
            <w:tcW w:w="2693" w:type="pct"/>
            <w:gridSpan w:val="10"/>
            <w:tcBorders>
              <w:top w:val="single" w:sz="8" w:space="0" w:color="auto"/>
              <w:left w:val="nil"/>
              <w:bottom w:val="single" w:sz="4" w:space="0" w:color="auto"/>
              <w:right w:val="single" w:sz="8" w:space="0" w:color="000000"/>
            </w:tcBorders>
            <w:shd w:val="clear" w:color="auto" w:fill="auto"/>
            <w:noWrap/>
            <w:vAlign w:val="bottom"/>
            <w:hideMark/>
          </w:tcPr>
          <w:p w:rsidR="00333D31" w:rsidRDefault="00333D31" w:rsidP="00333D31">
            <w:pPr>
              <w:spacing w:line="240" w:lineRule="auto"/>
              <w:jc w:val="center"/>
              <w:rPr>
                <w:rFonts w:ascii="Calibri" w:hAnsi="Calibri"/>
                <w:b/>
                <w:bCs/>
                <w:color w:val="000000"/>
              </w:rPr>
            </w:pPr>
            <w:r>
              <w:rPr>
                <w:rFonts w:ascii="Calibri" w:hAnsi="Calibri"/>
                <w:b/>
                <w:bCs/>
                <w:color w:val="000000"/>
              </w:rPr>
              <w:t>Scale of Importance</w:t>
            </w:r>
          </w:p>
        </w:tc>
      </w:tr>
      <w:tr w:rsidR="00333D31" w:rsidTr="00333D31">
        <w:trPr>
          <w:trHeight w:val="300"/>
        </w:trPr>
        <w:tc>
          <w:tcPr>
            <w:tcW w:w="2307" w:type="pct"/>
            <w:gridSpan w:val="4"/>
            <w:vMerge/>
            <w:tcBorders>
              <w:top w:val="single" w:sz="8" w:space="0" w:color="auto"/>
              <w:left w:val="single" w:sz="8" w:space="0" w:color="auto"/>
              <w:bottom w:val="single" w:sz="4" w:space="0" w:color="000000"/>
              <w:right w:val="single" w:sz="4" w:space="0" w:color="000000"/>
            </w:tcBorders>
            <w:vAlign w:val="center"/>
            <w:hideMark/>
          </w:tcPr>
          <w:p w:rsidR="00333D31" w:rsidRDefault="00333D31" w:rsidP="00333D31">
            <w:pPr>
              <w:spacing w:line="240" w:lineRule="auto"/>
              <w:rPr>
                <w:rFonts w:ascii="Calibri" w:hAnsi="Calibri"/>
                <w:b/>
                <w:bCs/>
                <w:color w:val="000000"/>
              </w:rPr>
            </w:pPr>
          </w:p>
        </w:tc>
        <w:tc>
          <w:tcPr>
            <w:tcW w:w="570" w:type="pct"/>
            <w:gridSpan w:val="2"/>
            <w:tcBorders>
              <w:top w:val="single" w:sz="4" w:space="0" w:color="auto"/>
              <w:left w:val="nil"/>
              <w:bottom w:val="single" w:sz="4" w:space="0" w:color="auto"/>
              <w:right w:val="single" w:sz="4" w:space="0" w:color="auto"/>
            </w:tcBorders>
            <w:shd w:val="clear" w:color="auto" w:fill="auto"/>
            <w:noWrap/>
            <w:vAlign w:val="bottom"/>
            <w:hideMark/>
          </w:tcPr>
          <w:p w:rsidR="00333D31" w:rsidRPr="00112AAB" w:rsidRDefault="00333D31" w:rsidP="00333D31">
            <w:pPr>
              <w:spacing w:line="240" w:lineRule="auto"/>
              <w:rPr>
                <w:rFonts w:ascii="Calibri" w:hAnsi="Calibri"/>
                <w:b/>
                <w:bCs/>
                <w:color w:val="000000"/>
                <w:sz w:val="18"/>
                <w:szCs w:val="18"/>
              </w:rPr>
            </w:pPr>
            <w:r w:rsidRPr="00112AAB">
              <w:rPr>
                <w:rFonts w:ascii="Calibri" w:hAnsi="Calibri"/>
                <w:b/>
                <w:bCs/>
                <w:color w:val="000000"/>
                <w:sz w:val="18"/>
                <w:szCs w:val="18"/>
              </w:rPr>
              <w:t>Extremely</w:t>
            </w:r>
          </w:p>
        </w:tc>
        <w:tc>
          <w:tcPr>
            <w:tcW w:w="568" w:type="pct"/>
            <w:gridSpan w:val="2"/>
            <w:tcBorders>
              <w:top w:val="single" w:sz="4" w:space="0" w:color="auto"/>
              <w:left w:val="nil"/>
              <w:bottom w:val="single" w:sz="4" w:space="0" w:color="auto"/>
              <w:right w:val="single" w:sz="4" w:space="0" w:color="auto"/>
            </w:tcBorders>
            <w:shd w:val="clear" w:color="auto" w:fill="auto"/>
            <w:noWrap/>
            <w:vAlign w:val="bottom"/>
            <w:hideMark/>
          </w:tcPr>
          <w:p w:rsidR="00333D31" w:rsidRPr="00112AAB" w:rsidRDefault="00333D31" w:rsidP="00333D31">
            <w:pPr>
              <w:spacing w:line="240" w:lineRule="auto"/>
              <w:rPr>
                <w:rFonts w:ascii="Calibri" w:hAnsi="Calibri"/>
                <w:b/>
                <w:bCs/>
                <w:color w:val="000000"/>
                <w:sz w:val="18"/>
                <w:szCs w:val="18"/>
              </w:rPr>
            </w:pPr>
            <w:r w:rsidRPr="00112AAB">
              <w:rPr>
                <w:rFonts w:ascii="Calibri" w:hAnsi="Calibri"/>
                <w:b/>
                <w:bCs/>
                <w:color w:val="000000"/>
                <w:sz w:val="18"/>
                <w:szCs w:val="18"/>
              </w:rPr>
              <w:t>Somewhat</w:t>
            </w:r>
          </w:p>
        </w:tc>
        <w:tc>
          <w:tcPr>
            <w:tcW w:w="570" w:type="pct"/>
            <w:gridSpan w:val="2"/>
            <w:tcBorders>
              <w:top w:val="single" w:sz="4" w:space="0" w:color="auto"/>
              <w:left w:val="nil"/>
              <w:bottom w:val="single" w:sz="4" w:space="0" w:color="auto"/>
              <w:right w:val="single" w:sz="4" w:space="0" w:color="auto"/>
            </w:tcBorders>
            <w:shd w:val="clear" w:color="auto" w:fill="auto"/>
            <w:noWrap/>
            <w:vAlign w:val="bottom"/>
            <w:hideMark/>
          </w:tcPr>
          <w:p w:rsidR="00333D31" w:rsidRPr="00112AAB" w:rsidRDefault="00333D31" w:rsidP="00333D31">
            <w:pPr>
              <w:spacing w:line="240" w:lineRule="auto"/>
              <w:rPr>
                <w:rFonts w:ascii="Calibri" w:hAnsi="Calibri"/>
                <w:b/>
                <w:bCs/>
                <w:color w:val="000000"/>
                <w:sz w:val="18"/>
                <w:szCs w:val="18"/>
              </w:rPr>
            </w:pPr>
            <w:r w:rsidRPr="00112AAB">
              <w:rPr>
                <w:rFonts w:ascii="Calibri" w:hAnsi="Calibri"/>
                <w:b/>
                <w:bCs/>
                <w:color w:val="000000"/>
                <w:sz w:val="18"/>
                <w:szCs w:val="18"/>
              </w:rPr>
              <w:t>No Opinion</w:t>
            </w:r>
          </w:p>
        </w:tc>
        <w:tc>
          <w:tcPr>
            <w:tcW w:w="466" w:type="pct"/>
            <w:gridSpan w:val="2"/>
            <w:tcBorders>
              <w:top w:val="single" w:sz="4" w:space="0" w:color="auto"/>
              <w:left w:val="nil"/>
              <w:bottom w:val="single" w:sz="4" w:space="0" w:color="auto"/>
              <w:right w:val="single" w:sz="4" w:space="0" w:color="auto"/>
            </w:tcBorders>
            <w:shd w:val="clear" w:color="auto" w:fill="auto"/>
            <w:noWrap/>
            <w:vAlign w:val="bottom"/>
            <w:hideMark/>
          </w:tcPr>
          <w:p w:rsidR="00333D31" w:rsidRPr="00112AAB" w:rsidRDefault="00333D31" w:rsidP="00333D31">
            <w:pPr>
              <w:spacing w:line="240" w:lineRule="auto"/>
              <w:rPr>
                <w:rFonts w:ascii="Calibri" w:hAnsi="Calibri"/>
                <w:b/>
                <w:bCs/>
                <w:color w:val="000000"/>
                <w:sz w:val="18"/>
                <w:szCs w:val="18"/>
              </w:rPr>
            </w:pPr>
            <w:r w:rsidRPr="00112AAB">
              <w:rPr>
                <w:rFonts w:ascii="Calibri" w:hAnsi="Calibri"/>
                <w:b/>
                <w:bCs/>
                <w:color w:val="000000"/>
                <w:sz w:val="18"/>
                <w:szCs w:val="18"/>
              </w:rPr>
              <w:t>Not Very</w:t>
            </w:r>
          </w:p>
        </w:tc>
        <w:tc>
          <w:tcPr>
            <w:tcW w:w="519" w:type="pct"/>
            <w:gridSpan w:val="2"/>
            <w:tcBorders>
              <w:top w:val="single" w:sz="4" w:space="0" w:color="auto"/>
              <w:left w:val="nil"/>
              <w:bottom w:val="single" w:sz="4" w:space="0" w:color="auto"/>
              <w:right w:val="single" w:sz="8" w:space="0" w:color="000000"/>
            </w:tcBorders>
            <w:shd w:val="clear" w:color="auto" w:fill="auto"/>
            <w:noWrap/>
            <w:vAlign w:val="bottom"/>
            <w:hideMark/>
          </w:tcPr>
          <w:p w:rsidR="00333D31" w:rsidRPr="00112AAB" w:rsidRDefault="00333D31" w:rsidP="00333D31">
            <w:pPr>
              <w:spacing w:line="240" w:lineRule="auto"/>
              <w:rPr>
                <w:rFonts w:ascii="Calibri" w:hAnsi="Calibri"/>
                <w:b/>
                <w:bCs/>
                <w:color w:val="000000"/>
                <w:sz w:val="18"/>
                <w:szCs w:val="18"/>
              </w:rPr>
            </w:pPr>
            <w:r w:rsidRPr="00112AAB">
              <w:rPr>
                <w:rFonts w:ascii="Calibri" w:hAnsi="Calibri"/>
                <w:b/>
                <w:bCs/>
                <w:color w:val="000000"/>
                <w:sz w:val="18"/>
                <w:szCs w:val="18"/>
              </w:rPr>
              <w:t>Not At All</w:t>
            </w:r>
          </w:p>
        </w:tc>
      </w:tr>
      <w:tr w:rsidR="00333D31" w:rsidTr="00333D31">
        <w:trPr>
          <w:trHeight w:val="503"/>
        </w:trPr>
        <w:tc>
          <w:tcPr>
            <w:tcW w:w="137" w:type="pct"/>
            <w:tcBorders>
              <w:top w:val="nil"/>
              <w:left w:val="single" w:sz="8" w:space="0" w:color="auto"/>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w:t>
            </w:r>
          </w:p>
        </w:tc>
        <w:tc>
          <w:tcPr>
            <w:tcW w:w="1550"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8"/>
                <w:szCs w:val="18"/>
              </w:rPr>
            </w:pPr>
            <w:r w:rsidRPr="00112AAB">
              <w:rPr>
                <w:rFonts w:ascii="Calibri" w:hAnsi="Calibri"/>
                <w:b/>
                <w:bCs/>
                <w:color w:val="000000"/>
                <w:sz w:val="18"/>
                <w:szCs w:val="18"/>
              </w:rPr>
              <w:t>Questions/Statements</w:t>
            </w:r>
          </w:p>
        </w:tc>
        <w:tc>
          <w:tcPr>
            <w:tcW w:w="310" w:type="pct"/>
            <w:tcBorders>
              <w:top w:val="nil"/>
              <w:left w:val="nil"/>
              <w:bottom w:val="single" w:sz="4" w:space="0" w:color="auto"/>
              <w:right w:val="single" w:sz="4" w:space="0" w:color="auto"/>
            </w:tcBorders>
            <w:shd w:val="clear" w:color="auto" w:fill="auto"/>
            <w:vAlign w:val="center"/>
            <w:hideMark/>
          </w:tcPr>
          <w:p w:rsidR="00333D31" w:rsidRPr="00884F5F" w:rsidRDefault="00333D31" w:rsidP="00333D31">
            <w:pPr>
              <w:spacing w:line="240" w:lineRule="auto"/>
              <w:jc w:val="center"/>
              <w:rPr>
                <w:rFonts w:ascii="Calibri" w:hAnsi="Calibri"/>
                <w:b/>
                <w:bCs/>
                <w:color w:val="000000"/>
                <w:sz w:val="16"/>
                <w:szCs w:val="16"/>
              </w:rPr>
            </w:pPr>
            <w:r w:rsidRPr="00884F5F">
              <w:rPr>
                <w:rFonts w:ascii="Calibri" w:hAnsi="Calibri"/>
                <w:b/>
                <w:bCs/>
                <w:color w:val="000000"/>
                <w:sz w:val="16"/>
                <w:szCs w:val="16"/>
              </w:rPr>
              <w:t>Mean</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bCs/>
                <w:color w:val="000000"/>
                <w:sz w:val="16"/>
                <w:szCs w:val="16"/>
              </w:rPr>
            </w:pPr>
            <w:r>
              <w:rPr>
                <w:rFonts w:ascii="Calibri" w:hAnsi="Calibri"/>
                <w:b/>
                <w:bCs/>
                <w:color w:val="000000"/>
                <w:sz w:val="16"/>
                <w:szCs w:val="16"/>
              </w:rPr>
              <w:t>SD</w:t>
            </w:r>
          </w:p>
        </w:tc>
        <w:tc>
          <w:tcPr>
            <w:tcW w:w="259"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5's</w:t>
            </w:r>
          </w:p>
        </w:tc>
        <w:tc>
          <w:tcPr>
            <w:tcW w:w="311"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5's</w:t>
            </w:r>
          </w:p>
        </w:tc>
        <w:tc>
          <w:tcPr>
            <w:tcW w:w="309"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4's</w:t>
            </w:r>
          </w:p>
        </w:tc>
        <w:tc>
          <w:tcPr>
            <w:tcW w:w="259"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4's</w:t>
            </w:r>
          </w:p>
        </w:tc>
        <w:tc>
          <w:tcPr>
            <w:tcW w:w="311"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3's</w:t>
            </w:r>
          </w:p>
        </w:tc>
        <w:tc>
          <w:tcPr>
            <w:tcW w:w="259"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3's</w:t>
            </w:r>
          </w:p>
        </w:tc>
        <w:tc>
          <w:tcPr>
            <w:tcW w:w="208"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2's</w:t>
            </w:r>
          </w:p>
        </w:tc>
        <w:tc>
          <w:tcPr>
            <w:tcW w:w="258"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2's</w:t>
            </w:r>
          </w:p>
        </w:tc>
        <w:tc>
          <w:tcPr>
            <w:tcW w:w="261" w:type="pct"/>
            <w:tcBorders>
              <w:top w:val="nil"/>
              <w:left w:val="nil"/>
              <w:bottom w:val="single" w:sz="4" w:space="0" w:color="auto"/>
              <w:right w:val="single" w:sz="4"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1's</w:t>
            </w:r>
          </w:p>
        </w:tc>
        <w:tc>
          <w:tcPr>
            <w:tcW w:w="258" w:type="pct"/>
            <w:tcBorders>
              <w:top w:val="nil"/>
              <w:left w:val="nil"/>
              <w:bottom w:val="single" w:sz="4" w:space="0" w:color="auto"/>
              <w:right w:val="single" w:sz="8" w:space="0" w:color="auto"/>
            </w:tcBorders>
            <w:shd w:val="clear" w:color="auto" w:fill="auto"/>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 of 1's</w:t>
            </w:r>
          </w:p>
        </w:tc>
      </w:tr>
      <w:tr w:rsidR="00333D31" w:rsidTr="00333D31">
        <w:trPr>
          <w:trHeight w:val="300"/>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1</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The topics covered in this course</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4.4</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0.59</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40</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48%</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42</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50%</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620"/>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2</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This class is important for understanding why soil is important to food security</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4.7</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0.49</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60</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71%</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23</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27%</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629"/>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3</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It is important to understand intrinsic soil productivity and its link to sustainability</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4.5</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0.59</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44</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52%</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36</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43%</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683"/>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4</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would it be for you to take a student travel course to further understand food security?</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3.4</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1.10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36%</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r>
      <w:tr w:rsidR="00333D31" w:rsidTr="00333D31">
        <w:trPr>
          <w:trHeight w:val="440"/>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5</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is it to understand the downfall of the Maya</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4.0</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0.75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17</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20%</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61%</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13</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15%</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r>
      <w:tr w:rsidR="00333D31" w:rsidTr="00333D31">
        <w:trPr>
          <w:trHeight w:val="495"/>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6</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is it to understand the downfall of the Greenland Norse?</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3.8</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0.78</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49</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58%</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18%</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6</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7%</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495"/>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7</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is it to understand the role of energy in our lifestyle?</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4.8</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0.45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66</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79%</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17</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20%</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495"/>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8</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were the oral readings in lecture?</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3.4</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1.02</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54%</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16</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19%</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r>
      <w:tr w:rsidR="00333D31" w:rsidTr="00333D31">
        <w:trPr>
          <w:trHeight w:val="495"/>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rPr>
                <w:rFonts w:ascii="Calibri" w:hAnsi="Calibri"/>
                <w:b/>
                <w:bCs/>
                <w:color w:val="000000"/>
                <w:sz w:val="18"/>
                <w:szCs w:val="18"/>
              </w:rPr>
            </w:pPr>
            <w:r>
              <w:rPr>
                <w:rFonts w:ascii="Calibri" w:hAnsi="Calibri"/>
                <w:b/>
                <w:bCs/>
                <w:color w:val="000000"/>
                <w:sz w:val="18"/>
                <w:szCs w:val="18"/>
              </w:rPr>
              <w:t>9</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How important is it to you to understand food security?</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4.6</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0.70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57</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68%</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24%</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735"/>
        </w:trPr>
        <w:tc>
          <w:tcPr>
            <w:tcW w:w="137" w:type="pct"/>
            <w:tcBorders>
              <w:top w:val="nil"/>
              <w:left w:val="single" w:sz="8" w:space="0" w:color="auto"/>
              <w:bottom w:val="single" w:sz="4" w:space="0" w:color="auto"/>
              <w:right w:val="single" w:sz="4" w:space="0" w:color="auto"/>
            </w:tcBorders>
            <w:shd w:val="clear" w:color="auto" w:fill="auto"/>
            <w:noWrap/>
            <w:vAlign w:val="center"/>
            <w:hideMark/>
          </w:tcPr>
          <w:p w:rsidR="00333D31" w:rsidRPr="00112AAB" w:rsidRDefault="00333D31" w:rsidP="00333D31">
            <w:pPr>
              <w:spacing w:line="240" w:lineRule="auto"/>
              <w:rPr>
                <w:rFonts w:ascii="Calibri" w:hAnsi="Calibri"/>
                <w:b/>
                <w:bCs/>
                <w:color w:val="000000"/>
                <w:sz w:val="16"/>
                <w:szCs w:val="16"/>
              </w:rPr>
            </w:pPr>
            <w:r w:rsidRPr="00112AAB">
              <w:rPr>
                <w:rFonts w:ascii="Calibri" w:hAnsi="Calibri"/>
                <w:b/>
                <w:bCs/>
                <w:color w:val="000000"/>
                <w:sz w:val="16"/>
                <w:szCs w:val="16"/>
              </w:rPr>
              <w:t>10</w:t>
            </w:r>
          </w:p>
        </w:tc>
        <w:tc>
          <w:tcPr>
            <w:tcW w:w="1550"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If you were forced to emigrate, how important would it be to evaluate the soils before hand?</w:t>
            </w:r>
          </w:p>
        </w:tc>
        <w:tc>
          <w:tcPr>
            <w:tcW w:w="310" w:type="pct"/>
            <w:tcBorders>
              <w:top w:val="nil"/>
              <w:left w:val="nil"/>
              <w:bottom w:val="single" w:sz="4"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4.3</w:t>
            </w:r>
          </w:p>
        </w:tc>
        <w:tc>
          <w:tcPr>
            <w:tcW w:w="310" w:type="pct"/>
            <w:tcBorders>
              <w:top w:val="nil"/>
              <w:left w:val="nil"/>
              <w:bottom w:val="single" w:sz="4"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0.82</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43</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51%</w:t>
            </w:r>
          </w:p>
        </w:tc>
        <w:tc>
          <w:tcPr>
            <w:tcW w:w="30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26</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31%</w:t>
            </w:r>
          </w:p>
        </w:tc>
        <w:tc>
          <w:tcPr>
            <w:tcW w:w="31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13</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15%</w:t>
            </w:r>
          </w:p>
        </w:tc>
        <w:tc>
          <w:tcPr>
            <w:tcW w:w="20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258"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61"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510"/>
        </w:trPr>
        <w:tc>
          <w:tcPr>
            <w:tcW w:w="137" w:type="pct"/>
            <w:tcBorders>
              <w:top w:val="nil"/>
              <w:left w:val="single" w:sz="8" w:space="0" w:color="auto"/>
              <w:bottom w:val="single" w:sz="8" w:space="0" w:color="auto"/>
              <w:right w:val="single" w:sz="4" w:space="0" w:color="auto"/>
            </w:tcBorders>
            <w:shd w:val="clear" w:color="auto" w:fill="auto"/>
            <w:noWrap/>
            <w:vAlign w:val="center"/>
            <w:hideMark/>
          </w:tcPr>
          <w:p w:rsidR="00333D31" w:rsidRPr="00112AAB" w:rsidRDefault="00333D31" w:rsidP="00333D31">
            <w:pPr>
              <w:spacing w:line="240" w:lineRule="auto"/>
              <w:jc w:val="center"/>
              <w:rPr>
                <w:rFonts w:ascii="Calibri" w:hAnsi="Calibri"/>
                <w:b/>
                <w:bCs/>
                <w:color w:val="000000"/>
                <w:sz w:val="16"/>
                <w:szCs w:val="16"/>
              </w:rPr>
            </w:pPr>
            <w:r w:rsidRPr="00112AAB">
              <w:rPr>
                <w:rFonts w:ascii="Calibri" w:hAnsi="Calibri"/>
                <w:b/>
                <w:bCs/>
                <w:color w:val="000000"/>
                <w:sz w:val="16"/>
                <w:szCs w:val="16"/>
              </w:rPr>
              <w:t>11</w:t>
            </w:r>
          </w:p>
        </w:tc>
        <w:tc>
          <w:tcPr>
            <w:tcW w:w="1550" w:type="pct"/>
            <w:tcBorders>
              <w:top w:val="nil"/>
              <w:left w:val="nil"/>
              <w:bottom w:val="single" w:sz="8"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Understanding soil resources to avoid environmental catastrophe?</w:t>
            </w:r>
          </w:p>
        </w:tc>
        <w:tc>
          <w:tcPr>
            <w:tcW w:w="310" w:type="pct"/>
            <w:tcBorders>
              <w:top w:val="nil"/>
              <w:left w:val="nil"/>
              <w:bottom w:val="single" w:sz="8" w:space="0" w:color="auto"/>
              <w:right w:val="single" w:sz="4" w:space="0" w:color="auto"/>
            </w:tcBorders>
            <w:shd w:val="clear" w:color="auto" w:fill="auto"/>
            <w:noWrap/>
            <w:vAlign w:val="center"/>
            <w:hideMark/>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4.8</w:t>
            </w:r>
          </w:p>
        </w:tc>
        <w:tc>
          <w:tcPr>
            <w:tcW w:w="310" w:type="pct"/>
            <w:tcBorders>
              <w:top w:val="nil"/>
              <w:left w:val="nil"/>
              <w:bottom w:val="single" w:sz="8" w:space="0" w:color="auto"/>
              <w:right w:val="single" w:sz="4" w:space="0" w:color="auto"/>
            </w:tcBorders>
            <w:shd w:val="clear" w:color="auto" w:fill="auto"/>
            <w:vAlign w:val="center"/>
          </w:tcPr>
          <w:p w:rsidR="00333D31" w:rsidRPr="001E57BB" w:rsidRDefault="00333D31" w:rsidP="00333D31">
            <w:pPr>
              <w:spacing w:line="240" w:lineRule="auto"/>
              <w:jc w:val="center"/>
              <w:rPr>
                <w:rFonts w:ascii="Calibri" w:hAnsi="Calibri"/>
                <w:b/>
                <w:color w:val="000000"/>
                <w:sz w:val="18"/>
                <w:szCs w:val="18"/>
              </w:rPr>
            </w:pPr>
            <w:r w:rsidRPr="001E57BB">
              <w:rPr>
                <w:rFonts w:ascii="Calibri" w:hAnsi="Calibri"/>
                <w:b/>
                <w:color w:val="000000"/>
                <w:sz w:val="18"/>
                <w:szCs w:val="18"/>
              </w:rPr>
              <w:t>0.46</w:t>
            </w:r>
          </w:p>
        </w:tc>
        <w:tc>
          <w:tcPr>
            <w:tcW w:w="259"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64</w:t>
            </w:r>
          </w:p>
        </w:tc>
        <w:tc>
          <w:tcPr>
            <w:tcW w:w="311"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76%</w:t>
            </w:r>
          </w:p>
        </w:tc>
        <w:tc>
          <w:tcPr>
            <w:tcW w:w="309"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19</w:t>
            </w:r>
          </w:p>
        </w:tc>
        <w:tc>
          <w:tcPr>
            <w:tcW w:w="259"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23%</w:t>
            </w:r>
          </w:p>
        </w:tc>
        <w:tc>
          <w:tcPr>
            <w:tcW w:w="311"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9"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08"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c>
          <w:tcPr>
            <w:tcW w:w="261"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8" w:type="pct"/>
            <w:tcBorders>
              <w:top w:val="nil"/>
              <w:left w:val="nil"/>
              <w:bottom w:val="single" w:sz="8"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bl>
    <w:p w:rsidR="00333D31" w:rsidRDefault="00333D31" w:rsidP="00333D31"/>
    <w:p w:rsidR="00333D31" w:rsidRDefault="00333D31" w:rsidP="00333D31">
      <w:pPr>
        <w:pStyle w:val="Caption"/>
      </w:pPr>
      <w:bookmarkStart w:id="75" w:name="_Toc390954651"/>
      <w:r>
        <w:t xml:space="preserve">Table </w:t>
      </w:r>
      <w:r w:rsidR="009A2E66">
        <w:t>3</w:t>
      </w:r>
      <w:r w:rsidR="00A85C1F">
        <w:noBreakHyphen/>
      </w:r>
      <w:fldSimple w:instr=" SEQ Table \* ARABIC \s 1 ">
        <w:r w:rsidR="00A85C1F">
          <w:rPr>
            <w:noProof/>
          </w:rPr>
          <w:t>2</w:t>
        </w:r>
      </w:fldSimple>
      <w:r>
        <w:t xml:space="preserve"> </w:t>
      </w:r>
      <w:r w:rsidRPr="00AF654A">
        <w:t>Student responses at the end of 2012 Fall Semester using a Likert scale based are questions/statements asked with a</w:t>
      </w:r>
      <w:r>
        <w:t>nswers on a scale of importance</w:t>
      </w:r>
      <w:bookmarkEnd w:id="75"/>
    </w:p>
    <w:tbl>
      <w:tblPr>
        <w:tblW w:w="4990" w:type="pct"/>
        <w:tblLayout w:type="fixed"/>
        <w:tblCellMar>
          <w:left w:w="29" w:type="dxa"/>
          <w:right w:w="29" w:type="dxa"/>
        </w:tblCellMar>
        <w:tblLook w:val="04A0" w:firstRow="1" w:lastRow="0" w:firstColumn="1" w:lastColumn="0" w:noHBand="0" w:noVBand="1"/>
      </w:tblPr>
      <w:tblGrid>
        <w:gridCol w:w="361"/>
        <w:gridCol w:w="2575"/>
        <w:gridCol w:w="618"/>
        <w:gridCol w:w="517"/>
        <w:gridCol w:w="399"/>
        <w:gridCol w:w="530"/>
        <w:gridCol w:w="399"/>
        <w:gridCol w:w="530"/>
        <w:gridCol w:w="399"/>
        <w:gridCol w:w="530"/>
        <w:gridCol w:w="399"/>
        <w:gridCol w:w="530"/>
        <w:gridCol w:w="450"/>
        <w:gridCol w:w="444"/>
      </w:tblGrid>
      <w:tr w:rsidR="00333D31" w:rsidTr="00333D31">
        <w:trPr>
          <w:cantSplit/>
          <w:trHeight w:val="315"/>
          <w:tblHeader/>
        </w:trPr>
        <w:tc>
          <w:tcPr>
            <w:tcW w:w="2345" w:type="pct"/>
            <w:gridSpan w:val="4"/>
            <w:vMerge w:val="restart"/>
            <w:tcBorders>
              <w:top w:val="single" w:sz="8" w:space="0" w:color="auto"/>
              <w:left w:val="single" w:sz="8" w:space="0" w:color="auto"/>
              <w:bottom w:val="single" w:sz="4" w:space="0" w:color="auto"/>
              <w:right w:val="single" w:sz="4" w:space="0" w:color="auto"/>
            </w:tcBorders>
            <w:shd w:val="clear" w:color="auto" w:fill="auto"/>
            <w:noWrap/>
            <w:vAlign w:val="center"/>
          </w:tcPr>
          <w:p w:rsidR="00333D31" w:rsidRDefault="00333D31" w:rsidP="00333D31">
            <w:pPr>
              <w:spacing w:line="240" w:lineRule="auto"/>
              <w:jc w:val="center"/>
              <w:rPr>
                <w:rFonts w:ascii="Calibri" w:hAnsi="Calibri"/>
                <w:b/>
                <w:bCs/>
                <w:color w:val="000000"/>
              </w:rPr>
            </w:pPr>
          </w:p>
        </w:tc>
        <w:tc>
          <w:tcPr>
            <w:tcW w:w="2655" w:type="pct"/>
            <w:gridSpan w:val="10"/>
            <w:tcBorders>
              <w:top w:val="single" w:sz="8" w:space="0" w:color="auto"/>
              <w:left w:val="nil"/>
              <w:bottom w:val="single" w:sz="4" w:space="0" w:color="auto"/>
              <w:right w:val="single" w:sz="8" w:space="0" w:color="000000"/>
            </w:tcBorders>
            <w:shd w:val="clear" w:color="auto" w:fill="auto"/>
            <w:noWrap/>
            <w:vAlign w:val="center"/>
            <w:hideMark/>
          </w:tcPr>
          <w:p w:rsidR="00333D31" w:rsidRDefault="00333D31" w:rsidP="00333D31">
            <w:pPr>
              <w:spacing w:line="240" w:lineRule="auto"/>
              <w:jc w:val="center"/>
              <w:rPr>
                <w:rFonts w:ascii="Calibri" w:hAnsi="Calibri"/>
                <w:b/>
                <w:bCs/>
                <w:color w:val="000000"/>
              </w:rPr>
            </w:pPr>
            <w:r>
              <w:rPr>
                <w:rFonts w:ascii="Calibri" w:hAnsi="Calibri"/>
                <w:b/>
                <w:bCs/>
                <w:color w:val="000000"/>
              </w:rPr>
              <w:t>Scale of Agreement</w:t>
            </w:r>
          </w:p>
        </w:tc>
      </w:tr>
      <w:tr w:rsidR="00333D31" w:rsidTr="00333D31">
        <w:trPr>
          <w:cantSplit/>
          <w:trHeight w:val="469"/>
          <w:tblHeader/>
        </w:trPr>
        <w:tc>
          <w:tcPr>
            <w:tcW w:w="2345" w:type="pct"/>
            <w:gridSpan w:val="4"/>
            <w:vMerge/>
            <w:tcBorders>
              <w:top w:val="single" w:sz="8" w:space="0" w:color="auto"/>
              <w:left w:val="single" w:sz="8" w:space="0" w:color="auto"/>
              <w:bottom w:val="single" w:sz="4" w:space="0" w:color="auto"/>
              <w:right w:val="single" w:sz="4" w:space="0" w:color="auto"/>
            </w:tcBorders>
            <w:vAlign w:val="center"/>
          </w:tcPr>
          <w:p w:rsidR="00333D31" w:rsidRDefault="00333D31" w:rsidP="00333D31">
            <w:pPr>
              <w:spacing w:line="240" w:lineRule="auto"/>
              <w:jc w:val="center"/>
              <w:rPr>
                <w:rFonts w:ascii="Calibri" w:hAnsi="Calibri"/>
                <w:b/>
                <w:bCs/>
                <w:color w:val="000000"/>
              </w:rPr>
            </w:pPr>
          </w:p>
        </w:tc>
        <w:tc>
          <w:tcPr>
            <w:tcW w:w="53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8"/>
                <w:szCs w:val="18"/>
              </w:rPr>
            </w:pPr>
            <w:r w:rsidRPr="00311A52">
              <w:rPr>
                <w:rFonts w:ascii="Calibri" w:hAnsi="Calibri"/>
                <w:b/>
                <w:bCs/>
                <w:color w:val="000000"/>
                <w:sz w:val="18"/>
                <w:szCs w:val="18"/>
              </w:rPr>
              <w:t>Strongly Agree</w:t>
            </w:r>
          </w:p>
        </w:tc>
        <w:tc>
          <w:tcPr>
            <w:tcW w:w="53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8"/>
                <w:szCs w:val="18"/>
              </w:rPr>
            </w:pPr>
            <w:r w:rsidRPr="00311A52">
              <w:rPr>
                <w:rFonts w:ascii="Calibri" w:hAnsi="Calibri"/>
                <w:b/>
                <w:bCs/>
                <w:color w:val="000000"/>
                <w:sz w:val="18"/>
                <w:szCs w:val="18"/>
              </w:rPr>
              <w:t>Agree</w:t>
            </w:r>
          </w:p>
        </w:tc>
        <w:tc>
          <w:tcPr>
            <w:tcW w:w="53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8"/>
                <w:szCs w:val="18"/>
              </w:rPr>
            </w:pPr>
            <w:r w:rsidRPr="00311A52">
              <w:rPr>
                <w:rFonts w:ascii="Calibri" w:hAnsi="Calibri"/>
                <w:b/>
                <w:bCs/>
                <w:color w:val="000000"/>
                <w:sz w:val="18"/>
                <w:szCs w:val="18"/>
              </w:rPr>
              <w:t>No Opinion</w:t>
            </w:r>
          </w:p>
        </w:tc>
        <w:tc>
          <w:tcPr>
            <w:tcW w:w="53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8"/>
                <w:szCs w:val="18"/>
              </w:rPr>
            </w:pPr>
            <w:r w:rsidRPr="00311A52">
              <w:rPr>
                <w:rFonts w:ascii="Calibri" w:hAnsi="Calibri"/>
                <w:b/>
                <w:bCs/>
                <w:color w:val="000000"/>
                <w:sz w:val="18"/>
                <w:szCs w:val="18"/>
              </w:rPr>
              <w:t>Disagree</w:t>
            </w:r>
          </w:p>
        </w:tc>
        <w:tc>
          <w:tcPr>
            <w:tcW w:w="514" w:type="pct"/>
            <w:gridSpan w:val="2"/>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8"/>
                <w:szCs w:val="18"/>
              </w:rPr>
            </w:pPr>
            <w:r w:rsidRPr="00311A52">
              <w:rPr>
                <w:rFonts w:ascii="Calibri" w:hAnsi="Calibri"/>
                <w:b/>
                <w:bCs/>
                <w:color w:val="000000"/>
                <w:sz w:val="18"/>
                <w:szCs w:val="18"/>
              </w:rPr>
              <w:t>Strongly Disagree</w:t>
            </w:r>
          </w:p>
        </w:tc>
      </w:tr>
      <w:tr w:rsidR="00333D31" w:rsidTr="00333D31">
        <w:trPr>
          <w:cantSplit/>
          <w:trHeight w:val="469"/>
          <w:tblHeader/>
        </w:trPr>
        <w:tc>
          <w:tcPr>
            <w:tcW w:w="2345" w:type="pct"/>
            <w:gridSpan w:val="4"/>
            <w:vMerge/>
            <w:tcBorders>
              <w:top w:val="single" w:sz="8" w:space="0" w:color="auto"/>
              <w:left w:val="single" w:sz="8" w:space="0" w:color="auto"/>
              <w:bottom w:val="single" w:sz="4" w:space="0" w:color="auto"/>
              <w:right w:val="single" w:sz="4" w:space="0" w:color="auto"/>
            </w:tcBorders>
            <w:vAlign w:val="center"/>
          </w:tcPr>
          <w:p w:rsidR="00333D31" w:rsidRDefault="00333D31" w:rsidP="00333D31">
            <w:pPr>
              <w:spacing w:line="240" w:lineRule="auto"/>
              <w:jc w:val="center"/>
              <w:rPr>
                <w:rFonts w:ascii="Calibri" w:hAnsi="Calibri"/>
                <w:b/>
                <w:bCs/>
                <w:color w:val="000000"/>
              </w:rPr>
            </w:pPr>
          </w:p>
        </w:tc>
        <w:tc>
          <w:tcPr>
            <w:tcW w:w="535" w:type="pct"/>
            <w:gridSpan w:val="2"/>
            <w:vMerge/>
            <w:tcBorders>
              <w:top w:val="single" w:sz="4" w:space="0" w:color="auto"/>
              <w:left w:val="single" w:sz="4" w:space="0" w:color="auto"/>
              <w:bottom w:val="single" w:sz="4" w:space="0" w:color="auto"/>
              <w:right w:val="single" w:sz="4" w:space="0" w:color="auto"/>
            </w:tcBorders>
            <w:vAlign w:val="center"/>
            <w:hideMark/>
          </w:tcPr>
          <w:p w:rsidR="00333D31" w:rsidRDefault="00333D31" w:rsidP="00333D31">
            <w:pPr>
              <w:spacing w:line="240" w:lineRule="auto"/>
              <w:jc w:val="center"/>
              <w:rPr>
                <w:rFonts w:ascii="Calibri" w:hAnsi="Calibri"/>
                <w:b/>
                <w:bCs/>
                <w:color w:val="000000"/>
              </w:rPr>
            </w:pPr>
          </w:p>
        </w:tc>
        <w:tc>
          <w:tcPr>
            <w:tcW w:w="535" w:type="pct"/>
            <w:gridSpan w:val="2"/>
            <w:vMerge/>
            <w:tcBorders>
              <w:top w:val="single" w:sz="4" w:space="0" w:color="auto"/>
              <w:left w:val="single" w:sz="4" w:space="0" w:color="auto"/>
              <w:bottom w:val="single" w:sz="4" w:space="0" w:color="auto"/>
              <w:right w:val="single" w:sz="4" w:space="0" w:color="auto"/>
            </w:tcBorders>
            <w:vAlign w:val="center"/>
            <w:hideMark/>
          </w:tcPr>
          <w:p w:rsidR="00333D31" w:rsidRDefault="00333D31" w:rsidP="00333D31">
            <w:pPr>
              <w:spacing w:line="240" w:lineRule="auto"/>
              <w:jc w:val="center"/>
              <w:rPr>
                <w:rFonts w:ascii="Calibri" w:hAnsi="Calibri"/>
                <w:b/>
                <w:bCs/>
                <w:color w:val="000000"/>
              </w:rPr>
            </w:pPr>
          </w:p>
        </w:tc>
        <w:tc>
          <w:tcPr>
            <w:tcW w:w="535" w:type="pct"/>
            <w:gridSpan w:val="2"/>
            <w:vMerge/>
            <w:tcBorders>
              <w:top w:val="single" w:sz="4" w:space="0" w:color="auto"/>
              <w:left w:val="single" w:sz="4" w:space="0" w:color="auto"/>
              <w:bottom w:val="single" w:sz="4" w:space="0" w:color="auto"/>
              <w:right w:val="single" w:sz="4" w:space="0" w:color="auto"/>
            </w:tcBorders>
            <w:vAlign w:val="center"/>
            <w:hideMark/>
          </w:tcPr>
          <w:p w:rsidR="00333D31" w:rsidRDefault="00333D31" w:rsidP="00333D31">
            <w:pPr>
              <w:spacing w:line="240" w:lineRule="auto"/>
              <w:jc w:val="center"/>
              <w:rPr>
                <w:rFonts w:ascii="Calibri" w:hAnsi="Calibri"/>
                <w:b/>
                <w:bCs/>
                <w:color w:val="000000"/>
              </w:rPr>
            </w:pPr>
          </w:p>
        </w:tc>
        <w:tc>
          <w:tcPr>
            <w:tcW w:w="535" w:type="pct"/>
            <w:gridSpan w:val="2"/>
            <w:vMerge/>
            <w:tcBorders>
              <w:top w:val="single" w:sz="4" w:space="0" w:color="auto"/>
              <w:left w:val="single" w:sz="4" w:space="0" w:color="auto"/>
              <w:bottom w:val="single" w:sz="4" w:space="0" w:color="auto"/>
              <w:right w:val="single" w:sz="4" w:space="0" w:color="auto"/>
            </w:tcBorders>
            <w:vAlign w:val="center"/>
            <w:hideMark/>
          </w:tcPr>
          <w:p w:rsidR="00333D31" w:rsidRDefault="00333D31" w:rsidP="00333D31">
            <w:pPr>
              <w:spacing w:line="240" w:lineRule="auto"/>
              <w:jc w:val="center"/>
              <w:rPr>
                <w:rFonts w:ascii="Calibri" w:hAnsi="Calibri"/>
                <w:b/>
                <w:bCs/>
                <w:color w:val="000000"/>
              </w:rPr>
            </w:pPr>
          </w:p>
        </w:tc>
        <w:tc>
          <w:tcPr>
            <w:tcW w:w="514" w:type="pct"/>
            <w:gridSpan w:val="2"/>
            <w:vMerge/>
            <w:tcBorders>
              <w:top w:val="single" w:sz="4" w:space="0" w:color="auto"/>
              <w:left w:val="single" w:sz="4" w:space="0" w:color="auto"/>
              <w:bottom w:val="single" w:sz="4" w:space="0" w:color="auto"/>
              <w:right w:val="single" w:sz="8" w:space="0" w:color="000000"/>
            </w:tcBorders>
            <w:vAlign w:val="center"/>
            <w:hideMark/>
          </w:tcPr>
          <w:p w:rsidR="00333D31" w:rsidRDefault="00333D31" w:rsidP="00333D31">
            <w:pPr>
              <w:spacing w:line="240" w:lineRule="auto"/>
              <w:jc w:val="center"/>
              <w:rPr>
                <w:rFonts w:ascii="Calibri" w:hAnsi="Calibri"/>
                <w:b/>
                <w:bCs/>
                <w:color w:val="000000"/>
              </w:rPr>
            </w:pPr>
          </w:p>
        </w:tc>
      </w:tr>
      <w:tr w:rsidR="00333D31" w:rsidTr="00333D31">
        <w:trPr>
          <w:cantSplit/>
          <w:trHeight w:val="602"/>
          <w:tblHeader/>
        </w:trPr>
        <w:tc>
          <w:tcPr>
            <w:tcW w:w="208" w:type="pct"/>
            <w:tcBorders>
              <w:top w:val="nil"/>
              <w:left w:val="single" w:sz="8" w:space="0" w:color="auto"/>
              <w:bottom w:val="single" w:sz="4" w:space="0" w:color="auto"/>
              <w:right w:val="single" w:sz="4" w:space="0" w:color="auto"/>
            </w:tcBorders>
            <w:shd w:val="clear" w:color="auto" w:fill="auto"/>
            <w:vAlign w:val="center"/>
            <w:hideMark/>
          </w:tcPr>
          <w:p w:rsidR="00333D31" w:rsidRDefault="00333D31" w:rsidP="00333D31">
            <w:pPr>
              <w:spacing w:line="240" w:lineRule="auto"/>
              <w:jc w:val="center"/>
              <w:rPr>
                <w:rFonts w:ascii="Calibri" w:hAnsi="Calibri"/>
                <w:b/>
                <w:bCs/>
                <w:color w:val="000000"/>
                <w:sz w:val="18"/>
                <w:szCs w:val="18"/>
              </w:rPr>
            </w:pP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jc w:val="center"/>
              <w:rPr>
                <w:rFonts w:ascii="Calibri" w:hAnsi="Calibri"/>
                <w:b/>
                <w:bCs/>
                <w:color w:val="000000"/>
              </w:rPr>
            </w:pPr>
            <w:r>
              <w:rPr>
                <w:rFonts w:ascii="Calibri" w:hAnsi="Calibri"/>
                <w:b/>
                <w:bCs/>
                <w:color w:val="000000"/>
              </w:rPr>
              <w:t>Statements</w:t>
            </w:r>
          </w:p>
        </w:tc>
        <w:tc>
          <w:tcPr>
            <w:tcW w:w="356"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Mean</w:t>
            </w:r>
          </w:p>
        </w:tc>
        <w:tc>
          <w:tcPr>
            <w:tcW w:w="298" w:type="pct"/>
            <w:tcBorders>
              <w:top w:val="nil"/>
              <w:left w:val="nil"/>
              <w:bottom w:val="single" w:sz="4" w:space="0" w:color="auto"/>
              <w:right w:val="single" w:sz="4" w:space="0" w:color="auto"/>
            </w:tcBorders>
            <w:shd w:val="clear" w:color="auto" w:fill="auto"/>
            <w:vAlign w:val="center"/>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SD</w:t>
            </w:r>
          </w:p>
        </w:tc>
        <w:tc>
          <w:tcPr>
            <w:tcW w:w="230"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5's</w:t>
            </w:r>
          </w:p>
        </w:tc>
        <w:tc>
          <w:tcPr>
            <w:tcW w:w="305"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5's</w:t>
            </w:r>
          </w:p>
        </w:tc>
        <w:tc>
          <w:tcPr>
            <w:tcW w:w="230"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4's</w:t>
            </w:r>
          </w:p>
        </w:tc>
        <w:tc>
          <w:tcPr>
            <w:tcW w:w="305"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4's</w:t>
            </w:r>
          </w:p>
        </w:tc>
        <w:tc>
          <w:tcPr>
            <w:tcW w:w="230"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3's</w:t>
            </w:r>
          </w:p>
        </w:tc>
        <w:tc>
          <w:tcPr>
            <w:tcW w:w="305"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3's</w:t>
            </w:r>
          </w:p>
        </w:tc>
        <w:tc>
          <w:tcPr>
            <w:tcW w:w="230"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2's</w:t>
            </w:r>
          </w:p>
        </w:tc>
        <w:tc>
          <w:tcPr>
            <w:tcW w:w="305"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2's</w:t>
            </w:r>
          </w:p>
        </w:tc>
        <w:tc>
          <w:tcPr>
            <w:tcW w:w="259" w:type="pct"/>
            <w:tcBorders>
              <w:top w:val="nil"/>
              <w:left w:val="nil"/>
              <w:bottom w:val="single" w:sz="4" w:space="0" w:color="auto"/>
              <w:right w:val="single" w:sz="4"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1's</w:t>
            </w:r>
          </w:p>
        </w:tc>
        <w:tc>
          <w:tcPr>
            <w:tcW w:w="255" w:type="pct"/>
            <w:tcBorders>
              <w:top w:val="nil"/>
              <w:left w:val="nil"/>
              <w:bottom w:val="single" w:sz="4" w:space="0" w:color="auto"/>
              <w:right w:val="single" w:sz="8" w:space="0" w:color="auto"/>
            </w:tcBorders>
            <w:shd w:val="clear" w:color="auto" w:fill="auto"/>
            <w:vAlign w:val="center"/>
            <w:hideMark/>
          </w:tcPr>
          <w:p w:rsidR="00333D31" w:rsidRPr="00311A52" w:rsidRDefault="00333D31" w:rsidP="00333D31">
            <w:pPr>
              <w:spacing w:line="240" w:lineRule="auto"/>
              <w:jc w:val="center"/>
              <w:rPr>
                <w:rFonts w:ascii="Calibri" w:hAnsi="Calibri"/>
                <w:b/>
                <w:bCs/>
                <w:color w:val="000000"/>
                <w:sz w:val="16"/>
                <w:szCs w:val="16"/>
              </w:rPr>
            </w:pPr>
            <w:r w:rsidRPr="00311A52">
              <w:rPr>
                <w:rFonts w:ascii="Calibri" w:hAnsi="Calibri"/>
                <w:b/>
                <w:bCs/>
                <w:color w:val="000000"/>
                <w:sz w:val="16"/>
                <w:szCs w:val="16"/>
              </w:rPr>
              <w:t>% of 1's</w:t>
            </w:r>
          </w:p>
        </w:tc>
      </w:tr>
      <w:tr w:rsidR="00333D31" w:rsidTr="00333D31">
        <w:trPr>
          <w:trHeight w:val="73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lastRenderedPageBreak/>
              <w:t>12</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This class has changed my understanding of how we feed ourselves</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4.0</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0.84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r>
      <w:tr w:rsidR="00333D31" w:rsidTr="00333D31">
        <w:trPr>
          <w:trHeight w:val="300"/>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13</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Climate Change is a fact</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4.6</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0.60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56</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67%</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23</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27%</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73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14</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We collectively need to understand the effects of humans on our changing climate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4.6</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0.60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57</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29%</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15</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The information provided in this course is important for all UT students</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4.1</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0.96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7</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w:t>
            </w:r>
          </w:p>
        </w:tc>
      </w:tr>
      <w:tr w:rsidR="00333D31" w:rsidTr="00333D31">
        <w:trPr>
          <w:trHeight w:val="73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16</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My understanding of the topics covered in this course has changed since the beginning of this class</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4.2</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0.85</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36</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43%</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13%</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r>
      <w:tr w:rsidR="00333D31" w:rsidTr="00333D31">
        <w:trPr>
          <w:trHeight w:val="73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This class has taught me that understanding population growth is important to understanding our future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4.4</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0.72</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46</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55%</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35%</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8</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0</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0%</w:t>
            </w:r>
          </w:p>
        </w:tc>
      </w:tr>
      <w:tr w:rsidR="00333D31" w:rsidTr="00333D31">
        <w:trPr>
          <w:trHeight w:val="73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18</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If I had taken this course earlier in my academic career, I might have changed my major to soil science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2.5</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1.09</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13%</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29%</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35%</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16</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19%</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19</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I would like to take another course in soil science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3.6</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1.04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17</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30</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11%</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20</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The oral readings in class wasted limited class time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2.5</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0.98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11%</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21</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If I knew I could make a living as a soil scientist I would become one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2.7</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1.14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18%</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27</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32%</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15</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18%</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22</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There is more fiction than fact in this course</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1.8</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1.01</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8</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10%</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28</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33%</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42</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50%</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23</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The Bushmen are an example of a sustainable civilization</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3.5</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1.19</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19</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23%</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30</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36%</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14</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17%</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17</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20%</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24</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We—the Americans—are an example of a sustainable civilization</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2.0</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1.11</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11</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13%</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12</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23</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27%</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36</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43%</w:t>
            </w:r>
          </w:p>
        </w:tc>
      </w:tr>
      <w:tr w:rsidR="00333D31" w:rsidTr="00333D31">
        <w:trPr>
          <w:trHeight w:val="495"/>
        </w:trPr>
        <w:tc>
          <w:tcPr>
            <w:tcW w:w="208" w:type="pct"/>
            <w:tcBorders>
              <w:top w:val="nil"/>
              <w:left w:val="single" w:sz="8" w:space="0" w:color="auto"/>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25</w:t>
            </w:r>
          </w:p>
        </w:tc>
        <w:tc>
          <w:tcPr>
            <w:tcW w:w="1483" w:type="pct"/>
            <w:tcBorders>
              <w:top w:val="nil"/>
              <w:left w:val="nil"/>
              <w:bottom w:val="single" w:sz="4"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Global Warming is a fact and due to human activity</w:t>
            </w:r>
          </w:p>
        </w:tc>
        <w:tc>
          <w:tcPr>
            <w:tcW w:w="356"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3.7</w:t>
            </w:r>
          </w:p>
        </w:tc>
        <w:tc>
          <w:tcPr>
            <w:tcW w:w="298" w:type="pct"/>
            <w:tcBorders>
              <w:top w:val="nil"/>
              <w:left w:val="nil"/>
              <w:bottom w:val="single" w:sz="4"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1.04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20</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42%</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20</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24%</w:t>
            </w:r>
          </w:p>
        </w:tc>
        <w:tc>
          <w:tcPr>
            <w:tcW w:w="230"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5</w:t>
            </w:r>
          </w:p>
        </w:tc>
        <w:tc>
          <w:tcPr>
            <w:tcW w:w="305"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6%</w:t>
            </w:r>
          </w:p>
        </w:tc>
        <w:tc>
          <w:tcPr>
            <w:tcW w:w="259" w:type="pct"/>
            <w:tcBorders>
              <w:top w:val="nil"/>
              <w:left w:val="nil"/>
              <w:bottom w:val="single" w:sz="4"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4</w:t>
            </w:r>
          </w:p>
        </w:tc>
        <w:tc>
          <w:tcPr>
            <w:tcW w:w="255" w:type="pct"/>
            <w:tcBorders>
              <w:top w:val="nil"/>
              <w:left w:val="nil"/>
              <w:bottom w:val="single" w:sz="4"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5%</w:t>
            </w:r>
          </w:p>
        </w:tc>
      </w:tr>
      <w:tr w:rsidR="00333D31" w:rsidTr="00333D31">
        <w:trPr>
          <w:trHeight w:val="510"/>
        </w:trPr>
        <w:tc>
          <w:tcPr>
            <w:tcW w:w="208" w:type="pct"/>
            <w:tcBorders>
              <w:top w:val="nil"/>
              <w:left w:val="single" w:sz="8" w:space="0" w:color="auto"/>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1483" w:type="pct"/>
            <w:tcBorders>
              <w:top w:val="nil"/>
              <w:left w:val="nil"/>
              <w:bottom w:val="single" w:sz="8" w:space="0" w:color="auto"/>
              <w:right w:val="single" w:sz="4" w:space="0" w:color="auto"/>
            </w:tcBorders>
            <w:shd w:val="clear" w:color="auto" w:fill="auto"/>
            <w:vAlign w:val="center"/>
            <w:hideMark/>
          </w:tcPr>
          <w:p w:rsidR="00333D31" w:rsidRDefault="00333D31" w:rsidP="00333D31">
            <w:pPr>
              <w:spacing w:line="240" w:lineRule="auto"/>
              <w:rPr>
                <w:rFonts w:ascii="Calibri" w:hAnsi="Calibri"/>
                <w:color w:val="000000"/>
                <w:sz w:val="18"/>
                <w:szCs w:val="18"/>
              </w:rPr>
            </w:pPr>
            <w:r>
              <w:rPr>
                <w:rFonts w:ascii="Calibri" w:hAnsi="Calibri"/>
                <w:color w:val="000000"/>
                <w:sz w:val="18"/>
                <w:szCs w:val="18"/>
              </w:rPr>
              <w:t>Soil science was an unknown discipline to me until I took this course!</w:t>
            </w:r>
          </w:p>
        </w:tc>
        <w:tc>
          <w:tcPr>
            <w:tcW w:w="356"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3.2</w:t>
            </w:r>
          </w:p>
        </w:tc>
        <w:tc>
          <w:tcPr>
            <w:tcW w:w="298" w:type="pct"/>
            <w:tcBorders>
              <w:top w:val="nil"/>
              <w:left w:val="nil"/>
              <w:bottom w:val="single" w:sz="8" w:space="0" w:color="auto"/>
              <w:right w:val="single" w:sz="4" w:space="0" w:color="auto"/>
            </w:tcBorders>
            <w:shd w:val="clear" w:color="auto" w:fill="auto"/>
            <w:vAlign w:val="center"/>
          </w:tcPr>
          <w:p w:rsidR="00333D31" w:rsidRPr="00086A44" w:rsidRDefault="00333D31" w:rsidP="00333D31">
            <w:pPr>
              <w:spacing w:line="240" w:lineRule="auto"/>
              <w:jc w:val="center"/>
              <w:rPr>
                <w:rFonts w:ascii="Calibri" w:hAnsi="Calibri"/>
                <w:b/>
                <w:color w:val="000000"/>
                <w:sz w:val="18"/>
                <w:szCs w:val="18"/>
              </w:rPr>
            </w:pPr>
            <w:r w:rsidRPr="00086A44">
              <w:rPr>
                <w:rFonts w:ascii="Calibri" w:hAnsi="Calibri"/>
                <w:b/>
                <w:color w:val="000000"/>
                <w:sz w:val="18"/>
                <w:szCs w:val="18"/>
              </w:rPr>
              <w:t>1.45</w:t>
            </w:r>
          </w:p>
        </w:tc>
        <w:tc>
          <w:tcPr>
            <w:tcW w:w="230"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305"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30"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305"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30"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6</w:t>
            </w:r>
          </w:p>
        </w:tc>
        <w:tc>
          <w:tcPr>
            <w:tcW w:w="305"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7%</w:t>
            </w:r>
          </w:p>
        </w:tc>
        <w:tc>
          <w:tcPr>
            <w:tcW w:w="230"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22</w:t>
            </w:r>
          </w:p>
        </w:tc>
        <w:tc>
          <w:tcPr>
            <w:tcW w:w="305"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26%</w:t>
            </w:r>
          </w:p>
        </w:tc>
        <w:tc>
          <w:tcPr>
            <w:tcW w:w="259" w:type="pct"/>
            <w:tcBorders>
              <w:top w:val="nil"/>
              <w:left w:val="nil"/>
              <w:bottom w:val="single" w:sz="8" w:space="0" w:color="auto"/>
              <w:right w:val="single" w:sz="4" w:space="0" w:color="auto"/>
            </w:tcBorders>
            <w:shd w:val="clear" w:color="auto" w:fill="auto"/>
            <w:noWrap/>
            <w:vAlign w:val="center"/>
            <w:hideMark/>
          </w:tcPr>
          <w:p w:rsidR="00333D31" w:rsidRDefault="00333D31" w:rsidP="00333D31">
            <w:pPr>
              <w:spacing w:line="240" w:lineRule="auto"/>
              <w:jc w:val="center"/>
              <w:rPr>
                <w:rFonts w:ascii="Calibri" w:hAnsi="Calibri"/>
                <w:color w:val="000000"/>
                <w:sz w:val="18"/>
                <w:szCs w:val="18"/>
              </w:rPr>
            </w:pPr>
            <w:r>
              <w:rPr>
                <w:rFonts w:ascii="Calibri" w:hAnsi="Calibri"/>
                <w:color w:val="000000"/>
                <w:sz w:val="18"/>
                <w:szCs w:val="18"/>
              </w:rPr>
              <w:t>12</w:t>
            </w:r>
          </w:p>
        </w:tc>
        <w:tc>
          <w:tcPr>
            <w:tcW w:w="255" w:type="pct"/>
            <w:tcBorders>
              <w:top w:val="nil"/>
              <w:left w:val="nil"/>
              <w:bottom w:val="single" w:sz="8" w:space="0" w:color="auto"/>
              <w:right w:val="single" w:sz="8" w:space="0" w:color="auto"/>
            </w:tcBorders>
            <w:shd w:val="clear" w:color="auto" w:fill="auto"/>
            <w:noWrap/>
            <w:vAlign w:val="center"/>
            <w:hideMark/>
          </w:tcPr>
          <w:p w:rsidR="00333D31" w:rsidRDefault="00333D31" w:rsidP="00333D31">
            <w:pPr>
              <w:spacing w:line="240" w:lineRule="auto"/>
              <w:jc w:val="center"/>
              <w:rPr>
                <w:rFonts w:ascii="Calibri" w:hAnsi="Calibri"/>
                <w:b/>
                <w:bCs/>
                <w:color w:val="000000"/>
                <w:sz w:val="18"/>
                <w:szCs w:val="18"/>
              </w:rPr>
            </w:pPr>
            <w:r>
              <w:rPr>
                <w:rFonts w:ascii="Calibri" w:hAnsi="Calibri"/>
                <w:b/>
                <w:bCs/>
                <w:color w:val="000000"/>
                <w:sz w:val="18"/>
                <w:szCs w:val="18"/>
              </w:rPr>
              <w:t>14%</w:t>
            </w:r>
          </w:p>
        </w:tc>
      </w:tr>
    </w:tbl>
    <w:p w:rsidR="00333D31" w:rsidRDefault="00333D31" w:rsidP="00333D31">
      <w:pPr>
        <w:pStyle w:val="Caption"/>
      </w:pPr>
      <w:bookmarkStart w:id="76" w:name="_Toc390954652"/>
      <w:r>
        <w:lastRenderedPageBreak/>
        <w:t xml:space="preserve">Table </w:t>
      </w:r>
      <w:r w:rsidR="009A2E66">
        <w:t>3</w:t>
      </w:r>
      <w:r w:rsidR="00A85C1F">
        <w:noBreakHyphen/>
      </w:r>
      <w:fldSimple w:instr=" SEQ Table \* ARABIC \s 1 ">
        <w:r w:rsidR="00A85C1F">
          <w:rPr>
            <w:noProof/>
          </w:rPr>
          <w:t>3</w:t>
        </w:r>
      </w:fldSimple>
      <w:r>
        <w:t xml:space="preserve"> </w:t>
      </w:r>
      <w:r w:rsidRPr="00406204">
        <w:t xml:space="preserve">Comparison of the mean responses to survey questions at the start and end of 2013 Spring Semester to questions based on the scale of importance shown in </w:t>
      </w:r>
      <w:r w:rsidR="009A2E66">
        <w:t>table 1</w:t>
      </w:r>
      <w:bookmarkEnd w:id="76"/>
    </w:p>
    <w:tbl>
      <w:tblPr>
        <w:tblW w:w="9560" w:type="dxa"/>
        <w:tblInd w:w="93" w:type="dxa"/>
        <w:tblLook w:val="04A0" w:firstRow="1" w:lastRow="0" w:firstColumn="1" w:lastColumn="0" w:noHBand="0" w:noVBand="1"/>
      </w:tblPr>
      <w:tblGrid>
        <w:gridCol w:w="460"/>
        <w:gridCol w:w="5640"/>
        <w:gridCol w:w="1160"/>
        <w:gridCol w:w="1240"/>
        <w:gridCol w:w="1060"/>
      </w:tblGrid>
      <w:tr w:rsidR="00333D31" w:rsidRPr="00B45747" w:rsidTr="00333D31">
        <w:trPr>
          <w:trHeight w:val="480"/>
        </w:trPr>
        <w:tc>
          <w:tcPr>
            <w:tcW w:w="46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rPr>
            </w:pPr>
            <w:r w:rsidRPr="00B45747">
              <w:rPr>
                <w:rFonts w:ascii="Calibri" w:hAnsi="Calibri"/>
                <w:b/>
                <w:bCs/>
                <w:color w:val="000000"/>
              </w:rPr>
              <w:t>#</w:t>
            </w:r>
          </w:p>
        </w:tc>
        <w:tc>
          <w:tcPr>
            <w:tcW w:w="5640" w:type="dxa"/>
            <w:tcBorders>
              <w:top w:val="single" w:sz="8" w:space="0" w:color="auto"/>
              <w:left w:val="nil"/>
              <w:bottom w:val="single" w:sz="4" w:space="0" w:color="auto"/>
              <w:right w:val="single" w:sz="4" w:space="0" w:color="auto"/>
            </w:tcBorders>
            <w:shd w:val="clear" w:color="000000" w:fill="FFFFFF"/>
            <w:vAlign w:val="bottom"/>
            <w:hideMark/>
          </w:tcPr>
          <w:p w:rsidR="00333D31" w:rsidRPr="00796FFE" w:rsidRDefault="00333D31" w:rsidP="00333D31">
            <w:pPr>
              <w:spacing w:line="240" w:lineRule="auto"/>
              <w:jc w:val="center"/>
              <w:rPr>
                <w:rFonts w:ascii="Calibri" w:hAnsi="Calibri"/>
                <w:b/>
                <w:bCs/>
                <w:color w:val="000000"/>
              </w:rPr>
            </w:pPr>
            <w:r w:rsidRPr="00796FFE">
              <w:rPr>
                <w:rFonts w:ascii="Calibri" w:hAnsi="Calibri"/>
                <w:b/>
                <w:bCs/>
                <w:color w:val="000000"/>
              </w:rPr>
              <w:t>Questions</w:t>
            </w:r>
          </w:p>
        </w:tc>
        <w:tc>
          <w:tcPr>
            <w:tcW w:w="1160" w:type="dxa"/>
            <w:tcBorders>
              <w:top w:val="single" w:sz="8" w:space="0" w:color="auto"/>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jc w:val="center"/>
              <w:rPr>
                <w:rFonts w:ascii="Calibri" w:hAnsi="Calibri"/>
                <w:b/>
                <w:bCs/>
                <w:color w:val="000000"/>
                <w:sz w:val="18"/>
                <w:szCs w:val="18"/>
              </w:rPr>
            </w:pPr>
            <w:r w:rsidRPr="003E391C">
              <w:rPr>
                <w:rFonts w:ascii="Calibri" w:hAnsi="Calibri"/>
                <w:b/>
                <w:bCs/>
                <w:color w:val="000000"/>
                <w:sz w:val="18"/>
                <w:szCs w:val="18"/>
              </w:rPr>
              <w:t>Beginning</w:t>
            </w:r>
            <w:r w:rsidRPr="00B45747">
              <w:rPr>
                <w:rFonts w:ascii="Calibri" w:hAnsi="Calibri"/>
                <w:b/>
                <w:bCs/>
                <w:color w:val="000000"/>
                <w:sz w:val="18"/>
                <w:szCs w:val="18"/>
              </w:rPr>
              <w:t xml:space="preserve"> Survey </w:t>
            </w:r>
            <w:r>
              <w:rPr>
                <w:rFonts w:ascii="Calibri" w:hAnsi="Calibri"/>
                <w:b/>
                <w:bCs/>
                <w:color w:val="000000"/>
                <w:sz w:val="18"/>
                <w:szCs w:val="18"/>
              </w:rPr>
              <w:t>Mean</w:t>
            </w:r>
          </w:p>
        </w:tc>
        <w:tc>
          <w:tcPr>
            <w:tcW w:w="1240" w:type="dxa"/>
            <w:tcBorders>
              <w:top w:val="single" w:sz="8" w:space="0" w:color="auto"/>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 xml:space="preserve">Ending Survey </w:t>
            </w:r>
            <w:r>
              <w:rPr>
                <w:rFonts w:ascii="Calibri" w:hAnsi="Calibri"/>
                <w:b/>
                <w:bCs/>
                <w:color w:val="000000"/>
                <w:sz w:val="18"/>
                <w:szCs w:val="18"/>
              </w:rPr>
              <w:t>Mean</w:t>
            </w:r>
          </w:p>
        </w:tc>
        <w:tc>
          <w:tcPr>
            <w:tcW w:w="1060" w:type="dxa"/>
            <w:tcBorders>
              <w:top w:val="single" w:sz="8" w:space="0" w:color="auto"/>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Difference</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were the topics covered in this course to you?</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4.0</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4.2</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0.21</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a course on</w:t>
            </w:r>
            <w:r>
              <w:rPr>
                <w:rFonts w:ascii="Calibri" w:hAnsi="Calibri"/>
                <w:color w:val="000000"/>
                <w:sz w:val="18"/>
                <w:szCs w:val="18"/>
              </w:rPr>
              <w:t xml:space="preserve"> </w:t>
            </w:r>
            <w:r w:rsidRPr="00B45747">
              <w:rPr>
                <w:rFonts w:ascii="Calibri" w:hAnsi="Calibri"/>
                <w:color w:val="000000"/>
                <w:sz w:val="18"/>
                <w:szCs w:val="18"/>
              </w:rPr>
              <w:t>soils for understanding food security?</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4.5</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4.8</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0.28</w:t>
            </w:r>
          </w:p>
        </w:tc>
      </w:tr>
      <w:tr w:rsidR="00333D31" w:rsidRPr="00B45747" w:rsidTr="00333D31">
        <w:trPr>
          <w:trHeight w:val="48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3</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understand intrinsic soil productivity and its link to sustainability?</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4.1</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4.6</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0.42</w:t>
            </w:r>
          </w:p>
        </w:tc>
      </w:tr>
      <w:tr w:rsidR="00333D31" w:rsidRPr="00B45747" w:rsidTr="00333D31">
        <w:trPr>
          <w:trHeight w:val="48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4</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would it be for you to take a student travel course to further understand food security?</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3.3</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3.3</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-0.02</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5</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understand the downfall of the Maya?</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3.6</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3.7</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0.10</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6</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understand the downfall of the Greenland Norse?</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3.5</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3.6</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0.11</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7</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understand the role of energy in our lifestyle?</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4.6</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4.8</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0.17</w:t>
            </w:r>
          </w:p>
        </w:tc>
      </w:tr>
      <w:tr w:rsidR="00333D31" w:rsidRPr="00B45747" w:rsidTr="00333D31">
        <w:trPr>
          <w:trHeight w:val="48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8</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understand the role of agriculture in climate change?</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4.5</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4.7</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0.17</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9</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How important is it to you to understand food security?</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4.2</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4.6</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0.42</w:t>
            </w:r>
          </w:p>
        </w:tc>
      </w:tr>
      <w:tr w:rsidR="00333D31" w:rsidRPr="00B45747" w:rsidTr="00333D31">
        <w:trPr>
          <w:trHeight w:val="495"/>
        </w:trPr>
        <w:tc>
          <w:tcPr>
            <w:tcW w:w="460" w:type="dxa"/>
            <w:tcBorders>
              <w:top w:val="nil"/>
              <w:left w:val="single" w:sz="8" w:space="0" w:color="auto"/>
              <w:bottom w:val="single" w:sz="4" w:space="0" w:color="auto"/>
              <w:right w:val="single" w:sz="4" w:space="0" w:color="auto"/>
            </w:tcBorders>
            <w:shd w:val="clear" w:color="000000" w:fill="FFFFFF"/>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10</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If you were forced to emigrate, how important would it be to evaluate the soils beforehand?</w:t>
            </w:r>
          </w:p>
        </w:tc>
        <w:tc>
          <w:tcPr>
            <w:tcW w:w="116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3.8</w:t>
            </w:r>
          </w:p>
        </w:tc>
        <w:tc>
          <w:tcPr>
            <w:tcW w:w="12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jc w:val="center"/>
              <w:rPr>
                <w:rFonts w:ascii="Calibri" w:hAnsi="Calibri"/>
                <w:b/>
                <w:bCs/>
                <w:color w:val="000000"/>
                <w:sz w:val="16"/>
                <w:szCs w:val="16"/>
              </w:rPr>
            </w:pPr>
            <w:r w:rsidRPr="00B45747">
              <w:rPr>
                <w:rFonts w:ascii="Calibri" w:hAnsi="Calibri"/>
                <w:b/>
                <w:bCs/>
                <w:color w:val="000000"/>
                <w:sz w:val="16"/>
                <w:szCs w:val="16"/>
              </w:rPr>
              <w:t>4.4</w:t>
            </w:r>
          </w:p>
        </w:tc>
        <w:tc>
          <w:tcPr>
            <w:tcW w:w="1060" w:type="dxa"/>
            <w:tcBorders>
              <w:top w:val="nil"/>
              <w:left w:val="nil"/>
              <w:bottom w:val="single" w:sz="4" w:space="0" w:color="auto"/>
              <w:right w:val="single" w:sz="8" w:space="0" w:color="auto"/>
            </w:tcBorders>
            <w:shd w:val="clear" w:color="000000" w:fill="FFFFFF"/>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0.59</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bottom"/>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11</w:t>
            </w:r>
          </w:p>
        </w:tc>
        <w:tc>
          <w:tcPr>
            <w:tcW w:w="5640" w:type="dxa"/>
            <w:tcBorders>
              <w:top w:val="nil"/>
              <w:left w:val="nil"/>
              <w:bottom w:val="single" w:sz="4" w:space="0" w:color="auto"/>
              <w:right w:val="single" w:sz="4" w:space="0" w:color="auto"/>
            </w:tcBorders>
            <w:shd w:val="clear" w:color="000000" w:fill="FFFFFF"/>
            <w:vAlign w:val="bottom"/>
            <w:hideMark/>
          </w:tcPr>
          <w:p w:rsidR="00333D31" w:rsidRPr="00B45747" w:rsidRDefault="00333D31" w:rsidP="00333D31">
            <w:pPr>
              <w:spacing w:line="240" w:lineRule="auto"/>
              <w:rPr>
                <w:rFonts w:ascii="Calibri" w:hAnsi="Calibri"/>
                <w:color w:val="000000"/>
                <w:sz w:val="18"/>
                <w:szCs w:val="18"/>
              </w:rPr>
            </w:pPr>
            <w:r w:rsidRPr="00B45747">
              <w:rPr>
                <w:rFonts w:ascii="Calibri" w:hAnsi="Calibri"/>
                <w:color w:val="000000"/>
                <w:sz w:val="18"/>
                <w:szCs w:val="18"/>
              </w:rPr>
              <w:t>Understanding soil resources to avoid environmental catastrophe?</w:t>
            </w:r>
          </w:p>
        </w:tc>
        <w:tc>
          <w:tcPr>
            <w:tcW w:w="116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4.5</w:t>
            </w:r>
          </w:p>
        </w:tc>
        <w:tc>
          <w:tcPr>
            <w:tcW w:w="1240" w:type="dxa"/>
            <w:tcBorders>
              <w:top w:val="nil"/>
              <w:left w:val="nil"/>
              <w:bottom w:val="single" w:sz="4" w:space="0" w:color="auto"/>
              <w:right w:val="single" w:sz="4"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4.8</w:t>
            </w:r>
          </w:p>
        </w:tc>
        <w:tc>
          <w:tcPr>
            <w:tcW w:w="1060" w:type="dxa"/>
            <w:tcBorders>
              <w:top w:val="nil"/>
              <w:left w:val="nil"/>
              <w:bottom w:val="single" w:sz="4" w:space="0" w:color="auto"/>
              <w:right w:val="single" w:sz="8" w:space="0" w:color="auto"/>
            </w:tcBorders>
            <w:shd w:val="clear" w:color="000000" w:fill="FFFFFF"/>
            <w:noWrap/>
            <w:vAlign w:val="bottom"/>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0.32</w:t>
            </w:r>
          </w:p>
        </w:tc>
      </w:tr>
    </w:tbl>
    <w:p w:rsidR="00333D31" w:rsidRDefault="00333D31" w:rsidP="00333D31">
      <w:pPr>
        <w:pStyle w:val="Caption"/>
      </w:pPr>
      <w:bookmarkStart w:id="77" w:name="_Toc390954653"/>
      <w:r>
        <w:t xml:space="preserve">Table </w:t>
      </w:r>
      <w:r w:rsidR="009A2E66">
        <w:t>3</w:t>
      </w:r>
      <w:r w:rsidR="00A85C1F">
        <w:noBreakHyphen/>
      </w:r>
      <w:fldSimple w:instr=" SEQ Table \* ARABIC \s 1 ">
        <w:r w:rsidR="00A85C1F">
          <w:rPr>
            <w:noProof/>
          </w:rPr>
          <w:t>4</w:t>
        </w:r>
      </w:fldSimple>
      <w:r>
        <w:t xml:space="preserve"> </w:t>
      </w:r>
      <w:r w:rsidRPr="0092546D">
        <w:t>: Comparison of the mean responses to survey statements at the start and end of 2013 Spring Semester to statements based on the scale of agreement shown in Table 2</w:t>
      </w:r>
      <w:bookmarkEnd w:id="77"/>
    </w:p>
    <w:tbl>
      <w:tblPr>
        <w:tblW w:w="9560" w:type="dxa"/>
        <w:tblInd w:w="93" w:type="dxa"/>
        <w:tblCellMar>
          <w:left w:w="58" w:type="dxa"/>
          <w:right w:w="43" w:type="dxa"/>
        </w:tblCellMar>
        <w:tblLook w:val="04A0" w:firstRow="1" w:lastRow="0" w:firstColumn="1" w:lastColumn="0" w:noHBand="0" w:noVBand="1"/>
      </w:tblPr>
      <w:tblGrid>
        <w:gridCol w:w="460"/>
        <w:gridCol w:w="5640"/>
        <w:gridCol w:w="1160"/>
        <w:gridCol w:w="1240"/>
        <w:gridCol w:w="1060"/>
      </w:tblGrid>
      <w:tr w:rsidR="00333D31" w:rsidRPr="00B45747" w:rsidTr="00333D31">
        <w:trPr>
          <w:cantSplit/>
          <w:trHeight w:val="240"/>
          <w:tblHeader/>
        </w:trPr>
        <w:tc>
          <w:tcPr>
            <w:tcW w:w="460"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rFonts w:ascii="Calibri" w:hAnsi="Calibri"/>
                <w:b/>
                <w:color w:val="000000"/>
              </w:rPr>
            </w:pPr>
            <w:r w:rsidRPr="00C4626E">
              <w:rPr>
                <w:rFonts w:ascii="Calibri" w:hAnsi="Calibri"/>
                <w:b/>
                <w:color w:val="000000"/>
              </w:rPr>
              <w:t>#</w:t>
            </w:r>
          </w:p>
        </w:tc>
        <w:tc>
          <w:tcPr>
            <w:tcW w:w="5640" w:type="dxa"/>
            <w:tcBorders>
              <w:top w:val="single" w:sz="4" w:space="0" w:color="auto"/>
              <w:left w:val="nil"/>
              <w:bottom w:val="single" w:sz="4" w:space="0" w:color="auto"/>
              <w:right w:val="single" w:sz="4" w:space="0" w:color="auto"/>
            </w:tcBorders>
            <w:shd w:val="clear" w:color="000000" w:fill="FFFFFF"/>
            <w:vAlign w:val="center"/>
            <w:hideMark/>
          </w:tcPr>
          <w:p w:rsidR="00333D31" w:rsidRPr="00796FFE" w:rsidRDefault="00333D31" w:rsidP="00333D31">
            <w:pPr>
              <w:spacing w:line="240" w:lineRule="auto"/>
              <w:jc w:val="center"/>
              <w:rPr>
                <w:rFonts w:ascii="Calibri" w:hAnsi="Calibri"/>
                <w:b/>
                <w:bCs/>
                <w:color w:val="000000"/>
              </w:rPr>
            </w:pPr>
            <w:r w:rsidRPr="00796FFE">
              <w:rPr>
                <w:rFonts w:ascii="Calibri" w:hAnsi="Calibri"/>
                <w:b/>
                <w:bCs/>
                <w:color w:val="000000"/>
              </w:rPr>
              <w:t>Statements</w:t>
            </w:r>
          </w:p>
        </w:tc>
        <w:tc>
          <w:tcPr>
            <w:tcW w:w="1160" w:type="dxa"/>
            <w:tcBorders>
              <w:top w:val="single" w:sz="8" w:space="0" w:color="auto"/>
              <w:left w:val="nil"/>
              <w:bottom w:val="single" w:sz="4" w:space="0" w:color="auto"/>
              <w:right w:val="single" w:sz="4" w:space="0" w:color="auto"/>
            </w:tcBorders>
            <w:shd w:val="clear" w:color="000000" w:fill="FFFFFF"/>
            <w:vAlign w:val="center"/>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 xml:space="preserve">Beginning Survey </w:t>
            </w:r>
            <w:r>
              <w:rPr>
                <w:rFonts w:ascii="Calibri" w:hAnsi="Calibri"/>
                <w:b/>
                <w:bCs/>
                <w:color w:val="000000"/>
                <w:sz w:val="18"/>
                <w:szCs w:val="18"/>
              </w:rPr>
              <w:t>Mean</w:t>
            </w:r>
          </w:p>
        </w:tc>
        <w:tc>
          <w:tcPr>
            <w:tcW w:w="1240" w:type="dxa"/>
            <w:tcBorders>
              <w:top w:val="single" w:sz="8" w:space="0" w:color="auto"/>
              <w:left w:val="nil"/>
              <w:bottom w:val="single" w:sz="4" w:space="0" w:color="auto"/>
              <w:right w:val="single" w:sz="4" w:space="0" w:color="auto"/>
            </w:tcBorders>
            <w:shd w:val="clear" w:color="000000" w:fill="FFFFFF"/>
            <w:vAlign w:val="center"/>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 xml:space="preserve">Ending Survey </w:t>
            </w:r>
            <w:r>
              <w:rPr>
                <w:rFonts w:ascii="Calibri" w:hAnsi="Calibri"/>
                <w:b/>
                <w:bCs/>
                <w:color w:val="000000"/>
                <w:sz w:val="18"/>
                <w:szCs w:val="18"/>
              </w:rPr>
              <w:t>Mean</w:t>
            </w:r>
          </w:p>
        </w:tc>
        <w:tc>
          <w:tcPr>
            <w:tcW w:w="1060" w:type="dxa"/>
            <w:tcBorders>
              <w:top w:val="single" w:sz="8" w:space="0" w:color="auto"/>
              <w:left w:val="nil"/>
              <w:bottom w:val="single" w:sz="4" w:space="0" w:color="auto"/>
              <w:right w:val="single" w:sz="8" w:space="0" w:color="auto"/>
            </w:tcBorders>
            <w:shd w:val="clear" w:color="000000" w:fill="FFFFFF"/>
            <w:noWrap/>
            <w:vAlign w:val="center"/>
            <w:hideMark/>
          </w:tcPr>
          <w:p w:rsidR="00333D31" w:rsidRPr="00B45747" w:rsidRDefault="00333D31" w:rsidP="00333D31">
            <w:pPr>
              <w:spacing w:line="240" w:lineRule="auto"/>
              <w:jc w:val="center"/>
              <w:rPr>
                <w:rFonts w:ascii="Calibri" w:hAnsi="Calibri"/>
                <w:b/>
                <w:bCs/>
                <w:color w:val="000000"/>
                <w:sz w:val="18"/>
                <w:szCs w:val="18"/>
              </w:rPr>
            </w:pPr>
            <w:r w:rsidRPr="00B45747">
              <w:rPr>
                <w:rFonts w:ascii="Calibri" w:hAnsi="Calibri"/>
                <w:b/>
                <w:bCs/>
                <w:color w:val="000000"/>
                <w:sz w:val="18"/>
                <w:szCs w:val="18"/>
              </w:rPr>
              <w:t>Difference</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12</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understand how we feed ourselves</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3.9</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4.2</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0.28</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13</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Climate Change is a fact</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4.1</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0.75</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14</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We collectively need to understand the effects of humans on our changing climate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4.6</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4.6</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-0.01</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15</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The information provided in this course is important for all UT students</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3.6</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4.3</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0.78</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16</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have good understanding of sustainable agriculture.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3.0</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4.1</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1.12</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17</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think population growth is important to understanding our future.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4.2</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4.5</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0.35</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18</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would like to take another course in soil science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3.3</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3.6</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0.34</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19</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would like to take more agriculture related classes.</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3.7</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0.11</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20</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If I knew I could make a living as a soil scientist I would become one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2.7</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0.06</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21</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believe technology can solve all of our problems</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2.5</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2.6</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0.10</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22</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The Bushmen are an example of a sustainable civilization</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3.1</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3.9</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0.83</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23</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We—the Americans—are an example of a sustainable civilization</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3.0</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2.9</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-0.09</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lastRenderedPageBreak/>
              <w:t>24</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Global Warming is a fact and due to human activity</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3.4</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0.32</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25</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Soil science is an unknown discipline to me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3.4</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2.3</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-1.10</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26</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Today more countries have programs on fighting obesity than hunger</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3.1</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3.4</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0.22</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27</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Climate change is a new phenomenon</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2.3</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1.8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-0.45</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28</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Sustainable energy use is an issue that should be addressed</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4.2</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4.5</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0.27</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29</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Soils have little impact on food security</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1.7</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1.6</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-0.17</w:t>
            </w:r>
          </w:p>
        </w:tc>
      </w:tr>
      <w:tr w:rsidR="00333D31" w:rsidRPr="00B45747" w:rsidTr="00333D31">
        <w:trPr>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30</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"Civilizations" are "sustainable"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3.0</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2.8</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-0.17</w:t>
            </w:r>
          </w:p>
        </w:tc>
      </w:tr>
      <w:tr w:rsidR="00333D31" w:rsidRPr="00B45747" w:rsidTr="00333D31">
        <w:trPr>
          <w:cantSplit/>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31</w:t>
            </w:r>
          </w:p>
        </w:tc>
        <w:tc>
          <w:tcPr>
            <w:tcW w:w="5640" w:type="dxa"/>
            <w:tcBorders>
              <w:top w:val="nil"/>
              <w:left w:val="nil"/>
              <w:bottom w:val="single" w:sz="4"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think that all students should be required to take a class in agriculture or soil science</w:t>
            </w:r>
          </w:p>
        </w:tc>
        <w:tc>
          <w:tcPr>
            <w:tcW w:w="116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3.3</w:t>
            </w:r>
          </w:p>
        </w:tc>
        <w:tc>
          <w:tcPr>
            <w:tcW w:w="1240" w:type="dxa"/>
            <w:tcBorders>
              <w:top w:val="nil"/>
              <w:left w:val="nil"/>
              <w:bottom w:val="single" w:sz="4"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3.9</w:t>
            </w:r>
          </w:p>
        </w:tc>
        <w:tc>
          <w:tcPr>
            <w:tcW w:w="1060" w:type="dxa"/>
            <w:tcBorders>
              <w:top w:val="nil"/>
              <w:left w:val="nil"/>
              <w:bottom w:val="single" w:sz="4"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0.59</w:t>
            </w:r>
          </w:p>
        </w:tc>
      </w:tr>
      <w:tr w:rsidR="00333D31" w:rsidRPr="00B45747" w:rsidTr="00333D31">
        <w:trPr>
          <w:cantSplit/>
          <w:trHeight w:val="240"/>
        </w:trPr>
        <w:tc>
          <w:tcPr>
            <w:tcW w:w="460" w:type="dxa"/>
            <w:tcBorders>
              <w:top w:val="nil"/>
              <w:left w:val="single" w:sz="8" w:space="0" w:color="auto"/>
              <w:bottom w:val="single" w:sz="4" w:space="0" w:color="auto"/>
              <w:right w:val="single" w:sz="4" w:space="0" w:color="auto"/>
            </w:tcBorders>
            <w:shd w:val="clear" w:color="000000" w:fill="FFFFFF"/>
            <w:noWrap/>
            <w:vAlign w:val="center"/>
            <w:hideMark/>
          </w:tcPr>
          <w:p w:rsidR="00333D31" w:rsidRPr="008E6E1C" w:rsidRDefault="00333D31" w:rsidP="00333D31">
            <w:pPr>
              <w:spacing w:line="240" w:lineRule="auto"/>
              <w:jc w:val="center"/>
              <w:rPr>
                <w:rFonts w:ascii="Calibri" w:hAnsi="Calibri"/>
                <w:b/>
                <w:color w:val="000000"/>
              </w:rPr>
            </w:pPr>
            <w:r w:rsidRPr="008E6E1C">
              <w:rPr>
                <w:rFonts w:ascii="Calibri" w:hAnsi="Calibri"/>
                <w:b/>
                <w:color w:val="000000"/>
              </w:rPr>
              <w:t>32</w:t>
            </w:r>
          </w:p>
        </w:tc>
        <w:tc>
          <w:tcPr>
            <w:tcW w:w="5640" w:type="dxa"/>
            <w:tcBorders>
              <w:top w:val="nil"/>
              <w:left w:val="nil"/>
              <w:bottom w:val="single" w:sz="8" w:space="0" w:color="auto"/>
              <w:right w:val="single" w:sz="4" w:space="0" w:color="auto"/>
            </w:tcBorders>
            <w:shd w:val="clear" w:color="000000" w:fill="FFFFFF"/>
            <w:vAlign w:val="center"/>
            <w:hideMark/>
          </w:tcPr>
          <w:p w:rsidR="00333D31" w:rsidRPr="00C4626E" w:rsidRDefault="00333D31" w:rsidP="00333D31">
            <w:pPr>
              <w:spacing w:line="240" w:lineRule="auto"/>
              <w:rPr>
                <w:color w:val="000000"/>
                <w:sz w:val="18"/>
                <w:szCs w:val="18"/>
              </w:rPr>
            </w:pPr>
            <w:r w:rsidRPr="00C4626E">
              <w:rPr>
                <w:color w:val="000000"/>
                <w:sz w:val="18"/>
                <w:szCs w:val="18"/>
              </w:rPr>
              <w:t>I think that government has an important role in protecting natural resources</w:t>
            </w:r>
          </w:p>
        </w:tc>
        <w:tc>
          <w:tcPr>
            <w:tcW w:w="1160" w:type="dxa"/>
            <w:tcBorders>
              <w:top w:val="nil"/>
              <w:left w:val="nil"/>
              <w:bottom w:val="single" w:sz="8"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3.8</w:t>
            </w:r>
          </w:p>
        </w:tc>
        <w:tc>
          <w:tcPr>
            <w:tcW w:w="1240" w:type="dxa"/>
            <w:tcBorders>
              <w:top w:val="nil"/>
              <w:left w:val="nil"/>
              <w:bottom w:val="single" w:sz="8" w:space="0" w:color="auto"/>
              <w:right w:val="single" w:sz="4"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4.3</w:t>
            </w:r>
          </w:p>
        </w:tc>
        <w:tc>
          <w:tcPr>
            <w:tcW w:w="1060" w:type="dxa"/>
            <w:tcBorders>
              <w:top w:val="nil"/>
              <w:left w:val="nil"/>
              <w:bottom w:val="single" w:sz="8" w:space="0" w:color="auto"/>
              <w:right w:val="single" w:sz="8" w:space="0" w:color="auto"/>
            </w:tcBorders>
            <w:shd w:val="clear" w:color="000000" w:fill="FFFFFF"/>
            <w:noWrap/>
            <w:vAlign w:val="center"/>
            <w:hideMark/>
          </w:tcPr>
          <w:p w:rsidR="00333D31" w:rsidRPr="00C4626E" w:rsidRDefault="00333D31" w:rsidP="00333D31">
            <w:pPr>
              <w:spacing w:line="240" w:lineRule="auto"/>
              <w:jc w:val="center"/>
              <w:rPr>
                <w:b/>
                <w:bCs/>
                <w:color w:val="000000"/>
                <w:sz w:val="18"/>
                <w:szCs w:val="18"/>
              </w:rPr>
            </w:pPr>
            <w:r w:rsidRPr="00C4626E">
              <w:rPr>
                <w:b/>
                <w:bCs/>
                <w:color w:val="000000"/>
                <w:sz w:val="18"/>
                <w:szCs w:val="18"/>
              </w:rPr>
              <w:t>0.47</w:t>
            </w:r>
          </w:p>
        </w:tc>
      </w:tr>
    </w:tbl>
    <w:p w:rsidR="00333D31" w:rsidRPr="003E391C" w:rsidRDefault="00333D31" w:rsidP="00333D31"/>
    <w:p w:rsidR="00333D31" w:rsidRDefault="00333D31" w:rsidP="001276F6">
      <w:pPr>
        <w:spacing w:line="480" w:lineRule="auto"/>
      </w:pPr>
      <w:r>
        <w:t>But perhaps more importantly for those of us employed within the Land Grant University System, the survey results suggested that students gained a better understanding of food production and how population growth can cause civilization demise. Student perceptions moved toward the understanding that few of our current civilizations are truly sustainable with sustainable energy use as just one issue that needs to be addressed.</w:t>
      </w:r>
    </w:p>
    <w:p w:rsidR="00333D31" w:rsidRDefault="00333D31" w:rsidP="00333D31">
      <w:pPr>
        <w:pStyle w:val="Heading2"/>
      </w:pPr>
      <w:bookmarkStart w:id="78" w:name="_Toc391021461"/>
      <w:r>
        <w:t>Summary</w:t>
      </w:r>
      <w:bookmarkEnd w:id="78"/>
    </w:p>
    <w:p w:rsidR="00333D31" w:rsidRDefault="00333D31" w:rsidP="001276F6">
      <w:pPr>
        <w:spacing w:line="480" w:lineRule="auto"/>
      </w:pPr>
      <w:r>
        <w:t>Based on the responses of this survey, there is a strong indication that this course has an influence/impact on the attitudes of students towards soil, agriculture and their relation to food security and sustainability. Registration for the fall 2013 semester increased 17% to a total of 233 students. Surveys will be used to continue measurements and other methods will be explored to quantify the impact of this course on enrollment to soil science courses.</w:t>
      </w:r>
    </w:p>
    <w:p w:rsidR="00333D31" w:rsidRDefault="00333D31" w:rsidP="001276F6">
      <w:pPr>
        <w:spacing w:line="480" w:lineRule="auto"/>
      </w:pPr>
      <w:r>
        <w:t xml:space="preserve">We think an introductory class is necessary to explain agriculture’s role in civilization, subsequent civilization stability and solving global agricultural and food security problems. Quite simply, this course outlines the mission of the Land Grant Universities, a </w:t>
      </w:r>
      <w:r>
        <w:lastRenderedPageBreak/>
        <w:t>mission that can only be completed if we strive to enlist the best minds to work in agricultural sciences. Our future may depend on our success at marketing our disciplines to future generations and this course is a tool to do so.</w:t>
      </w:r>
    </w:p>
    <w:p w:rsidR="00333D31" w:rsidRDefault="009A2E66" w:rsidP="00333D31">
      <w:pPr>
        <w:pStyle w:val="Heading2"/>
      </w:pPr>
      <w:bookmarkStart w:id="79" w:name="_Toc391021462"/>
      <w:r>
        <w:t>References</w:t>
      </w:r>
      <w:bookmarkEnd w:id="79"/>
      <w:r>
        <w:t xml:space="preserve"> </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Bindraban, P.S., M. van der Velde, L. Ye, M. van den Berg, S. Materechera, D.I. Kiba, L. Tamene, K.V. Ragnarsdottir, R. Jongschaap, M. Hoogmoed, W. Hoogmoed, C. van Beek and G. van Lynden. 2012. Assessing the impact of soil degradation on food production. Current Opinion in Environmental Sustainability.</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Collins, M.E. 2008. Where have all the soils students gone? Journal of Natural Resources and Life Sciences Education 37(1): 117-124.</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Dimitri, C., A.B. Effland and N.C. Conklin. 2005. The 20th century transformation of US agriculture and farm policy. US Department of Agriculture, Economic Research Service.</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Doerfert, D.L. 2011. National research agenda: American Association for Agricultural Education’s research priority areas for 2011–2015. Lubbock, TX: Texas Tech University, Department of Agricultural Education and Communications.</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 xml:space="preserve">FAO. 2009. Enabling agriculture to contribute to climate change mitigation. A submission by the Food and Agriculture Organization of the United Nations. Available at United Nations Framework Convention on Climate Change (UNFCCC). </w:t>
      </w:r>
      <w:hyperlink r:id="rId33" w:history="1">
        <w:r w:rsidRPr="00AE0605">
          <w:rPr>
            <w:rFonts w:ascii="Calibri" w:hAnsi="Calibri" w:cs="Times New Roman"/>
            <w:noProof/>
            <w:sz w:val="22"/>
          </w:rPr>
          <w:t>http://unfccc.int/</w:t>
        </w:r>
      </w:hyperlink>
      <w:r w:rsidRPr="00AE0605">
        <w:rPr>
          <w:rFonts w:ascii="Calibri" w:hAnsi="Calibri" w:cs="Times New Roman"/>
          <w:noProof/>
          <w:sz w:val="22"/>
        </w:rPr>
        <w:t>resource/docs/2008/smsn/igo/036.pdf [accessed April 30, 2013].</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FAO. 2011. The state of the world’s land and water resources for food and agriculture (SOLAW) - Managing systems at risk. Rome and Earthscan, London: Food and Agriculture Organization of the United Nations.</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FAO, WFP and IFAD. 2012. The State of Food Insecurity in the World 2012. Economic growth is necessary but not sufficient to accelerate reduction of hunger and malnutrition. Rome, FAO.</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Follett, R., S. Mooney, J. Morgan, K. Paustian, L. Allen Jr, S. Archibeque, J. Baker, S. Del Grosso, J. Derner, F. Kejkstra, A. Franzluebbers, H. Janzen, L. Kurkalova, B. McCarl, S. Ogle, W. Parton, J. Peterson, C. Rice and G. Robertson. 2011. Carbon sequestration and greenhouse gas fluxes in agriculture: challenges and opportunities. Ames: Council for Agricultural Science and Technology (CAST).</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lastRenderedPageBreak/>
        <w:t>Gonzalez, J.A. 2006. Agricultural programs: Are they able to adapt for the future? CSREES Faculty Fellow presentation at USDA. Washington, DC.</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Hardin, G. 1968. The tragedy of the commons. Science 162:1243-1248.</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Hartemink, A.E, A. McBratney and B. Minasny. 2008. Trends in soil science education: Looking beyond the number of students Journal of Soil and Water Conservation 63(3):76A-83A</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Havlin, J., N. Balster, S. Chapman, D. Ferris, T. Thompson and T. Smith. 2010. Trends in soil science education and employment. Soil Science Society of America Journal 74(5): 1429-1432.</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National Academy of Sciences. 2009. Transforming agricultural education for a changing world. Washington, DC: The National Academies Press.</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Ostrom, E. 1990. Governing the commons: The evolution of institutions for collective action. Cambridge University Press: Cambridge.</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r w:rsidRPr="00AE0605">
        <w:rPr>
          <w:rFonts w:ascii="Calibri" w:hAnsi="Calibri" w:cs="Times New Roman"/>
          <w:noProof/>
          <w:sz w:val="22"/>
        </w:rPr>
        <w:t>Terry, R. Jr. and D.E. Lawver. 1995. University students’ perceptions of issues related to agriculture. Journal of Agricultural Education 36(4):64-71.</w:t>
      </w:r>
    </w:p>
    <w:p w:rsidR="00333D31" w:rsidRPr="00AE0605" w:rsidRDefault="00333D31" w:rsidP="00AE0605">
      <w:pPr>
        <w:spacing w:before="100" w:beforeAutospacing="1" w:after="100" w:afterAutospacing="1" w:line="240" w:lineRule="auto"/>
        <w:ind w:left="480" w:hanging="480"/>
        <w:rPr>
          <w:rFonts w:ascii="Calibri" w:hAnsi="Calibri" w:cs="Times New Roman"/>
          <w:noProof/>
          <w:sz w:val="22"/>
        </w:rPr>
      </w:pPr>
    </w:p>
    <w:p w:rsidR="00236E6D" w:rsidRPr="00334400" w:rsidRDefault="004C2071" w:rsidP="005539C7">
      <w:pPr>
        <w:pStyle w:val="Heading1"/>
      </w:pPr>
      <w:r w:rsidRPr="00334400">
        <w:br w:type="page"/>
      </w:r>
      <w:bookmarkStart w:id="80" w:name="_Toc289175843"/>
      <w:bookmarkStart w:id="81" w:name="_Toc391021463"/>
      <w:r w:rsidR="00526151" w:rsidRPr="00334400">
        <w:lastRenderedPageBreak/>
        <w:t>CONCLUSION</w:t>
      </w:r>
      <w:bookmarkEnd w:id="80"/>
      <w:bookmarkEnd w:id="81"/>
    </w:p>
    <w:p w:rsidR="00236E6D" w:rsidRPr="005E54E2" w:rsidRDefault="00236E6D" w:rsidP="001276F6">
      <w:pPr>
        <w:spacing w:line="480" w:lineRule="auto"/>
      </w:pPr>
    </w:p>
    <w:p w:rsidR="00236E6D" w:rsidRPr="005E54E2" w:rsidRDefault="0087532D" w:rsidP="001276F6">
      <w:pPr>
        <w:spacing w:line="480" w:lineRule="auto"/>
      </w:pPr>
      <w:r w:rsidRPr="005E54E2">
        <w:t>This is the conclusion for the entire document.</w:t>
      </w:r>
      <w:r w:rsidR="00825933" w:rsidRPr="005E54E2">
        <w:t xml:space="preserve"> </w:t>
      </w:r>
      <w:r w:rsidRPr="005E54E2">
        <w:t xml:space="preserve"> It can be a numbered chapter or it can stand alone. If you did not make your introduction a chapter </w:t>
      </w:r>
      <w:r w:rsidR="00825933" w:rsidRPr="005E54E2">
        <w:t xml:space="preserve">and give it </w:t>
      </w:r>
      <w:r w:rsidRPr="005E54E2">
        <w:t xml:space="preserve">a number, you should not make the conclusion a numbered chapter. </w:t>
      </w:r>
      <w:r w:rsidR="00825933" w:rsidRPr="005E54E2">
        <w:t xml:space="preserve"> If you did call your Introduction “Chapter 1”, you should give your conclusiona chapter number.</w:t>
      </w:r>
    </w:p>
    <w:p w:rsidR="00236E6D" w:rsidRDefault="003D63DF" w:rsidP="005E54E2">
      <w:pPr>
        <w:pStyle w:val="Heading2"/>
      </w:pPr>
      <w:bookmarkStart w:id="82" w:name="_Toc289175844"/>
      <w:bookmarkStart w:id="83" w:name="_Toc391021464"/>
      <w:r>
        <w:t>Heading 2</w:t>
      </w:r>
      <w:bookmarkEnd w:id="82"/>
      <w:bookmarkEnd w:id="83"/>
    </w:p>
    <w:p w:rsidR="00236E6D" w:rsidRPr="005E54E2" w:rsidRDefault="00E459DC" w:rsidP="005E54E2">
      <w:r w:rsidRPr="005E54E2">
        <w:t xml:space="preserve">Write </w:t>
      </w:r>
      <w:r w:rsidR="008F60C3" w:rsidRPr="005E54E2">
        <w:t>her</w:t>
      </w:r>
      <w:r w:rsidR="00825933" w:rsidRPr="005E54E2">
        <w:t>e.</w:t>
      </w:r>
    </w:p>
    <w:p w:rsidR="00825933" w:rsidRPr="00334400" w:rsidRDefault="00236E6D" w:rsidP="005E54E2">
      <w:pPr>
        <w:pStyle w:val="Heading1"/>
      </w:pPr>
      <w:r>
        <w:br w:type="page"/>
      </w:r>
    </w:p>
    <w:p w:rsidR="00236E6D" w:rsidRPr="00334400" w:rsidRDefault="00526151" w:rsidP="005E54E2">
      <w:pPr>
        <w:pStyle w:val="Heading1"/>
      </w:pPr>
      <w:bookmarkStart w:id="84" w:name="_Toc289175845"/>
      <w:bookmarkStart w:id="85" w:name="_Toc391021465"/>
      <w:r w:rsidRPr="00334400">
        <w:t>VITA</w:t>
      </w:r>
      <w:bookmarkEnd w:id="84"/>
      <w:bookmarkEnd w:id="85"/>
    </w:p>
    <w:p w:rsidR="003D63DF" w:rsidRDefault="003D63DF" w:rsidP="005E54E2"/>
    <w:p w:rsidR="003D63DF" w:rsidRPr="005E54E2" w:rsidRDefault="003D07F7" w:rsidP="005E54E2">
      <w:r w:rsidRPr="005E54E2">
        <w:t>John X. Doe</w:t>
      </w:r>
      <w:r w:rsidR="003D63DF" w:rsidRPr="005E54E2">
        <w:t xml:space="preserve"> was born</w:t>
      </w:r>
      <w:r w:rsidRPr="005E54E2">
        <w:t>. He wrote a thesis. H</w:t>
      </w:r>
      <w:r w:rsidR="003D63DF" w:rsidRPr="005E54E2">
        <w:t>e graduated.</w:t>
      </w:r>
      <w:r w:rsidR="0075558C" w:rsidRPr="005E54E2">
        <w:t xml:space="preserve"> This page really is required.</w:t>
      </w:r>
    </w:p>
    <w:sectPr w:rsidR="003D63DF" w:rsidRPr="005E54E2" w:rsidSect="003278BB">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2CF" w:rsidRDefault="002542CF" w:rsidP="005E54E2">
      <w:r>
        <w:separator/>
      </w:r>
    </w:p>
    <w:p w:rsidR="002542CF" w:rsidRDefault="002542CF" w:rsidP="005E54E2"/>
    <w:p w:rsidR="002542CF" w:rsidRDefault="002542CF" w:rsidP="005E54E2"/>
    <w:p w:rsidR="002542CF" w:rsidRDefault="002542CF" w:rsidP="005E54E2"/>
  </w:endnote>
  <w:endnote w:type="continuationSeparator" w:id="0">
    <w:p w:rsidR="002542CF" w:rsidRDefault="002542CF" w:rsidP="005E54E2">
      <w:r>
        <w:continuationSeparator/>
      </w:r>
    </w:p>
    <w:p w:rsidR="002542CF" w:rsidRDefault="002542CF" w:rsidP="005E54E2"/>
    <w:p w:rsidR="002542CF" w:rsidRDefault="002542CF" w:rsidP="005E54E2"/>
    <w:p w:rsidR="002542CF" w:rsidRDefault="002542CF"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utch801BT-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50" w:rsidRDefault="00DB5C50">
    <w:pPr>
      <w:pStyle w:val="Footer"/>
      <w:jc w:val="right"/>
    </w:pPr>
    <w:r>
      <w:fldChar w:fldCharType="begin"/>
    </w:r>
    <w:r w:rsidRPr="003537AC">
      <w:instrText xml:space="preserve"> PAGE   \* MERGEFORMAT </w:instrText>
    </w:r>
    <w:r>
      <w:fldChar w:fldCharType="separate"/>
    </w:r>
    <w:r w:rsidR="00064B22">
      <w:rPr>
        <w:noProof/>
      </w:rPr>
      <w:t>xii</w:t>
    </w:r>
    <w:r>
      <w:rPr>
        <w:noProof/>
      </w:rPr>
      <w:fldChar w:fldCharType="end"/>
    </w:r>
  </w:p>
  <w:p w:rsidR="00DB5C50" w:rsidRDefault="00DB5C50" w:rsidP="005E54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50" w:rsidRDefault="00DB5C50">
    <w:pPr>
      <w:pStyle w:val="Footer"/>
      <w:jc w:val="right"/>
    </w:pPr>
    <w:r>
      <w:fldChar w:fldCharType="begin"/>
    </w:r>
    <w:r w:rsidRPr="00EB03D8">
      <w:instrText xml:space="preserve"> PAGE   \* MERGEFORMAT </w:instrText>
    </w:r>
    <w:r>
      <w:fldChar w:fldCharType="separate"/>
    </w:r>
    <w:r w:rsidR="00B81BC4">
      <w:rPr>
        <w:noProof/>
      </w:rPr>
      <w:t>70</w:t>
    </w:r>
    <w:r>
      <w:rPr>
        <w:noProof/>
      </w:rPr>
      <w:fldChar w:fldCharType="end"/>
    </w:r>
  </w:p>
  <w:p w:rsidR="00DB5C50" w:rsidRDefault="00DB5C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2CF" w:rsidRDefault="002542CF" w:rsidP="005E54E2">
      <w:r>
        <w:separator/>
      </w:r>
    </w:p>
    <w:p w:rsidR="002542CF" w:rsidRDefault="002542CF" w:rsidP="005E54E2"/>
    <w:p w:rsidR="002542CF" w:rsidRDefault="002542CF" w:rsidP="005E54E2"/>
    <w:p w:rsidR="002542CF" w:rsidRDefault="002542CF" w:rsidP="005E54E2"/>
  </w:footnote>
  <w:footnote w:type="continuationSeparator" w:id="0">
    <w:p w:rsidR="002542CF" w:rsidRDefault="002542CF" w:rsidP="005E54E2">
      <w:r>
        <w:continuationSeparator/>
      </w:r>
    </w:p>
    <w:p w:rsidR="002542CF" w:rsidRDefault="002542CF" w:rsidP="005E54E2"/>
    <w:p w:rsidR="002542CF" w:rsidRDefault="002542CF" w:rsidP="005E54E2"/>
    <w:p w:rsidR="002542CF" w:rsidRDefault="002542CF"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26E79"/>
    <w:multiLevelType w:val="hybridMultilevel"/>
    <w:tmpl w:val="D25CA0F0"/>
    <w:lvl w:ilvl="0" w:tplc="04CEC47C">
      <w:start w:val="1"/>
      <w:numFmt w:val="bulle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353B7C"/>
    <w:multiLevelType w:val="hybridMultilevel"/>
    <w:tmpl w:val="76BCA79A"/>
    <w:lvl w:ilvl="0" w:tplc="04CEC47C">
      <w:start w:val="1"/>
      <w:numFmt w:val="bulle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7E7B78"/>
    <w:multiLevelType w:val="hybridMultilevel"/>
    <w:tmpl w:val="217AB928"/>
    <w:lvl w:ilvl="0" w:tplc="04CEC47C">
      <w:start w:val="1"/>
      <w:numFmt w:val="bulle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80305A"/>
    <w:multiLevelType w:val="hybridMultilevel"/>
    <w:tmpl w:val="929047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0F01204"/>
    <w:multiLevelType w:val="hybridMultilevel"/>
    <w:tmpl w:val="DBEA4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AF40A8"/>
    <w:multiLevelType w:val="hybridMultilevel"/>
    <w:tmpl w:val="5EF68022"/>
    <w:lvl w:ilvl="0" w:tplc="04CEC47C">
      <w:start w:val="1"/>
      <w:numFmt w:val="bulle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634A5F"/>
    <w:multiLevelType w:val="hybridMultilevel"/>
    <w:tmpl w:val="C464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B24DCA"/>
    <w:multiLevelType w:val="hybridMultilevel"/>
    <w:tmpl w:val="ED044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81264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5DC80B6D"/>
    <w:multiLevelType w:val="hybridMultilevel"/>
    <w:tmpl w:val="13A642EC"/>
    <w:lvl w:ilvl="0" w:tplc="AA2AB13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E400AF"/>
    <w:multiLevelType w:val="hybridMultilevel"/>
    <w:tmpl w:val="E1D65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4"/>
  </w:num>
  <w:num w:numId="4">
    <w:abstractNumId w:val="8"/>
  </w:num>
  <w:num w:numId="5">
    <w:abstractNumId w:val="9"/>
  </w:num>
  <w:num w:numId="6">
    <w:abstractNumId w:val="7"/>
  </w:num>
  <w:num w:numId="7">
    <w:abstractNumId w:val="6"/>
  </w:num>
  <w:num w:numId="8">
    <w:abstractNumId w:val="5"/>
  </w:num>
  <w:num w:numId="9">
    <w:abstractNumId w:val="1"/>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2D3E"/>
    <w:rsid w:val="00003F6A"/>
    <w:rsid w:val="000149C9"/>
    <w:rsid w:val="00014A3E"/>
    <w:rsid w:val="000166A9"/>
    <w:rsid w:val="00026F82"/>
    <w:rsid w:val="00034930"/>
    <w:rsid w:val="00057004"/>
    <w:rsid w:val="00057C04"/>
    <w:rsid w:val="00064B22"/>
    <w:rsid w:val="00071FB8"/>
    <w:rsid w:val="00076A95"/>
    <w:rsid w:val="000B5C42"/>
    <w:rsid w:val="000E6BE4"/>
    <w:rsid w:val="000F03F1"/>
    <w:rsid w:val="0010217F"/>
    <w:rsid w:val="001276F6"/>
    <w:rsid w:val="001504EF"/>
    <w:rsid w:val="00160114"/>
    <w:rsid w:val="00163285"/>
    <w:rsid w:val="001854FB"/>
    <w:rsid w:val="00193642"/>
    <w:rsid w:val="001B1034"/>
    <w:rsid w:val="001B1C6C"/>
    <w:rsid w:val="001B51E2"/>
    <w:rsid w:val="001C39F6"/>
    <w:rsid w:val="001C66FE"/>
    <w:rsid w:val="001D07B9"/>
    <w:rsid w:val="001D4908"/>
    <w:rsid w:val="001D6904"/>
    <w:rsid w:val="001E0DD0"/>
    <w:rsid w:val="001F43C1"/>
    <w:rsid w:val="001F522F"/>
    <w:rsid w:val="00215C1D"/>
    <w:rsid w:val="00236E6D"/>
    <w:rsid w:val="002429E5"/>
    <w:rsid w:val="002542CF"/>
    <w:rsid w:val="002600E7"/>
    <w:rsid w:val="0026522F"/>
    <w:rsid w:val="00266BE1"/>
    <w:rsid w:val="0028041C"/>
    <w:rsid w:val="00280CEF"/>
    <w:rsid w:val="0028757A"/>
    <w:rsid w:val="002A3264"/>
    <w:rsid w:val="002D3535"/>
    <w:rsid w:val="002E0C33"/>
    <w:rsid w:val="002E2492"/>
    <w:rsid w:val="002E5F14"/>
    <w:rsid w:val="002F6C76"/>
    <w:rsid w:val="00304BD0"/>
    <w:rsid w:val="00307D77"/>
    <w:rsid w:val="00313E9E"/>
    <w:rsid w:val="003150D5"/>
    <w:rsid w:val="003206F1"/>
    <w:rsid w:val="00320F78"/>
    <w:rsid w:val="0032130F"/>
    <w:rsid w:val="003278BB"/>
    <w:rsid w:val="00333D31"/>
    <w:rsid w:val="00334400"/>
    <w:rsid w:val="003348A6"/>
    <w:rsid w:val="00342EFB"/>
    <w:rsid w:val="003537AC"/>
    <w:rsid w:val="00354CA3"/>
    <w:rsid w:val="0035768F"/>
    <w:rsid w:val="00360B3C"/>
    <w:rsid w:val="0036251E"/>
    <w:rsid w:val="00363AB1"/>
    <w:rsid w:val="0037722A"/>
    <w:rsid w:val="00377FF4"/>
    <w:rsid w:val="0038177C"/>
    <w:rsid w:val="003836EB"/>
    <w:rsid w:val="003853B9"/>
    <w:rsid w:val="00387024"/>
    <w:rsid w:val="00387656"/>
    <w:rsid w:val="003C070F"/>
    <w:rsid w:val="003C1575"/>
    <w:rsid w:val="003C6920"/>
    <w:rsid w:val="003C7FC5"/>
    <w:rsid w:val="003D07F7"/>
    <w:rsid w:val="003D5275"/>
    <w:rsid w:val="003D63DF"/>
    <w:rsid w:val="003D737F"/>
    <w:rsid w:val="003F7474"/>
    <w:rsid w:val="00404616"/>
    <w:rsid w:val="00407B6A"/>
    <w:rsid w:val="00414400"/>
    <w:rsid w:val="00421CD4"/>
    <w:rsid w:val="00422932"/>
    <w:rsid w:val="00427833"/>
    <w:rsid w:val="0044196E"/>
    <w:rsid w:val="00447956"/>
    <w:rsid w:val="00474210"/>
    <w:rsid w:val="00480B96"/>
    <w:rsid w:val="0048303E"/>
    <w:rsid w:val="0049004B"/>
    <w:rsid w:val="004920F6"/>
    <w:rsid w:val="004A404B"/>
    <w:rsid w:val="004A67E8"/>
    <w:rsid w:val="004B32CF"/>
    <w:rsid w:val="004C2071"/>
    <w:rsid w:val="004C3D65"/>
    <w:rsid w:val="004D6472"/>
    <w:rsid w:val="005049EE"/>
    <w:rsid w:val="005250E6"/>
    <w:rsid w:val="00526151"/>
    <w:rsid w:val="00535B1B"/>
    <w:rsid w:val="005539C7"/>
    <w:rsid w:val="00593192"/>
    <w:rsid w:val="00597D3F"/>
    <w:rsid w:val="005B79E9"/>
    <w:rsid w:val="005E2B4A"/>
    <w:rsid w:val="005E4912"/>
    <w:rsid w:val="005E54E2"/>
    <w:rsid w:val="005E5838"/>
    <w:rsid w:val="005E6F1F"/>
    <w:rsid w:val="005F44D1"/>
    <w:rsid w:val="00611B90"/>
    <w:rsid w:val="00621129"/>
    <w:rsid w:val="00633916"/>
    <w:rsid w:val="00641D2B"/>
    <w:rsid w:val="00652687"/>
    <w:rsid w:val="00662457"/>
    <w:rsid w:val="00662D3E"/>
    <w:rsid w:val="006632F6"/>
    <w:rsid w:val="00665C7E"/>
    <w:rsid w:val="006708E8"/>
    <w:rsid w:val="00672DDD"/>
    <w:rsid w:val="00676C91"/>
    <w:rsid w:val="00685552"/>
    <w:rsid w:val="00690B77"/>
    <w:rsid w:val="006C2D3E"/>
    <w:rsid w:val="006C4000"/>
    <w:rsid w:val="006C621F"/>
    <w:rsid w:val="006E56E8"/>
    <w:rsid w:val="006E5B01"/>
    <w:rsid w:val="006F5AA4"/>
    <w:rsid w:val="00700712"/>
    <w:rsid w:val="00706677"/>
    <w:rsid w:val="00711200"/>
    <w:rsid w:val="007142B3"/>
    <w:rsid w:val="0072397F"/>
    <w:rsid w:val="00727250"/>
    <w:rsid w:val="00731922"/>
    <w:rsid w:val="00731ACB"/>
    <w:rsid w:val="007368AD"/>
    <w:rsid w:val="0074133D"/>
    <w:rsid w:val="0075196D"/>
    <w:rsid w:val="0075558C"/>
    <w:rsid w:val="00761EFA"/>
    <w:rsid w:val="00764873"/>
    <w:rsid w:val="007778DD"/>
    <w:rsid w:val="00787617"/>
    <w:rsid w:val="00787A23"/>
    <w:rsid w:val="00796693"/>
    <w:rsid w:val="007A2A23"/>
    <w:rsid w:val="007C55A7"/>
    <w:rsid w:val="007C7591"/>
    <w:rsid w:val="007D1C7E"/>
    <w:rsid w:val="007D5CD5"/>
    <w:rsid w:val="007F6AE9"/>
    <w:rsid w:val="00825933"/>
    <w:rsid w:val="00826D54"/>
    <w:rsid w:val="00834CBF"/>
    <w:rsid w:val="008351FD"/>
    <w:rsid w:val="00836F89"/>
    <w:rsid w:val="00846459"/>
    <w:rsid w:val="0085757D"/>
    <w:rsid w:val="00862A19"/>
    <w:rsid w:val="00863435"/>
    <w:rsid w:val="008638B6"/>
    <w:rsid w:val="00872827"/>
    <w:rsid w:val="0087349A"/>
    <w:rsid w:val="0087532D"/>
    <w:rsid w:val="008812E7"/>
    <w:rsid w:val="008865B6"/>
    <w:rsid w:val="00886BA4"/>
    <w:rsid w:val="00887D7B"/>
    <w:rsid w:val="00895DF4"/>
    <w:rsid w:val="008A2891"/>
    <w:rsid w:val="008A7971"/>
    <w:rsid w:val="008B0A19"/>
    <w:rsid w:val="008B1A4D"/>
    <w:rsid w:val="008B4FEF"/>
    <w:rsid w:val="008D589C"/>
    <w:rsid w:val="008D6B1E"/>
    <w:rsid w:val="008E7085"/>
    <w:rsid w:val="008F60C3"/>
    <w:rsid w:val="00904969"/>
    <w:rsid w:val="0092205C"/>
    <w:rsid w:val="009254D6"/>
    <w:rsid w:val="0092669B"/>
    <w:rsid w:val="0093163E"/>
    <w:rsid w:val="00936436"/>
    <w:rsid w:val="009373EB"/>
    <w:rsid w:val="00966BAC"/>
    <w:rsid w:val="00975E37"/>
    <w:rsid w:val="009A2ABE"/>
    <w:rsid w:val="009A2E66"/>
    <w:rsid w:val="009A6A2F"/>
    <w:rsid w:val="009C755C"/>
    <w:rsid w:val="009C780F"/>
    <w:rsid w:val="009D794C"/>
    <w:rsid w:val="009E61A8"/>
    <w:rsid w:val="009E79AD"/>
    <w:rsid w:val="00A00737"/>
    <w:rsid w:val="00A03AB9"/>
    <w:rsid w:val="00A25353"/>
    <w:rsid w:val="00A25690"/>
    <w:rsid w:val="00A34F5F"/>
    <w:rsid w:val="00A46A68"/>
    <w:rsid w:val="00A50EE9"/>
    <w:rsid w:val="00A5301E"/>
    <w:rsid w:val="00A74407"/>
    <w:rsid w:val="00A847CB"/>
    <w:rsid w:val="00A85C1F"/>
    <w:rsid w:val="00A86F48"/>
    <w:rsid w:val="00AA3E0C"/>
    <w:rsid w:val="00AD0A33"/>
    <w:rsid w:val="00AE0605"/>
    <w:rsid w:val="00AE0982"/>
    <w:rsid w:val="00B07524"/>
    <w:rsid w:val="00B113E7"/>
    <w:rsid w:val="00B35B7C"/>
    <w:rsid w:val="00B46CA1"/>
    <w:rsid w:val="00B53C15"/>
    <w:rsid w:val="00B55FD1"/>
    <w:rsid w:val="00B6112E"/>
    <w:rsid w:val="00B7746D"/>
    <w:rsid w:val="00B81BC4"/>
    <w:rsid w:val="00B90095"/>
    <w:rsid w:val="00BB01C6"/>
    <w:rsid w:val="00BD3522"/>
    <w:rsid w:val="00BD43E6"/>
    <w:rsid w:val="00BF1DF3"/>
    <w:rsid w:val="00C0799A"/>
    <w:rsid w:val="00C11D0D"/>
    <w:rsid w:val="00C509C3"/>
    <w:rsid w:val="00C50A17"/>
    <w:rsid w:val="00C70EAE"/>
    <w:rsid w:val="00C83B65"/>
    <w:rsid w:val="00C9116C"/>
    <w:rsid w:val="00C97801"/>
    <w:rsid w:val="00CA73D6"/>
    <w:rsid w:val="00CC0193"/>
    <w:rsid w:val="00CD50B5"/>
    <w:rsid w:val="00CD73A9"/>
    <w:rsid w:val="00CE3A3E"/>
    <w:rsid w:val="00CE4D4B"/>
    <w:rsid w:val="00CF46E6"/>
    <w:rsid w:val="00CF753F"/>
    <w:rsid w:val="00D06F12"/>
    <w:rsid w:val="00D21EF3"/>
    <w:rsid w:val="00D25C54"/>
    <w:rsid w:val="00D3551E"/>
    <w:rsid w:val="00D41205"/>
    <w:rsid w:val="00D46790"/>
    <w:rsid w:val="00D6504C"/>
    <w:rsid w:val="00D73F4D"/>
    <w:rsid w:val="00D82E57"/>
    <w:rsid w:val="00D91C27"/>
    <w:rsid w:val="00D96DEE"/>
    <w:rsid w:val="00DA0F17"/>
    <w:rsid w:val="00DB5C50"/>
    <w:rsid w:val="00DC50EC"/>
    <w:rsid w:val="00DC5925"/>
    <w:rsid w:val="00DC60FA"/>
    <w:rsid w:val="00DD00DE"/>
    <w:rsid w:val="00DE23AF"/>
    <w:rsid w:val="00DF3B9A"/>
    <w:rsid w:val="00E17598"/>
    <w:rsid w:val="00E253BA"/>
    <w:rsid w:val="00E402F8"/>
    <w:rsid w:val="00E459DC"/>
    <w:rsid w:val="00E4614B"/>
    <w:rsid w:val="00E579B9"/>
    <w:rsid w:val="00E807D9"/>
    <w:rsid w:val="00EA464C"/>
    <w:rsid w:val="00EA5199"/>
    <w:rsid w:val="00EB03D8"/>
    <w:rsid w:val="00ED7A05"/>
    <w:rsid w:val="00EE334C"/>
    <w:rsid w:val="00F02153"/>
    <w:rsid w:val="00F058DF"/>
    <w:rsid w:val="00F063AE"/>
    <w:rsid w:val="00F15675"/>
    <w:rsid w:val="00F21250"/>
    <w:rsid w:val="00F23367"/>
    <w:rsid w:val="00F2398D"/>
    <w:rsid w:val="00F331B3"/>
    <w:rsid w:val="00F378FC"/>
    <w:rsid w:val="00F634A3"/>
    <w:rsid w:val="00F63F50"/>
    <w:rsid w:val="00F70716"/>
    <w:rsid w:val="00F70F21"/>
    <w:rsid w:val="00F710F9"/>
    <w:rsid w:val="00F7620F"/>
    <w:rsid w:val="00F87F40"/>
    <w:rsid w:val="00FA0AE4"/>
    <w:rsid w:val="00FA75A5"/>
    <w:rsid w:val="00FB375C"/>
    <w:rsid w:val="00FB4DBA"/>
    <w:rsid w:val="00FB667E"/>
    <w:rsid w:val="00FC5A1B"/>
    <w:rsid w:val="00FD60AC"/>
    <w:rsid w:val="00FE552D"/>
    <w:rsid w:val="00FE7A64"/>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51FD"/>
    <w:pPr>
      <w:spacing w:line="360" w:lineRule="auto"/>
    </w:pPr>
    <w:rPr>
      <w:rFonts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2600E7"/>
    <w:pPr>
      <w:keepNext/>
      <w:keepLines/>
      <w:spacing w:before="200"/>
      <w:ind w:left="864" w:hanging="864"/>
      <w:outlineLvl w:val="3"/>
    </w:pPr>
    <w:rPr>
      <w:rFonts w:ascii="Cambria" w:hAnsi="Cambria" w:cs="Times New Roman"/>
      <w:b/>
      <w:bCs/>
      <w:i/>
      <w:iCs/>
      <w:color w:val="4F81BD"/>
      <w:sz w:val="22"/>
      <w:szCs w:val="22"/>
    </w:rPr>
  </w:style>
  <w:style w:type="paragraph" w:styleId="Heading5">
    <w:name w:val="heading 5"/>
    <w:basedOn w:val="Normal"/>
    <w:next w:val="Normal"/>
    <w:link w:val="Heading5Char"/>
    <w:uiPriority w:val="9"/>
    <w:semiHidden/>
    <w:unhideWhenUsed/>
    <w:qFormat/>
    <w:rsid w:val="002600E7"/>
    <w:pPr>
      <w:keepNext/>
      <w:keepLines/>
      <w:spacing w:before="200"/>
      <w:ind w:left="1008" w:hanging="1008"/>
      <w:outlineLvl w:val="4"/>
    </w:pPr>
    <w:rPr>
      <w:rFonts w:ascii="Cambria" w:hAnsi="Cambria" w:cs="Times New Roman"/>
      <w:color w:val="243F60"/>
      <w:sz w:val="22"/>
      <w:szCs w:val="22"/>
    </w:rPr>
  </w:style>
  <w:style w:type="paragraph" w:styleId="Heading6">
    <w:name w:val="heading 6"/>
    <w:basedOn w:val="Normal"/>
    <w:next w:val="Normal"/>
    <w:link w:val="Heading6Char"/>
    <w:uiPriority w:val="9"/>
    <w:semiHidden/>
    <w:unhideWhenUsed/>
    <w:qFormat/>
    <w:rsid w:val="002600E7"/>
    <w:pPr>
      <w:keepNext/>
      <w:keepLines/>
      <w:spacing w:before="200"/>
      <w:ind w:left="1152" w:hanging="1152"/>
      <w:outlineLvl w:val="5"/>
    </w:pPr>
    <w:rPr>
      <w:rFonts w:ascii="Cambria" w:hAnsi="Cambria" w:cs="Times New Roman"/>
      <w:i/>
      <w:iCs/>
      <w:color w:val="243F60"/>
      <w:sz w:val="22"/>
      <w:szCs w:val="22"/>
    </w:rPr>
  </w:style>
  <w:style w:type="paragraph" w:styleId="Heading7">
    <w:name w:val="heading 7"/>
    <w:basedOn w:val="Normal"/>
    <w:next w:val="Normal"/>
    <w:link w:val="Heading7Char"/>
    <w:uiPriority w:val="9"/>
    <w:semiHidden/>
    <w:unhideWhenUsed/>
    <w:qFormat/>
    <w:rsid w:val="002600E7"/>
    <w:pPr>
      <w:keepNext/>
      <w:keepLines/>
      <w:spacing w:before="200"/>
      <w:ind w:left="1296" w:hanging="1296"/>
      <w:outlineLvl w:val="6"/>
    </w:pPr>
    <w:rPr>
      <w:rFonts w:ascii="Cambria" w:hAnsi="Cambria" w:cs="Times New Roman"/>
      <w:i/>
      <w:iCs/>
      <w:color w:val="404040"/>
      <w:sz w:val="22"/>
      <w:szCs w:val="22"/>
    </w:rPr>
  </w:style>
  <w:style w:type="paragraph" w:styleId="Heading8">
    <w:name w:val="heading 8"/>
    <w:basedOn w:val="Normal"/>
    <w:next w:val="Normal"/>
    <w:link w:val="Heading8Char"/>
    <w:uiPriority w:val="9"/>
    <w:semiHidden/>
    <w:unhideWhenUsed/>
    <w:qFormat/>
    <w:rsid w:val="002600E7"/>
    <w:pPr>
      <w:keepNext/>
      <w:keepLines/>
      <w:spacing w:before="200"/>
      <w:ind w:left="1440" w:hanging="1440"/>
      <w:outlineLvl w:val="7"/>
    </w:pPr>
    <w:rPr>
      <w:rFonts w:ascii="Cambria" w:hAnsi="Cambria" w:cs="Times New Roman"/>
      <w:color w:val="404040"/>
      <w:sz w:val="20"/>
      <w:szCs w:val="20"/>
    </w:rPr>
  </w:style>
  <w:style w:type="paragraph" w:styleId="Heading9">
    <w:name w:val="heading 9"/>
    <w:basedOn w:val="Normal"/>
    <w:next w:val="Normal"/>
    <w:link w:val="Heading9Char"/>
    <w:uiPriority w:val="9"/>
    <w:semiHidden/>
    <w:unhideWhenUsed/>
    <w:qFormat/>
    <w:rsid w:val="002600E7"/>
    <w:pPr>
      <w:keepNext/>
      <w:keepLines/>
      <w:spacing w:before="200"/>
      <w:ind w:left="1584" w:hanging="1584"/>
      <w:outlineLvl w:val="8"/>
    </w:pPr>
    <w:rPr>
      <w:rFonts w:ascii="Cambria" w:hAnsi="Cambria" w:cs="Times New Roman"/>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uiPriority w:val="99"/>
    <w:rsid w:val="007142B3"/>
  </w:style>
  <w:style w:type="character" w:styleId="CommentReference">
    <w:name w:val="annotation reference"/>
    <w:uiPriority w:val="99"/>
    <w:unhideWhenUsed/>
    <w:rsid w:val="00D96DEE"/>
    <w:rPr>
      <w:sz w:val="16"/>
      <w:szCs w:val="16"/>
    </w:rPr>
  </w:style>
  <w:style w:type="paragraph" w:styleId="CommentText">
    <w:name w:val="annotation text"/>
    <w:basedOn w:val="Normal"/>
    <w:link w:val="CommentTextChar"/>
    <w:uiPriority w:val="99"/>
    <w:unhideWhenUsed/>
    <w:rsid w:val="00D96DEE"/>
    <w:pPr>
      <w:spacing w:after="200" w:line="240" w:lineRule="auto"/>
    </w:pPr>
    <w:rPr>
      <w:rFonts w:ascii="Calibri" w:eastAsia="Calibri" w:hAnsi="Calibri" w:cs="Times New Roman"/>
      <w:sz w:val="20"/>
      <w:szCs w:val="20"/>
    </w:rPr>
  </w:style>
  <w:style w:type="character" w:customStyle="1" w:styleId="CommentTextChar">
    <w:name w:val="Comment Text Char"/>
    <w:link w:val="CommentText"/>
    <w:uiPriority w:val="99"/>
    <w:rsid w:val="00D96DEE"/>
    <w:rPr>
      <w:rFonts w:ascii="Calibri" w:eastAsia="Calibri" w:hAnsi="Calibri"/>
    </w:rPr>
  </w:style>
  <w:style w:type="paragraph" w:styleId="BalloonText">
    <w:name w:val="Balloon Text"/>
    <w:basedOn w:val="Normal"/>
    <w:link w:val="BalloonTextChar"/>
    <w:uiPriority w:val="99"/>
    <w:rsid w:val="00D96DEE"/>
    <w:pPr>
      <w:spacing w:line="240" w:lineRule="auto"/>
    </w:pPr>
    <w:rPr>
      <w:rFonts w:ascii="Tahoma" w:hAnsi="Tahoma" w:cs="Tahoma"/>
      <w:sz w:val="16"/>
      <w:szCs w:val="16"/>
    </w:rPr>
  </w:style>
  <w:style w:type="character" w:customStyle="1" w:styleId="BalloonTextChar">
    <w:name w:val="Balloon Text Char"/>
    <w:link w:val="BalloonText"/>
    <w:uiPriority w:val="99"/>
    <w:rsid w:val="00D96DEE"/>
    <w:rPr>
      <w:rFonts w:ascii="Tahoma" w:hAnsi="Tahoma" w:cs="Tahoma"/>
      <w:sz w:val="16"/>
      <w:szCs w:val="16"/>
    </w:rPr>
  </w:style>
  <w:style w:type="paragraph" w:styleId="NormalWeb">
    <w:name w:val="Normal (Web)"/>
    <w:basedOn w:val="Normal"/>
    <w:uiPriority w:val="99"/>
    <w:unhideWhenUsed/>
    <w:rsid w:val="008B4FEF"/>
    <w:pPr>
      <w:spacing w:before="100" w:beforeAutospacing="1" w:after="100" w:afterAutospacing="1" w:line="240" w:lineRule="auto"/>
    </w:pPr>
    <w:rPr>
      <w:rFonts w:cs="Times New Roman"/>
    </w:rPr>
  </w:style>
  <w:style w:type="paragraph" w:styleId="ListParagraph">
    <w:name w:val="List Paragraph"/>
    <w:basedOn w:val="Normal"/>
    <w:uiPriority w:val="34"/>
    <w:qFormat/>
    <w:rsid w:val="00333D31"/>
    <w:pPr>
      <w:ind w:left="720"/>
      <w:contextualSpacing/>
    </w:pPr>
  </w:style>
  <w:style w:type="character" w:customStyle="1" w:styleId="Heading4Char">
    <w:name w:val="Heading 4 Char"/>
    <w:link w:val="Heading4"/>
    <w:uiPriority w:val="9"/>
    <w:semiHidden/>
    <w:rsid w:val="002600E7"/>
    <w:rPr>
      <w:rFonts w:ascii="Cambria" w:hAnsi="Cambria"/>
      <w:b/>
      <w:bCs/>
      <w:i/>
      <w:iCs/>
      <w:color w:val="4F81BD"/>
      <w:sz w:val="22"/>
      <w:szCs w:val="22"/>
    </w:rPr>
  </w:style>
  <w:style w:type="character" w:customStyle="1" w:styleId="Heading5Char">
    <w:name w:val="Heading 5 Char"/>
    <w:link w:val="Heading5"/>
    <w:uiPriority w:val="9"/>
    <w:semiHidden/>
    <w:rsid w:val="002600E7"/>
    <w:rPr>
      <w:rFonts w:ascii="Cambria" w:hAnsi="Cambria"/>
      <w:color w:val="243F60"/>
      <w:sz w:val="22"/>
      <w:szCs w:val="22"/>
    </w:rPr>
  </w:style>
  <w:style w:type="character" w:customStyle="1" w:styleId="Heading6Char">
    <w:name w:val="Heading 6 Char"/>
    <w:link w:val="Heading6"/>
    <w:uiPriority w:val="9"/>
    <w:semiHidden/>
    <w:rsid w:val="002600E7"/>
    <w:rPr>
      <w:rFonts w:ascii="Cambria" w:hAnsi="Cambria"/>
      <w:i/>
      <w:iCs/>
      <w:color w:val="243F60"/>
      <w:sz w:val="22"/>
      <w:szCs w:val="22"/>
    </w:rPr>
  </w:style>
  <w:style w:type="character" w:customStyle="1" w:styleId="Heading7Char">
    <w:name w:val="Heading 7 Char"/>
    <w:link w:val="Heading7"/>
    <w:uiPriority w:val="9"/>
    <w:semiHidden/>
    <w:rsid w:val="002600E7"/>
    <w:rPr>
      <w:rFonts w:ascii="Cambria" w:hAnsi="Cambria"/>
      <w:i/>
      <w:iCs/>
      <w:color w:val="404040"/>
      <w:sz w:val="22"/>
      <w:szCs w:val="22"/>
    </w:rPr>
  </w:style>
  <w:style w:type="character" w:customStyle="1" w:styleId="Heading8Char">
    <w:name w:val="Heading 8 Char"/>
    <w:link w:val="Heading8"/>
    <w:uiPriority w:val="9"/>
    <w:semiHidden/>
    <w:rsid w:val="002600E7"/>
    <w:rPr>
      <w:rFonts w:ascii="Cambria" w:hAnsi="Cambria"/>
      <w:color w:val="404040"/>
    </w:rPr>
  </w:style>
  <w:style w:type="character" w:customStyle="1" w:styleId="Heading9Char">
    <w:name w:val="Heading 9 Char"/>
    <w:link w:val="Heading9"/>
    <w:uiPriority w:val="9"/>
    <w:semiHidden/>
    <w:rsid w:val="002600E7"/>
    <w:rPr>
      <w:rFonts w:ascii="Cambria" w:hAnsi="Cambria"/>
      <w:i/>
      <w:iCs/>
      <w:color w:val="404040"/>
    </w:rPr>
  </w:style>
  <w:style w:type="numbering" w:customStyle="1" w:styleId="NoList1">
    <w:name w:val="No List1"/>
    <w:next w:val="NoList"/>
    <w:uiPriority w:val="99"/>
    <w:semiHidden/>
    <w:unhideWhenUsed/>
    <w:rsid w:val="002600E7"/>
  </w:style>
  <w:style w:type="character" w:customStyle="1" w:styleId="Heading2Char">
    <w:name w:val="Heading 2 Char"/>
    <w:link w:val="Heading2"/>
    <w:uiPriority w:val="9"/>
    <w:rsid w:val="002600E7"/>
    <w:rPr>
      <w:rFonts w:cs="Arial"/>
      <w:b/>
      <w:bCs/>
      <w:iCs/>
      <w:sz w:val="28"/>
      <w:szCs w:val="28"/>
    </w:rPr>
  </w:style>
  <w:style w:type="character" w:customStyle="1" w:styleId="CommentTextChar1">
    <w:name w:val="Comment Text Char1"/>
    <w:uiPriority w:val="99"/>
    <w:semiHidden/>
    <w:rsid w:val="002600E7"/>
    <w:rPr>
      <w:sz w:val="20"/>
      <w:szCs w:val="20"/>
    </w:rPr>
  </w:style>
  <w:style w:type="paragraph" w:styleId="CommentSubject">
    <w:name w:val="annotation subject"/>
    <w:basedOn w:val="CommentText"/>
    <w:next w:val="CommentText"/>
    <w:link w:val="CommentSubjectChar"/>
    <w:uiPriority w:val="99"/>
    <w:unhideWhenUsed/>
    <w:rsid w:val="002600E7"/>
    <w:rPr>
      <w:b/>
      <w:bCs/>
    </w:rPr>
  </w:style>
  <w:style w:type="character" w:customStyle="1" w:styleId="CommentSubjectChar">
    <w:name w:val="Comment Subject Char"/>
    <w:link w:val="CommentSubject"/>
    <w:uiPriority w:val="99"/>
    <w:rsid w:val="002600E7"/>
    <w:rPr>
      <w:rFonts w:ascii="Calibri" w:eastAsia="Calibri" w:hAnsi="Calibri"/>
      <w:b/>
      <w:bCs/>
    </w:rPr>
  </w:style>
  <w:style w:type="table" w:styleId="LightShading">
    <w:name w:val="Light Shading"/>
    <w:basedOn w:val="TableNormal"/>
    <w:uiPriority w:val="60"/>
    <w:rsid w:val="002600E7"/>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erChar">
    <w:name w:val="Header Char"/>
    <w:link w:val="Header"/>
    <w:uiPriority w:val="99"/>
    <w:rsid w:val="002600E7"/>
    <w:rPr>
      <w:rFonts w:cs="Arial"/>
      <w:sz w:val="24"/>
      <w:szCs w:val="24"/>
    </w:rPr>
  </w:style>
  <w:style w:type="table" w:customStyle="1" w:styleId="LightShading1">
    <w:name w:val="Light Shading1"/>
    <w:basedOn w:val="TableNormal"/>
    <w:next w:val="LightShading"/>
    <w:uiPriority w:val="60"/>
    <w:rsid w:val="002600E7"/>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
    <w:uiPriority w:val="60"/>
    <w:rsid w:val="002600E7"/>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next w:val="LightShading"/>
    <w:uiPriority w:val="60"/>
    <w:rsid w:val="002600E7"/>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
    <w:name w:val="Light Shading4"/>
    <w:basedOn w:val="TableNormal"/>
    <w:next w:val="LightShading"/>
    <w:uiPriority w:val="60"/>
    <w:rsid w:val="002600E7"/>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2075424550">
      <w:bodyDiv w:val="1"/>
      <w:marLeft w:val="0"/>
      <w:marRight w:val="0"/>
      <w:marTop w:val="0"/>
      <w:marBottom w:val="0"/>
      <w:divBdr>
        <w:top w:val="none" w:sz="0" w:space="0" w:color="auto"/>
        <w:left w:val="none" w:sz="0" w:space="0" w:color="auto"/>
        <w:bottom w:val="none" w:sz="0" w:space="0" w:color="auto"/>
        <w:right w:val="none" w:sz="0" w:space="0" w:color="auto"/>
      </w:divBdr>
      <w:divsChild>
        <w:div w:id="54208558">
          <w:marLeft w:val="0"/>
          <w:marRight w:val="0"/>
          <w:marTop w:val="0"/>
          <w:marBottom w:val="0"/>
          <w:divBdr>
            <w:top w:val="none" w:sz="0" w:space="0" w:color="auto"/>
            <w:left w:val="none" w:sz="0" w:space="0" w:color="auto"/>
            <w:bottom w:val="none" w:sz="0" w:space="0" w:color="auto"/>
            <w:right w:val="none" w:sz="0" w:space="0" w:color="auto"/>
          </w:divBdr>
        </w:div>
        <w:div w:id="313294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oleObject" Target="embeddings/oleObject3.bin"/><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png"/><Relationship Id="rId33" Type="http://schemas.openxmlformats.org/officeDocument/2006/relationships/hyperlink" Target="http://unfccc.int/"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6.bin"/><Relationship Id="rId32" Type="http://schemas.openxmlformats.org/officeDocument/2006/relationships/oleObject" Target="embeddings/oleObject9.bin"/><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oleObject7.bin"/><Relationship Id="rId10" Type="http://schemas.openxmlformats.org/officeDocument/2006/relationships/hyperlink" Target="file:///C:\Users\neash\Documents\lilian\Proposals\Lilian%20dissertation%20.docx" TargetMode="External"/><Relationship Id="rId19" Type="http://schemas.openxmlformats.org/officeDocument/2006/relationships/image" Target="media/image4.emf"/><Relationship Id="rId31"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hyperlink" Target="file:///C:\Users\neash\Documents\lilian\Proposals\Lilian%20dissertation%20.docx"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9.emf"/><Relationship Id="rId30" Type="http://schemas.openxmlformats.org/officeDocument/2006/relationships/oleObject" Target="embeddings/oleObject8.bin"/><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ash\AppData\Local\Temp\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C89A7-5654-4934-8A42-CF890BC44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103</Pages>
  <Words>38762</Words>
  <Characters>220945</Characters>
  <Application>Microsoft Office Word</Application>
  <DocSecurity>0</DocSecurity>
  <Lines>1841</Lines>
  <Paragraphs>518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259189</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2014-02-28T22:11:00Z</dcterms:created>
  <dcterms:modified xsi:type="dcterms:W3CDTF">2014-06-21T03:24:00Z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mbushyciru@yahoo.com@www.mendeley.com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http://www.zotero.org/styles/asa-cssa-sssa</vt:lpwstr>
  </property>
  <property fmtid="{D5CDD505-2E9C-101B-9397-08002B2CF9AE}" pid="8" name="Mendeley Recent Style Name 1_1">
    <vt:lpwstr>American Society of Agronomy, Crop Science Society of America, Soil Science Society of America</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http://www.zotero.org/styles/archives-of-agronomy-and-soil-science</vt:lpwstr>
  </property>
  <property fmtid="{D5CDD505-2E9C-101B-9397-08002B2CF9AE}" pid="12" name="Mendeley Recent Style Name 3_1">
    <vt:lpwstr>Archives of Agronomy and Soil Science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http://www.zotero.org/styles/european-journal-of-agronomy</vt:lpwstr>
  </property>
  <property fmtid="{D5CDD505-2E9C-101B-9397-08002B2CF9AE}" pid="16" name="Mendeley Recent Style Name 5_1">
    <vt:lpwstr>European Journal of Agronomy</vt:lpwstr>
  </property>
  <property fmtid="{D5CDD505-2E9C-101B-9397-08002B2CF9AE}" pid="17" name="Mendeley Recent Style Id 6_1">
    <vt:lpwstr>http://www.zotero.org/styles/european-journal-of-soil-biology</vt:lpwstr>
  </property>
  <property fmtid="{D5CDD505-2E9C-101B-9397-08002B2CF9AE}" pid="18" name="Mendeley Recent Style Name 6_1">
    <vt:lpwstr>European Journal of Soil Biology</vt:lpwstr>
  </property>
  <property fmtid="{D5CDD505-2E9C-101B-9397-08002B2CF9AE}" pid="19" name="Mendeley Recent Style Id 7_1">
    <vt:lpwstr>http://www.zotero.org/styles/european-journal-of-soil-science</vt:lpwstr>
  </property>
  <property fmtid="{D5CDD505-2E9C-101B-9397-08002B2CF9AE}" pid="20" name="Mendeley Recent Style Name 7_1">
    <vt:lpwstr>European Journal of Soil Science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http://www.zotero.org/styles/soil-science-society-of-america-journal</vt:lpwstr>
  </property>
  <property fmtid="{D5CDD505-2E9C-101B-9397-08002B2CF9AE}" pid="24" name="Mendeley Recent Style Name 9_1">
    <vt:lpwstr>Soil Science Society of America Journal</vt:lpwstr>
  </property>
</Properties>
</file>