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078B88" w14:textId="77777777" w:rsidR="00A41DCA" w:rsidRDefault="00A41DCA">
      <w:pPr>
        <w:rPr>
          <w:rFonts w:ascii="Times New Roman" w:eastAsia="Times New Roman" w:hAnsi="Times New Roman" w:cs="Times New Roman"/>
          <w:sz w:val="24"/>
          <w:szCs w:val="24"/>
        </w:rPr>
      </w:pPr>
    </w:p>
    <w:p w14:paraId="407B608C" w14:textId="77777777" w:rsidR="00A41DCA" w:rsidRDefault="000C73C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Itinerant Teachers’ Writing Instruction</w:t>
      </w:r>
    </w:p>
    <w:p w14:paraId="55D018B2" w14:textId="5F7BE469" w:rsidR="00B2148B" w:rsidRPr="00B2148B" w:rsidRDefault="00B2148B" w:rsidP="00B2148B">
      <w:pPr>
        <w:spacing w:line="480" w:lineRule="auto"/>
        <w:rPr>
          <w:rFonts w:ascii="Times New Roman" w:eastAsia="Times New Roman" w:hAnsi="Times New Roman" w:cs="Times New Roman"/>
          <w:sz w:val="24"/>
          <w:szCs w:val="24"/>
          <w:lang w:val="en-US"/>
        </w:rPr>
      </w:pPr>
      <w:r w:rsidRPr="00B2148B">
        <w:rPr>
          <w:rFonts w:ascii="Times New Roman" w:eastAsia="Times New Roman" w:hAnsi="Times New Roman" w:cs="Times New Roman"/>
          <w:sz w:val="24"/>
          <w:szCs w:val="24"/>
          <w:lang w:val="en-US"/>
        </w:rPr>
        <w:t xml:space="preserve">This is a pre-copyedited, author-produced PDF of an article accepted for publication in </w:t>
      </w:r>
      <w:r w:rsidRPr="00B2148B">
        <w:rPr>
          <w:rFonts w:ascii="Times New Roman" w:eastAsia="Times New Roman" w:hAnsi="Times New Roman" w:cs="Times New Roman"/>
          <w:i/>
          <w:iCs/>
          <w:sz w:val="24"/>
          <w:szCs w:val="24"/>
          <w:lang w:val="en-US"/>
        </w:rPr>
        <w:t>American Annals of the Deaf</w:t>
      </w:r>
      <w:r>
        <w:rPr>
          <w:rFonts w:ascii="Times New Roman" w:eastAsia="Times New Roman" w:hAnsi="Times New Roman" w:cs="Times New Roman"/>
          <w:sz w:val="24"/>
          <w:szCs w:val="24"/>
          <w:lang w:val="en-US"/>
        </w:rPr>
        <w:t xml:space="preserve"> </w:t>
      </w:r>
      <w:r w:rsidRPr="00B2148B">
        <w:rPr>
          <w:rFonts w:ascii="Times New Roman" w:eastAsia="Times New Roman" w:hAnsi="Times New Roman" w:cs="Times New Roman"/>
          <w:sz w:val="24"/>
          <w:szCs w:val="24"/>
          <w:lang w:val="en-US"/>
        </w:rPr>
        <w:t>following peer review. The version of record [citation</w:t>
      </w:r>
    </w:p>
    <w:p w14:paraId="2B504FBD" w14:textId="6C974C06" w:rsidR="00B2148B" w:rsidRDefault="00B2148B" w:rsidP="00B2148B">
      <w:pPr>
        <w:spacing w:line="480" w:lineRule="auto"/>
        <w:rPr>
          <w:rFonts w:ascii="Times New Roman" w:eastAsia="Times New Roman" w:hAnsi="Times New Roman" w:cs="Times New Roman"/>
          <w:sz w:val="24"/>
          <w:szCs w:val="24"/>
          <w:lang w:val="en-US"/>
        </w:rPr>
      </w:pPr>
      <w:r w:rsidRPr="00B2148B">
        <w:rPr>
          <w:rFonts w:ascii="Times New Roman" w:eastAsia="Times New Roman" w:hAnsi="Times New Roman" w:cs="Times New Roman"/>
          <w:sz w:val="24"/>
          <w:szCs w:val="24"/>
          <w:lang w:val="en-US"/>
        </w:rPr>
        <w:t>information below] is available online at:</w:t>
      </w:r>
      <w:r w:rsidR="00B57123" w:rsidRPr="00B57123">
        <w:rPr>
          <w:rFonts w:ascii="Times New Roman" w:eastAsia="Times New Roman" w:hAnsi="Times New Roman" w:cs="Times New Roman"/>
          <w:sz w:val="24"/>
          <w:szCs w:val="24"/>
          <w:lang w:val="en-US"/>
        </w:rPr>
        <w:t xml:space="preserve"> </w:t>
      </w:r>
      <w:hyperlink r:id="rId7" w:history="1">
        <w:r w:rsidR="00B57123" w:rsidRPr="00B57123">
          <w:rPr>
            <w:rStyle w:val="Hyperlink"/>
            <w:rFonts w:ascii="Times New Roman" w:eastAsia="Times New Roman" w:hAnsi="Times New Roman" w:cs="Times New Roman"/>
            <w:sz w:val="24"/>
            <w:szCs w:val="24"/>
            <w:lang w:val="en-US"/>
          </w:rPr>
          <w:t>https://doi.org/10.1353/aad.2025.a988843</w:t>
        </w:r>
      </w:hyperlink>
    </w:p>
    <w:p w14:paraId="37795735" w14:textId="77777777" w:rsidR="00237469" w:rsidRDefault="00237469" w:rsidP="00B2148B">
      <w:pPr>
        <w:spacing w:line="480" w:lineRule="auto"/>
        <w:rPr>
          <w:rFonts w:ascii="Times New Roman" w:eastAsia="Times New Roman" w:hAnsi="Times New Roman" w:cs="Times New Roman"/>
          <w:sz w:val="24"/>
          <w:szCs w:val="24"/>
          <w:lang w:val="en-US"/>
        </w:rPr>
      </w:pPr>
    </w:p>
    <w:p w14:paraId="25F6D0A4" w14:textId="77777777" w:rsidR="00237469" w:rsidRPr="00237469" w:rsidRDefault="00237469" w:rsidP="00237469">
      <w:pPr>
        <w:spacing w:line="480" w:lineRule="auto"/>
        <w:rPr>
          <w:rFonts w:ascii="Times New Roman" w:eastAsia="Times New Roman" w:hAnsi="Times New Roman" w:cs="Times New Roman"/>
          <w:sz w:val="24"/>
          <w:szCs w:val="24"/>
          <w:lang w:val="en-US"/>
        </w:rPr>
      </w:pPr>
      <w:r w:rsidRPr="00237469">
        <w:rPr>
          <w:rFonts w:ascii="Times New Roman" w:eastAsia="Times New Roman" w:hAnsi="Times New Roman" w:cs="Times New Roman"/>
          <w:sz w:val="24"/>
          <w:szCs w:val="24"/>
          <w:lang w:val="en-US"/>
        </w:rPr>
        <w:t xml:space="preserve">Saulsburry, R. &amp; Wolbers, K. (2025). Itinerant teachers’ writing instruction. </w:t>
      </w:r>
      <w:r w:rsidRPr="00237469">
        <w:rPr>
          <w:rFonts w:ascii="Times New Roman" w:eastAsia="Times New Roman" w:hAnsi="Times New Roman" w:cs="Times New Roman"/>
          <w:i/>
          <w:iCs/>
          <w:sz w:val="24"/>
          <w:szCs w:val="24"/>
          <w:lang w:val="en-US"/>
        </w:rPr>
        <w:t>American Annals of the Deaf, 170</w:t>
      </w:r>
      <w:r w:rsidRPr="00237469">
        <w:rPr>
          <w:rFonts w:ascii="Times New Roman" w:eastAsia="Times New Roman" w:hAnsi="Times New Roman" w:cs="Times New Roman"/>
          <w:sz w:val="24"/>
          <w:szCs w:val="24"/>
          <w:lang w:val="en-US"/>
        </w:rPr>
        <w:t>(4), 289-320.</w:t>
      </w:r>
      <w:r w:rsidRPr="00237469">
        <w:rPr>
          <w:rFonts w:ascii="Times New Roman" w:eastAsia="Times New Roman" w:hAnsi="Times New Roman" w:cs="Times New Roman"/>
          <w:i/>
          <w:iCs/>
          <w:sz w:val="24"/>
          <w:szCs w:val="24"/>
          <w:lang w:val="en-US"/>
        </w:rPr>
        <w:t xml:space="preserve"> </w:t>
      </w:r>
      <w:r w:rsidRPr="00237469">
        <w:rPr>
          <w:rFonts w:ascii="Times New Roman" w:eastAsia="Times New Roman" w:hAnsi="Times New Roman" w:cs="Times New Roman"/>
          <w:sz w:val="24"/>
          <w:szCs w:val="24"/>
          <w:lang w:val="en-US"/>
        </w:rPr>
        <w:t xml:space="preserve"> </w:t>
      </w:r>
      <w:hyperlink r:id="rId8" w:history="1">
        <w:r w:rsidRPr="00237469">
          <w:rPr>
            <w:rStyle w:val="Hyperlink"/>
            <w:rFonts w:ascii="Times New Roman" w:eastAsia="Times New Roman" w:hAnsi="Times New Roman" w:cs="Times New Roman"/>
            <w:sz w:val="24"/>
            <w:szCs w:val="24"/>
            <w:lang w:val="en-US"/>
          </w:rPr>
          <w:t>https://doi.org/10.1353/aad.2025.a988843</w:t>
        </w:r>
      </w:hyperlink>
    </w:p>
    <w:p w14:paraId="51D63224" w14:textId="77777777" w:rsidR="00A41DCA" w:rsidRDefault="00A41DCA">
      <w:pPr>
        <w:spacing w:line="480" w:lineRule="auto"/>
        <w:jc w:val="center"/>
        <w:rPr>
          <w:rFonts w:ascii="Times New Roman" w:eastAsia="Times New Roman" w:hAnsi="Times New Roman" w:cs="Times New Roman"/>
          <w:sz w:val="24"/>
          <w:szCs w:val="24"/>
        </w:rPr>
      </w:pPr>
    </w:p>
    <w:p w14:paraId="214E6267" w14:textId="77777777" w:rsidR="00A41DCA" w:rsidRDefault="000C73C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Rachel Saulsburry¹ and Kimberly A. Wolbers²</w:t>
      </w:r>
    </w:p>
    <w:p w14:paraId="5721BC4B" w14:textId="77777777" w:rsidR="00A41DCA" w:rsidRDefault="000C73C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¹Aiken County Public School District, Aiken, SC</w:t>
      </w:r>
    </w:p>
    <w:p w14:paraId="44416FE6" w14:textId="77777777" w:rsidR="00A41DCA" w:rsidRDefault="000C73C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²The University of Tennessee, Knoxville, TN</w:t>
      </w:r>
    </w:p>
    <w:p w14:paraId="1D6E9E8D" w14:textId="77777777" w:rsidR="00A41DCA" w:rsidRDefault="00A41DCA">
      <w:pPr>
        <w:spacing w:line="480" w:lineRule="auto"/>
        <w:jc w:val="center"/>
        <w:rPr>
          <w:rFonts w:ascii="Times New Roman" w:eastAsia="Times New Roman" w:hAnsi="Times New Roman" w:cs="Times New Roman"/>
          <w:sz w:val="24"/>
          <w:szCs w:val="24"/>
        </w:rPr>
      </w:pPr>
    </w:p>
    <w:p w14:paraId="5DEB895F" w14:textId="77777777" w:rsidR="00A41DCA" w:rsidRDefault="000C73C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Author Note</w:t>
      </w:r>
    </w:p>
    <w:p w14:paraId="3001EFCF"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Rachel Saulsburry </w:t>
      </w:r>
      <w:r>
        <w:rPr>
          <w:rFonts w:ascii="Times New Roman" w:eastAsia="Times New Roman" w:hAnsi="Times New Roman" w:cs="Times New Roman"/>
          <w:noProof/>
          <w:sz w:val="24"/>
          <w:szCs w:val="24"/>
        </w:rPr>
        <w:drawing>
          <wp:inline distT="0" distB="0" distL="0" distR="0" wp14:anchorId="3DB88A0B" wp14:editId="6B94A14F">
            <wp:extent cx="149183" cy="174048"/>
            <wp:effectExtent l="0" t="0" r="0" b="0"/>
            <wp:docPr id="12027512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49183" cy="174048"/>
                    </a:xfrm>
                    <a:prstGeom prst="rect">
                      <a:avLst/>
                    </a:prstGeom>
                    <a:ln/>
                  </pic:spPr>
                </pic:pic>
              </a:graphicData>
            </a:graphic>
          </wp:inline>
        </w:drawing>
      </w:r>
      <w:r>
        <w:rPr>
          <w:rFonts w:ascii="Times New Roman" w:eastAsia="Times New Roman" w:hAnsi="Times New Roman" w:cs="Times New Roman"/>
          <w:sz w:val="24"/>
          <w:szCs w:val="24"/>
        </w:rPr>
        <w:t xml:space="preserve"> </w:t>
      </w:r>
      <w:hyperlink r:id="rId10">
        <w:r w:rsidR="00A41DCA">
          <w:rPr>
            <w:rFonts w:ascii="Times New Roman" w:eastAsia="Times New Roman" w:hAnsi="Times New Roman" w:cs="Times New Roman"/>
            <w:color w:val="000000"/>
            <w:sz w:val="24"/>
            <w:szCs w:val="24"/>
            <w:u w:val="single"/>
          </w:rPr>
          <w:t>https://orcid.org/0000-0001-6427-763X</w:t>
        </w:r>
      </w:hyperlink>
    </w:p>
    <w:p w14:paraId="55599A0F"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Kimberly A. Wolbers </w:t>
      </w:r>
      <w:r>
        <w:rPr>
          <w:rFonts w:ascii="Times New Roman" w:eastAsia="Times New Roman" w:hAnsi="Times New Roman" w:cs="Times New Roman"/>
          <w:noProof/>
          <w:sz w:val="24"/>
          <w:szCs w:val="24"/>
        </w:rPr>
        <w:drawing>
          <wp:inline distT="0" distB="0" distL="0" distR="0" wp14:anchorId="3FFD4152" wp14:editId="71BFB6BC">
            <wp:extent cx="149183" cy="174048"/>
            <wp:effectExtent l="0" t="0" r="0" b="0"/>
            <wp:docPr id="12027512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49183" cy="174048"/>
                    </a:xfrm>
                    <a:prstGeom prst="rect">
                      <a:avLst/>
                    </a:prstGeom>
                    <a:ln/>
                  </pic:spPr>
                </pic:pic>
              </a:graphicData>
            </a:graphic>
          </wp:inline>
        </w:drawing>
      </w:r>
      <w:r>
        <w:rPr>
          <w:rFonts w:ascii="Times New Roman" w:eastAsia="Times New Roman" w:hAnsi="Times New Roman" w:cs="Times New Roman"/>
          <w:sz w:val="24"/>
          <w:szCs w:val="24"/>
        </w:rPr>
        <w:t xml:space="preserve"> </w:t>
      </w:r>
      <w:hyperlink r:id="rId11">
        <w:r w:rsidR="00A41DCA">
          <w:rPr>
            <w:rFonts w:ascii="Times New Roman" w:eastAsia="Times New Roman" w:hAnsi="Times New Roman" w:cs="Times New Roman"/>
            <w:color w:val="000000"/>
            <w:sz w:val="24"/>
            <w:szCs w:val="24"/>
            <w:u w:val="single"/>
          </w:rPr>
          <w:t>https://orcid.org/0000-0002-4992-0508</w:t>
        </w:r>
      </w:hyperlink>
    </w:p>
    <w:p w14:paraId="697824B0"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reported here was supported by the Institute of Education Sciences, U.S.</w:t>
      </w:r>
    </w:p>
    <w:p w14:paraId="41245BB7"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Education, through Grants R324A120085 and R324A170086 to the University of Tennessee. The opinions expressed are those of the authors and do not represent the views of the Institute or the U.S. Department of Education.</w:t>
      </w:r>
    </w:p>
    <w:p w14:paraId="2ADF44E9"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have no known conflict of interest to disclose.</w:t>
      </w:r>
    </w:p>
    <w:p w14:paraId="526378C8"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Correspondence concerning this article should be addressed to Rachel Saulsburry, Aiken County Public School District, Freedman Learning Center, </w:t>
      </w:r>
      <w:r>
        <w:rPr>
          <w:rFonts w:ascii="Times New Roman" w:eastAsia="Times New Roman" w:hAnsi="Times New Roman" w:cs="Times New Roman"/>
          <w:sz w:val="24"/>
          <w:szCs w:val="24"/>
          <w:highlight w:val="white"/>
        </w:rPr>
        <w:t>225 Aiken Rd, Graniteville, South Carolina 29829.</w:t>
      </w:r>
      <w:r>
        <w:rPr>
          <w:rFonts w:ascii="Times New Roman" w:eastAsia="Times New Roman" w:hAnsi="Times New Roman" w:cs="Times New Roman"/>
          <w:sz w:val="24"/>
          <w:szCs w:val="24"/>
        </w:rPr>
        <w:t xml:space="preserve"> Email: siwi.rachel@gmail.com</w:t>
      </w:r>
      <w:r>
        <w:br w:type="page"/>
      </w:r>
    </w:p>
    <w:p w14:paraId="4D1D7E33" w14:textId="77777777" w:rsidR="00A41DCA" w:rsidRDefault="000C73C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Abstract</w:t>
      </w:r>
    </w:p>
    <w:p w14:paraId="7F7F59CB"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majority of deaf and hard of hearing students are taught in public schools. Many of these students are taught by itinerant teachers who report their primary areas of instruction are language, reading, and writing (Antia &amp; Rivera, 2016;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The purpose of this qualitative case study was to examine (1) how Strategic and Interactive Writing Instruction (SIWI) was implemented by three itinerant teachers of the deaf in one rural, one urban, and one affluent school district and (2) what context-specific variables impacted their writing instruction. Through observations of a unit of their writing instruction for informative writing, scoring their fidelity for that writing unit, and conducting interviews about their instruction, the researchers concluded that the itinerant teacher participants were able to implement SIWI with typical fidelity for teachers in their first year of using SIWI. Their unique insights highlighted ways that the interactive instruction principles of the fidelity instrument could be revised to better align with the educational contexts of itinerant teachers. They also reported four main challenges to their writing instruction, which included working with general education teachers, district-related factors, time, and physical space and organization. </w:t>
      </w:r>
    </w:p>
    <w:p w14:paraId="53A4B6D5"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Keywords</w:t>
      </w:r>
      <w:r>
        <w:rPr>
          <w:rFonts w:ascii="Times New Roman" w:eastAsia="Times New Roman" w:hAnsi="Times New Roman" w:cs="Times New Roman"/>
          <w:sz w:val="24"/>
          <w:szCs w:val="24"/>
        </w:rPr>
        <w:t>: deaf, elementary, itinerant teaching, writing instruction</w:t>
      </w:r>
    </w:p>
    <w:p w14:paraId="7106ED68" w14:textId="77777777" w:rsidR="00A41DCA" w:rsidRDefault="000C73C6">
      <w:pPr>
        <w:spacing w:line="240" w:lineRule="auto"/>
        <w:rPr>
          <w:rFonts w:ascii="Times New Roman" w:eastAsia="Times New Roman" w:hAnsi="Times New Roman" w:cs="Times New Roman"/>
          <w:b/>
          <w:bCs/>
          <w:sz w:val="24"/>
          <w:szCs w:val="24"/>
        </w:rPr>
      </w:pPr>
      <w:r>
        <w:br w:type="page"/>
      </w:r>
    </w:p>
    <w:p w14:paraId="31CE9B6E" w14:textId="77777777" w:rsidR="00A41DCA" w:rsidRDefault="000C73C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Itinerant Teachers’ Writing Instruction</w:t>
      </w:r>
    </w:p>
    <w:p w14:paraId="5E2D8D1F"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Writing Instruction &amp; Deaf Education</w:t>
      </w:r>
    </w:p>
    <w:p w14:paraId="148BC704"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Writing is one of the most influential skills for success after K-12 school, in both college and career (Conley, 2007). While state standards and national teaching organizations have increased their emphasis on writing across content areas (Gabriel &amp; Dostal, 2015), many teachers have reported their writing instruction is not adequate (Graham, 2019) or they are not confident in their ability to teach writing (Brindle et al., 2016). A national survey of teachers of the deaf (TODs) in 2021 (Dostal et al., 2021a) found that half the teachers surveyed reported having minimal to no preparation for teaching writing, which was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results in previous studies with content area teachers (Gillespie et al., 2013; Graham et al., 2014; </w:t>
      </w:r>
      <w:proofErr w:type="spellStart"/>
      <w:r>
        <w:rPr>
          <w:rFonts w:ascii="Times New Roman" w:eastAsia="Times New Roman" w:hAnsi="Times New Roman" w:cs="Times New Roman"/>
          <w:sz w:val="24"/>
          <w:szCs w:val="24"/>
        </w:rPr>
        <w:t>Kiuhara</w:t>
      </w:r>
      <w:proofErr w:type="spellEnd"/>
      <w:r>
        <w:rPr>
          <w:rFonts w:ascii="Times New Roman" w:eastAsia="Times New Roman" w:hAnsi="Times New Roman" w:cs="Times New Roman"/>
          <w:sz w:val="24"/>
          <w:szCs w:val="24"/>
        </w:rPr>
        <w:t xml:space="preserve"> et al., 2009). This may partly account for why teachers across grade levels report spending little time teaching writing or engaging students in writing (Graham, 2019). Another factor contributing to teachers' infrequent writing instruction may be their low self-efficacy (Brindle et al., 2016; Graham et al., 2021; Wolbers et al., 2023a), particularly regarding the belief that their teaching can positively impact students' writing outcomes (Ekholm et al., 2018; Zee &amp; Koomen, 2016).</w:t>
      </w:r>
    </w:p>
    <w:p w14:paraId="515E9561"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Itinerant teachers of the deaf (ITODs) report that </w:t>
      </w:r>
      <w:proofErr w:type="gramStart"/>
      <w:r>
        <w:rPr>
          <w:rFonts w:ascii="Times New Roman" w:eastAsia="Times New Roman" w:hAnsi="Times New Roman" w:cs="Times New Roman"/>
          <w:sz w:val="24"/>
          <w:szCs w:val="24"/>
        </w:rPr>
        <w:t>a large number of</w:t>
      </w:r>
      <w:proofErr w:type="gramEnd"/>
      <w:r>
        <w:rPr>
          <w:rFonts w:ascii="Times New Roman" w:eastAsia="Times New Roman" w:hAnsi="Times New Roman" w:cs="Times New Roman"/>
          <w:sz w:val="24"/>
          <w:szCs w:val="24"/>
        </w:rPr>
        <w:t xml:space="preserve"> their students, from elementary to high school, receive support from them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writing (Antia &amp; Rivera, 2016;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Deaf and hard of hearing (DHH) students’ writing development is strongly associated with expressive language proficiency in ASL and/or spoken English (Wolbers et al., 2025). Because DHH students vary significantly in their early language access (Lederberg et al., 2013), it is common that deaf education teachers serve students with a range of writing skills that are severely delayed to commensurate with grade-level writing (Dostal et al., 2025). It is important that ITODs are prepared to provide effective writing </w:t>
      </w:r>
      <w:r>
        <w:rPr>
          <w:rFonts w:ascii="Times New Roman" w:eastAsia="Times New Roman" w:hAnsi="Times New Roman" w:cs="Times New Roman"/>
          <w:sz w:val="24"/>
          <w:szCs w:val="24"/>
        </w:rPr>
        <w:lastRenderedPageBreak/>
        <w:t>instruction to DHH students who exhibit a wide range of language and literacy needs. While there has been considerable documentation regarding the efficacy of a writing instruction framework designed specifically for DHH students called Strategic and Interactive Writing Instruction (SIWI), there has yet to be an intentional examination of its use and efficacy in itinerant teaching settings where many DHH students receive writing instruction.</w:t>
      </w:r>
    </w:p>
    <w:p w14:paraId="34959B88"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Strategic and Interactive Writing Instruction</w:t>
      </w:r>
    </w:p>
    <w:p w14:paraId="6A7C7C7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SIWI offers teachers a framework of driving principles that can be implemented flexibly to be responsive to students’ language and writing strengths and needs. Students’ learning objectives, which are identified and rotated based on ongoing summative and formative assessments, are addressed through scaffolded and guided writing processes. The writing activity is situated in the genre, targeting authentic purposes of communication. While SIWI and the SIWI professional development program for teachers have been substantiated as evidence-based programs (Wolbers et al., 2022, 2023), much of the focus thus far has been on self-contained classes of DHH students. Much remains unexplored in terms of its application with itinerant teachers in integrated contexts. </w:t>
      </w:r>
    </w:p>
    <w:p w14:paraId="44BF7C5B"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essential guiding principles of SIWI are three-fold: strategic instruction, interactive instruction, and metalinguistic knowledge and linguistic competence. When implementing strategic instruction, teachers explicitly identify and model the writing processes and how writers engage recursively in these processes (Dostal et al., 2021b). They provide instruction and visual representations for genre organization and features. Teachers may also implement NIP-it lessons (Wolbers et al, 2012), in which they notice (N) a writing or language need during collaborative writing, pause to provide explicit instruction (I), and then return to collaborative writing for real </w:t>
      </w:r>
      <w:r>
        <w:rPr>
          <w:rFonts w:ascii="Times New Roman" w:eastAsia="Times New Roman" w:hAnsi="Times New Roman" w:cs="Times New Roman"/>
          <w:sz w:val="24"/>
          <w:szCs w:val="24"/>
        </w:rPr>
        <w:lastRenderedPageBreak/>
        <w:t>purposes and audiences to engage students in applied practice (P) of the skill within the original collaborative text.</w:t>
      </w:r>
    </w:p>
    <w:p w14:paraId="01127F76"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Interactive instruction during SIWI is implemented largely through guided, collaborative writing activity (Wolbers, 2008), where students are supported in learning language and content primarily from one another and supplemented by teacher guidance and scaffolding. </w:t>
      </w:r>
      <w:proofErr w:type="gramStart"/>
      <w:r>
        <w:rPr>
          <w:rFonts w:ascii="Times New Roman" w:eastAsia="Times New Roman" w:hAnsi="Times New Roman" w:cs="Times New Roman"/>
          <w:sz w:val="24"/>
          <w:szCs w:val="24"/>
        </w:rPr>
        <w:t>During</w:t>
      </w:r>
      <w:proofErr w:type="gramEnd"/>
      <w:r>
        <w:rPr>
          <w:rFonts w:ascii="Times New Roman" w:eastAsia="Times New Roman" w:hAnsi="Times New Roman" w:cs="Times New Roman"/>
          <w:sz w:val="24"/>
          <w:szCs w:val="24"/>
        </w:rPr>
        <w:t xml:space="preserve"> guided writing, teachers purposefully encourage student interaction to facilitate learning from one another. The teacher is intentional about balancing the group’s attention to both writing and language goals, and they “hold the floor,” creating space for all students to participate at their respective levels. The teacher positions themself as both a contributor and a learner in the group.  They release control of the writing to students by asking open and metacognitive questions (e.g., What do we do? How do we do it?). In these moments, students receive less guidance but are not fully alone, as they receive support from their peers in figuring out next steps. The teacher steps in to provide guidance or modeling when students are stuck or need additional scaffolding (Englert &amp; Dunsmore, 2002). Since peer interaction is an important component of interactive writing, application in an itinerant setting may look different and is worth exploring.</w:t>
      </w:r>
    </w:p>
    <w:p w14:paraId="3DB08186"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metalinguistic knowledge and linguistic competence </w:t>
      </w:r>
      <w:proofErr w:type="gramStart"/>
      <w:r>
        <w:rPr>
          <w:rFonts w:ascii="Times New Roman" w:eastAsia="Times New Roman" w:hAnsi="Times New Roman" w:cs="Times New Roman"/>
          <w:sz w:val="24"/>
          <w:szCs w:val="24"/>
        </w:rPr>
        <w:t>principle</w:t>
      </w:r>
      <w:proofErr w:type="gramEnd"/>
      <w:r>
        <w:rPr>
          <w:rFonts w:ascii="Times New Roman" w:eastAsia="Times New Roman" w:hAnsi="Times New Roman" w:cs="Times New Roman"/>
          <w:sz w:val="24"/>
          <w:szCs w:val="24"/>
        </w:rPr>
        <w:t xml:space="preserve"> guides language-based instruction that is responsive to students’ needs. Teachers both validate students’ diverse communicative repertoires and engage in instructional approaches that expand their communication across languages, linguistic varieties, and modalities (Wolbers et al., 2023a). When a student’s contribution is not clear, the “language zone” is a space used to repair meaningful communication and arrive at a shared understanding of the student’s intended message (Dostal et al., 2019). The language zone, which is separate from the English writing area, includes a writing space where drawing and labeling pictures can occur, </w:t>
      </w:r>
      <w:proofErr w:type="gramStart"/>
      <w:r>
        <w:rPr>
          <w:rFonts w:ascii="Times New Roman" w:eastAsia="Times New Roman" w:hAnsi="Times New Roman" w:cs="Times New Roman"/>
          <w:sz w:val="24"/>
          <w:szCs w:val="24"/>
        </w:rPr>
        <w:t>as well as,</w:t>
      </w:r>
      <w:proofErr w:type="gramEnd"/>
      <w:r>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lastRenderedPageBreak/>
        <w:t xml:space="preserve">physical space where the students can role play or act out their expressions with the goal of achieving a shared understanding with their peers and teacher. Additionally, this space is used to expand and compare ASL and English through the chaining (Humphries &amp; MacDougall, 1999) of signed, fingerspelled, and written words or phrases. Ideas that are not a close approximation of English can be placed on the language zone in words and pictures or recorded in ASL in video form. The students, with the teacher’s guidance, work to find a meaningfully equivalent form of their ideas in English and collaboratively translate the ideas. Once the students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express their ideas using the critical structures of English, their expression is added to the English board for English editing and sometimes expansion. The language zone can be used at any point in the writing processes to expand students’ linguistic resources and select language aligned with the writing purpose. An authentic context for writing is established prior to beginning the writing process, and thus students are encouraged to think about the communicative needs of their audience when considering language expression and use (Wolbers et al., 2023b).</w:t>
      </w:r>
    </w:p>
    <w:p w14:paraId="3765B93D"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Experimental (Wolbers et al., 2022), quasi-experimental (Wolbers, 2008, 2010; Wolbers et al., 2018), single-case design (Wolbers et al., 2015, 2020), and qualitative studies (Dostal et al., 2015) are pointing to SIWI as having positive effects on DHH students’ writing and language outcomes. Research to date has largely included teachers in self-contained classroom settings. While some ITODs have been included, the numbers have been too low to disaggregate. With the majority of DHH students being served in public schools (Office of Special Education Programs [OSEP], 2024), we set out to examine implementation of SIWI specifically by ITODs where instruction may be one-on-one rather than in a group. The current study employs a </w:t>
      </w:r>
      <w:r>
        <w:rPr>
          <w:rFonts w:ascii="Times New Roman" w:eastAsia="Times New Roman" w:hAnsi="Times New Roman" w:cs="Times New Roman"/>
          <w:sz w:val="24"/>
          <w:szCs w:val="24"/>
        </w:rPr>
        <w:lastRenderedPageBreak/>
        <w:t>qualitative, case study design to learn more about the experiences of three ITODs who implemented SIWI as part of their involvement in a larger SIWI study.</w:t>
      </w:r>
    </w:p>
    <w:p w14:paraId="54802A02" w14:textId="77777777" w:rsidR="00A41DCA" w:rsidRDefault="000C73C6">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Itinerant teachers’ writing instruction</w:t>
      </w:r>
    </w:p>
    <w:p w14:paraId="53D86831"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OSEP in the U.S. Department of Education (2024), 88% of all DHH students are educated in public school programs. Many DHH students have language-specific needs that require specialized instruction from a teacher trained to work with DHH students. ITODs are teachers who travel to schools to provide specialized instruction and support to DHH students who are primarily served in integrated settings. In studies over the last 30 years, ITODs have reported that two of their main roles are providing direct instruction to students </w:t>
      </w:r>
      <w:proofErr w:type="gramStart"/>
      <w:r>
        <w:rPr>
          <w:rFonts w:ascii="Times New Roman" w:eastAsia="Times New Roman" w:hAnsi="Times New Roman" w:cs="Times New Roman"/>
          <w:sz w:val="24"/>
          <w:szCs w:val="24"/>
        </w:rPr>
        <w:t>and providing</w:t>
      </w:r>
      <w:proofErr w:type="gramEnd"/>
      <w:r>
        <w:rPr>
          <w:rFonts w:ascii="Times New Roman" w:eastAsia="Times New Roman" w:hAnsi="Times New Roman" w:cs="Times New Roman"/>
          <w:sz w:val="24"/>
          <w:szCs w:val="24"/>
        </w:rPr>
        <w:t xml:space="preserve"> consultation services and training to other educators (Foster &amp; Cue, 2009;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Miller, 1994). Direct instruction can be delivered within the student’s classroom (push-in services) or outside of the classroom (pull-out services), often one-on-one. (This is different from the experiences of those who attend a centralized </w:t>
      </w:r>
      <w:proofErr w:type="gramStart"/>
      <w:r>
        <w:rPr>
          <w:rFonts w:ascii="Times New Roman" w:eastAsia="Times New Roman" w:hAnsi="Times New Roman" w:cs="Times New Roman"/>
          <w:sz w:val="24"/>
          <w:szCs w:val="24"/>
        </w:rPr>
        <w:t>public school</w:t>
      </w:r>
      <w:proofErr w:type="gramEnd"/>
      <w:r>
        <w:rPr>
          <w:rFonts w:ascii="Times New Roman" w:eastAsia="Times New Roman" w:hAnsi="Times New Roman" w:cs="Times New Roman"/>
          <w:sz w:val="24"/>
          <w:szCs w:val="24"/>
        </w:rPr>
        <w:t xml:space="preserve"> program where DHH students are clustered to receive instruction in a self-contained classroom setting.) Consultation services involve the ITOD assisting classroom teachers and other IEP team members in navigating the supports and challenges specific to the teaching and learning of DHH students. </w:t>
      </w:r>
    </w:p>
    <w:p w14:paraId="3021F4FF" w14:textId="3106B5B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5-year longitudinal study following 197 DHH students (Antia &amp; Rivera, 2016) revealed that 60% of the students received direct instruction in academic areas from an ITOD, most of which was in the areas of reading and writing. Non-academic instruction, such as self-advocacy, was provided to 80% of the students (Antia &amp; Rivera, 2016). In a survey of 267 ITODs in 2019 (Pedersen &amp; Anderson), 88% of students on the ITODs’ caseload received direct instruction from them</w:t>
      </w:r>
      <w:r w:rsidR="003778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 of students’ general education teachers received consultation services</w:t>
      </w:r>
      <w:r w:rsidR="003778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7% of students’ special education teachers received consultation services</w:t>
      </w:r>
      <w:r w:rsidR="003778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8% of their caseload required team teaching. Caseloads for an ITOD can vary greatly depending upon one’s school district(s). In the survey by Pedersen and Anderson (2019), ITODs’ caseloads spanned from 10 to more than 55 students, with an average of serving 9 different locations. </w:t>
      </w:r>
    </w:p>
    <w:p w14:paraId="21C0A24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ITODs regularly report that their teacher preparation programs did not prepare them for their roles in the itinerant setting (Kennon &amp; Patterson, 2016;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Miller, 1994), and many report learning much of their job skills and responsibilities “on the job” (Compton et al., 2015; Foster &amp; Cue, 2009;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2013; Luckner &amp; Miller, 1994). Further, they report having received minimal to no preparation for teaching writing (Dostal et al., 2021a). While professional development is meant to continue teachers’ professional learning, a national survey that included 204 ITODs revealed that more than half of the ITODs in the study (54%) were “dissatisfied” or “very dissatisfied” with the professional development they received (Luckner &amp; Dorn, 2019). In addition to not feeling prepared for their position, ITODs reported other barriers to providing effective services related to time, collaborating with general education teachers, and school districts.</w:t>
      </w:r>
    </w:p>
    <w:p w14:paraId="761DFD6A"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ITODs have reported experiencing several stressors related to time, such as the lack of time to plan and coordinate services and complete district paperwork requirements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2005; Luckner &amp; Dorn, 2019). Additionally, the managing of their schedules and its changes over the course of the school year were common challenges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xml:space="preserve">, 2005;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Dorn, 2019; Luckner &amp; Howell, 2002). When creating their weekly schedule, ITODs must consider the various school and grade-level schedules where they serve students. Not only did ITODs convey feeling constrained by their own schedules, </w:t>
      </w:r>
      <w:proofErr w:type="gramStart"/>
      <w:r>
        <w:rPr>
          <w:rFonts w:ascii="Times New Roman" w:eastAsia="Times New Roman" w:hAnsi="Times New Roman" w:cs="Times New Roman"/>
          <w:sz w:val="24"/>
          <w:szCs w:val="24"/>
        </w:rPr>
        <w:t>they</w:t>
      </w:r>
      <w:proofErr w:type="gramEnd"/>
      <w:r>
        <w:rPr>
          <w:rFonts w:ascii="Times New Roman" w:eastAsia="Times New Roman" w:hAnsi="Times New Roman" w:cs="Times New Roman"/>
          <w:sz w:val="24"/>
          <w:szCs w:val="24"/>
        </w:rPr>
        <w:t xml:space="preserve"> also felt restricted by general education teachers’ availability, finding it difficult to schedule time for </w:t>
      </w:r>
      <w:r>
        <w:rPr>
          <w:rFonts w:ascii="Times New Roman" w:eastAsia="Times New Roman" w:hAnsi="Times New Roman" w:cs="Times New Roman"/>
          <w:sz w:val="24"/>
          <w:szCs w:val="24"/>
        </w:rPr>
        <w:lastRenderedPageBreak/>
        <w:t xml:space="preserve">consultation or collaborating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2013; Luckner &amp; Dorn, 2019; Luckner &amp; Howell, 2002).</w:t>
      </w:r>
    </w:p>
    <w:p w14:paraId="778FCF3B"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Along with time limitations, ITODs have expressed additional challenges to collaborating with general education teachers. Specifically, they described that some classroom teachers lacked follow-through and/or were resistant to collaboration (Guteng, 2005;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2013; Luckner &amp; Dorn, 2019). At times, there was also resistance to “special education students” being in the teachers’ classroom and/or using hearing assistive technology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xml:space="preserve">, 2005;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Of the 267 ITODs who took Pedersen and Anderson’s (2019) survey, 30% identified they had “insufficient professional development”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collaboration and are not comfortable collaborating as a part of their position.</w:t>
      </w:r>
    </w:p>
    <w:p w14:paraId="630DF0DC"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there are challenges ITODs have shared about their experiences within their school districts. ITODs have reported concerns with variations in caseload numbers across districts. High caseload numbers impact their time available to teach, and low caseload numbers concern them in terms of job security (Gray, 2023; Luckner &amp; Dorn, 2017). ITODs have also expressed concerns about inadequate administrator support, which affected their ability to secure an appropriate workspace for students, </w:t>
      </w:r>
      <w:proofErr w:type="gramStart"/>
      <w:r>
        <w:rPr>
          <w:rFonts w:ascii="Times New Roman" w:eastAsia="Times New Roman" w:hAnsi="Times New Roman" w:cs="Times New Roman"/>
          <w:sz w:val="24"/>
          <w:szCs w:val="24"/>
        </w:rPr>
        <w:t>allocate</w:t>
      </w:r>
      <w:proofErr w:type="gramEnd"/>
      <w:r>
        <w:rPr>
          <w:rFonts w:ascii="Times New Roman" w:eastAsia="Times New Roman" w:hAnsi="Times New Roman" w:cs="Times New Roman"/>
          <w:sz w:val="24"/>
          <w:szCs w:val="24"/>
        </w:rPr>
        <w:t xml:space="preserve"> time for planning, and </w:t>
      </w:r>
      <w:proofErr w:type="gramStart"/>
      <w:r>
        <w:rPr>
          <w:rFonts w:ascii="Times New Roman" w:eastAsia="Times New Roman" w:hAnsi="Times New Roman" w:cs="Times New Roman"/>
          <w:sz w:val="24"/>
          <w:szCs w:val="24"/>
        </w:rPr>
        <w:t>receive</w:t>
      </w:r>
      <w:proofErr w:type="gramEnd"/>
      <w:r>
        <w:rPr>
          <w:rFonts w:ascii="Times New Roman" w:eastAsia="Times New Roman" w:hAnsi="Times New Roman" w:cs="Times New Roman"/>
          <w:sz w:val="24"/>
          <w:szCs w:val="24"/>
        </w:rPr>
        <w:t xml:space="preserve"> assistance in fulfilling essential responsibilities, such as creating IEPs and providing training to general education teachers (Gray, 2023;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xml:space="preserve">, 2005). Some teachers believed that administrators with a background in their field tended to provide more support (Gray, 2023). A final drawback for teachers was when districts lacked related support services, such as audiologists and interpreters (Gray, 2023;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These are the relevant considerations of the teaching context within which we conduct this study. </w:t>
      </w:r>
    </w:p>
    <w:p w14:paraId="28DE0D74"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Background &amp; Purpose</w:t>
      </w:r>
    </w:p>
    <w:p w14:paraId="69B6D356"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purpose of this qualitative case study was to examine: (1) how SIWI, a writing framework developed for instruction with DHH students, which is typically modeled in a classroom setting, was implemented by three ITODs in one rural, one urban, and one affluent school district, and (2) what context-specific variables impacted ITODs’ implementation of SIWI. This study is uniquely situated, as the lead researcher engaged with SIWI from multiple perspectives over more than a decade. Their journey with SIWI began as an itinerant teacher newly trained to use SIWI. After one year of implementing SIWI with two middle school students, they were hired to serve as a research assistant and then the project coordinator for SIWI grants. During this </w:t>
      </w:r>
      <w:proofErr w:type="gramStart"/>
      <w:r>
        <w:rPr>
          <w:rFonts w:ascii="Times New Roman" w:eastAsia="Times New Roman" w:hAnsi="Times New Roman" w:cs="Times New Roman"/>
          <w:sz w:val="24"/>
          <w:szCs w:val="24"/>
        </w:rPr>
        <w:t>nine year</w:t>
      </w:r>
      <w:proofErr w:type="gramEnd"/>
      <w:r>
        <w:rPr>
          <w:rFonts w:ascii="Times New Roman" w:eastAsia="Times New Roman" w:hAnsi="Times New Roman" w:cs="Times New Roman"/>
          <w:sz w:val="24"/>
          <w:szCs w:val="24"/>
        </w:rPr>
        <w:t xml:space="preserve"> period in research, the two phases of the current study were conducted. After completion of the SIWI grant projects, the lead researcher returned to itinerant teaching of deaf students and has continued to use SIWI within this context. These experiences provide a unique lens and understanding of both the instructional realities of itinerant teachers and the research design elements necessary to evaluate implementation. The dual role of the first author as both a long-term educator and researcher of SIWI adds a distinctive contribution to the field. This insider knowledge allowed for nuanced interpretation of the findings and an authentic understanding of the complexities ITODs face when implementing structured writing instruction with DHH students.</w:t>
      </w:r>
    </w:p>
    <w:p w14:paraId="25D66CED"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Positionality</w:t>
      </w:r>
    </w:p>
    <w:p w14:paraId="2E1D7C0B"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Our identities </w:t>
      </w:r>
      <w:proofErr w:type="gramStart"/>
      <w:r>
        <w:rPr>
          <w:rFonts w:ascii="Times New Roman" w:eastAsia="Times New Roman" w:hAnsi="Times New Roman" w:cs="Times New Roman"/>
          <w:sz w:val="24"/>
          <w:szCs w:val="24"/>
        </w:rPr>
        <w:t>and lived</w:t>
      </w:r>
      <w:proofErr w:type="gramEnd"/>
      <w:r>
        <w:rPr>
          <w:rFonts w:ascii="Times New Roman" w:eastAsia="Times New Roman" w:hAnsi="Times New Roman" w:cs="Times New Roman"/>
          <w:sz w:val="24"/>
          <w:szCs w:val="24"/>
        </w:rPr>
        <w:t xml:space="preserve"> experiences inevitably influence how we design research and make meaning from findings; thus, we offer a brief account of our positionality. The first author was first introduced to and educated in SIWI during a dedicated week-long training in the summer of 2011 and subsequently implemented the program as an itinerant teacher during the following school year. Observing students’ growth in writing during this initial implementation </w:t>
      </w:r>
      <w:r>
        <w:rPr>
          <w:rFonts w:ascii="Times New Roman" w:eastAsia="Times New Roman" w:hAnsi="Times New Roman" w:cs="Times New Roman"/>
          <w:sz w:val="24"/>
          <w:szCs w:val="24"/>
        </w:rPr>
        <w:lastRenderedPageBreak/>
        <w:t xml:space="preserve">sparked a desire to further explore the program and created questions about how SIWI could be used most effectively in the itinerant setting. This led to deeper involvement during graduate school as a research assistant on a SIWI-funded grant (2012-2016) and later as the project coordinator of a second grant (2018-2023). During this time, the author took a special interest in ITODs who participated in the projects and their unique experiences. Since returning to K-12 teaching in 2023, the author has once again implemented SIWI with students, now with a deeper understanding developed through conducting research. She continues to be driven by the improvements in her students’ writing, which </w:t>
      </w:r>
      <w:proofErr w:type="gramStart"/>
      <w:r>
        <w:rPr>
          <w:rFonts w:ascii="Times New Roman" w:eastAsia="Times New Roman" w:hAnsi="Times New Roman" w:cs="Times New Roman"/>
          <w:sz w:val="24"/>
          <w:szCs w:val="24"/>
        </w:rPr>
        <w:t>fuel</w:t>
      </w:r>
      <w:proofErr w:type="gramEnd"/>
      <w:r>
        <w:rPr>
          <w:rFonts w:ascii="Times New Roman" w:eastAsia="Times New Roman" w:hAnsi="Times New Roman" w:cs="Times New Roman"/>
          <w:sz w:val="24"/>
          <w:szCs w:val="24"/>
        </w:rPr>
        <w:t xml:space="preserve"> her motivation to share writing instruction methods with other ITODs and stakeholders.</w:t>
      </w:r>
    </w:p>
    <w:p w14:paraId="3C2C7176"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author conceptualized the SIWI framework and driving principles as a part of her dissertation research in 2006 and has been conducting writing research since that time. Prior to her PhD program, she was a teacher of deaf students in a self-contained classroom setting. At the time, she was not satisfied with the writing </w:t>
      </w:r>
      <w:proofErr w:type="gramStart"/>
      <w:r>
        <w:rPr>
          <w:rFonts w:ascii="Times New Roman" w:eastAsia="Times New Roman" w:hAnsi="Times New Roman" w:cs="Times New Roman"/>
          <w:sz w:val="24"/>
          <w:szCs w:val="24"/>
        </w:rPr>
        <w:t>instruction</w:t>
      </w:r>
      <w:proofErr w:type="gramEnd"/>
      <w:r>
        <w:rPr>
          <w:rFonts w:ascii="Times New Roman" w:eastAsia="Times New Roman" w:hAnsi="Times New Roman" w:cs="Times New Roman"/>
          <w:sz w:val="24"/>
          <w:szCs w:val="24"/>
        </w:rPr>
        <w:t xml:space="preserve"> she provided to sign-bilingual/multilingual students. The instructional challenges she experienced fueled an interest in the development and research of writing programs that are specialized for deaf students. The authors’ positive experiences with and beliefs about SIWI have potential to influence their perspectives on this research. Both authors engaged in critical self-reflection throughout the research process, regularly questioning assumptions that had potential to shape the research, and they implemented strategies to maintain trustworthiness and credibility (see Methods section, Trustworthiness &amp; Credibility).  </w:t>
      </w:r>
    </w:p>
    <w:p w14:paraId="10098FF1" w14:textId="77777777" w:rsidR="00A41DCA" w:rsidRDefault="000C73C6">
      <w:pPr>
        <w:spacing w:line="480" w:lineRule="auto"/>
        <w:ind w:firstLine="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The authors were interested in taking a closer look at writing instruction practices in itinerant settings because of their interest in how SIWI could be applied in that context and </w:t>
      </w:r>
      <w:proofErr w:type="gramStart"/>
      <w:r>
        <w:rPr>
          <w:rFonts w:ascii="Times New Roman" w:eastAsia="Times New Roman" w:hAnsi="Times New Roman" w:cs="Times New Roman"/>
          <w:sz w:val="24"/>
          <w:szCs w:val="24"/>
        </w:rPr>
        <w:t>due to the fact that</w:t>
      </w:r>
      <w:proofErr w:type="gramEnd"/>
      <w:r>
        <w:rPr>
          <w:rFonts w:ascii="Times New Roman" w:eastAsia="Times New Roman" w:hAnsi="Times New Roman" w:cs="Times New Roman"/>
          <w:sz w:val="24"/>
          <w:szCs w:val="24"/>
        </w:rPr>
        <w:t xml:space="preserve"> many DHH students receive language and literacy focused instruction from </w:t>
      </w:r>
      <w:r>
        <w:rPr>
          <w:rFonts w:ascii="Times New Roman" w:eastAsia="Times New Roman" w:hAnsi="Times New Roman" w:cs="Times New Roman"/>
          <w:sz w:val="24"/>
          <w:szCs w:val="24"/>
        </w:rPr>
        <w:lastRenderedPageBreak/>
        <w:t xml:space="preserve">ITODs. The research questions for this study were: (1) </w:t>
      </w:r>
      <w:r>
        <w:rPr>
          <w:rFonts w:ascii="Times New Roman" w:eastAsia="Times New Roman" w:hAnsi="Times New Roman" w:cs="Times New Roman"/>
          <w:i/>
          <w:iCs/>
          <w:sz w:val="24"/>
          <w:szCs w:val="24"/>
        </w:rPr>
        <w:t>How are three ITODs implementing SIWI with elementary school students in diverse teaching contexts (i.e., 1 rural, 1 urban, and 1 affluent school district)?</w:t>
      </w:r>
      <w:r>
        <w:rPr>
          <w:rFonts w:ascii="Times New Roman" w:eastAsia="Times New Roman" w:hAnsi="Times New Roman" w:cs="Times New Roman"/>
          <w:sz w:val="24"/>
          <w:szCs w:val="24"/>
        </w:rPr>
        <w:t xml:space="preserve"> and (2) </w:t>
      </w:r>
      <w:r>
        <w:rPr>
          <w:rFonts w:ascii="Times New Roman" w:eastAsia="Times New Roman" w:hAnsi="Times New Roman" w:cs="Times New Roman"/>
          <w:i/>
          <w:iCs/>
          <w:sz w:val="24"/>
          <w:szCs w:val="24"/>
        </w:rPr>
        <w:t>What variables impact ITODs’ writing instruction in these contexts?</w:t>
      </w:r>
    </w:p>
    <w:p w14:paraId="59E3BC62" w14:textId="77777777" w:rsidR="00A41DCA" w:rsidRDefault="000C73C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w:t>
      </w:r>
    </w:p>
    <w:p w14:paraId="10BEDF69"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Participants</w:t>
      </w:r>
    </w:p>
    <w:p w14:paraId="058D708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were three participating teachers from different school districts in the eastern United States. Emily (pseudonym) worked in a rural district in the southeast where her caseload was primarily DHH Latino students, most of whom spoke Spanish in their homes. The writing instruction provided by Emily was delivered in spoken English with sign support. She worked primarily at two schools, an elementary school and a middle school, where she pulled students out of their regular classrooms for direct instruction. Karen (pseudonym) </w:t>
      </w:r>
      <w:proofErr w:type="gramStart"/>
      <w:r>
        <w:rPr>
          <w:rFonts w:ascii="Times New Roman" w:eastAsia="Times New Roman" w:hAnsi="Times New Roman" w:cs="Times New Roman"/>
          <w:sz w:val="24"/>
          <w:szCs w:val="24"/>
        </w:rPr>
        <w:t>taught</w:t>
      </w:r>
      <w:proofErr w:type="gramEnd"/>
      <w:r>
        <w:rPr>
          <w:rFonts w:ascii="Times New Roman" w:eastAsia="Times New Roman" w:hAnsi="Times New Roman" w:cs="Times New Roman"/>
          <w:sz w:val="24"/>
          <w:szCs w:val="24"/>
        </w:rPr>
        <w:t xml:space="preserve"> in a large, urban school district in the northeast. She taught a self-contained classroom for part of the day and then served as ITOD for the other part of the day, pulling students out for one-on-one services. Karen’s students primarily used sign language or spoken English with sign support. Janice (pseudonym) was from an affluent school district in the northeast where schools consistently received high ratings. Janice pulled DHH students for individualized instruction in four schools,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her students used spoken English. She also made time to go into the classroom to assist when she could. </w:t>
      </w:r>
    </w:p>
    <w:p w14:paraId="1E22930F" w14:textId="77777777" w:rsidR="00A41DCA" w:rsidRDefault="000C73C6">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All three teachers were in their first year of implementing SIWI. As a requirement for participating, they provided two hours of writing instruction to </w:t>
      </w:r>
      <w:proofErr w:type="gramStart"/>
      <w:r>
        <w:rPr>
          <w:rFonts w:ascii="Times New Roman" w:eastAsia="Times New Roman" w:hAnsi="Times New Roman" w:cs="Times New Roman"/>
          <w:sz w:val="24"/>
          <w:szCs w:val="24"/>
        </w:rPr>
        <w:t>participating</w:t>
      </w:r>
      <w:proofErr w:type="gramEnd"/>
      <w:r>
        <w:rPr>
          <w:rFonts w:ascii="Times New Roman" w:eastAsia="Times New Roman" w:hAnsi="Times New Roman" w:cs="Times New Roman"/>
          <w:sz w:val="24"/>
          <w:szCs w:val="24"/>
        </w:rPr>
        <w:t xml:space="preserve"> students weekly during the study. Emily provided writing instruction in both a small group and one-on-one sessions; Janice provided writing instruction to a pair of students; and Karen worked with students one-on-one. </w:t>
      </w:r>
    </w:p>
    <w:p w14:paraId="2F7059C7"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Emily Teaches Stacy</w:t>
      </w:r>
    </w:p>
    <w:p w14:paraId="0430EB08"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Emily, a White, hearing ITOD taught DHH children for 13 years, 6 of which were spent in an elementary classroom. At the time of the study, her highest level of education was a master’s degree in school counseling. Emily implemented SIWI in two of the many schools she served. She taught writing to a small group of elementary students and to one middle school student, Stacy (pseudonym). Data collection for this study did not focus on her writing instruction with the small group; however, Emily did make comparisons between small group and one-on-one instruction during her interviews. While she did not use ASL with her students, she self-reported that she had been signing ASL for 15 years. Before learning about SIWI, she expressed that she did not feel that she had good strategies for teaching writing. She said her school district pushed a specific writing program, but that “it’s just so far above our kids’ heads.” Before beginning SIWI training, Emily shared that her writing instruction consisted of “daily language review” where they would write sentences or paragraphs, depending upon their level, and then edit. She also focused on high frequency words and had students incorporate them into their writing.</w:t>
      </w:r>
    </w:p>
    <w:p w14:paraId="63B54D2C"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Stacy, a Latina sixth grader, wore one cochlear implant and one hearing aid. The student’s amplified hearing was close to normal ranges, and she consistently wore her amplification with the addition of an FM system at school. Emily explained that Stacy experienced language deprivation (due to not having full access to spoken languages) prior to and during initial implantation and re-implantation between the ages of 2-3. She characterized Stacy as having “low language due to not truly having a primary language.” According to Emily, Stacy and her family, who are hearing, did not use sign language at home. Her family primarily used Spanish, which Stacy had a difficult time understanding, and her parents did not know </w:t>
      </w:r>
      <w:r>
        <w:rPr>
          <w:rFonts w:ascii="Times New Roman" w:eastAsia="Times New Roman" w:hAnsi="Times New Roman" w:cs="Times New Roman"/>
          <w:sz w:val="24"/>
          <w:szCs w:val="24"/>
        </w:rPr>
        <w:lastRenderedPageBreak/>
        <w:t>English. Emily reported that Stacy could express many things in ASL and had more difficulty expressing things in spoken English. Emily used spoken English supported by sign language for instruction.</w:t>
      </w:r>
    </w:p>
    <w:p w14:paraId="3D5E84D3"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Karen Teaches Joy</w:t>
      </w:r>
    </w:p>
    <w:p w14:paraId="6E1A6572"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Karen is a White ITOD with 29 years of teaching experience, 15 of which have been with DHH students. Karen is deaf and aided by 2 cochlear implants. Her highest level of education, at the time of the study, was an Educational Specialist degree, and she had dual teaching certification in special education and elementary education. During her participation in the study, Karen worked at one school teaching third through fifth graders. Before learning about SIWI, Karen felt her writing instruction was “non-existent…fly by the seat of your pants...whatever the classroom teacher wanted to do” and was focused “more [on] in-class services.”</w:t>
      </w:r>
    </w:p>
    <w:p w14:paraId="05B2BB9B"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Karen typically taught writing one-on-one with her student, Joy, who was profoundly deaf. With the use of one cochlear implant, Joy was in the moderate range of hearing, and she used an FM system in her classes, including during one-on-one instruction with Karen. Karen used spoken English with signed support during her writing instruction with Joy. Joy typically used ASL during her sessions with Karen and voice with English-based signing when reading sentences from the board. During the year of this study, Karen provided Joy one-on-one writing instruction daily using the SIWI framework.</w:t>
      </w:r>
    </w:p>
    <w:p w14:paraId="34D3E015"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Janice Teaches Gina and Sarah</w:t>
      </w:r>
    </w:p>
    <w:p w14:paraId="3F485700"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Janice taught special education for nine years before seeking training in deaf education after her son was born deaf. At the time of the study, Janice, a White ITOD who is hearing, had been teaching DHH students for four years. When this study began, her highest degree earned was a master’s degree in Deaf Education, and she had recently begun a doctoral program in </w:t>
      </w:r>
      <w:r>
        <w:rPr>
          <w:rFonts w:ascii="Times New Roman" w:eastAsia="Times New Roman" w:hAnsi="Times New Roman" w:cs="Times New Roman"/>
          <w:sz w:val="24"/>
          <w:szCs w:val="24"/>
        </w:rPr>
        <w:lastRenderedPageBreak/>
        <w:t xml:space="preserve">Reading Curriculum and Instruction. She served students in multiple schools, including </w:t>
      </w:r>
      <w:proofErr w:type="gramStart"/>
      <w:r>
        <w:rPr>
          <w:rFonts w:ascii="Times New Roman" w:eastAsia="Times New Roman" w:hAnsi="Times New Roman" w:cs="Times New Roman"/>
          <w:sz w:val="24"/>
          <w:szCs w:val="24"/>
        </w:rPr>
        <w:t>two,</w:t>
      </w:r>
      <w:proofErr w:type="gramEnd"/>
      <w:r>
        <w:rPr>
          <w:rFonts w:ascii="Times New Roman" w:eastAsia="Times New Roman" w:hAnsi="Times New Roman" w:cs="Times New Roman"/>
          <w:sz w:val="24"/>
          <w:szCs w:val="24"/>
        </w:rPr>
        <w:t xml:space="preserve"> third grade students in one location for whom she provided SIWI jointly. Both students, Gina and Sarah, communicated using spoken English and did not sign. Janice shared that before SIWI, she felt that her writing instruction was “piecemeal.” She mostly supported writing in the classroom, saying “if the kids had something they had to write, I would help.”</w:t>
      </w:r>
    </w:p>
    <w:p w14:paraId="553E7EE1"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Gina, a fifth grade, White student, had a moderately-severe hearing level that was expected to get worse over time. She regularly used 2 hearing aids, and with </w:t>
      </w:r>
      <w:proofErr w:type="gramStart"/>
      <w:r>
        <w:rPr>
          <w:rFonts w:ascii="Times New Roman" w:eastAsia="Times New Roman" w:hAnsi="Times New Roman" w:cs="Times New Roman"/>
          <w:sz w:val="24"/>
          <w:szCs w:val="24"/>
        </w:rPr>
        <w:t>these</w:t>
      </w:r>
      <w:proofErr w:type="gramEnd"/>
      <w:r>
        <w:rPr>
          <w:rFonts w:ascii="Times New Roman" w:eastAsia="Times New Roman" w:hAnsi="Times New Roman" w:cs="Times New Roman"/>
          <w:sz w:val="24"/>
          <w:szCs w:val="24"/>
        </w:rPr>
        <w:t xml:space="preserve">, her hearing was within the mild range. Janice reported that Gina had “good language skills, …really [liked] using large vocabulary,” and her weakness was in “executive functioning, where she can't really put [things] in the right order.” Sarah, a third grade, Multiracial student, was adopted from a foreign country between the ages of 1 and 2, and at the age of 3, she was identified to have profound hearing level. With </w:t>
      </w:r>
      <w:proofErr w:type="gramStart"/>
      <w:r>
        <w:rPr>
          <w:rFonts w:ascii="Times New Roman" w:eastAsia="Times New Roman" w:hAnsi="Times New Roman" w:cs="Times New Roman"/>
          <w:sz w:val="24"/>
          <w:szCs w:val="24"/>
        </w:rPr>
        <w:t>use of a hearing aid and a cochlear implant, her hearing was in the</w:t>
      </w:r>
      <w:proofErr w:type="gramEnd"/>
      <w:r>
        <w:rPr>
          <w:rFonts w:ascii="Times New Roman" w:eastAsia="Times New Roman" w:hAnsi="Times New Roman" w:cs="Times New Roman"/>
          <w:sz w:val="24"/>
          <w:szCs w:val="24"/>
        </w:rPr>
        <w:t xml:space="preserve"> mild range. According to Janice, she frequently got lost during classroom instruction. Janice also shared that Sarah did not consistently use verbs when speaking to Gina so she taught repair strategies, such as “looking at each other and saying, ‘I'm sorry, I didn't understand’ rather than making a face.” Both students used an FM system in mainstream classes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with Janice. At the time of the study, Gina and Sarah received English instruction in the general education classroom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met with Janice for further writing instruction four days a week. Neither student used ASL.</w:t>
      </w:r>
    </w:p>
    <w:p w14:paraId="59965C72"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Case Study Design</w:t>
      </w:r>
    </w:p>
    <w:p w14:paraId="7865720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qualitative case study design (Schoch, 2020) was used to examine how three itinerant teachers of the deaf (ITODs) implemented Strategic and Interactive Writing Instruction (SIWI) in their instructional settings. This approach allowed for an exploration into the unique, real-</w:t>
      </w:r>
      <w:r>
        <w:rPr>
          <w:rFonts w:ascii="Times New Roman" w:eastAsia="Times New Roman" w:hAnsi="Times New Roman" w:cs="Times New Roman"/>
          <w:sz w:val="24"/>
          <w:szCs w:val="24"/>
        </w:rPr>
        <w:lastRenderedPageBreak/>
        <w:t xml:space="preserve">world teaching experiences of each teacher within bounded </w:t>
      </w:r>
      <w:proofErr w:type="gramStart"/>
      <w:r>
        <w:rPr>
          <w:rFonts w:ascii="Times New Roman" w:eastAsia="Times New Roman" w:hAnsi="Times New Roman" w:cs="Times New Roman"/>
          <w:sz w:val="24"/>
          <w:szCs w:val="24"/>
        </w:rPr>
        <w:t>contexts—</w:t>
      </w:r>
      <w:proofErr w:type="gramEnd"/>
      <w:r>
        <w:rPr>
          <w:rFonts w:ascii="Times New Roman" w:eastAsia="Times New Roman" w:hAnsi="Times New Roman" w:cs="Times New Roman"/>
          <w:sz w:val="24"/>
          <w:szCs w:val="24"/>
        </w:rPr>
        <w:t>specifically, those of ITODs using SIWI in the itinerant setting who were trained and supported in their writing instruction as participants in SIWI studies. The goal was to understand not only how teachers applied the framework but also how their instruction was impacted by the unique demands of their itinerant teaching settings.</w:t>
      </w:r>
    </w:p>
    <w:p w14:paraId="66D476F8"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sources included classroom video footage, interviews, and instructional fidelity scores, allowing for a contextualized understanding of each teacher’s experience. As educators and researchers of SIWI, the authors brought insider knowledge and reflexive stances to data collection, analysis, and interpretation. As an ITOD herself, the first author engaged in continual reflection on her openness to acknowledge the participants’ practices, whether similar or different from her own. The case study design of three different ITODs allowed the researchers to identify variation and common themes.</w:t>
      </w:r>
    </w:p>
    <w:p w14:paraId="7FE4EED1"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 collection</w:t>
      </w:r>
    </w:p>
    <w:p w14:paraId="0CAAC941"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case study, historical data from two large SIWI studies were examined for the three ITODs along with newly collected data from the participants the year following their participation in the larger SIWI studies (see Figure 1). The three ITODs were invited to continue their </w:t>
      </w:r>
      <w:proofErr w:type="gramStart"/>
      <w:r>
        <w:rPr>
          <w:rFonts w:ascii="Times New Roman" w:eastAsia="Times New Roman" w:hAnsi="Times New Roman" w:cs="Times New Roman"/>
          <w:sz w:val="24"/>
          <w:szCs w:val="24"/>
        </w:rPr>
        <w:t>participation</w:t>
      </w:r>
      <w:proofErr w:type="gramEnd"/>
      <w:r>
        <w:rPr>
          <w:rFonts w:ascii="Times New Roman" w:eastAsia="Times New Roman" w:hAnsi="Times New Roman" w:cs="Times New Roman"/>
          <w:sz w:val="24"/>
          <w:szCs w:val="24"/>
        </w:rPr>
        <w:t xml:space="preserve"> an additional year for the purpose of the current study because they were the only experimental group participants who worked in itinerant settings; this provided an opportunity to learn more about teaching SIWI in this context. </w:t>
      </w:r>
    </w:p>
    <w:p w14:paraId="0EF789E0"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Insert Figure 1 Data Collection Timeline near here</w:t>
      </w:r>
    </w:p>
    <w:p w14:paraId="4970FFE3"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data for this case study was a combination of historical data available from two large year-long SIWI studies–during which the ITODs were implementing SIWI for the first time–and new data collected in the year following their initial involvement. Janice and Karen’s initial data </w:t>
      </w:r>
      <w:r>
        <w:rPr>
          <w:rFonts w:ascii="Times New Roman" w:eastAsia="Times New Roman" w:hAnsi="Times New Roman" w:cs="Times New Roman"/>
          <w:sz w:val="24"/>
          <w:szCs w:val="24"/>
        </w:rPr>
        <w:lastRenderedPageBreak/>
        <w:t xml:space="preserve">came from their participation in a pilot study of SIWI during the 2014-2015 academic year, and Emily’s data came from her participation in an efficacy-focused grant during the 2019-2020 academic year. The development of the SIWI professional development program occurred between 2012 and 2014 and remained consistent across the three teachers’ involvement. Historical data from these larger studies included classroom video footage, instructional fidelity scores, end-of-the-year interviews, and artifacts. During their year of participation, each teacher recorded at least two hours of weekly writing instruction for three genres: narrative, informative, and persuasive writing. Following their year of participation in the larger studies, new interviews, which included reflections on an instructional unit from the previous year, were conducted with the ITODs. </w:t>
      </w:r>
    </w:p>
    <w:p w14:paraId="0F157312"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Historical Data</w:t>
      </w:r>
    </w:p>
    <w:p w14:paraId="44EC3794"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Unit Video Footage, Instructional Fidelity, and Artifacts. </w:t>
      </w:r>
      <w:r>
        <w:rPr>
          <w:rFonts w:ascii="Times New Roman" w:eastAsia="Times New Roman" w:hAnsi="Times New Roman" w:cs="Times New Roman"/>
          <w:sz w:val="24"/>
          <w:szCs w:val="24"/>
        </w:rPr>
        <w:t xml:space="preserve">The data analyzed in this study includes one full unit of each teacher’s classroom footage when they were teaching the information report genre. A unit consists of all lessons leading to the publication of a text, from the initial planning stages to sharing the text with the reader(s). The information report genre was selected due to teachers having nearly complete videotaped lessons in this genre. </w:t>
      </w:r>
    </w:p>
    <w:p w14:paraId="351D11E4"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ab/>
        <w:t xml:space="preserve">The first author viewed each teacher’s unit three times with different purposes. The first time was to evaluate the teachers’ instructional fidelity to the SIWI principles. The second viewing was to write a summary of the teachers’ writing </w:t>
      </w:r>
      <w:proofErr w:type="gramStart"/>
      <w:r>
        <w:rPr>
          <w:rFonts w:ascii="Times New Roman" w:eastAsia="Times New Roman" w:hAnsi="Times New Roman" w:cs="Times New Roman"/>
          <w:sz w:val="24"/>
          <w:szCs w:val="24"/>
        </w:rPr>
        <w:t>instruction</w:t>
      </w:r>
      <w:proofErr w:type="gramEnd"/>
      <w:r>
        <w:rPr>
          <w:rFonts w:ascii="Times New Roman" w:eastAsia="Times New Roman" w:hAnsi="Times New Roman" w:cs="Times New Roman"/>
          <w:sz w:val="24"/>
          <w:szCs w:val="24"/>
        </w:rPr>
        <w:t xml:space="preserve"> from planning to publication. The third and final viewing of the videos was to describe how the ITODs approached, and possibly adapted, SIWI instructional principles. </w:t>
      </w:r>
    </w:p>
    <w:p w14:paraId="37442B99"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SIWI Instructional Fidelity Instrument is a document listing 53 instructional practices that are present in a full writing unit. The instructional indicators are grouped into </w:t>
      </w:r>
      <w:r>
        <w:rPr>
          <w:rFonts w:ascii="Times New Roman" w:eastAsia="Times New Roman" w:hAnsi="Times New Roman" w:cs="Times New Roman"/>
          <w:sz w:val="24"/>
          <w:szCs w:val="24"/>
        </w:rPr>
        <w:lastRenderedPageBreak/>
        <w:t xml:space="preserve">categories of principles, with the headings of those sections being: Strategic Instruction &amp; Visual Scaffolds, Interactive Instruction &amp; Guided to Independent, Metalinguistic Knowledge and Linguistic Competence, and Curriculum and Content (Appropriate, Balanced, and Authentic). The Strategic Instruction &amp; Visual Scaffolds section of the fidelity instrument consists of 13 instructional practices that focus on how teachers explicitly teach strategies related to different genres and writing processes. The Interactive Instruction &amp; Guided to Independent section of the instrument is the largest section with 17 instructional practices for engaging students during collaborative writing and for gradually releasing control of writing to students. The Metalinguistic/Linguistic section of the fidelity instrument is broken into three sections, acknowledging that students and teachers may be using one or more language(s). The first five indicators apply to all teachers of students who are DHH. The next three practices are only scored if the student(s) uses ASL or ASL-like features in their expressions. If the student(s) has difficulty conveying their ideas through expressive language or understanding someone else’s expressions, the third section containing five practices is scored. The final section of the fidelity instrument is the Appropriate, Balanced, and Authentic section which includes 10 instructional practices, most of which are completed in preparation for the writing unit, such as setting writing and language objectives that are appropriate for the genre and align with curriculum standards and/or IEP goals. The researchers and/or teachers can use the document to score one’s level of fidelity during a writing unit. Each of the practices are given a score of 0 (not evident), .5 (sometimes evident), or 1 (evident). Teachers typically do not incorporate all instructional practices during their first year of using SIWI (i.e., approximately 74% fidelity) but do reach high levels of fidelity (95%) after 3 years of professional development and implementation (Wolbers et al., 2016). Some practices on the SIWI fidelity instrument are written for group </w:t>
      </w:r>
      <w:r>
        <w:rPr>
          <w:rFonts w:ascii="Times New Roman" w:eastAsia="Times New Roman" w:hAnsi="Times New Roman" w:cs="Times New Roman"/>
          <w:sz w:val="24"/>
          <w:szCs w:val="24"/>
        </w:rPr>
        <w:lastRenderedPageBreak/>
        <w:t xml:space="preserve">instruction (e.g., holding the floor to allow each student to participate), and thus </w:t>
      </w:r>
      <w:proofErr w:type="gramStart"/>
      <w:r>
        <w:rPr>
          <w:rFonts w:ascii="Times New Roman" w:eastAsia="Times New Roman" w:hAnsi="Times New Roman" w:cs="Times New Roman"/>
          <w:sz w:val="24"/>
          <w:szCs w:val="24"/>
        </w:rPr>
        <w:t>ITODs  may</w:t>
      </w:r>
      <w:proofErr w:type="gramEnd"/>
      <w:r>
        <w:rPr>
          <w:rFonts w:ascii="Times New Roman" w:eastAsia="Times New Roman" w:hAnsi="Times New Roman" w:cs="Times New Roman"/>
          <w:sz w:val="24"/>
          <w:szCs w:val="24"/>
        </w:rPr>
        <w:t xml:space="preserve"> provide valuable insight regarding implementation of these practices in one-one-one settings.</w:t>
      </w:r>
    </w:p>
    <w:p w14:paraId="4D49694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Instructional artifacts associated with the units were collected. These included the final co-written texts, notes recorded by the teacher participants, and screenshots of writing spaces from classroom video footage.</w:t>
      </w:r>
    </w:p>
    <w:p w14:paraId="145849FF"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End-of-the-year Interviews. </w:t>
      </w:r>
      <w:r>
        <w:rPr>
          <w:rFonts w:ascii="Times New Roman" w:eastAsia="Times New Roman" w:hAnsi="Times New Roman" w:cs="Times New Roman"/>
          <w:sz w:val="24"/>
          <w:szCs w:val="24"/>
        </w:rPr>
        <w:t xml:space="preserve">During interviews that occurred at the end of their participation in the larger SIWI studies, teachers were asked various questions about their personal experiences with SIWI, such as successes and challenges, how they had grown in their abilities and knowledge to teach writing, and where they needed more growth and/or support. They were also questioned about students’ experiences and outcomes, such as if anything was needed to support students’ progress more broadly, how students progressed over the year, and if they observed SIWI impacting students’ language and literacy skills. The interview concluded with the teachers’ perspectives on outside factors that impacted their writing instruction and suggestions for further development of SIWI. All teacher interviews were transcribed. </w:t>
      </w:r>
    </w:p>
    <w:p w14:paraId="1A1B6B85"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New Data</w:t>
      </w:r>
    </w:p>
    <w:p w14:paraId="28F8836B"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Interviews &amp; Observation. </w:t>
      </w:r>
      <w:r>
        <w:rPr>
          <w:rFonts w:ascii="Times New Roman" w:eastAsia="Times New Roman" w:hAnsi="Times New Roman" w:cs="Times New Roman"/>
          <w:sz w:val="24"/>
          <w:szCs w:val="24"/>
        </w:rPr>
        <w:t xml:space="preserve">To obtain more specific information about the ITODs’ experiences for this study, three semi-structured interviews were conducted with each teacher in the year following their initial year of participation, during which they continued to implement SIWI. The first interview, which consisted of 16 questions, focused on collecting additional demographic information about both the participants and their students, reflecting on their SIWI training, and recounting their experiences implementing SIWI in the itinerant setting during their first and second years. To ensure reflexivity and minimize the influence of our own biases, teachers were asked to clarify their experiences rather than making assumptions based on our </w:t>
      </w:r>
      <w:r>
        <w:rPr>
          <w:rFonts w:ascii="Times New Roman" w:eastAsia="Times New Roman" w:hAnsi="Times New Roman" w:cs="Times New Roman"/>
          <w:sz w:val="24"/>
          <w:szCs w:val="24"/>
        </w:rPr>
        <w:lastRenderedPageBreak/>
        <w:t xml:space="preserve">own. At the second interview, teachers were asked roughly 18 questions, though the actual number of questions varied, as we clarified information from the previous interview and/or asked questions related to a topic that came up for another teacher. The overall purpose of this interview was for the ITODs to reflect if there were any instructional practices on the fidelity instrument that were challenging to implement due to their teaching context and to share how they approached these. The first author also reflected on their own process of interpreting the SIWI fidelity instrument’s indicators within a one-on-one itinerant teaching context before interviewing the first two teachers, Karen and Janice. These reflections led to the development of interview questions aimed at understanding how ITODs make sense of and possibly </w:t>
      </w:r>
      <w:proofErr w:type="gramStart"/>
      <w:r>
        <w:rPr>
          <w:rFonts w:ascii="Times New Roman" w:eastAsia="Times New Roman" w:hAnsi="Times New Roman" w:cs="Times New Roman"/>
          <w:sz w:val="24"/>
          <w:szCs w:val="24"/>
        </w:rPr>
        <w:t>adapt</w:t>
      </w:r>
      <w:proofErr w:type="gramEnd"/>
      <w:r>
        <w:rPr>
          <w:rFonts w:ascii="Times New Roman" w:eastAsia="Times New Roman" w:hAnsi="Times New Roman" w:cs="Times New Roman"/>
          <w:sz w:val="24"/>
          <w:szCs w:val="24"/>
        </w:rPr>
        <w:t xml:space="preserve"> practices in individualized instructional settings (i.e., How do you approach paired/shared writing with one student? How do you approach “holding the floor” with one student? How do you approach facilitating peer interaction? How do you approach facilitating communication strategies? How do you approach getting to a shared understanding?). While the initial reflections from Karen and Janice impacted how the authors viewed instructional practices in itinerant contexts, the interview questions around these practices were not omitted for Emily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get her perspective as well.</w:t>
      </w:r>
    </w:p>
    <w:p w14:paraId="60D658E4"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third interview containing approximately 20 questions, the ITODs were asked to share their self-evaluations of their SIWI units and answer final clarifying questions.  Prior to meeting, they were to watch and evaluate their information report unit using the SIWI fidelity instrument. None of the teachers formally scored</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their instruction using the fidelity instrument due to busy school schedules; however, they had watched their units and had written reflections on their implementation experiences. </w:t>
      </w:r>
    </w:p>
    <w:p w14:paraId="1A1D0570"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Time constraints due to the staggered data collection structure meant that one final interview across all three participants could not be conducted. Themes arose from the first two participants’ data, and questions around those themes were asked to all participants. This was not possible for the new themes that came from discussions with Emily since her participation was five years after Karen and Janice. </w:t>
      </w:r>
    </w:p>
    <w:p w14:paraId="66664EA9"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Data Analysis</w:t>
      </w:r>
    </w:p>
    <w:p w14:paraId="7DE4935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were analyzed in ways that allowed the researchers to answer the two research questions. To answer the first research question (</w:t>
      </w:r>
      <w:r>
        <w:rPr>
          <w:rFonts w:ascii="Times New Roman" w:eastAsia="Times New Roman" w:hAnsi="Times New Roman" w:cs="Times New Roman"/>
          <w:i/>
          <w:iCs/>
          <w:sz w:val="24"/>
          <w:szCs w:val="24"/>
        </w:rPr>
        <w:t xml:space="preserve">how </w:t>
      </w:r>
      <w:proofErr w:type="gramStart"/>
      <w:r>
        <w:rPr>
          <w:rFonts w:ascii="Times New Roman" w:eastAsia="Times New Roman" w:hAnsi="Times New Roman" w:cs="Times New Roman"/>
          <w:i/>
          <w:iCs/>
          <w:sz w:val="24"/>
          <w:szCs w:val="24"/>
        </w:rPr>
        <w:t>are the teachers</w:t>
      </w:r>
      <w:proofErr w:type="gramEnd"/>
      <w:r>
        <w:rPr>
          <w:rFonts w:ascii="Times New Roman" w:eastAsia="Times New Roman" w:hAnsi="Times New Roman" w:cs="Times New Roman"/>
          <w:i/>
          <w:iCs/>
          <w:sz w:val="24"/>
          <w:szCs w:val="24"/>
        </w:rPr>
        <w:t xml:space="preserve"> implementing SIWI in their contexts</w:t>
      </w:r>
      <w:r>
        <w:rPr>
          <w:rFonts w:ascii="Times New Roman" w:eastAsia="Times New Roman" w:hAnsi="Times New Roman" w:cs="Times New Roman"/>
          <w:sz w:val="24"/>
          <w:szCs w:val="24"/>
        </w:rPr>
        <w:t xml:space="preserve">), the researchers focused on videos of teachers’ implementation of SIWI and their reflections on their instruction captured during interviews. A thick description of the full informative writing unit was written for each teacher. This allowed for a holistic look at teachers’ writing instruction. Each </w:t>
      </w:r>
      <w:proofErr w:type="gramStart"/>
      <w:r>
        <w:rPr>
          <w:rFonts w:ascii="Times New Roman" w:eastAsia="Times New Roman" w:hAnsi="Times New Roman" w:cs="Times New Roman"/>
          <w:sz w:val="24"/>
          <w:szCs w:val="24"/>
        </w:rPr>
        <w:t>teachers’</w:t>
      </w:r>
      <w:proofErr w:type="gramEnd"/>
      <w:r>
        <w:rPr>
          <w:rFonts w:ascii="Times New Roman" w:eastAsia="Times New Roman" w:hAnsi="Times New Roman" w:cs="Times New Roman"/>
          <w:sz w:val="24"/>
          <w:szCs w:val="24"/>
        </w:rPr>
        <w:t xml:space="preserve"> writing instruction videos were also analyzed using the fidelity instrument to score their writing unit for the driving SIWI principles--strategic instruction, interactive instruction, and metalinguistic &amp; linguistic instruction. Lastly, the researchers interviewed the ITOD participants to gain insight into various aspects of their writing instruction, including their decision-making during instruction. The researchers used their analyses of teachers’ instruction to create interview questions, as well as the teachers’ written reflections. Elements </w:t>
      </w:r>
      <w:proofErr w:type="gramStart"/>
      <w:r>
        <w:rPr>
          <w:rFonts w:ascii="Times New Roman" w:eastAsia="Times New Roman" w:hAnsi="Times New Roman" w:cs="Times New Roman"/>
          <w:sz w:val="24"/>
          <w:szCs w:val="24"/>
        </w:rPr>
        <w:t>not present</w:t>
      </w:r>
      <w:proofErr w:type="gramEnd"/>
      <w:r>
        <w:rPr>
          <w:rFonts w:ascii="Times New Roman" w:eastAsia="Times New Roman" w:hAnsi="Times New Roman" w:cs="Times New Roman"/>
          <w:sz w:val="24"/>
          <w:szCs w:val="24"/>
        </w:rPr>
        <w:t xml:space="preserve"> in the teacher’s instruction (i.e., model text, </w:t>
      </w:r>
      <w:proofErr w:type="spellStart"/>
      <w:r>
        <w:rPr>
          <w:rFonts w:ascii="Times New Roman" w:eastAsia="Times New Roman" w:hAnsi="Times New Roman" w:cs="Times New Roman"/>
          <w:sz w:val="24"/>
          <w:szCs w:val="24"/>
        </w:rPr>
        <w:t>NIPit</w:t>
      </w:r>
      <w:proofErr w:type="spellEnd"/>
      <w:r>
        <w:rPr>
          <w:rFonts w:ascii="Times New Roman" w:eastAsia="Times New Roman" w:hAnsi="Times New Roman" w:cs="Times New Roman"/>
          <w:sz w:val="24"/>
          <w:szCs w:val="24"/>
        </w:rPr>
        <w:t xml:space="preserve"> lessons), as identified in the thick description, fidelity instrument scoring, or teachers’ written reflections, were noted and discussed during those teacher’s interviews. The videos, fidelity, and reflection data informed the interviews with each teacher, which were then coded for themes and triangulated through cross-data comparison. The second research question, which focused on what variables impacted teachers' writing instruction, was primarily answered by teacher </w:t>
      </w:r>
      <w:r>
        <w:rPr>
          <w:rFonts w:ascii="Times New Roman" w:eastAsia="Times New Roman" w:hAnsi="Times New Roman" w:cs="Times New Roman"/>
          <w:sz w:val="24"/>
          <w:szCs w:val="24"/>
        </w:rPr>
        <w:lastRenderedPageBreak/>
        <w:t xml:space="preserve">interviews, and supplemented, at times, with teachers’ instructional videos which provided evidence of their reports. Interview transcripts were moved into </w:t>
      </w:r>
      <w:proofErr w:type="spellStart"/>
      <w:r>
        <w:rPr>
          <w:rFonts w:ascii="Times New Roman" w:eastAsia="Times New Roman" w:hAnsi="Times New Roman" w:cs="Times New Roman"/>
          <w:sz w:val="24"/>
          <w:szCs w:val="24"/>
        </w:rPr>
        <w:t>ATLAS.ti</w:t>
      </w:r>
      <w:proofErr w:type="spellEnd"/>
      <w:r>
        <w:rPr>
          <w:rFonts w:ascii="Times New Roman" w:eastAsia="Times New Roman" w:hAnsi="Times New Roman" w:cs="Times New Roman"/>
          <w:sz w:val="24"/>
          <w:szCs w:val="24"/>
        </w:rPr>
        <w:t xml:space="preserve">™, a qualitative data analysis software used to organize and annotate qualitative data. Three types of qualitative analysis were used to examine the interview data: typological (applying predetermined codes), inductive (assigning patterns/themes within the data), and interpretive (making inferences from the data). Before reviewing any data, predetermined codes were established for each of the main and supporting SIWI principles: Authentic Principle, Balanced Principle, Guided to Independent Principle, Interactive Principle, Linguistic Principle, Metalinguistic Principle, Strategic Principle, and Visual Principle. No additional predetermined codes were added to ensure that the themes came directly from the teacher participants. The data were reviewed according to the ITODs timeline of participation. After reviewing Karen’s and Janice’s data multiple times, 51 new codes emerged, expanding on the 8 predetermined codes. The coded instances were organized into 3 broad categories (inductive codes) for reporting (Lichtman, 2013): (1) context-specific variables (CSV); (2) itinerant-specific variables (Itinerant);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(3) SIWI-related variables (SIWI). </w:t>
      </w:r>
      <w:proofErr w:type="spellStart"/>
      <w:r>
        <w:rPr>
          <w:rFonts w:ascii="Times New Roman" w:eastAsia="Times New Roman" w:hAnsi="Times New Roman" w:cs="Times New Roman"/>
          <w:sz w:val="24"/>
          <w:szCs w:val="24"/>
        </w:rPr>
        <w:t>Afterwhich</w:t>
      </w:r>
      <w:proofErr w:type="spellEnd"/>
      <w:r>
        <w:rPr>
          <w:rFonts w:ascii="Times New Roman" w:eastAsia="Times New Roman" w:hAnsi="Times New Roman" w:cs="Times New Roman"/>
          <w:sz w:val="24"/>
          <w:szCs w:val="24"/>
        </w:rPr>
        <w:t xml:space="preserve">, two SIWI researchers external to this study were asked to review the data and the codes. From this process, they identified two additional codes: mentor texts and parents. Once Emily completed her year of participation, her interviews were conducted and analyzed using the existing 64 codes, and 8 new codes emerged from the data analysis: distractions, motivation, rewards, culture, ESL, isolation, evaluating writing, and writing goals. </w:t>
      </w:r>
    </w:p>
    <w:p w14:paraId="44F56AAA" w14:textId="77777777" w:rsidR="00A41DCA" w:rsidRDefault="000C73C6">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Insert Table 1 Codes near here</w:t>
      </w:r>
    </w:p>
    <w:p w14:paraId="1609D18E"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coding Emily’s data,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participants’ data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revisited another time to ensure the 72 codes were consistently </w:t>
      </w:r>
      <w:proofErr w:type="gramStart"/>
      <w:r>
        <w:rPr>
          <w:rFonts w:ascii="Times New Roman" w:eastAsia="Times New Roman" w:hAnsi="Times New Roman" w:cs="Times New Roman"/>
          <w:sz w:val="24"/>
          <w:szCs w:val="24"/>
        </w:rPr>
        <w:t>applied, or</w:t>
      </w:r>
      <w:proofErr w:type="gramEnd"/>
      <w:r>
        <w:rPr>
          <w:rFonts w:ascii="Times New Roman" w:eastAsia="Times New Roman" w:hAnsi="Times New Roman" w:cs="Times New Roman"/>
          <w:sz w:val="24"/>
          <w:szCs w:val="24"/>
        </w:rPr>
        <w:t xml:space="preserve"> edited if needed. The coded instances remained organized in three broad categories for reporting (Lichtman, 2013), and none were added. Later, </w:t>
      </w:r>
      <w:r>
        <w:rPr>
          <w:rFonts w:ascii="Times New Roman" w:eastAsia="Times New Roman" w:hAnsi="Times New Roman" w:cs="Times New Roman"/>
          <w:sz w:val="24"/>
          <w:szCs w:val="24"/>
        </w:rPr>
        <w:lastRenderedPageBreak/>
        <w:t xml:space="preserve">the authors chose to rename the CSV category to clarify what “context” was being referred to, changing it from context-specific variables to district-related factors. The reported findings are a summary of the challenges and benefits most frequently mentioned by participants. See coded instances by theme in Table 1. </w:t>
      </w:r>
    </w:p>
    <w:p w14:paraId="11B8E73E"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Trustworthiness &amp; Credibility</w:t>
      </w:r>
    </w:p>
    <w:p w14:paraId="7D8BE0E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the first author’s positive experiences implementing SIWI as an ITOD, they acknowledge a personal bias toward the belief that the framework can be successfully applied in itinerant settings and that some aspects may require modification. The second author had not experienced teaching SIWI in an itinerant setting but had positive leanings to its potential. Thus, it was essential to continually reflect on ways in which our biases may have </w:t>
      </w:r>
      <w:proofErr w:type="gramStart"/>
      <w:r>
        <w:rPr>
          <w:rFonts w:ascii="Times New Roman" w:eastAsia="Times New Roman" w:hAnsi="Times New Roman" w:cs="Times New Roman"/>
          <w:sz w:val="24"/>
          <w:szCs w:val="24"/>
        </w:rPr>
        <w:t>impacted</w:t>
      </w:r>
      <w:proofErr w:type="gramEnd"/>
      <w:r>
        <w:rPr>
          <w:rFonts w:ascii="Times New Roman" w:eastAsia="Times New Roman" w:hAnsi="Times New Roman" w:cs="Times New Roman"/>
          <w:sz w:val="24"/>
          <w:szCs w:val="24"/>
        </w:rPr>
        <w:t xml:space="preserve"> the analysis and the reporting of the data.</w:t>
      </w:r>
    </w:p>
    <w:p w14:paraId="7A4004A3"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Steps were taken by the researchers to ensure trustworthiness and credibility of the data in this case study, following Merriam’s (1998) strategies for maintaining validity and reliability in qualitative research, as well as Lincoln and Guba’s criteria for credibility (1985). Procedures followed in reference to these sources were: prolonged engagement, persistent observation, triangulation, member checks, peer examination, and disclosure of research biases. Both authors worked with each of the participants in person and virtually over the course of a year, learning more about writing instruction in their contexts and building rapport and trust. The combination of observing teachers’ writing instruction and engaging them in reflection after watching videos of themselves teaching led to more accurate reflections on their instructional practices. Data triangulation occurred by collecting multiple sources of data across multiple people and sites. Additional efforts included completing member checks with each participant, obtaining input </w:t>
      </w:r>
      <w:r>
        <w:rPr>
          <w:rFonts w:ascii="Times New Roman" w:eastAsia="Times New Roman" w:hAnsi="Times New Roman" w:cs="Times New Roman"/>
          <w:sz w:val="24"/>
          <w:szCs w:val="24"/>
        </w:rPr>
        <w:lastRenderedPageBreak/>
        <w:t xml:space="preserve">from two additional researchers on the coding of data, and reporting personal experiences and biases. </w:t>
      </w:r>
    </w:p>
    <w:p w14:paraId="04FED1D6" w14:textId="77777777" w:rsidR="00A41DCA" w:rsidRDefault="000C73C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Results</w:t>
      </w:r>
    </w:p>
    <w:p w14:paraId="3EC4B28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findings are presented in two parts: SIWI Instruction of ITODs and Factors Impacting Writing Instruction of ITODs. The first offers a reflection on how SIWI principles were enacted within the itinerant setting and the ways in which the three teachers had similar and differing views on implementing the SIWI principles. The second highlights key factors teachers perceived as directly or indirectly impacting their writing instruction. These include their role working with general education teachers, district-related factors, time, and physical space and organization.</w:t>
      </w:r>
    </w:p>
    <w:p w14:paraId="1B015F80"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SIWI Instruction of ITODs</w:t>
      </w:r>
    </w:p>
    <w:p w14:paraId="1EB97A68"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an in-depth analysis of the three ITODs’ interviews and observations of their instruction, we found that their SIWI instruction, whether with one student or two, was provided at a similar level of fidelity to classroom teachers in their first year of using SIWI. Karen implemented with 74% fidelity, Emily at 76%, and Janice at 86%. These scores compare to an average of 74% fidelity among first-year teachers found in prior research (Wolbers et al., 2016). There were inconsistencies and areas for improvement; however, nothing presented as unique from prior research with classroom teachers implementing SIWI for the first time. SIWI’s overarching principles provide a </w:t>
      </w:r>
      <w:r>
        <w:rPr>
          <w:rFonts w:ascii="Times New Roman" w:eastAsia="Times New Roman" w:hAnsi="Times New Roman" w:cs="Times New Roman"/>
          <w:i/>
          <w:iCs/>
          <w:sz w:val="24"/>
          <w:szCs w:val="24"/>
        </w:rPr>
        <w:t>flexible</w:t>
      </w:r>
      <w:r>
        <w:rPr>
          <w:rFonts w:ascii="Times New Roman" w:eastAsia="Times New Roman" w:hAnsi="Times New Roman" w:cs="Times New Roman"/>
          <w:sz w:val="24"/>
          <w:szCs w:val="24"/>
        </w:rPr>
        <w:t xml:space="preserve"> framework for guiding writing instruction rather than requiring teachers to follow a scripted, sequenced protocol, and as such, ITODs were able to implement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instructional practices in ways that suited their teaching context and still maintained their essence. There was one exception, facilitating peer interaction, that was not practical to implement in one-on-one sessions. Although the teachers were in their first year of </w:t>
      </w:r>
      <w:r>
        <w:rPr>
          <w:rFonts w:ascii="Times New Roman" w:eastAsia="Times New Roman" w:hAnsi="Times New Roman" w:cs="Times New Roman"/>
          <w:sz w:val="24"/>
          <w:szCs w:val="24"/>
        </w:rPr>
        <w:lastRenderedPageBreak/>
        <w:t xml:space="preserve">using SIWI and still developing their ability to implement the framework more fully, they had rich insights about the application of the SIWI principles to the itinerant setting: strategic instruction (5 coded instances) &amp; visuals (16 coded instances), interactive instruction (44 coded instances), linguistic and metalinguistic instruction (57 coded instances), and authentic and balanced instruction (17 coded instances). Coded instances included times the participants referenced these principles, as well as when they commented on instructional practices that fell within a </w:t>
      </w:r>
      <w:proofErr w:type="gramStart"/>
      <w:r>
        <w:rPr>
          <w:rFonts w:ascii="Times New Roman" w:eastAsia="Times New Roman" w:hAnsi="Times New Roman" w:cs="Times New Roman"/>
          <w:sz w:val="24"/>
          <w:szCs w:val="24"/>
        </w:rPr>
        <w:t>principle</w:t>
      </w:r>
      <w:proofErr w:type="gramEnd"/>
      <w:r>
        <w:rPr>
          <w:rFonts w:ascii="Times New Roman" w:eastAsia="Times New Roman" w:hAnsi="Times New Roman" w:cs="Times New Roman"/>
          <w:sz w:val="24"/>
          <w:szCs w:val="24"/>
        </w:rPr>
        <w:t xml:space="preserve"> category.</w:t>
      </w:r>
    </w:p>
    <w:p w14:paraId="4C99B781"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Strategic Instruction &amp; Visuals</w:t>
      </w:r>
    </w:p>
    <w:p w14:paraId="4021B3E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three ITODs implemented many strategic instruction practices, and their fidelity for this specific principle ranged from 46% to 88% (Karen 46%, Emily 58%, Janice 88%, avg: 64%). The biggest impact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Karen and Emily’s scores was related to them not integrating a </w:t>
      </w:r>
      <w:proofErr w:type="spellStart"/>
      <w:r>
        <w:rPr>
          <w:rFonts w:ascii="Times New Roman" w:eastAsia="Times New Roman" w:hAnsi="Times New Roman" w:cs="Times New Roman"/>
          <w:sz w:val="24"/>
          <w:szCs w:val="24"/>
        </w:rPr>
        <w:t>NIPit</w:t>
      </w:r>
      <w:proofErr w:type="spellEnd"/>
      <w:r>
        <w:rPr>
          <w:rFonts w:ascii="Times New Roman" w:eastAsia="Times New Roman" w:hAnsi="Times New Roman" w:cs="Times New Roman"/>
          <w:sz w:val="24"/>
          <w:szCs w:val="24"/>
        </w:rPr>
        <w:t xml:space="preserve"> lesson. There were five strategic practices that the teachers all used consistently: teaching strategies for writing processes, explicitly discussing the genre’s text structure, using procedural facilitators, using visual supports for text structure, and using an organization structure that matched the genre. There were two practices that two out of the three teachers did not implement. Those practices included focusing on the audience and purpose of the text during writing and making connections across different genres. Of the remaining instructional practices, the teachers varied in their levels of use. When teachers reflected on their implementation of strategy instruction practices, they noted areas they were still working to implement consistently but did not indicate any practices that were beyond the scope of teaching writing as an ITOD.</w:t>
      </w:r>
    </w:p>
    <w:p w14:paraId="67FF1E79"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teachers provided insight into how they adapted visual scaffolds for use in their settings. Janice and Emily worked in schools where they used a communal office space for teaching and did not have reliable internet. Instead of class-sized posters, they used student </w:t>
      </w:r>
      <w:r>
        <w:rPr>
          <w:rFonts w:ascii="Times New Roman" w:eastAsia="Times New Roman" w:hAnsi="Times New Roman" w:cs="Times New Roman"/>
          <w:sz w:val="24"/>
          <w:szCs w:val="24"/>
        </w:rPr>
        <w:lastRenderedPageBreak/>
        <w:t xml:space="preserve">writing notebooks where they would keep paper-sized versions of the visual scaffolds to reference during writing </w:t>
      </w:r>
      <w:proofErr w:type="gramStart"/>
      <w:r>
        <w:rPr>
          <w:rFonts w:ascii="Times New Roman" w:eastAsia="Times New Roman" w:hAnsi="Times New Roman" w:cs="Times New Roman"/>
          <w:sz w:val="24"/>
          <w:szCs w:val="24"/>
        </w:rPr>
        <w:t>instruction</w:t>
      </w:r>
      <w:proofErr w:type="gramEnd"/>
      <w:r>
        <w:rPr>
          <w:rFonts w:ascii="Times New Roman" w:eastAsia="Times New Roman" w:hAnsi="Times New Roman" w:cs="Times New Roman"/>
          <w:sz w:val="24"/>
          <w:szCs w:val="24"/>
        </w:rPr>
        <w:t>. Emily shared, “I used all of the materials differently…They were all printed out.” Janice also expounded that, “I [could]</w:t>
      </w:r>
      <w:proofErr w:type="spellStart"/>
      <w:r>
        <w:rPr>
          <w:rFonts w:ascii="Times New Roman" w:eastAsia="Times New Roman" w:hAnsi="Times New Roman" w:cs="Times New Roman"/>
          <w:sz w:val="24"/>
          <w:szCs w:val="24"/>
        </w:rPr>
        <w:t>n’t</w:t>
      </w:r>
      <w:proofErr w:type="spellEnd"/>
      <w:r>
        <w:rPr>
          <w:rFonts w:ascii="Times New Roman" w:eastAsia="Times New Roman" w:hAnsi="Times New Roman" w:cs="Times New Roman"/>
          <w:sz w:val="24"/>
          <w:szCs w:val="24"/>
        </w:rPr>
        <w:t xml:space="preserve"> pull up [digital] </w:t>
      </w:r>
      <w:proofErr w:type="spellStart"/>
      <w:r>
        <w:rPr>
          <w:rFonts w:ascii="Times New Roman" w:eastAsia="Times New Roman" w:hAnsi="Times New Roman" w:cs="Times New Roman"/>
          <w:sz w:val="24"/>
          <w:szCs w:val="24"/>
        </w:rPr>
        <w:t>NIPit</w:t>
      </w:r>
      <w:proofErr w:type="spellEnd"/>
      <w:r>
        <w:rPr>
          <w:rFonts w:ascii="Times New Roman" w:eastAsia="Times New Roman" w:hAnsi="Times New Roman" w:cs="Times New Roman"/>
          <w:sz w:val="24"/>
          <w:szCs w:val="24"/>
        </w:rPr>
        <w:t xml:space="preserve"> lessons on the fly when I'm out on the road because I don't have as much access to the internet or computers.” They also shared that they had to be more intentional about remembering to reference visuals held in the notebook since they were not as visible in the writing space, unlike permanent posters in the classroom. </w:t>
      </w:r>
    </w:p>
    <w:p w14:paraId="4140F055"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Interactive Instruction</w:t>
      </w:r>
    </w:p>
    <w:p w14:paraId="7350C7B0"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Collectively, the teachers were more consistent in implementing interactive writing practices at an average of 77% (Karen 74%, Emily 76%, Janice 82%). Of the 17 interactive practices, the teachers regularly implemented the following 6 practices: engaging students in actively constructing &amp; revising the text, acknowledging students ideas using responsive discourse, challenging but not overwhelming students, stepping back to transfer control to the student, stepping in when students are stuck, and having a procedure for agreeing upon how/when to add text. Shared writing was one practice that two of the three teachers were not implementing. Janice incorporated shared writing by pairing her two students together. The remaining 10 instructional practices were used in varying degrees by the teachers. In their interviews, teachers further expounded on interactive writing practices.</w:t>
      </w:r>
    </w:p>
    <w:p w14:paraId="7D09B0D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implementing SIWI in a group setting, the teacher is encouraged to "hold the floor" to allow students to equitably engage in learning. Using this approach, the teacher intentionally pauses students who are dominating the dialogue to create space for less involved students to also engage in the activity. Teachers are also encouraged to position themselves as learners in the group, asking questions and thinking aloud through the writing process. All three </w:t>
      </w:r>
      <w:r>
        <w:rPr>
          <w:rFonts w:ascii="Times New Roman" w:eastAsia="Times New Roman" w:hAnsi="Times New Roman" w:cs="Times New Roman"/>
          <w:sz w:val="24"/>
          <w:szCs w:val="24"/>
        </w:rPr>
        <w:lastRenderedPageBreak/>
        <w:t>teachers discussed their application of these principles in their teaching contexts. Karen mentioned, “I positioned myself as a learner a lot. I’d get a puzzled look [and] say, ‘I’m confused</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 don’t understand.” Emily shared a similar experience saying that she intentionally pretended </w:t>
      </w:r>
      <w:proofErr w:type="gramStart"/>
      <w:r>
        <w:rPr>
          <w:rFonts w:ascii="Times New Roman" w:eastAsia="Times New Roman" w:hAnsi="Times New Roman" w:cs="Times New Roman"/>
          <w:sz w:val="24"/>
          <w:szCs w:val="24"/>
        </w:rPr>
        <w:t>to not</w:t>
      </w:r>
      <w:proofErr w:type="gramEnd"/>
      <w:r>
        <w:rPr>
          <w:rFonts w:ascii="Times New Roman" w:eastAsia="Times New Roman" w:hAnsi="Times New Roman" w:cs="Times New Roman"/>
          <w:sz w:val="24"/>
          <w:szCs w:val="24"/>
        </w:rPr>
        <w:t xml:space="preserve"> know what her student was trying to communicate so that they would expand on their ideas. She also encouraged other adults to express when the student’s communication was unclear, saying, “I would [tell] people, ‘She’s going to tell you this thing. You better tell her if it doesn’t make sense!’”</w:t>
      </w:r>
    </w:p>
    <w:p w14:paraId="77D1CBFE"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Janice shared that an emergent writer she taught wanted Janice to take over certain parts of writing because they were overwhelmed, “with the idea of dealing with spelling, grammar, an idea, language….” While reflecting, Janice said, </w:t>
      </w:r>
    </w:p>
    <w:p w14:paraId="468BCFC6"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You're almost even holding the floor from </w:t>
      </w:r>
      <w:r>
        <w:rPr>
          <w:rFonts w:ascii="Times New Roman" w:eastAsia="Times New Roman" w:hAnsi="Times New Roman" w:cs="Times New Roman"/>
          <w:i/>
          <w:iCs/>
          <w:sz w:val="24"/>
          <w:szCs w:val="24"/>
        </w:rPr>
        <w:t>you</w:t>
      </w:r>
      <w:r>
        <w:rPr>
          <w:rFonts w:ascii="Times New Roman" w:eastAsia="Times New Roman" w:hAnsi="Times New Roman" w:cs="Times New Roman"/>
          <w:sz w:val="24"/>
          <w:szCs w:val="24"/>
        </w:rPr>
        <w:t xml:space="preserve"> taking </w:t>
      </w:r>
      <w:proofErr w:type="gramStart"/>
      <w:r>
        <w:rPr>
          <w:rFonts w:ascii="Times New Roman" w:eastAsia="Times New Roman" w:hAnsi="Times New Roman" w:cs="Times New Roman"/>
          <w:sz w:val="24"/>
          <w:szCs w:val="24"/>
        </w:rPr>
        <w:t>over, but</w:t>
      </w:r>
      <w:proofErr w:type="gramEnd"/>
      <w:r>
        <w:rPr>
          <w:rFonts w:ascii="Times New Roman" w:eastAsia="Times New Roman" w:hAnsi="Times New Roman" w:cs="Times New Roman"/>
          <w:sz w:val="24"/>
          <w:szCs w:val="24"/>
        </w:rPr>
        <w:t xml:space="preserve"> also taking on some responsibilities so that they will give you more dialogue or more to work with...finding that one area that I can mitigate so she's able to expand in another area.</w:t>
      </w:r>
    </w:p>
    <w:p w14:paraId="7CAECC8C"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also indicated they needed to alter their roles during writing instruction to promote student engagement in making text revisions. Karen mentioned she took on responsibility for various tasks that would have been distributed among peers in a self-contained class setting. She said she had to “take the role [of] the class[mate] and try to encourage the individual child to think differently, like ‘what can we add?’” Although such practices are important for all SIWI teachers to implement, positioning oneself as a learner and wondering along with the students appear to hold more importance among ITODs in providing collaborative, interactive opportunities.</w:t>
      </w:r>
    </w:p>
    <w:p w14:paraId="58EA0D18"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Shared writing is a practice in which students typically write with a partner or in small groups. After practicing new skills in a group format, the teacher will provide opportunities for </w:t>
      </w:r>
      <w:r>
        <w:rPr>
          <w:rFonts w:ascii="Times New Roman" w:eastAsia="Times New Roman" w:hAnsi="Times New Roman" w:cs="Times New Roman"/>
          <w:sz w:val="24"/>
          <w:szCs w:val="24"/>
        </w:rPr>
        <w:lastRenderedPageBreak/>
        <w:t xml:space="preserve">shared writing to observe how students are applying the skills with less support from the teacher. It is often an intermediary step between group and independent writing, the least supported writing format. The teacher may pause during group writing, for example, and ask students to write the next sentence(s) of the text with a partner. The students then bring back their writing to the group to be discussed and incorporated into the group’s co-constructed writing. Karen reported that she had not incorporated shared writing during SIWI, due to teaching one-on-one, but she considered how she might pull in other students for paired writing experiences. Emily also considered inviting outside students for shared writing. At the time, she did not think there was any noticeable difference between shared and independent writing in her teaching context. </w:t>
      </w:r>
    </w:p>
    <w:p w14:paraId="260543D6"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Janice provided a different perspective on shared versus independent writing tasks in her context. For shared writing, she explained, “I have to be the person that they’re bouncing ideas off of and working with because there isn’t anyone else.” She then shared that for “shared writing” she front-loaded writing supports, explaining, “We talk about word choice. We talk about ideas. We have brainstorms,” after which she asked the student to write the sentence(s) without any assistance. For independent writing tasks, she would not provide </w:t>
      </w:r>
      <w:proofErr w:type="gramStart"/>
      <w:r>
        <w:rPr>
          <w:rFonts w:ascii="Times New Roman" w:eastAsia="Times New Roman" w:hAnsi="Times New Roman" w:cs="Times New Roman"/>
          <w:sz w:val="24"/>
          <w:szCs w:val="24"/>
        </w:rPr>
        <w:t>frontloaded</w:t>
      </w:r>
      <w:proofErr w:type="gramEnd"/>
      <w:r>
        <w:rPr>
          <w:rFonts w:ascii="Times New Roman" w:eastAsia="Times New Roman" w:hAnsi="Times New Roman" w:cs="Times New Roman"/>
          <w:sz w:val="24"/>
          <w:szCs w:val="24"/>
        </w:rPr>
        <w:t xml:space="preserve"> support to the </w:t>
      </w:r>
      <w:proofErr w:type="gramStart"/>
      <w:r>
        <w:rPr>
          <w:rFonts w:ascii="Times New Roman" w:eastAsia="Times New Roman" w:hAnsi="Times New Roman" w:cs="Times New Roman"/>
          <w:sz w:val="24"/>
          <w:szCs w:val="24"/>
        </w:rPr>
        <w:t>student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see what they could do independently. Reflecting on Janice’s perspective, the authors acknowledge that the essence of shared writing lies in the teacher’s use of practices that allow the student to write with greater independence, although not yet fully alone. Janice’s perspective prompts a need for a broader description of shared writing on the fidelity instrument to represent group and individualized instructional contexts. </w:t>
      </w:r>
    </w:p>
    <w:p w14:paraId="330834B8"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asked about the facilitation of peer interaction, the teachers had different perspectives and/or approaches. Janice explained that when working with a student one-on-one, peer interaction “does not really work;” however, she thought exchanges with the student as a </w:t>
      </w:r>
      <w:r>
        <w:rPr>
          <w:rFonts w:ascii="Times New Roman" w:eastAsia="Times New Roman" w:hAnsi="Times New Roman" w:cs="Times New Roman"/>
          <w:sz w:val="24"/>
          <w:szCs w:val="24"/>
        </w:rPr>
        <w:lastRenderedPageBreak/>
        <w:t xml:space="preserve">thought-partner happened more often than in a classroom setting. She also shared that the relationship she had with the student was “more equitable” compared to the teacher-student dynamics of a traditional classroom. Emily shared that she would have students from different locations </w:t>
      </w:r>
      <w:proofErr w:type="gramStart"/>
      <w:r>
        <w:rPr>
          <w:rFonts w:ascii="Times New Roman" w:eastAsia="Times New Roman" w:hAnsi="Times New Roman" w:cs="Times New Roman"/>
          <w:sz w:val="24"/>
          <w:szCs w:val="24"/>
        </w:rPr>
        <w:t>score</w:t>
      </w:r>
      <w:proofErr w:type="gramEnd"/>
      <w:r>
        <w:rPr>
          <w:rFonts w:ascii="Times New Roman" w:eastAsia="Times New Roman" w:hAnsi="Times New Roman" w:cs="Times New Roman"/>
          <w:sz w:val="24"/>
          <w:szCs w:val="24"/>
        </w:rPr>
        <w:t xml:space="preserve"> one another’s writing and give each other feedback. She would also communicate other students’ choices of writing topic and audience. Karen said she encouraged interaction with adults that came to her teaching space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expose them to different ways of thinking. </w:t>
      </w:r>
    </w:p>
    <w:p w14:paraId="5CDB57B9"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Linguistic and Metalinguistic</w:t>
      </w:r>
    </w:p>
    <w:p w14:paraId="65C14F16"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scored an average of 75% for metalinguistic knowledge and linguistic competence, which was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their interactive instruction score (Karen 81%, Emily 70%, Janice 75%). As discussed earlier, this section of the fidelity instrument is broken into three sections, and implementation depends on students’ language needs. The five practices of the first section were implemented by the teachers partially or fully, with none of the practices being omitted by any of the participants. The three practices of the second section are implemented when the teacher identifies ASL or ASL-features in a student’s expression. Karen was the only teacher in need of these practices. She consistently showed evidence for repeating ASL contributions in the language </w:t>
      </w:r>
      <w:proofErr w:type="gramStart"/>
      <w:r>
        <w:rPr>
          <w:rFonts w:ascii="Times New Roman" w:eastAsia="Times New Roman" w:hAnsi="Times New Roman" w:cs="Times New Roman"/>
          <w:sz w:val="24"/>
          <w:szCs w:val="24"/>
        </w:rPr>
        <w:t>zone, and</w:t>
      </w:r>
      <w:proofErr w:type="gramEnd"/>
      <w:r>
        <w:rPr>
          <w:rFonts w:ascii="Times New Roman" w:eastAsia="Times New Roman" w:hAnsi="Times New Roman" w:cs="Times New Roman"/>
          <w:sz w:val="24"/>
          <w:szCs w:val="24"/>
        </w:rPr>
        <w:t xml:space="preserve"> inconsistently implemented two other principles--engaging students in comparing grammatical features of the two languages and chaining or pairing the two languages. The five practices of section three are implemented when a teacher identifies a student </w:t>
      </w:r>
      <w:proofErr w:type="gramStart"/>
      <w:r>
        <w:rPr>
          <w:rFonts w:ascii="Times New Roman" w:eastAsia="Times New Roman" w:hAnsi="Times New Roman" w:cs="Times New Roman"/>
          <w:sz w:val="24"/>
          <w:szCs w:val="24"/>
        </w:rPr>
        <w:t>experiencing difficulty</w:t>
      </w:r>
      <w:proofErr w:type="gramEnd"/>
      <w:r>
        <w:rPr>
          <w:rFonts w:ascii="Times New Roman" w:eastAsia="Times New Roman" w:hAnsi="Times New Roman" w:cs="Times New Roman"/>
          <w:sz w:val="24"/>
          <w:szCs w:val="24"/>
        </w:rPr>
        <w:t xml:space="preserve"> expressing or understanding communication. Karen and Janice implemented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practices, at least some of the time. One of the interview questions, that came from this section of the fidelity instrument, was if/how the ITODs taught communication repair strategies with their student in the itinerant setting. All three teachers said this practice was part of their daily instruction, revealing it happened naturally in their </w:t>
      </w:r>
      <w:r>
        <w:rPr>
          <w:rFonts w:ascii="Times New Roman" w:eastAsia="Times New Roman" w:hAnsi="Times New Roman" w:cs="Times New Roman"/>
          <w:sz w:val="24"/>
          <w:szCs w:val="24"/>
        </w:rPr>
        <w:lastRenderedPageBreak/>
        <w:t>interactions with students. Even though they were not teaching communication strategies between peers, they discussed that they taught these strategies within the context of their own interactions with the student. They also encouraged students to extend these strategies to interactions with their interpreters or speech therapists.</w:t>
      </w:r>
    </w:p>
    <w:p w14:paraId="4403FB00"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teachers used the language zone--a space for clarifying and/or expanding students’ communicative resources. They often used it for workshopping unclear contributions and coming to a shared understanding. For Janice, whose students only used spoken language, their language zone was for “spoken English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and the writing space was the “written English board.” She shared, “Because the kids all use spoken language…we would have the language board, and then the written English board...because we emphasized that people don't write the same way that they talk.” For Emily, navigating unintelligible expressive language from the student looked different because her student was developing three language competencies--English, Spanish, and ASL. The language zone for Emily’s student, Stacy, included linguistic elements of all three languages. She said: </w:t>
      </w:r>
    </w:p>
    <w:p w14:paraId="67C0FA13"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wasn’t in one spot. It was on the marker board. It was me playing google translate on my phone. It just happened organically… we just did it all at once all the time trying to go back and forth, trying to figure out what she meant. But I always tr[</w:t>
      </w:r>
      <w:proofErr w:type="spellStart"/>
      <w:r>
        <w:rPr>
          <w:rFonts w:ascii="Times New Roman" w:eastAsia="Times New Roman" w:hAnsi="Times New Roman" w:cs="Times New Roman"/>
          <w:sz w:val="24"/>
          <w:szCs w:val="24"/>
        </w:rPr>
        <w:t>ied</w:t>
      </w:r>
      <w:proofErr w:type="spellEnd"/>
      <w:r>
        <w:rPr>
          <w:rFonts w:ascii="Times New Roman" w:eastAsia="Times New Roman" w:hAnsi="Times New Roman" w:cs="Times New Roman"/>
          <w:sz w:val="24"/>
          <w:szCs w:val="24"/>
        </w:rPr>
        <w:t>] to be intentional about making sure it was her words.</w:t>
      </w:r>
    </w:p>
    <w:p w14:paraId="7146AB40"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experiences of Emily and other teachers who have navigated multiple languages in addition to ASL and English has led to the widening of Language Zone practices. The Translanguaging Framework in Deaf Education (Wolbers et al., 2023b), developed after the teachers in this study completed the SIWI professional development, provides guidance for multilingual, multimodal practices that validate and expand students’ linguistic repertoires.   </w:t>
      </w:r>
    </w:p>
    <w:p w14:paraId="3F24BC39"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Authentic and Balance</w:t>
      </w:r>
    </w:p>
    <w:p w14:paraId="7F55A7DA"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the portion of the fidelity instrument focused on authentic and balanced instruction received the highest score of all sections (100%), which is not uncommon. Some practices </w:t>
      </w:r>
      <w:proofErr w:type="gramStart"/>
      <w:r>
        <w:rPr>
          <w:rFonts w:ascii="Times New Roman" w:eastAsia="Times New Roman" w:hAnsi="Times New Roman" w:cs="Times New Roman"/>
          <w:sz w:val="24"/>
          <w:szCs w:val="24"/>
        </w:rPr>
        <w:t>include:</w:t>
      </w:r>
      <w:proofErr w:type="gramEnd"/>
      <w:r>
        <w:rPr>
          <w:rFonts w:ascii="Times New Roman" w:eastAsia="Times New Roman" w:hAnsi="Times New Roman" w:cs="Times New Roman"/>
          <w:sz w:val="24"/>
          <w:szCs w:val="24"/>
        </w:rPr>
        <w:t xml:space="preserve"> establishing an audience and purpose for writing, sharing the writing with the audience, and setting both writing and language objectives. Teachers do tend to have higher scores in this area of the fidelity instrument because the instructional practices in this section are primarily </w:t>
      </w:r>
      <w:proofErr w:type="gramStart"/>
      <w:r>
        <w:rPr>
          <w:rFonts w:ascii="Times New Roman" w:eastAsia="Times New Roman" w:hAnsi="Times New Roman" w:cs="Times New Roman"/>
          <w:sz w:val="24"/>
          <w:szCs w:val="24"/>
        </w:rPr>
        <w:t>planned ahead</w:t>
      </w:r>
      <w:proofErr w:type="gramEnd"/>
      <w:r>
        <w:rPr>
          <w:rFonts w:ascii="Times New Roman" w:eastAsia="Times New Roman" w:hAnsi="Times New Roman" w:cs="Times New Roman"/>
          <w:sz w:val="24"/>
          <w:szCs w:val="24"/>
        </w:rPr>
        <w:t xml:space="preserve"> of time, unlike other practices that are enacted spontaneously. Even though the practices were present during all three ITODs’ units, two teachers expressed some challenges. Emily struggled to make instruction authentic. She shared that because she was an ITOD, she had fewer relationships across school buildings and therefore found it difficult to identify authentic audiences for her student’s writing. Janice mentioned that she found it difficult to balance or “evenly [focus on] both the writing objectives and the language objectives” in her setting due to time constraints. Emily’s difficulty with finding authentic audiences and Janice’s struggle with focusing on both writing- and language-level objectives during writing are commonly reported challenges among some first-year SIWI teachers, regardless of setting. These challenges were not shared by the other ITODs in this study nor are they the experience of the first author. </w:t>
      </w:r>
    </w:p>
    <w:p w14:paraId="14154B89"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Summary of Implementation of SIWI Principles </w:t>
      </w:r>
    </w:p>
    <w:p w14:paraId="0FFF8BA2"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three teachers were able to incorporate the vast majority of SIWI practices in their unique itinerant settings--an affluent district, an urban district, and a rural district with a multilingual learner. They demonstrated similar fidelity scores or higher compared to classroom teachers using SIWI for the first time. For those teachers working with a single student, facilitating peer interaction was not feasible to implement. Overall, despite differences in their </w:t>
      </w:r>
      <w:r>
        <w:rPr>
          <w:rFonts w:ascii="Times New Roman" w:eastAsia="Times New Roman" w:hAnsi="Times New Roman" w:cs="Times New Roman"/>
          <w:sz w:val="24"/>
          <w:szCs w:val="24"/>
        </w:rPr>
        <w:lastRenderedPageBreak/>
        <w:t xml:space="preserve">teaching spaces, students’ needs, and teacher resources, the ITODs were able to integrate strategic, interactive, linguistic competence/metalinguistic awareness, authentic, and balanced principles into their writing instruction. The teachers’ reflections provided new insights for ITODs, such as stepping into </w:t>
      </w:r>
      <w:proofErr w:type="gramStart"/>
      <w:r>
        <w:rPr>
          <w:rFonts w:ascii="Times New Roman" w:eastAsia="Times New Roman" w:hAnsi="Times New Roman" w:cs="Times New Roman"/>
          <w:sz w:val="24"/>
          <w:szCs w:val="24"/>
        </w:rPr>
        <w:t>a peer</w:t>
      </w:r>
      <w:proofErr w:type="gramEnd"/>
      <w:r>
        <w:rPr>
          <w:rFonts w:ascii="Times New Roman" w:eastAsia="Times New Roman" w:hAnsi="Times New Roman" w:cs="Times New Roman"/>
          <w:sz w:val="24"/>
          <w:szCs w:val="24"/>
        </w:rPr>
        <w:t xml:space="preserve"> role regularly during collaborative writing and creating a portable writing notebook of visual scaffolds.</w:t>
      </w:r>
    </w:p>
    <w:p w14:paraId="599C768E"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Factors Impacting Writing Instruction of ITODs</w:t>
      </w:r>
    </w:p>
    <w:p w14:paraId="627D01F9"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While the participants reported that they believed SIWI to be effective with their students and feasible to implement in their settings, they also described factors that directly and indirectly impacted their ability to teach writing and implement SIWI. Four themes emerged from their overall reflections: working with general education teachers (84 coded instances), district-related factors (67 coded instances), time (47 coded instances), and physical space and organization (20 coded instances).</w:t>
      </w:r>
    </w:p>
    <w:p w14:paraId="70C185DF"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Working with General Education Teachers</w:t>
      </w:r>
    </w:p>
    <w:p w14:paraId="4B39A2BD"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Supporting DHH students and their teachers in the general education classroom is an important role of ITODs. Janice and Emily both experienced frustrations in their attempts to collaborate with the general education teachers. Janice remarked that working with classroom teachers can be a “delicate situation as an itinerant teacher.” Janice and Emily were often unable to build on the writing instruction provided by the classroom teacher because the teachers would not share the materials and topics being covered. Janice believed that teachers’ unwillingness to collaborate came from their sense of student “ownership.” In one case, Janice conveyed information about a deaf student who was struggling and offered how she could assist her, but the classroom teacher would not allow her to pull out the student for direct instruction. </w:t>
      </w:r>
      <w:r>
        <w:rPr>
          <w:rFonts w:ascii="Times New Roman" w:eastAsia="Times New Roman" w:hAnsi="Times New Roman" w:cs="Times New Roman"/>
          <w:sz w:val="24"/>
          <w:szCs w:val="24"/>
        </w:rPr>
        <w:lastRenderedPageBreak/>
        <w:t xml:space="preserve">According to Emily, building a rapport with teachers is a way to encourage their collaboration, but she also felt that there was a need for support in learning this skill. She shared, </w:t>
      </w:r>
    </w:p>
    <w:p w14:paraId="7D2507B2"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build a relationship with the parents, the teachers, and of course the kids, but no one teaches you any of that. And unless you are </w:t>
      </w:r>
      <w:proofErr w:type="gramStart"/>
      <w:r>
        <w:rPr>
          <w:rFonts w:ascii="Times New Roman" w:eastAsia="Times New Roman" w:hAnsi="Times New Roman" w:cs="Times New Roman"/>
          <w:sz w:val="24"/>
          <w:szCs w:val="24"/>
        </w:rPr>
        <w:t>actually good</w:t>
      </w:r>
      <w:proofErr w:type="gramEnd"/>
      <w:r>
        <w:rPr>
          <w:rFonts w:ascii="Times New Roman" w:eastAsia="Times New Roman" w:hAnsi="Times New Roman" w:cs="Times New Roman"/>
          <w:sz w:val="24"/>
          <w:szCs w:val="24"/>
        </w:rPr>
        <w:t xml:space="preserve"> at that, nobody is going to listen to you. Nobody is going to care if you are doing writing, and it coordinates with what they are doing. Nobody cares if you don’t have a relationship with them.</w:t>
      </w:r>
    </w:p>
    <w:p w14:paraId="10A52C1B"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Conversely, Karen’s experience collaborating with classroom teachers seemed to be without such barriers. This may be </w:t>
      </w:r>
      <w:proofErr w:type="gramStart"/>
      <w:r>
        <w:rPr>
          <w:rFonts w:ascii="Times New Roman" w:eastAsia="Times New Roman" w:hAnsi="Times New Roman" w:cs="Times New Roman"/>
          <w:sz w:val="24"/>
          <w:szCs w:val="24"/>
        </w:rPr>
        <w:t>due to the fact that</w:t>
      </w:r>
      <w:proofErr w:type="gramEnd"/>
      <w:r>
        <w:rPr>
          <w:rFonts w:ascii="Times New Roman" w:eastAsia="Times New Roman" w:hAnsi="Times New Roman" w:cs="Times New Roman"/>
          <w:sz w:val="24"/>
          <w:szCs w:val="24"/>
        </w:rPr>
        <w:t xml:space="preserve"> Karen </w:t>
      </w:r>
      <w:proofErr w:type="gramStart"/>
      <w:r>
        <w:rPr>
          <w:rFonts w:ascii="Times New Roman" w:eastAsia="Times New Roman" w:hAnsi="Times New Roman" w:cs="Times New Roman"/>
          <w:sz w:val="24"/>
          <w:szCs w:val="24"/>
        </w:rPr>
        <w:t>was located in</w:t>
      </w:r>
      <w:proofErr w:type="gramEnd"/>
      <w:r>
        <w:rPr>
          <w:rFonts w:ascii="Times New Roman" w:eastAsia="Times New Roman" w:hAnsi="Times New Roman" w:cs="Times New Roman"/>
          <w:sz w:val="24"/>
          <w:szCs w:val="24"/>
        </w:rPr>
        <w:t xml:space="preserve"> one school which allowed her to be more integrated into the school community, leading to stronger relationships. </w:t>
      </w:r>
    </w:p>
    <w:p w14:paraId="2B99C5C7"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participating teachers shared that their instructional goals or plans were sometimes in conflict with the classroom teachers’. Emily mentioned that the things she was teaching were not always what the general education teacher was focusing on, adding, </w:t>
      </w:r>
    </w:p>
    <w:p w14:paraId="45451F16"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want [students] to try [to write]. I don’t want them to be scared to write. I want them to </w:t>
      </w:r>
      <w:proofErr w:type="gramStart"/>
      <w:r>
        <w:rPr>
          <w:rFonts w:ascii="Times New Roman" w:eastAsia="Times New Roman" w:hAnsi="Times New Roman" w:cs="Times New Roman"/>
          <w:sz w:val="24"/>
          <w:szCs w:val="24"/>
        </w:rPr>
        <w:t>actually stay</w:t>
      </w:r>
      <w:proofErr w:type="gramEnd"/>
      <w:r>
        <w:rPr>
          <w:rFonts w:ascii="Times New Roman" w:eastAsia="Times New Roman" w:hAnsi="Times New Roman" w:cs="Times New Roman"/>
          <w:sz w:val="24"/>
          <w:szCs w:val="24"/>
        </w:rPr>
        <w:t xml:space="preserve"> on topic. And the [classroom] teacher is like, “but they are not using periods,” and I’m like “No, but if they could write a sentence, maybe we could get a period.”</w:t>
      </w:r>
    </w:p>
    <w:p w14:paraId="07C666E3"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Janice shared about times when teachers wanted her to use her writing instruction time for tasks they assigned. She explained, “There's always the pressure of the classroom teacher wanting something else done when it's supposed to be [writing] time,” and went on to share an experience where the classroom teacher wanted the student to copy a poem during the pull-out instruction time. </w:t>
      </w:r>
    </w:p>
    <w:p w14:paraId="6165C869"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 of the three teachers were supporting the use of writing materials in the general education classroom. Karen shared that she provided students with scaffolds that could be used </w:t>
      </w:r>
      <w:r>
        <w:rPr>
          <w:rFonts w:ascii="Times New Roman" w:eastAsia="Times New Roman" w:hAnsi="Times New Roman" w:cs="Times New Roman"/>
          <w:sz w:val="24"/>
          <w:szCs w:val="24"/>
        </w:rPr>
        <w:lastRenderedPageBreak/>
        <w:t xml:space="preserve">in the general education setting, and that the interpreters supported the integration of these scaffolds. She </w:t>
      </w:r>
      <w:proofErr w:type="gramStart"/>
      <w:r>
        <w:rPr>
          <w:rFonts w:ascii="Times New Roman" w:eastAsia="Times New Roman" w:hAnsi="Times New Roman" w:cs="Times New Roman"/>
          <w:sz w:val="24"/>
          <w:szCs w:val="24"/>
        </w:rPr>
        <w:t>said</w:t>
      </w:r>
      <w:proofErr w:type="gramEnd"/>
      <w:r>
        <w:rPr>
          <w:rFonts w:ascii="Times New Roman" w:eastAsia="Times New Roman" w:hAnsi="Times New Roman" w:cs="Times New Roman"/>
          <w:sz w:val="24"/>
          <w:szCs w:val="24"/>
        </w:rPr>
        <w:t xml:space="preserve"> “my interpreters really do [writing] support… it's up to the regular education teacher and the interpreter to use [the writing materials] as needed when the writing comes.” Emily and Janice didn’t think the writing scaffolds they had provided teachers and students were being used. Upon reflection, Emily shared that it would be helpful to make a brief video to share with classroom teachers explaining the scaffolds and how to use them. She felt the general education teachers needed more support, such as </w:t>
      </w:r>
      <w:proofErr w:type="gramStart"/>
      <w:r>
        <w:rPr>
          <w:rFonts w:ascii="Times New Roman" w:eastAsia="Times New Roman" w:hAnsi="Times New Roman" w:cs="Times New Roman"/>
          <w:sz w:val="24"/>
          <w:szCs w:val="24"/>
        </w:rPr>
        <w:t>a brief</w:t>
      </w:r>
      <w:proofErr w:type="gramEnd"/>
      <w:r>
        <w:rPr>
          <w:rFonts w:ascii="Times New Roman" w:eastAsia="Times New Roman" w:hAnsi="Times New Roman" w:cs="Times New Roman"/>
          <w:sz w:val="24"/>
          <w:szCs w:val="24"/>
        </w:rPr>
        <w:t xml:space="preserve"> training on using the scaffolds and how ITOD push-in services could be helpful. </w:t>
      </w:r>
    </w:p>
    <w:p w14:paraId="18C65BF5"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District-Related Factors</w:t>
      </w:r>
    </w:p>
    <w:p w14:paraId="0CC28A7E"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School districts differ by many factors, such as the level of support they provide to ITODs or the level of reliance upon and integration of the ITOD in schools. </w:t>
      </w:r>
    </w:p>
    <w:p w14:paraId="1E47B800"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District Resources.</w:t>
      </w:r>
      <w:r>
        <w:rPr>
          <w:rFonts w:ascii="Times New Roman" w:eastAsia="Times New Roman" w:hAnsi="Times New Roman" w:cs="Times New Roman"/>
          <w:sz w:val="24"/>
          <w:szCs w:val="24"/>
        </w:rPr>
        <w:t xml:space="preserve"> ITODs are a critical resource for school districts, providing specialized knowledge to educators who are typically not familiar with DHH students. Districts that do not trust or prioritize their ITODs could </w:t>
      </w:r>
      <w:proofErr w:type="gramStart"/>
      <w:r>
        <w:rPr>
          <w:rFonts w:ascii="Times New Roman" w:eastAsia="Times New Roman" w:hAnsi="Times New Roman" w:cs="Times New Roman"/>
          <w:sz w:val="24"/>
          <w:szCs w:val="24"/>
        </w:rPr>
        <w:t>impact</w:t>
      </w:r>
      <w:proofErr w:type="gramEnd"/>
      <w:r>
        <w:rPr>
          <w:rFonts w:ascii="Times New Roman" w:eastAsia="Times New Roman" w:hAnsi="Times New Roman" w:cs="Times New Roman"/>
          <w:sz w:val="24"/>
          <w:szCs w:val="24"/>
        </w:rPr>
        <w:t xml:space="preserve"> the writing instruction that DHH students receive, including if and how a writing program like SIWI is implemented. The ITODs in this study experienced varying degrees of trust or buy-in from their administrators. Janice reflected on two contrasting experiences--working in one school district where the administration trusted her professional expertise regardless of the cost and working for another district where money drove the decisions about students. She recalled such a district saying, “We don't need to have that kind of service… He has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cochlear implant now. He's hearing fine. We're going to cut-back hearing services.” In contrast, Karen and Emily both reported feeling “heard” by their administrators. Karen mentioned her supervisor frequently during her interviews and reported </w:t>
      </w:r>
      <w:r>
        <w:rPr>
          <w:rFonts w:ascii="Times New Roman" w:eastAsia="Times New Roman" w:hAnsi="Times New Roman" w:cs="Times New Roman"/>
          <w:sz w:val="24"/>
          <w:szCs w:val="24"/>
        </w:rPr>
        <w:lastRenderedPageBreak/>
        <w:t xml:space="preserve">that her supervisor agreed to make some changes the following year based on her writing instruction with SIWI, telling her, “Go ahead and do it!” </w:t>
      </w:r>
    </w:p>
    <w:p w14:paraId="406AA2A1"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district’s resources can shape the kinds of writing practices that ITODs have access to. Two of the teacher participants shared how their school district supported them financially. Their experiences were wildly different. Janice shared that her yearly budget was $25,000 and that she was sent to various </w:t>
      </w:r>
      <w:proofErr w:type="gramStart"/>
      <w:r>
        <w:rPr>
          <w:rFonts w:ascii="Times New Roman" w:eastAsia="Times New Roman" w:hAnsi="Times New Roman" w:cs="Times New Roman"/>
          <w:sz w:val="24"/>
          <w:szCs w:val="24"/>
        </w:rPr>
        <w:t>trainings</w:t>
      </w:r>
      <w:proofErr w:type="gramEnd"/>
      <w:r>
        <w:rPr>
          <w:rFonts w:ascii="Times New Roman" w:eastAsia="Times New Roman" w:hAnsi="Times New Roman" w:cs="Times New Roman"/>
          <w:sz w:val="24"/>
          <w:szCs w:val="24"/>
        </w:rPr>
        <w:t xml:space="preserve"> and conferences, such as Linda Mood Bell, Orton-Gillingham, and the Clarke Mainstream Conference. For Emily, she shared that her budget was a shared budget of $100 (with the other ITOD) that was provided by her homebase school. When the school district provided professional development opportunities in Emily’s school district, “they didn’t have a place for you to fit. It would be like, ‘Go into </w:t>
      </w:r>
      <w:proofErr w:type="gramStart"/>
      <w:r>
        <w:rPr>
          <w:rFonts w:ascii="Times New Roman" w:eastAsia="Times New Roman" w:hAnsi="Times New Roman" w:cs="Times New Roman"/>
          <w:sz w:val="24"/>
          <w:szCs w:val="24"/>
        </w:rPr>
        <w:t>whatever.’”</w:t>
      </w:r>
      <w:proofErr w:type="gramEnd"/>
      <w:r>
        <w:rPr>
          <w:rFonts w:ascii="Times New Roman" w:eastAsia="Times New Roman" w:hAnsi="Times New Roman" w:cs="Times New Roman"/>
          <w:sz w:val="24"/>
          <w:szCs w:val="24"/>
        </w:rPr>
        <w:t xml:space="preserve"> Emily shared that she felt, “they don’t make a space for you.” They paid for her to attend a local conference focused on students with various disabilities annually; however, Emily felt this conference did not provide new or helpful resources after the first year. The amount of funding and opportunities a district provides ITODs for training directly impacts their access to evidence-based instruction for DHH students. </w:t>
      </w:r>
    </w:p>
    <w:p w14:paraId="55EDD108"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Interpreters.</w:t>
      </w:r>
      <w:r>
        <w:rPr>
          <w:rFonts w:ascii="Times New Roman" w:eastAsia="Times New Roman" w:hAnsi="Times New Roman" w:cs="Times New Roman"/>
          <w:sz w:val="24"/>
          <w:szCs w:val="24"/>
        </w:rPr>
        <w:t xml:space="preserve"> Karen and Emily both had interpreters who worked with their students in mainstream classes who were also able to observe their one-on-one writing instruction with those students. Karen felt she was “lucky” to have interpreters who could see her SIWI instruction with the students and then were, “able to guide them in the regular ed classroom.” During her interviews, Emily talked about how she used the interpreters to support different parts of her writing instruction during pull-out sessions but did not further reflect on how they were being used to support writing in the general education classroom. Even though these ITODs reported that having interpreters was helpful, while reviewing teachers’ instructional videos, it was surprising to see the </w:t>
      </w:r>
      <w:proofErr w:type="gramStart"/>
      <w:r>
        <w:rPr>
          <w:rFonts w:ascii="Times New Roman" w:eastAsia="Times New Roman" w:hAnsi="Times New Roman" w:cs="Times New Roman"/>
          <w:sz w:val="24"/>
          <w:szCs w:val="24"/>
        </w:rPr>
        <w:t>amount</w:t>
      </w:r>
      <w:proofErr w:type="gramEnd"/>
      <w:r>
        <w:rPr>
          <w:rFonts w:ascii="Times New Roman" w:eastAsia="Times New Roman" w:hAnsi="Times New Roman" w:cs="Times New Roman"/>
          <w:sz w:val="24"/>
          <w:szCs w:val="24"/>
        </w:rPr>
        <w:t xml:space="preserve"> of distractions because of conversations between Emily and the </w:t>
      </w:r>
      <w:r>
        <w:rPr>
          <w:rFonts w:ascii="Times New Roman" w:eastAsia="Times New Roman" w:hAnsi="Times New Roman" w:cs="Times New Roman"/>
          <w:sz w:val="24"/>
          <w:szCs w:val="24"/>
        </w:rPr>
        <w:lastRenderedPageBreak/>
        <w:t>interpreter. There were many times that the student was doing a writing task independently, and the adults within the small instructional space were frequently talking around her. Emily also realized this after watching her SIWI unit for the third interview and reflected, “it wasn’t a big deal to me when I was there, but when I looked back at it, there’s no way [the student] could pay attention with all this craziness going on.”</w:t>
      </w:r>
    </w:p>
    <w:p w14:paraId="1F78F1E1"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Communities.</w:t>
      </w:r>
      <w:r>
        <w:rPr>
          <w:rFonts w:ascii="Times New Roman" w:eastAsia="Times New Roman" w:hAnsi="Times New Roman" w:cs="Times New Roman"/>
          <w:sz w:val="24"/>
          <w:szCs w:val="24"/>
        </w:rPr>
        <w:t xml:space="preserve"> Janice worked in an affluent district; Karen worked in an urban district; and Emily worked in a rural district with a large Latino community. Janice described that in her district, </w:t>
      </w:r>
    </w:p>
    <w:p w14:paraId="7DE413A2"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parents have a lot of money and a lot of time; they are much better advocates for their kids, and the administration typically takes them much more seriously… I was told at one point that my job was to keep the parents happy.</w:t>
      </w:r>
    </w:p>
    <w:p w14:paraId="31D23852"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Emily explained that her school district was made up of “more than 70% . . . in the poverty zone.” When reflecting on how the community impacted her students’ writing, Emily shared that it “was less about stuff” and “more of an impact on their lack of language.” She expounded,</w:t>
      </w:r>
    </w:p>
    <w:p w14:paraId="68C76F0A"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for them it was more about the support and the time. The parents are always working, and the kids are not with them a lot. They don’t have a lot of language models; they don’t have someone doing homework with them. They </w:t>
      </w:r>
      <w:proofErr w:type="gramStart"/>
      <w:r>
        <w:rPr>
          <w:rFonts w:ascii="Times New Roman" w:eastAsia="Times New Roman" w:hAnsi="Times New Roman" w:cs="Times New Roman"/>
          <w:sz w:val="24"/>
          <w:szCs w:val="24"/>
        </w:rPr>
        <w:t>definitely don’t</w:t>
      </w:r>
      <w:proofErr w:type="gramEnd"/>
      <w:r>
        <w:rPr>
          <w:rFonts w:ascii="Times New Roman" w:eastAsia="Times New Roman" w:hAnsi="Times New Roman" w:cs="Times New Roman"/>
          <w:sz w:val="24"/>
          <w:szCs w:val="24"/>
        </w:rPr>
        <w:t xml:space="preserve"> have someone reading with them, and they don’t have someone checking their hearing aids.</w:t>
      </w:r>
    </w:p>
    <w:p w14:paraId="45FBB6E3"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Karen shared she was part of a “very large inner-city school district” where there were “20,000 students” and “46 schools between elementary, middle, and high school in the whole district.” During her reflections, she focused on the resources of the district and made no comments about the community. While the community was a peripheral factor, it impacted teachers’ instruction </w:t>
      </w:r>
      <w:r>
        <w:rPr>
          <w:rFonts w:ascii="Times New Roman" w:eastAsia="Times New Roman" w:hAnsi="Times New Roman" w:cs="Times New Roman"/>
          <w:sz w:val="24"/>
          <w:szCs w:val="24"/>
        </w:rPr>
        <w:lastRenderedPageBreak/>
        <w:t xml:space="preserve">indirectly in that students’ writing development is also influenced by language and learning environments outside of school. </w:t>
      </w:r>
    </w:p>
    <w:p w14:paraId="64A3FDA7"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Pacing Guides.</w:t>
      </w:r>
      <w:r>
        <w:rPr>
          <w:rFonts w:ascii="Times New Roman" w:eastAsia="Times New Roman" w:hAnsi="Times New Roman" w:cs="Times New Roman"/>
          <w:sz w:val="24"/>
          <w:szCs w:val="24"/>
        </w:rPr>
        <w:t xml:space="preserve"> Emily was frustrated when trying to align her instruction with the general education classroom; she discovered classroom teachers in her district did not follow the pacing guide. She shared, “some districts have a pacing guide for each </w:t>
      </w:r>
      <w:proofErr w:type="gramStart"/>
      <w:r>
        <w:rPr>
          <w:rFonts w:ascii="Times New Roman" w:eastAsia="Times New Roman" w:hAnsi="Times New Roman" w:cs="Times New Roman"/>
          <w:sz w:val="24"/>
          <w:szCs w:val="24"/>
        </w:rPr>
        <w:t>grade</w:t>
      </w:r>
      <w:proofErr w:type="gramEnd"/>
      <w:r>
        <w:rPr>
          <w:rFonts w:ascii="Times New Roman" w:eastAsia="Times New Roman" w:hAnsi="Times New Roman" w:cs="Times New Roman"/>
          <w:sz w:val="24"/>
          <w:szCs w:val="24"/>
        </w:rPr>
        <w:t xml:space="preserve"> so you know like in March you’re doing this in math, but they don’t really follow that here, and if they do have it made somewhere, they don’t follow it.” This made it difficult to figure out what was being done in the classroom, especially when some teachers were not responding to ITODs’ questions about their classroom instructional plans. </w:t>
      </w:r>
    </w:p>
    <w:p w14:paraId="0246CBAF"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Janice shared it was a struggle to construct a piece of writing over several days due to the ingrained culture to move through content faster. Karen reflected similarly: </w:t>
      </w:r>
    </w:p>
    <w:p w14:paraId="7100AE25"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today is moving at such a fast pace, and the children </w:t>
      </w:r>
      <w:proofErr w:type="gramStart"/>
      <w:r>
        <w:rPr>
          <w:rFonts w:ascii="Times New Roman" w:eastAsia="Times New Roman" w:hAnsi="Times New Roman" w:cs="Times New Roman"/>
          <w:sz w:val="24"/>
          <w:szCs w:val="24"/>
        </w:rPr>
        <w:t>are not able to</w:t>
      </w:r>
      <w:proofErr w:type="gramEnd"/>
      <w:r>
        <w:rPr>
          <w:rFonts w:ascii="Times New Roman" w:eastAsia="Times New Roman" w:hAnsi="Times New Roman" w:cs="Times New Roman"/>
          <w:sz w:val="24"/>
          <w:szCs w:val="24"/>
        </w:rPr>
        <w:t xml:space="preserve"> sit there and digest the information and to mull it around in their head and to own it.  [They're] being taught, and [they're] on to the next thing; they haven't even mastered that skill.</w:t>
      </w:r>
    </w:p>
    <w:p w14:paraId="4225BCC7"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 can be challenging for ITODs to collaborate with general education teachers on writing instruction when they move too quickly with instruction or do not follow the pacing guides.  Also, classroom teachers typically see their students daily and ITODs typically do not. This is an additional factor that adds to the challenge of working with the general education teachers to coordinate writing instruction for DHH students.</w:t>
      </w:r>
    </w:p>
    <w:p w14:paraId="3CC7E819"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Service Time and Format. </w:t>
      </w:r>
      <w:r>
        <w:rPr>
          <w:rFonts w:ascii="Times New Roman" w:eastAsia="Times New Roman" w:hAnsi="Times New Roman" w:cs="Times New Roman"/>
          <w:sz w:val="24"/>
          <w:szCs w:val="24"/>
        </w:rPr>
        <w:t xml:space="preserve">The teachers reported that their school districts had different rules for the allowable amount of time for pull-out services. In Emily’s district, she could provide 4 hours of weekly pull out </w:t>
      </w:r>
      <w:proofErr w:type="gramStart"/>
      <w:r>
        <w:rPr>
          <w:rFonts w:ascii="Times New Roman" w:eastAsia="Times New Roman" w:hAnsi="Times New Roman" w:cs="Times New Roman"/>
          <w:sz w:val="24"/>
          <w:szCs w:val="24"/>
        </w:rPr>
        <w:t>services, but</w:t>
      </w:r>
      <w:proofErr w:type="gramEnd"/>
      <w:r>
        <w:rPr>
          <w:rFonts w:ascii="Times New Roman" w:eastAsia="Times New Roman" w:hAnsi="Times New Roman" w:cs="Times New Roman"/>
          <w:sz w:val="24"/>
          <w:szCs w:val="24"/>
        </w:rPr>
        <w:t xml:space="preserve"> typically provided 2 hours a week “at most.” Janice reported that “it’s unusual to have 2 hours a week with a </w:t>
      </w:r>
      <w:proofErr w:type="gramStart"/>
      <w:r>
        <w:rPr>
          <w:rFonts w:ascii="Times New Roman" w:eastAsia="Times New Roman" w:hAnsi="Times New Roman" w:cs="Times New Roman"/>
          <w:sz w:val="24"/>
          <w:szCs w:val="24"/>
        </w:rPr>
        <w:t>kid.”</w:t>
      </w:r>
      <w:proofErr w:type="gramEnd"/>
      <w:r>
        <w:rPr>
          <w:rFonts w:ascii="Times New Roman" w:eastAsia="Times New Roman" w:hAnsi="Times New Roman" w:cs="Times New Roman"/>
          <w:sz w:val="24"/>
          <w:szCs w:val="24"/>
        </w:rPr>
        <w:t xml:space="preserve"> She was able to provide 2 </w:t>
      </w:r>
      <w:r>
        <w:rPr>
          <w:rFonts w:ascii="Times New Roman" w:eastAsia="Times New Roman" w:hAnsi="Times New Roman" w:cs="Times New Roman"/>
          <w:sz w:val="24"/>
          <w:szCs w:val="24"/>
        </w:rPr>
        <w:lastRenderedPageBreak/>
        <w:t xml:space="preserve">hours of writing instruction weekly for the </w:t>
      </w:r>
      <w:proofErr w:type="gramStart"/>
      <w:r>
        <w:rPr>
          <w:rFonts w:ascii="Times New Roman" w:eastAsia="Times New Roman" w:hAnsi="Times New Roman" w:cs="Times New Roman"/>
          <w:sz w:val="24"/>
          <w:szCs w:val="24"/>
        </w:rPr>
        <w:t>study, but</w:t>
      </w:r>
      <w:proofErr w:type="gramEnd"/>
      <w:r>
        <w:rPr>
          <w:rFonts w:ascii="Times New Roman" w:eastAsia="Times New Roman" w:hAnsi="Times New Roman" w:cs="Times New Roman"/>
          <w:sz w:val="24"/>
          <w:szCs w:val="24"/>
        </w:rPr>
        <w:t xml:space="preserve"> shared that typically “having that kind of flexibility is really hard.” In contrast, Karen shared that it was, “whatever the student needs…that is decided at the PPT [Planning and Placement Team] meeting, and each individual varies in learning.” When asked if a student could receive 5 weekly hours of writing instruction from an ITOD, Karen shared that she had a student who received 7.5 weekly hours of writing instruction from her. Later in Karen’s interviews, we learned that English instruction for DHH students automatically came from the teacher for the deaf in her district, not the general education classroom, and this contributed to the large amount of service hours she was allowed to pull students for writing. Because she was the primary teacher for English, Karen gave the students their grade for the subject. Janice and Emily’s districts did not give the option for DHH students to be taught English primarily by the ITOD. They could support students through pull-out or push-in services, but instruction predominantly came from a general education teacher, along with their grade for that subject area.</w:t>
      </w:r>
    </w:p>
    <w:p w14:paraId="5C1FDDB3"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School districts configure services for DHH students in different ways. In Karen’s district, DHH students are localized to the same preschool, K-8 school, and then high school. Janice and Emily worked in school districts where students were placed in base schools according to their home location. There were discussions with Emily and Janice about how the lack of base schools in their districts made writing instruction difficult because of feelings of isolation. Emily felt it was difficult to determine an audience for writing, sharing that, “it’s harder because I’m not a part of any school building. I’m not a part of the community so it’s harder overall just to get an audience and to get a response.” Janice and Emily also both remarked that people in schools do not understand </w:t>
      </w:r>
      <w:proofErr w:type="gramStart"/>
      <w:r>
        <w:rPr>
          <w:rFonts w:ascii="Times New Roman" w:eastAsia="Times New Roman" w:hAnsi="Times New Roman" w:cs="Times New Roman"/>
          <w:sz w:val="24"/>
          <w:szCs w:val="24"/>
        </w:rPr>
        <w:t>an ITOD’s</w:t>
      </w:r>
      <w:proofErr w:type="gramEnd"/>
      <w:r>
        <w:rPr>
          <w:rFonts w:ascii="Times New Roman" w:eastAsia="Times New Roman" w:hAnsi="Times New Roman" w:cs="Times New Roman"/>
          <w:sz w:val="24"/>
          <w:szCs w:val="24"/>
        </w:rPr>
        <w:t xml:space="preserve"> job. Emily expounded that even </w:t>
      </w:r>
      <w:r>
        <w:rPr>
          <w:rFonts w:ascii="Times New Roman" w:eastAsia="Times New Roman" w:hAnsi="Times New Roman" w:cs="Times New Roman"/>
          <w:sz w:val="24"/>
          <w:szCs w:val="24"/>
        </w:rPr>
        <w:lastRenderedPageBreak/>
        <w:t>after many explanations, other people still “think you are a sign language teacher.” This led to deeper conversation about feeling misunderstood:</w:t>
      </w:r>
    </w:p>
    <w:p w14:paraId="4D88F4F7"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don’t understand what you [do] for kids who can’t hear. They don’t understand how that impacts their learning at </w:t>
      </w:r>
      <w:proofErr w:type="gramStart"/>
      <w:r>
        <w:rPr>
          <w:rFonts w:ascii="Times New Roman" w:eastAsia="Times New Roman" w:hAnsi="Times New Roman" w:cs="Times New Roman"/>
          <w:sz w:val="24"/>
          <w:szCs w:val="24"/>
        </w:rPr>
        <w:t>all</w:t>
      </w:r>
      <w:proofErr w:type="gramEnd"/>
      <w:r>
        <w:rPr>
          <w:rFonts w:ascii="Times New Roman" w:eastAsia="Times New Roman" w:hAnsi="Times New Roman" w:cs="Times New Roman"/>
          <w:sz w:val="24"/>
          <w:szCs w:val="24"/>
        </w:rPr>
        <w:t xml:space="preserve"> so they don’t understand the different reading strategies you know. They don’t understand your skills, your qualifications, what you went to school for. They don’t understand how you can help them because they don’t even know what you are there for. It doesn't even make sense to them that you’re even there…as an itinerant you feel VERY isolated…if I would have had an itinerant position </w:t>
      </w:r>
      <w:proofErr w:type="gramStart"/>
      <w:r>
        <w:rPr>
          <w:rFonts w:ascii="Times New Roman" w:eastAsia="Times New Roman" w:hAnsi="Times New Roman" w:cs="Times New Roman"/>
          <w:sz w:val="24"/>
          <w:szCs w:val="24"/>
        </w:rPr>
        <w:t>from the get go</w:t>
      </w:r>
      <w:proofErr w:type="gramEnd"/>
      <w:r>
        <w:rPr>
          <w:rFonts w:ascii="Times New Roman" w:eastAsia="Times New Roman" w:hAnsi="Times New Roman" w:cs="Times New Roman"/>
          <w:sz w:val="24"/>
          <w:szCs w:val="24"/>
        </w:rPr>
        <w:t>, I could not have handled it.</w:t>
      </w:r>
    </w:p>
    <w:p w14:paraId="1A2A98E0"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School districts’ configurations for hearing services are factors that indirectly impacted ITODs writing instruction. When school faculty and staff do not understand the role of the ITOD and the skills they bring, it can impede collaboration that might otherwise be possible.</w:t>
      </w:r>
    </w:p>
    <w:p w14:paraId="6F37877D"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Time</w:t>
      </w:r>
    </w:p>
    <w:p w14:paraId="4055B681"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ITODs indicated that time (55 coded instances) was often a constraint. Janice shared, “it can take longer to get through a [full] piece than they typically would spend upstairs writing.” Karen elaborated further on the flexibility with the amount of time in the classroom spent on writing versus the itinerant setting, saying, </w:t>
      </w:r>
    </w:p>
    <w:p w14:paraId="33474283"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you're in the classroom, you can extend the time, but if you're an itinerant, you have them for 45 minutes or whatever, and they are gone. Whereas in the classroom, you </w:t>
      </w:r>
      <w:proofErr w:type="gramStart"/>
      <w:r>
        <w:rPr>
          <w:rFonts w:ascii="Times New Roman" w:eastAsia="Times New Roman" w:hAnsi="Times New Roman" w:cs="Times New Roman"/>
          <w:sz w:val="24"/>
          <w:szCs w:val="24"/>
        </w:rPr>
        <w:t>have the ability to</w:t>
      </w:r>
      <w:proofErr w:type="gramEnd"/>
      <w:r>
        <w:rPr>
          <w:rFonts w:ascii="Times New Roman" w:eastAsia="Times New Roman" w:hAnsi="Times New Roman" w:cs="Times New Roman"/>
          <w:sz w:val="24"/>
          <w:szCs w:val="24"/>
        </w:rPr>
        <w:t xml:space="preserve"> say, "hey this is working...this is great! I don't want to stop" and you continue.</w:t>
      </w:r>
    </w:p>
    <w:p w14:paraId="4FCF78A6"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Emily also commented on balancing the unexpected, saying, </w:t>
      </w:r>
    </w:p>
    <w:p w14:paraId="65546912" w14:textId="77777777" w:rsidR="00A41DCA" w:rsidRDefault="000C73C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 have such limited time at each building with each kid, and if their cochlear implant breaks, do you spend 30 minutes fixing that? You can’t do that and teach the lesson that day.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get back to their class.</w:t>
      </w:r>
    </w:p>
    <w:p w14:paraId="724FBF89"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participants expressed frustration with transition time, especially when the student’s classroom was far from their service space. Janice shared that she had a student, “on the third floor, and I’m in the basement!” Further, coordinating schedules and locations of more than one student can be a challenge to </w:t>
      </w:r>
      <w:proofErr w:type="gramStart"/>
      <w:r>
        <w:rPr>
          <w:rFonts w:ascii="Times New Roman" w:eastAsia="Times New Roman" w:hAnsi="Times New Roman" w:cs="Times New Roman"/>
          <w:sz w:val="24"/>
          <w:szCs w:val="24"/>
        </w:rPr>
        <w:t>providing</w:t>
      </w:r>
      <w:proofErr w:type="gramEnd"/>
      <w:r>
        <w:rPr>
          <w:rFonts w:ascii="Times New Roman" w:eastAsia="Times New Roman" w:hAnsi="Times New Roman" w:cs="Times New Roman"/>
          <w:sz w:val="24"/>
          <w:szCs w:val="24"/>
        </w:rPr>
        <w:t xml:space="preserve"> instruction in small groups. Despite the struggles, the teachers shared it was important to dedicate time to writing instruction and to be consistent.</w:t>
      </w:r>
    </w:p>
    <w:p w14:paraId="7873EF7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teachers mentioned several ways it was difficult to “balance” their roles as ITODs with providing writing instruction. Teachers mentioned the stress of balancing between the instruction they determined was needed and what the classroom teachers wanted. Janice explained, “[there are] conflicts between what the classroom teacher thinks I should be covering and what I want to cover that day.” The ITODs frequently encountered student absences due to field trips or weather, as well </w:t>
      </w:r>
      <w:proofErr w:type="gramStart"/>
      <w:r>
        <w:rPr>
          <w:rFonts w:ascii="Times New Roman" w:eastAsia="Times New Roman" w:hAnsi="Times New Roman" w:cs="Times New Roman"/>
          <w:sz w:val="24"/>
          <w:szCs w:val="24"/>
        </w:rPr>
        <w:t>as,</w:t>
      </w:r>
      <w:proofErr w:type="gramEnd"/>
      <w:r>
        <w:rPr>
          <w:rFonts w:ascii="Times New Roman" w:eastAsia="Times New Roman" w:hAnsi="Times New Roman" w:cs="Times New Roman"/>
          <w:sz w:val="24"/>
          <w:szCs w:val="24"/>
        </w:rPr>
        <w:t xml:space="preserve"> competing demands, such as needing to teach content-area vocabulary and addressing students' hearing technology issues. When the teachers </w:t>
      </w:r>
      <w:proofErr w:type="gramStart"/>
      <w:r>
        <w:rPr>
          <w:rFonts w:ascii="Times New Roman" w:eastAsia="Times New Roman" w:hAnsi="Times New Roman" w:cs="Times New Roman"/>
          <w:sz w:val="24"/>
          <w:szCs w:val="24"/>
        </w:rPr>
        <w:t>weren’t able to</w:t>
      </w:r>
      <w:proofErr w:type="gramEnd"/>
      <w:r>
        <w:rPr>
          <w:rFonts w:ascii="Times New Roman" w:eastAsia="Times New Roman" w:hAnsi="Times New Roman" w:cs="Times New Roman"/>
          <w:sz w:val="24"/>
          <w:szCs w:val="24"/>
        </w:rPr>
        <w:t xml:space="preserve"> provide writing instruction daily or every other day, they shared it was difficult to maintain continuity and flow in the lessons. </w:t>
      </w:r>
    </w:p>
    <w:p w14:paraId="12B69C73" w14:textId="77777777" w:rsidR="00A41DCA" w:rsidRDefault="000C73C6">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Physical Space and Organization</w:t>
      </w:r>
    </w:p>
    <w:p w14:paraId="029C90C4"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teachers reported space and organization as challenges to providing writing instruction (a combined total of 20 coded instances). The spaces they could use in the schools for meeting with students were impermanent and often problematic. For some students, they had to use communal spaces, which provided frequent distractions from others passing through or sharing the space. </w:t>
      </w:r>
    </w:p>
    <w:p w14:paraId="4B6A7064"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general, Janice shared that she, “never [knew] where [she was] going to end up in the building,” and it was helpful for her to have her visual scaffolds in portable sizes since she had to regularly carry her materials with her. Janice did not consider herself an organized person and discussed frustrations of “just remembering to have everything that I need with me.” She also expressed that it was important to plan things out “bit by bit” and to make sure she had all “the materials handy” that she needed for her lessons. </w:t>
      </w:r>
    </w:p>
    <w:p w14:paraId="4D668738"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lieu of a large classroom whiteboard, Janice typically used mini </w:t>
      </w:r>
      <w:proofErr w:type="gramStart"/>
      <w:r>
        <w:rPr>
          <w:rFonts w:ascii="Times New Roman" w:eastAsia="Times New Roman" w:hAnsi="Times New Roman" w:cs="Times New Roman"/>
          <w:sz w:val="24"/>
          <w:szCs w:val="24"/>
        </w:rPr>
        <w:t>white boards</w:t>
      </w:r>
      <w:proofErr w:type="gramEnd"/>
      <w:r>
        <w:rPr>
          <w:rFonts w:ascii="Times New Roman" w:eastAsia="Times New Roman" w:hAnsi="Times New Roman" w:cs="Times New Roman"/>
          <w:sz w:val="24"/>
          <w:szCs w:val="24"/>
        </w:rPr>
        <w:t xml:space="preserve">, iPad apps, and paper. Emily had a permanent room with a large whiteboard at the school where she worked with Stacy; however, the room was shared with a few other service providers. When she engaged the student in whiteboard work, she always took pictures, anticipating that it would be erased from the whiteboard by other people. Emily reflected that the student benefited from having a printed copy of the pictures she took of the language zone and the planning notes that were constructed on the whiteboard. They could extend the previous day’s work by writing additional notes or using highlighters to organize ideas. Similarly, Janice created student binders with printed mentor texts that supported her students’ writing practice. </w:t>
      </w:r>
    </w:p>
    <w:p w14:paraId="715E467C"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Benefits of Itinerant Service Model </w:t>
      </w:r>
    </w:p>
    <w:p w14:paraId="48C2E66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factors impacting ITODs’ writing instruction, the teachers in this study reported ways that the itinerant model of instruction was beneficial for implementing SIWI (36 coded instances). Janice, Karen, and Emily reported that the itinerant setting allowed them to better individualize instruction, such as providing more appropriate pacing of instruction and targeting vocabulary needs. Janice shared that during her writing instruction time, they were able to “delve deep into the language” and reflected that classroom teachers did not have the “freedom” to pace appropriately or “focus on the needs of [students].” In fact, the implementation of SIWI was so </w:t>
      </w:r>
      <w:r>
        <w:rPr>
          <w:rFonts w:ascii="Times New Roman" w:eastAsia="Times New Roman" w:hAnsi="Times New Roman" w:cs="Times New Roman"/>
          <w:sz w:val="24"/>
          <w:szCs w:val="24"/>
        </w:rPr>
        <w:lastRenderedPageBreak/>
        <w:t xml:space="preserve">responsive that one parent reported to Janice that, “it felt to [the student] like she was in a gifted class.” </w:t>
      </w:r>
    </w:p>
    <w:p w14:paraId="780DD1DC"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teachers also shared that because of the one-on-one setting they were able to create an environment that fostered rapport with their students which increased the students’ willingness to take risks during writing. Emily, who did SIWI one-on-one (and with a small group that was not part of this study), shared that her multilingual students did not engage often in writing in English because “they always get corrected on all the things,” but that after they acclimated to the SIWI process and saw it was a non-judgmental writing community, “they started taking more risks with each other.” </w:t>
      </w:r>
      <w:proofErr w:type="gramStart"/>
      <w:r>
        <w:rPr>
          <w:rFonts w:ascii="Times New Roman" w:eastAsia="Times New Roman" w:hAnsi="Times New Roman" w:cs="Times New Roman"/>
          <w:sz w:val="24"/>
          <w:szCs w:val="24"/>
        </w:rPr>
        <w:t>In particular, her</w:t>
      </w:r>
      <w:proofErr w:type="gramEnd"/>
      <w:r>
        <w:rPr>
          <w:rFonts w:ascii="Times New Roman" w:eastAsia="Times New Roman" w:hAnsi="Times New Roman" w:cs="Times New Roman"/>
          <w:sz w:val="24"/>
          <w:szCs w:val="24"/>
        </w:rPr>
        <w:t xml:space="preserve"> one-on-one student took even more risks than the small group “because she had the freedom to do it in the format she wanted.”</w:t>
      </w:r>
    </w:p>
    <w:p w14:paraId="4538D9F6"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teachers expressed that there is freedom in the itinerant setting that allows them to pause lessons to provide responsive or explicit instruction when needed. In contrast, general education classroom teachers often feel pressure due to pacing requirements or may overlook the needs of individual students due to thinking about the classes’ needs. According to ITODs, their setting made it easier to identify students’ needs, build students’ background knowledge, and engage in meaningful conversation. Emily mentioned one-on-one instruction also lent itself to “personalizing” her instruction to students’ wants and needs because she knows the students. She remarked, “You can just roll with what they like.” Janice said that one-on-one instruction allowed her to have “richer, deeper discussions than they would have in the classroom,” and she could give them multiple exposures to different vocabulary. During these conversations, she was able to “find weak places” in students’ knowledge and language, see “what’s missing,” and then was able to address it. Because she could take time to understand students’ language needs and </w:t>
      </w:r>
      <w:r>
        <w:rPr>
          <w:rFonts w:ascii="Times New Roman" w:eastAsia="Times New Roman" w:hAnsi="Times New Roman" w:cs="Times New Roman"/>
          <w:sz w:val="24"/>
          <w:szCs w:val="24"/>
        </w:rPr>
        <w:lastRenderedPageBreak/>
        <w:t>their intended meanings when there were unclear expressions, Janice felt she was able to “better communicate with [the students] than . . . the other teachers.”</w:t>
      </w:r>
    </w:p>
    <w:p w14:paraId="310E81B8"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Each teacher shared that their SIWI training was “very beneficial” and positively impacted their students. Karen shared, “it was the best experience of my teaching career, [and] I will use SIWI until the day I retire.” When reflecting on using SIWI with her students, Janice said it was “very effective,” and she “like[d] the interactions [she had] with the students.” Emily expounded, “The best thing to me about SIWI is that the kids could get more excited about it. I just feel like they were more empowered. They're more excited or less anxious about writing. They're willing to take more risks.” When thinking about what advice they would give to other ITODs considering the use of SIWI in their contexts, each teacher was highly encouraging, advocating that other ITODs get involved. Karen said, “it’s so worthwhile. SIWI can work with itinerant teaching.” Emily warmly encouraged, “the biggest thing is to just jump in and get started with it…once you get started, then you’ll know where the kids need to go.” Janice emphasized sharing with administrators and IEP team members, “that you can build language and vocabulary and all sorts of skills through SIWI, and it's a valuable thing to do because you can use it for writing across content [areas].”</w:t>
      </w:r>
    </w:p>
    <w:p w14:paraId="14933109" w14:textId="77777777" w:rsidR="00A41DCA" w:rsidRDefault="000C73C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w:t>
      </w:r>
    </w:p>
    <w:p w14:paraId="6DCCDACB"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investigation provides insight into the Strategic and Interactive Writing Instruction (SIWI) provided by three itinerant teachers of the deaf (ITODs) in one rural, one urban, and one affluent school district. Through reviewing the teachers’ instructional videos, fidelity scores, and conducting multiple interviews, it was revealed that the ITODs were able to implement the SIWI framework in their settings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classroom teachers in their first year of using the framework,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facilitating peer interaction. The participants offered valuable </w:t>
      </w:r>
      <w:r>
        <w:rPr>
          <w:rFonts w:ascii="Times New Roman" w:eastAsia="Times New Roman" w:hAnsi="Times New Roman" w:cs="Times New Roman"/>
          <w:sz w:val="24"/>
          <w:szCs w:val="24"/>
        </w:rPr>
        <w:lastRenderedPageBreak/>
        <w:t xml:space="preserve">insights into how they approached and applied teaching practices within their unique educational settings. Some practices, such as using visual scaffolds, shared writing, and holding the floor looked different when teaching one-on-one but embodied the purpose of the intended practices. While the teacher participants and researchers agreed there were benefits to implementing SIWI in an itinerant setting and the teachers planned to continue doing so, there were also factors that impeded implementation. </w:t>
      </w:r>
    </w:p>
    <w:p w14:paraId="66F2843F"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challenges that directly or indirectly impacted the ITODs’ writing instruction in this study align with general challenges impacting ITODs that have long been reported in the literature. Collaboration with general education teachers has been consistently documented as a challenge for ITODs (Gray, 2023;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2013; Luckner &amp; Dorn, 2017; Luckner &amp; Hanks, 2003; Pedersen &amp; Anderson 2019; Reed 2003; Wilcox, 2025). A contributing factor reported by ITODs has been general education teachers’ resistance to collaboration and/or their lack of understanding and support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xml:space="preserve">, 2005;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Pedersen &amp; Anderson 2019; Reed 2003; Wilcox, 2025). District-related factors have also been reported, with ITODs most frequently noting a lack of appropriate professional development opportunities (Gray, 2023;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2005; Luckner &amp; Dorn, 2017; Luckner &amp; Hanks, 2003; Pedersen &amp; Anderson 2019; Wilcox, 2025). Other frequently cited district-related challenges were the availability of resources (Gray, 2023; Luckner &amp; Dorn, 2017; Luckner &amp; Hanks, 2003; Reed 2003; Wilcox, 2025) and the lack of administrator support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xml:space="preserve">, 2005; Gray, 2023;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Pedersen &amp; Anderson 2019). Time constraints negatively impacting ITODs instruction are consistently reported in the research (Antia &amp; Rivera, 2016; </w:t>
      </w:r>
      <w:proofErr w:type="spellStart"/>
      <w:r>
        <w:rPr>
          <w:rFonts w:ascii="Times New Roman" w:eastAsia="Times New Roman" w:hAnsi="Times New Roman" w:cs="Times New Roman"/>
          <w:sz w:val="24"/>
          <w:szCs w:val="24"/>
        </w:rPr>
        <w:t>Guteng</w:t>
      </w:r>
      <w:proofErr w:type="spellEnd"/>
      <w:r>
        <w:rPr>
          <w:rFonts w:ascii="Times New Roman" w:eastAsia="Times New Roman" w:hAnsi="Times New Roman" w:cs="Times New Roman"/>
          <w:sz w:val="24"/>
          <w:szCs w:val="24"/>
        </w:rPr>
        <w:t xml:space="preserve">, 2005;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Dorn, 2017; Luckner &amp; Hanks, 2003; Pedersen &amp; Anderson 2019; Reed 2003). Planning instruction around general education teachers’ time </w:t>
      </w:r>
      <w:r>
        <w:rPr>
          <w:rFonts w:ascii="Times New Roman" w:eastAsia="Times New Roman" w:hAnsi="Times New Roman" w:cs="Times New Roman"/>
          <w:sz w:val="24"/>
          <w:szCs w:val="24"/>
        </w:rPr>
        <w:lastRenderedPageBreak/>
        <w:t xml:space="preserve">constraints is an additional challenge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Dorn, 2017; Pedersen &amp; Anderson 2019; Wilcox, 2025). ITODs have commonly reported the lack of a teaching space as a major obstacle (Guteng, 2005; Gray, 2023; Reed 2003). Finally, organization skills--essential to holding an ITOD position--are challenging for some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Reed 2003). </w:t>
      </w:r>
    </w:p>
    <w:p w14:paraId="00C85150"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Interestingly, general education teachers and ITODs share some challenges that impact their writing instruction. Studies with general education writing teachers in primary grades (Korth et al., 2016), middle school (Amalia, 2021; Troia &amp; Maddox, 2017), and high school (Read &amp; Landon-Hays, 2013) report similar overall constraints with district-related factors (e.g., budgets and limited time to teach content). Even though general education teachers have expressed the desire to use research-based practices, their environment “lends itself better to the dispensing and retrieving of information, rather than apprenticing writers who can write for a variety of situations, audiences, and tasks” (Read &amp; Landon-Hays, 2013, p.12). The small group or one-on-one format provided to DHH students by ITODs may be the best opportunity for specialized writing instruction even though collaboration and communication between professionals can be challenging. </w:t>
      </w:r>
    </w:p>
    <w:p w14:paraId="1FE4172C"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Professional Development</w:t>
      </w:r>
    </w:p>
    <w:p w14:paraId="0C59B3CD"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ITODs in this study expressed that working with classroom teachers was a delicate situation due to perceived ownership of students. Resistance to collaboration coupled with a persistent lack of awareness for the ITOD’s roles can lead to teacher burnout and attrition (Cunningham, 2019), which negatively impacts DHH students due to high rates of turnover (Kennon &amp; Patterson, 2016). Professional development or mentoring programs can address these challenges by offering structured guidance on how to work effectively with general education </w:t>
      </w:r>
      <w:r>
        <w:rPr>
          <w:rFonts w:ascii="Times New Roman" w:eastAsia="Times New Roman" w:hAnsi="Times New Roman" w:cs="Times New Roman"/>
          <w:sz w:val="24"/>
          <w:szCs w:val="24"/>
        </w:rPr>
        <w:lastRenderedPageBreak/>
        <w:t xml:space="preserve">teachers (Dorn, 2019; Madigan &amp; </w:t>
      </w:r>
      <w:proofErr w:type="spellStart"/>
      <w:r>
        <w:rPr>
          <w:rFonts w:ascii="Times New Roman" w:eastAsia="Times New Roman" w:hAnsi="Times New Roman" w:cs="Times New Roman"/>
          <w:sz w:val="24"/>
          <w:szCs w:val="24"/>
        </w:rPr>
        <w:t>Scroth</w:t>
      </w:r>
      <w:proofErr w:type="spellEnd"/>
      <w:r>
        <w:rPr>
          <w:rFonts w:ascii="Times New Roman" w:eastAsia="Times New Roman" w:hAnsi="Times New Roman" w:cs="Times New Roman"/>
          <w:sz w:val="24"/>
          <w:szCs w:val="24"/>
        </w:rPr>
        <w:t xml:space="preserve">-Cavataio, 2012; </w:t>
      </w:r>
      <w:proofErr w:type="spellStart"/>
      <w:r>
        <w:rPr>
          <w:rFonts w:ascii="Times New Roman" w:eastAsia="Times New Roman" w:hAnsi="Times New Roman" w:cs="Times New Roman"/>
          <w:sz w:val="24"/>
          <w:szCs w:val="24"/>
        </w:rPr>
        <w:t>Mrstik</w:t>
      </w:r>
      <w:proofErr w:type="spellEnd"/>
      <w:r>
        <w:rPr>
          <w:rFonts w:ascii="Times New Roman" w:eastAsia="Times New Roman" w:hAnsi="Times New Roman" w:cs="Times New Roman"/>
          <w:sz w:val="24"/>
          <w:szCs w:val="24"/>
        </w:rPr>
        <w:t xml:space="preserve"> et al., 2018). These programs need to be ongoing for maximum effectiveness (Sancar, Atal, &amp; </w:t>
      </w:r>
      <w:proofErr w:type="spellStart"/>
      <w:r>
        <w:rPr>
          <w:rFonts w:ascii="Times New Roman" w:eastAsia="Times New Roman" w:hAnsi="Times New Roman" w:cs="Times New Roman"/>
          <w:sz w:val="24"/>
          <w:szCs w:val="24"/>
        </w:rPr>
        <w:t>Deryakulu</w:t>
      </w:r>
      <w:proofErr w:type="spellEnd"/>
      <w:r>
        <w:rPr>
          <w:rFonts w:ascii="Times New Roman" w:eastAsia="Times New Roman" w:hAnsi="Times New Roman" w:cs="Times New Roman"/>
          <w:sz w:val="24"/>
          <w:szCs w:val="24"/>
        </w:rPr>
        <w:t>, 2021; Wolbers et al., 2016). As Emily emphasized, effective collaboration and consultation are complex processes (Ingraham, 2017) that require explicit instruction and practice (Wilson et al., 2010). Professional development and mentoring programs serve as platforms for knowledge sharing and foster ongoing reflection on best practices, ultimately strengthening the partnership between ITODs and classroom teachers (Madigan &amp; Schroth-Cavataio, 2012).</w:t>
      </w:r>
    </w:p>
    <w:p w14:paraId="68538305"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ITODs and researchers have long suggested professional development for ITODS in the areas of language and literacy instruction,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Howell, 2002; Reed, 2003), interpersonal skills (Foster &amp; Cue, 2009; Luckner &amp; Howell, 2002), collaboration and consultation models for working with general education teachers (Foster &amp; Cue, 2009;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Luckner &amp; Howell, 2002; Luckner &amp; Muir, 2002; Pedersen &amp; Anderson, 2019; Wilcox, 2025), working with non-English-speaking students and families (Cannon &amp; Luckner, 2016; Luckner &amp; Howell, 2002), time management (Luckner, 2020;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and organization skills (Foster &amp; Cue, 2009; Luckner, 2010; Luckner, 2020;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Despite decades of research pointing to the need for professional development for ITODs in these areas, it is notable that over half of ITODs report they are “dissatisfied” or “very dissatisfied” with professional development they have received (Luckner &amp; Dorn, 2019). This matched the experience of one ITOD in this study who said that her district did not have professional development that </w:t>
      </w:r>
      <w:proofErr w:type="gramStart"/>
      <w:r>
        <w:rPr>
          <w:rFonts w:ascii="Times New Roman" w:eastAsia="Times New Roman" w:hAnsi="Times New Roman" w:cs="Times New Roman"/>
          <w:sz w:val="24"/>
          <w:szCs w:val="24"/>
        </w:rPr>
        <w:t>fit</w:t>
      </w:r>
      <w:proofErr w:type="gramEnd"/>
      <w:r>
        <w:rPr>
          <w:rFonts w:ascii="Times New Roman" w:eastAsia="Times New Roman" w:hAnsi="Times New Roman" w:cs="Times New Roman"/>
          <w:sz w:val="24"/>
          <w:szCs w:val="24"/>
        </w:rPr>
        <w:t xml:space="preserve"> her needs and had limited funds for outside professional development. </w:t>
      </w:r>
    </w:p>
    <w:p w14:paraId="66D63A35"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Practices for Teaching Deaf Writers</w:t>
      </w:r>
    </w:p>
    <w:p w14:paraId="4383EE40" w14:textId="77777777" w:rsidR="00A41DCA" w:rsidRDefault="000C73C6">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ITODs travel to various schools to work with DHH students, and sometimes a DHH student is the only one in their grade or school. One teacher in this study provided writing instruction to a deaf multilingual middle school student who was the only deaf student at her school. During one-on-one instruction, the ITOD would periodically switch to a peer role, serving as a supportive partner in idea generation and revision. The teacher also thought it was important to facilitate peer communication asynchronously after students published their writing.  She paired the isolated DHH student with a small group from a different school to serve as readers for each other, providing authentic feedback. There have been positive effects reported for asynchronous peer feedback with non-native English speakers in the college setting, such as increased length of text and clarifying their writing (</w:t>
      </w:r>
      <w:proofErr w:type="spellStart"/>
      <w:r>
        <w:rPr>
          <w:rFonts w:ascii="Times New Roman" w:eastAsia="Times New Roman" w:hAnsi="Times New Roman" w:cs="Times New Roman"/>
          <w:sz w:val="24"/>
          <w:szCs w:val="24"/>
        </w:rPr>
        <w:t>Lumabi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Tabajen</w:t>
      </w:r>
      <w:proofErr w:type="spellEnd"/>
      <w:r>
        <w:rPr>
          <w:rFonts w:ascii="Times New Roman" w:eastAsia="Times New Roman" w:hAnsi="Times New Roman" w:cs="Times New Roman"/>
          <w:sz w:val="24"/>
          <w:szCs w:val="24"/>
        </w:rPr>
        <w:t xml:space="preserve">, 2021; Shang, 2017). It is worth exploring the potential benefits of asynchronous feedback in the K-12 setting, especially given the commonplace of isolated </w:t>
      </w:r>
      <w:proofErr w:type="gramStart"/>
      <w:r>
        <w:rPr>
          <w:rFonts w:ascii="Times New Roman" w:eastAsia="Times New Roman" w:hAnsi="Times New Roman" w:cs="Times New Roman"/>
          <w:sz w:val="24"/>
          <w:szCs w:val="24"/>
        </w:rPr>
        <w:t>mainstreamed</w:t>
      </w:r>
      <w:proofErr w:type="gramEnd"/>
      <w:r>
        <w:rPr>
          <w:rFonts w:ascii="Times New Roman" w:eastAsia="Times New Roman" w:hAnsi="Times New Roman" w:cs="Times New Roman"/>
          <w:sz w:val="24"/>
          <w:szCs w:val="24"/>
        </w:rPr>
        <w:t xml:space="preserve"> DHH students.</w:t>
      </w:r>
    </w:p>
    <w:p w14:paraId="3757F5C7"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effective deaf education practices were evident in this study: an assets-based approach (Cannon, Guardino, &amp; Paul, 2022; </w:t>
      </w:r>
      <w:proofErr w:type="spellStart"/>
      <w:r>
        <w:rPr>
          <w:rFonts w:ascii="Times New Roman" w:eastAsia="Times New Roman" w:hAnsi="Times New Roman" w:cs="Times New Roman"/>
          <w:sz w:val="24"/>
          <w:szCs w:val="24"/>
        </w:rPr>
        <w:t>Marchark</w:t>
      </w:r>
      <w:proofErr w:type="spellEnd"/>
      <w:r>
        <w:rPr>
          <w:rFonts w:ascii="Times New Roman" w:eastAsia="Times New Roman" w:hAnsi="Times New Roman" w:cs="Times New Roman"/>
          <w:sz w:val="24"/>
          <w:szCs w:val="24"/>
        </w:rPr>
        <w:t xml:space="preserve"> et al., 2013) and cognitive load reduction (</w:t>
      </w:r>
      <w:proofErr w:type="spellStart"/>
      <w:r>
        <w:rPr>
          <w:rFonts w:ascii="Times New Roman" w:eastAsia="Times New Roman" w:hAnsi="Times New Roman" w:cs="Times New Roman"/>
          <w:sz w:val="24"/>
          <w:szCs w:val="24"/>
        </w:rPr>
        <w:t>Knoors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Marchark</w:t>
      </w:r>
      <w:proofErr w:type="spellEnd"/>
      <w:r>
        <w:rPr>
          <w:rFonts w:ascii="Times New Roman" w:eastAsia="Times New Roman" w:hAnsi="Times New Roman" w:cs="Times New Roman"/>
          <w:sz w:val="24"/>
          <w:szCs w:val="24"/>
        </w:rPr>
        <w:t xml:space="preserve">, 2020). SIWI teachers adopt an assets-based approach to writing instruction by starting with the strengths students are demonstrating in their independent writing and expanding from there. The ITODs in this study also discussed ways they instinctually reduced their student’s cognitive load so that they could engage more meaningfully in writing. In their white paper, Kaufer and Ishizaki (2025) recommend seven principles to address writing problems, with the number one principle being, “cognitive load reduction enhances writer engagement” (p.14). These two tools, an asset-based approach and off-loading cognitive responsibilities, were important strategies of ITODs using SIWI in this study. This assets-based approach is in alignment with translanguaging practices, whereby students’ whole linguistic </w:t>
      </w:r>
      <w:proofErr w:type="gramStart"/>
      <w:r>
        <w:rPr>
          <w:rFonts w:ascii="Times New Roman" w:eastAsia="Times New Roman" w:hAnsi="Times New Roman" w:cs="Times New Roman"/>
          <w:sz w:val="24"/>
          <w:szCs w:val="24"/>
        </w:rPr>
        <w:lastRenderedPageBreak/>
        <w:t>repertoires</w:t>
      </w:r>
      <w:proofErr w:type="gramEnd"/>
      <w:r>
        <w:rPr>
          <w:rFonts w:ascii="Times New Roman" w:eastAsia="Times New Roman" w:hAnsi="Times New Roman" w:cs="Times New Roman"/>
          <w:sz w:val="24"/>
          <w:szCs w:val="24"/>
        </w:rPr>
        <w:t xml:space="preserve"> are valued (Holcomb, 2023; Wolbers et al., 2023b). Such practices–cognitive load reduction, assets-based approach, and translanguaging practices– provide a responsive approach to writing instruction for deaf multilingual students.</w:t>
      </w:r>
    </w:p>
    <w:p w14:paraId="447C95AE"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Limitations &amp; Future Directions</w:t>
      </w:r>
    </w:p>
    <w:p w14:paraId="7A870B80"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case study provides the first focused exploration of three ITODs’ use of Strategic and Interactive Writing Instruction (SIWI). The small number of participants is a limitation of this study, and future studies should continue to expand on this work. </w:t>
      </w:r>
    </w:p>
    <w:p w14:paraId="29D11ECB"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collected in two phases for this study in connection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the teachers’ participation in two separate and sequenced grant projects. Thus, additional interviewing with the first two participants was not possible after adding eight new codes during the analysis of the third participant’s data. Future research with a larger group of ITODs should be conducted to reach saturation in the data. </w:t>
      </w:r>
    </w:p>
    <w:p w14:paraId="56971DCC" w14:textId="77777777" w:rsidR="00A41DCA" w:rsidRDefault="000C73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future direction involves the development and testing of instructional materials for ITOD contexts, such as scaffold binders and videos to share with general education teachers, as suggested by the teachers in this study. Lastly, the data also indicated the need for development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teaching SIWI with deaf multilingual learners in the itinerant setting, </w:t>
      </w:r>
      <w:proofErr w:type="gramStart"/>
      <w:r>
        <w:rPr>
          <w:rFonts w:ascii="Times New Roman" w:eastAsia="Times New Roman" w:hAnsi="Times New Roman" w:cs="Times New Roman"/>
          <w:sz w:val="24"/>
          <w:szCs w:val="24"/>
        </w:rPr>
        <w:t>as well as,</w:t>
      </w:r>
      <w:proofErr w:type="gramEnd"/>
      <w:r>
        <w:rPr>
          <w:rFonts w:ascii="Times New Roman" w:eastAsia="Times New Roman" w:hAnsi="Times New Roman" w:cs="Times New Roman"/>
          <w:sz w:val="24"/>
          <w:szCs w:val="24"/>
        </w:rPr>
        <w:t xml:space="preserve"> other educational contexts. This aligns with the existing literature reporting the need for more practices that consider the needs of deaf multilingual learners (Cannon, Guardino, &amp; Paul, 2022; Cannon &amp; Luckner, 2016).</w:t>
      </w:r>
    </w:p>
    <w:p w14:paraId="7E5F02F5" w14:textId="77777777" w:rsidR="00A41DCA" w:rsidRDefault="000C73C6">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1E0167C5"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Many DHH students in public schools are served by ITODs who report that their primary areas of instruction are language, reading, and writing (Antia &amp; Rivera, 2016), for which they need support in teaching (Luckner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2013). This study highlights promising </w:t>
      </w:r>
      <w:r>
        <w:rPr>
          <w:rFonts w:ascii="Times New Roman" w:eastAsia="Times New Roman" w:hAnsi="Times New Roman" w:cs="Times New Roman"/>
          <w:sz w:val="24"/>
          <w:szCs w:val="24"/>
        </w:rPr>
        <w:lastRenderedPageBreak/>
        <w:t xml:space="preserve">observations and self-reports from three ITODs, demonstrating that </w:t>
      </w:r>
      <w:proofErr w:type="gramStart"/>
      <w:r>
        <w:rPr>
          <w:rFonts w:ascii="Times New Roman" w:eastAsia="Times New Roman" w:hAnsi="Times New Roman" w:cs="Times New Roman"/>
          <w:sz w:val="24"/>
          <w:szCs w:val="24"/>
        </w:rPr>
        <w:t>the vast majority of</w:t>
      </w:r>
      <w:proofErr w:type="gramEnd"/>
      <w:r>
        <w:rPr>
          <w:rFonts w:ascii="Times New Roman" w:eastAsia="Times New Roman" w:hAnsi="Times New Roman" w:cs="Times New Roman"/>
          <w:sz w:val="24"/>
          <w:szCs w:val="24"/>
        </w:rPr>
        <w:t xml:space="preserve"> instructional principles learned through the SIWI professional development program can be effectively applied in itinerant teaching settings. The teachers reported benefits of implementing SIWI, planned to continue using SIWI in their teaching contexts, and provided encouragement for other ITODs to pursue SIWI training. Even so, ITODs still widely experience challenges with obtaining support for and accessing professional development programs that are helpful to their specific teaching contexts. This ongoing challenge requires educational leaders to seek, develop, and/or provide professional development that is responsive to the real-world needs of ITODs.</w:t>
      </w:r>
      <w:r>
        <w:br w:type="page"/>
      </w:r>
    </w:p>
    <w:p w14:paraId="36F6A04C" w14:textId="77777777" w:rsidR="00A41DCA" w:rsidRDefault="000C73C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References</w:t>
      </w:r>
    </w:p>
    <w:p w14:paraId="2E705223"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Amalia, H., Abdullah, F., &amp; Fatimah, A.S. (2021). Teaching writing to junior high school students: A focus on challenges and solutions. </w:t>
      </w:r>
      <w:r>
        <w:rPr>
          <w:rFonts w:ascii="Times New Roman" w:eastAsia="Times New Roman" w:hAnsi="Times New Roman" w:cs="Times New Roman"/>
          <w:i/>
          <w:iCs/>
          <w:sz w:val="24"/>
          <w:szCs w:val="24"/>
        </w:rPr>
        <w:t>Journal of Language and Linguistic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w:t>
      </w:r>
      <w:r>
        <w:rPr>
          <w:rFonts w:ascii="Times New Roman" w:eastAsia="Times New Roman" w:hAnsi="Times New Roman" w:cs="Times New Roman"/>
          <w:sz w:val="24"/>
          <w:szCs w:val="24"/>
        </w:rPr>
        <w:t xml:space="preserve">(Special Issue 2), 794-810. </w:t>
      </w:r>
      <w:r>
        <w:rPr>
          <w:rFonts w:ascii="Times New Roman" w:eastAsia="Times New Roman" w:hAnsi="Times New Roman" w:cs="Times New Roman"/>
          <w:sz w:val="24"/>
          <w:szCs w:val="24"/>
          <w:u w:val="single"/>
        </w:rPr>
        <w:t>https://doi/10.3316/informit.140747797320761</w:t>
      </w:r>
    </w:p>
    <w:p w14:paraId="260BC9FB"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Antia, S. D., &amp; Rivera, M. C. (2016). Instruction and service time decisions: Itinerant services to deaf and hard-of-hearing students. </w:t>
      </w:r>
      <w:r>
        <w:rPr>
          <w:rFonts w:ascii="Times New Roman" w:eastAsia="Times New Roman" w:hAnsi="Times New Roman" w:cs="Times New Roman"/>
          <w:i/>
          <w:iCs/>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21</w:t>
      </w:r>
      <w:r>
        <w:rPr>
          <w:rFonts w:ascii="Times New Roman" w:eastAsia="Times New Roman" w:hAnsi="Times New Roman" w:cs="Times New Roman"/>
          <w:sz w:val="24"/>
          <w:szCs w:val="24"/>
        </w:rPr>
        <w:t xml:space="preserve">(3), 293-302. </w:t>
      </w:r>
      <w:hyperlink r:id="rId12">
        <w:r w:rsidR="00A41DCA">
          <w:rPr>
            <w:rFonts w:ascii="Times New Roman" w:eastAsia="Times New Roman" w:hAnsi="Times New Roman" w:cs="Times New Roman"/>
            <w:sz w:val="24"/>
            <w:szCs w:val="24"/>
            <w:u w:val="single"/>
          </w:rPr>
          <w:t>https://doi.org/10.1093/deafed/enw032</w:t>
        </w:r>
      </w:hyperlink>
    </w:p>
    <w:p w14:paraId="2D505DAE"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Brindle, M., Graham, S., Harris, K., &amp; Hebert, M. (2016). Third and fourth grade teacher’s classroom practices in writing: A national survey. </w:t>
      </w:r>
      <w:r>
        <w:rPr>
          <w:rFonts w:ascii="Times New Roman" w:eastAsia="Times New Roman" w:hAnsi="Times New Roman" w:cs="Times New Roman"/>
          <w:i/>
          <w:iCs/>
          <w:sz w:val="24"/>
          <w:szCs w:val="24"/>
        </w:rPr>
        <w:t>Reading and Writing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29</w:t>
      </w:r>
      <w:r>
        <w:rPr>
          <w:rFonts w:ascii="Times New Roman" w:eastAsia="Times New Roman" w:hAnsi="Times New Roman" w:cs="Times New Roman"/>
          <w:sz w:val="24"/>
          <w:szCs w:val="24"/>
        </w:rPr>
        <w:t xml:space="preserve">, 929-954. </w:t>
      </w:r>
      <w:r>
        <w:rPr>
          <w:rFonts w:ascii="Times New Roman" w:eastAsia="Times New Roman" w:hAnsi="Times New Roman" w:cs="Times New Roman"/>
          <w:sz w:val="24"/>
          <w:szCs w:val="24"/>
          <w:u w:val="single"/>
        </w:rPr>
        <w:t xml:space="preserve">https://doi.org/10.1007/s11145-015-9604-x </w:t>
      </w:r>
    </w:p>
    <w:p w14:paraId="7F26983A"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Cannon, J. E., &amp; Luckner, J. L. (2016). Increasing cultural and linguistic diversity in deaf education teacher preparation programs.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161</w:t>
      </w:r>
      <w:r>
        <w:rPr>
          <w:rFonts w:ascii="Times New Roman" w:eastAsia="Times New Roman" w:hAnsi="Times New Roman" w:cs="Times New Roman"/>
          <w:sz w:val="24"/>
          <w:szCs w:val="24"/>
        </w:rPr>
        <w:t xml:space="preserve">(1), 89–103. </w:t>
      </w:r>
      <w:r>
        <w:rPr>
          <w:rFonts w:ascii="Times New Roman" w:eastAsia="Times New Roman" w:hAnsi="Times New Roman" w:cs="Times New Roman"/>
          <w:sz w:val="24"/>
          <w:szCs w:val="24"/>
          <w:u w:val="single"/>
        </w:rPr>
        <w:t>https://doi.org/10.1353/aad.2016.0014</w:t>
      </w:r>
    </w:p>
    <w:p w14:paraId="06AAD5DF"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Cannon, J., Guardino, C., &amp; Paul, P. (Eds.). (2022). </w:t>
      </w:r>
      <w:r>
        <w:rPr>
          <w:rFonts w:ascii="Times New Roman" w:eastAsia="Times New Roman" w:hAnsi="Times New Roman" w:cs="Times New Roman"/>
          <w:i/>
          <w:iCs/>
          <w:sz w:val="24"/>
          <w:szCs w:val="24"/>
        </w:rPr>
        <w:t>Deaf and hard of hearing multilingual learners: Foundations, strategies, and resources</w:t>
      </w:r>
      <w:r>
        <w:rPr>
          <w:rFonts w:ascii="Times New Roman" w:eastAsia="Times New Roman" w:hAnsi="Times New Roman" w:cs="Times New Roman"/>
          <w:sz w:val="24"/>
          <w:szCs w:val="24"/>
        </w:rPr>
        <w:t>. Routledge.</w:t>
      </w:r>
    </w:p>
    <w:p w14:paraId="62DB7598"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Compton, M. V., Appenzeller, M., </w:t>
      </w:r>
      <w:proofErr w:type="spellStart"/>
      <w:r>
        <w:rPr>
          <w:rFonts w:ascii="Times New Roman" w:eastAsia="Times New Roman" w:hAnsi="Times New Roman" w:cs="Times New Roman"/>
          <w:sz w:val="24"/>
          <w:szCs w:val="24"/>
        </w:rPr>
        <w:t>Kemmery</w:t>
      </w:r>
      <w:proofErr w:type="spellEnd"/>
      <w:r>
        <w:rPr>
          <w:rFonts w:ascii="Times New Roman" w:eastAsia="Times New Roman" w:hAnsi="Times New Roman" w:cs="Times New Roman"/>
          <w:sz w:val="24"/>
          <w:szCs w:val="24"/>
        </w:rPr>
        <w:t xml:space="preserve">, M., &amp; Gardiner-Walsh, S. (2015). Itinerant teachers’ perspectives of using collaborative practices in serving students who are deaf or hard of hearing.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160(3), 255-272. </w:t>
      </w:r>
      <w:hyperlink r:id="rId13">
        <w:r w:rsidR="00A41DCA">
          <w:rPr>
            <w:rFonts w:ascii="Times New Roman" w:eastAsia="Times New Roman" w:hAnsi="Times New Roman" w:cs="Times New Roman"/>
            <w:sz w:val="24"/>
            <w:szCs w:val="24"/>
            <w:u w:val="single"/>
          </w:rPr>
          <w:t>https://doi.org/10.1353/aad.2015.0023</w:t>
        </w:r>
      </w:hyperlink>
    </w:p>
    <w:p w14:paraId="183B4128"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Conley, D. T. (2007). </w:t>
      </w:r>
      <w:r>
        <w:rPr>
          <w:rFonts w:ascii="Times New Roman" w:eastAsia="Times New Roman" w:hAnsi="Times New Roman" w:cs="Times New Roman"/>
          <w:i/>
          <w:iCs/>
          <w:sz w:val="24"/>
          <w:szCs w:val="24"/>
        </w:rPr>
        <w:t>Redefining college readiness</w:t>
      </w:r>
      <w:r>
        <w:rPr>
          <w:rFonts w:ascii="Times New Roman" w:eastAsia="Times New Roman" w:hAnsi="Times New Roman" w:cs="Times New Roman"/>
          <w:sz w:val="24"/>
          <w:szCs w:val="24"/>
        </w:rPr>
        <w:t>. Educational Policy Improvement Center.</w:t>
      </w:r>
    </w:p>
    <w:p w14:paraId="343F5574"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Cunningham, B., (2019). </w:t>
      </w:r>
      <w:r>
        <w:rPr>
          <w:rFonts w:ascii="Times New Roman" w:eastAsia="Times New Roman" w:hAnsi="Times New Roman" w:cs="Times New Roman"/>
          <w:i/>
          <w:iCs/>
          <w:sz w:val="24"/>
          <w:szCs w:val="24"/>
        </w:rPr>
        <w:t>Examining the Relationship Between Teacher Preparation Program Quality and Beginning Teacher Retention</w:t>
      </w:r>
      <w:r>
        <w:rPr>
          <w:rFonts w:ascii="Times New Roman" w:eastAsia="Times New Roman" w:hAnsi="Times New Roman" w:cs="Times New Roman"/>
          <w:sz w:val="24"/>
          <w:szCs w:val="24"/>
        </w:rPr>
        <w:t xml:space="preserve">. (Doctoral dissertation, Georgia State University). </w:t>
      </w:r>
      <w:hyperlink r:id="rId14">
        <w:r w:rsidR="00A41DCA">
          <w:rPr>
            <w:rFonts w:ascii="Times New Roman" w:eastAsia="Times New Roman" w:hAnsi="Times New Roman" w:cs="Times New Roman"/>
            <w:sz w:val="24"/>
            <w:szCs w:val="24"/>
            <w:u w:val="single"/>
          </w:rPr>
          <w:t>https://doi.org/10.57709/14422382</w:t>
        </w:r>
      </w:hyperlink>
    </w:p>
    <w:p w14:paraId="7CBE0646"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Dorn, B. L., (2019). </w:t>
      </w:r>
      <w:r>
        <w:rPr>
          <w:rFonts w:ascii="Times New Roman" w:eastAsia="Times New Roman" w:hAnsi="Times New Roman" w:cs="Times New Roman"/>
          <w:i/>
          <w:iCs/>
          <w:sz w:val="24"/>
          <w:szCs w:val="24"/>
        </w:rPr>
        <w:t>Exploring Successful Partnerships Between Teachers of Students Who Are Deaf or Hard of Hearing and General Education Classroom Teachers</w:t>
      </w:r>
      <w:r>
        <w:rPr>
          <w:rFonts w:ascii="Times New Roman" w:eastAsia="Times New Roman" w:hAnsi="Times New Roman" w:cs="Times New Roman"/>
          <w:sz w:val="24"/>
          <w:szCs w:val="24"/>
        </w:rPr>
        <w:t xml:space="preserve">. (Doctoral dissertations, University of Northern Colorado). </w:t>
      </w:r>
      <w:hyperlink r:id="rId15">
        <w:r w:rsidR="00A41DCA">
          <w:rPr>
            <w:rFonts w:ascii="Times New Roman" w:eastAsia="Times New Roman" w:hAnsi="Times New Roman" w:cs="Times New Roman"/>
            <w:sz w:val="24"/>
            <w:szCs w:val="24"/>
            <w:u w:val="single"/>
          </w:rPr>
          <w:t>https://digscholarship.unco.edu/dissertations/567</w:t>
        </w:r>
      </w:hyperlink>
    </w:p>
    <w:p w14:paraId="2103A20B"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Bowers, L., Wolbers, K., &amp; Gabriel, R. (2015). “We are authors”: A qualitative analysis of deaf students writing during one year of Strategic and Interactive Writing (SIWI). </w:t>
      </w:r>
      <w:r>
        <w:rPr>
          <w:rFonts w:ascii="Times New Roman" w:eastAsia="Times New Roman" w:hAnsi="Times New Roman" w:cs="Times New Roman"/>
          <w:i/>
          <w:iCs/>
          <w:sz w:val="24"/>
          <w:szCs w:val="24"/>
        </w:rPr>
        <w:t>The Review of Disability Studies: An international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11</w:t>
      </w:r>
      <w:r>
        <w:rPr>
          <w:rFonts w:ascii="Times New Roman" w:eastAsia="Times New Roman" w:hAnsi="Times New Roman" w:cs="Times New Roman"/>
          <w:sz w:val="24"/>
          <w:szCs w:val="24"/>
        </w:rPr>
        <w:t>(2), 1-19.</w:t>
      </w:r>
    </w:p>
    <w:p w14:paraId="236C4827"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Wolbers, K. &amp; Kilpatrick, J. (2019). The Language Zone: Differentiating writing instruction for students who are deaf and hard of hearing. </w:t>
      </w:r>
      <w:r>
        <w:rPr>
          <w:rFonts w:ascii="Times New Roman" w:eastAsia="Times New Roman" w:hAnsi="Times New Roman" w:cs="Times New Roman"/>
          <w:i/>
          <w:iCs/>
          <w:sz w:val="24"/>
          <w:szCs w:val="24"/>
        </w:rPr>
        <w:t>Writing &amp; Pedagogy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11</w:t>
      </w:r>
      <w:r>
        <w:rPr>
          <w:rFonts w:ascii="Times New Roman" w:eastAsia="Times New Roman" w:hAnsi="Times New Roman" w:cs="Times New Roman"/>
          <w:sz w:val="24"/>
          <w:szCs w:val="24"/>
        </w:rPr>
        <w:t xml:space="preserve">(1). </w:t>
      </w:r>
      <w:hyperlink r:id="rId16">
        <w:r w:rsidR="00A41DCA">
          <w:rPr>
            <w:rFonts w:ascii="Times New Roman" w:eastAsia="Times New Roman" w:hAnsi="Times New Roman" w:cs="Times New Roman"/>
            <w:color w:val="000000"/>
            <w:sz w:val="24"/>
            <w:szCs w:val="24"/>
            <w:u w:val="single"/>
          </w:rPr>
          <w:t>http://dx.doi.org/10.1558/wap.30045</w:t>
        </w:r>
      </w:hyperlink>
    </w:p>
    <w:p w14:paraId="0C18D6F0"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Wolbers, K., Ward, S., &amp; Saulsburry, R., (2021a). A national survey of teachers of the deaf on disciplinary writing. </w:t>
      </w:r>
      <w:r>
        <w:rPr>
          <w:rFonts w:ascii="Times New Roman" w:eastAsia="Times New Roman" w:hAnsi="Times New Roman" w:cs="Times New Roman"/>
          <w:i/>
          <w:iCs/>
          <w:sz w:val="24"/>
          <w:szCs w:val="24"/>
        </w:rPr>
        <w:t>Exceptionality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29</w:t>
      </w:r>
      <w:r>
        <w:rPr>
          <w:rFonts w:ascii="Times New Roman" w:eastAsia="Times New Roman" w:hAnsi="Times New Roman" w:cs="Times New Roman"/>
          <w:sz w:val="24"/>
          <w:szCs w:val="24"/>
        </w:rPr>
        <w:t xml:space="preserve">(2), 95-113. </w:t>
      </w:r>
      <w:r>
        <w:rPr>
          <w:rFonts w:ascii="Times New Roman" w:eastAsia="Times New Roman" w:hAnsi="Times New Roman" w:cs="Times New Roman"/>
          <w:sz w:val="24"/>
          <w:szCs w:val="24"/>
          <w:u w:val="single"/>
        </w:rPr>
        <w:t>https://doi:1</w:t>
      </w:r>
      <w:hyperlink r:id="rId17">
        <w:r w:rsidR="00A41DCA">
          <w:rPr>
            <w:rFonts w:ascii="Times New Roman" w:eastAsia="Times New Roman" w:hAnsi="Times New Roman" w:cs="Times New Roman"/>
            <w:color w:val="000000"/>
            <w:sz w:val="24"/>
            <w:szCs w:val="24"/>
            <w:u w:val="single"/>
          </w:rPr>
          <w:t>0.1080/09362835.2018.1480952</w:t>
        </w:r>
      </w:hyperlink>
    </w:p>
    <w:p w14:paraId="2FFA75B4"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Wolbers, K. &amp; Weir, J. (2021b). Transfer of writing skills across genres, International </w:t>
      </w:r>
      <w:r>
        <w:rPr>
          <w:rFonts w:ascii="Times New Roman" w:eastAsia="Times New Roman" w:hAnsi="Times New Roman" w:cs="Times New Roman"/>
          <w:i/>
          <w:iCs/>
          <w:sz w:val="24"/>
          <w:szCs w:val="24"/>
        </w:rPr>
        <w:t>Journal of Educational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109</w:t>
      </w:r>
      <w:r>
        <w:rPr>
          <w:rFonts w:ascii="Times New Roman" w:eastAsia="Times New Roman" w:hAnsi="Times New Roman" w:cs="Times New Roman"/>
          <w:sz w:val="24"/>
          <w:szCs w:val="24"/>
        </w:rPr>
        <w:t xml:space="preserve">(2021), 1-15. </w:t>
      </w:r>
      <w:hyperlink r:id="rId18">
        <w:r w:rsidR="00A41DCA">
          <w:rPr>
            <w:rFonts w:ascii="Times New Roman" w:eastAsia="Times New Roman" w:hAnsi="Times New Roman" w:cs="Times New Roman"/>
            <w:color w:val="000000"/>
            <w:sz w:val="24"/>
            <w:szCs w:val="24"/>
            <w:u w:val="single"/>
          </w:rPr>
          <w:t>https://doi.org/10.1016/j.ijer.2021.101849</w:t>
        </w:r>
      </w:hyperlink>
      <w:r>
        <w:rPr>
          <w:rFonts w:ascii="Times New Roman" w:eastAsia="Times New Roman" w:hAnsi="Times New Roman" w:cs="Times New Roman"/>
          <w:sz w:val="24"/>
          <w:szCs w:val="24"/>
        </w:rPr>
        <w:t xml:space="preserve"> </w:t>
      </w:r>
    </w:p>
    <w:p w14:paraId="36823CEE"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Ekholm, E., Zumbrunn, S., &amp; DeBusk-Lane, M. (2018). Clarifying an elusive construct: A systematic review of writing attitudes. </w:t>
      </w:r>
      <w:r>
        <w:rPr>
          <w:rFonts w:ascii="Times New Roman" w:eastAsia="Times New Roman" w:hAnsi="Times New Roman" w:cs="Times New Roman"/>
          <w:i/>
          <w:iCs/>
          <w:sz w:val="24"/>
          <w:szCs w:val="24"/>
        </w:rPr>
        <w:t>Educational Psychology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30</w:t>
      </w:r>
      <w:r>
        <w:rPr>
          <w:rFonts w:ascii="Times New Roman" w:eastAsia="Times New Roman" w:hAnsi="Times New Roman" w:cs="Times New Roman"/>
          <w:sz w:val="24"/>
          <w:szCs w:val="24"/>
        </w:rPr>
        <w:t xml:space="preserve">, 827–856. </w:t>
      </w:r>
      <w:hyperlink r:id="rId19">
        <w:r w:rsidR="00A41DCA">
          <w:rPr>
            <w:rFonts w:ascii="Times New Roman" w:eastAsia="Times New Roman" w:hAnsi="Times New Roman" w:cs="Times New Roman"/>
            <w:sz w:val="24"/>
            <w:szCs w:val="24"/>
            <w:u w:val="single"/>
          </w:rPr>
          <w:t>https://doi.org/</w:t>
        </w:r>
      </w:hyperlink>
      <w:hyperlink r:id="rId20">
        <w:r w:rsidR="00A41DCA">
          <w:rPr>
            <w:rFonts w:ascii="Times New Roman" w:eastAsia="Times New Roman" w:hAnsi="Times New Roman" w:cs="Times New Roman"/>
            <w:sz w:val="24"/>
            <w:szCs w:val="24"/>
            <w:u w:val="single"/>
          </w:rPr>
          <w:t>10.1007/s10648-017-9423-5</w:t>
        </w:r>
      </w:hyperlink>
    </w:p>
    <w:p w14:paraId="3D683554"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Englert, C. S., &amp; Dunsmore, K. (2002). A Diversity of teaching and learning paths: Teaching writing in situated activity. In J. Brophy (Ed.), </w:t>
      </w:r>
      <w:r>
        <w:rPr>
          <w:rFonts w:ascii="Times New Roman" w:eastAsia="Times New Roman" w:hAnsi="Times New Roman" w:cs="Times New Roman"/>
          <w:i/>
          <w:iCs/>
          <w:sz w:val="24"/>
          <w:szCs w:val="24"/>
        </w:rPr>
        <w:t>Social constructivist teaching: Affordances and constraints</w:t>
      </w:r>
      <w:r>
        <w:rPr>
          <w:rFonts w:ascii="Times New Roman" w:eastAsia="Times New Roman" w:hAnsi="Times New Roman" w:cs="Times New Roman"/>
          <w:sz w:val="24"/>
          <w:szCs w:val="24"/>
        </w:rPr>
        <w:t>. Boston: JAI.</w:t>
      </w:r>
    </w:p>
    <w:p w14:paraId="61D29A33"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Foster, S., &amp; Cue, K. (2009). Roles and responsibilities of itinerant specialist teachers of deaf and hard of hearing students.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153</w:t>
      </w:r>
      <w:r>
        <w:rPr>
          <w:rFonts w:ascii="Times New Roman" w:eastAsia="Times New Roman" w:hAnsi="Times New Roman" w:cs="Times New Roman"/>
          <w:sz w:val="24"/>
          <w:szCs w:val="24"/>
        </w:rPr>
        <w:t xml:space="preserve">(5), 435-449. </w:t>
      </w:r>
      <w:hyperlink r:id="rId21">
        <w:r w:rsidR="00A41DCA">
          <w:rPr>
            <w:rFonts w:ascii="Times New Roman" w:eastAsia="Times New Roman" w:hAnsi="Times New Roman" w:cs="Times New Roman"/>
            <w:sz w:val="24"/>
            <w:szCs w:val="24"/>
            <w:u w:val="single"/>
          </w:rPr>
          <w:t>https://doi.org/</w:t>
        </w:r>
      </w:hyperlink>
      <w:hyperlink r:id="rId22">
        <w:r w:rsidR="00A41DCA">
          <w:rPr>
            <w:rFonts w:ascii="Times New Roman" w:eastAsia="Times New Roman" w:hAnsi="Times New Roman" w:cs="Times New Roman"/>
            <w:sz w:val="24"/>
            <w:szCs w:val="24"/>
            <w:u w:val="single"/>
          </w:rPr>
          <w:t>10.1353/aad.0.0068</w:t>
        </w:r>
      </w:hyperlink>
    </w:p>
    <w:p w14:paraId="677289B1"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Gabriel, R., &amp; Dostal, H. (2015). Interactive writing in the disciplines: A common core approach to disciplinary writing in middle and high school. </w:t>
      </w:r>
      <w:r>
        <w:rPr>
          <w:rFonts w:ascii="Times New Roman" w:eastAsia="Times New Roman" w:hAnsi="Times New Roman" w:cs="Times New Roman"/>
          <w:i/>
          <w:iCs/>
          <w:sz w:val="24"/>
          <w:szCs w:val="24"/>
        </w:rPr>
        <w:t>The Clearing House: A Journal of Educational Strategies, Issues and Ideas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88</w:t>
      </w:r>
      <w:r>
        <w:rPr>
          <w:rFonts w:ascii="Times New Roman" w:eastAsia="Times New Roman" w:hAnsi="Times New Roman" w:cs="Times New Roman"/>
          <w:sz w:val="24"/>
          <w:szCs w:val="24"/>
        </w:rPr>
        <w:t xml:space="preserve">(2), 66-71. </w:t>
      </w:r>
      <w:hyperlink r:id="rId23">
        <w:r w:rsidR="00A41DCA">
          <w:rPr>
            <w:rFonts w:ascii="Times New Roman" w:eastAsia="Times New Roman" w:hAnsi="Times New Roman" w:cs="Times New Roman"/>
            <w:sz w:val="24"/>
            <w:szCs w:val="24"/>
            <w:u w:val="single"/>
          </w:rPr>
          <w:t>https://doi.org/10.1080/00098655.2015.1005036</w:t>
        </w:r>
      </w:hyperlink>
    </w:p>
    <w:p w14:paraId="30192C1C"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Gillespie, A., Graham, S., </w:t>
      </w:r>
      <w:proofErr w:type="spellStart"/>
      <w:r>
        <w:rPr>
          <w:rFonts w:ascii="Times New Roman" w:eastAsia="Times New Roman" w:hAnsi="Times New Roman" w:cs="Times New Roman"/>
          <w:sz w:val="24"/>
          <w:szCs w:val="24"/>
        </w:rPr>
        <w:t>Kiuhara</w:t>
      </w:r>
      <w:proofErr w:type="spellEnd"/>
      <w:r>
        <w:rPr>
          <w:rFonts w:ascii="Times New Roman" w:eastAsia="Times New Roman" w:hAnsi="Times New Roman" w:cs="Times New Roman"/>
          <w:sz w:val="24"/>
          <w:szCs w:val="24"/>
        </w:rPr>
        <w:t xml:space="preserve">, S., &amp; Hebert, M. (2013). High school teachers </w:t>
      </w:r>
      <w:proofErr w:type="gramStart"/>
      <w:r>
        <w:rPr>
          <w:rFonts w:ascii="Times New Roman" w:eastAsia="Times New Roman" w:hAnsi="Times New Roman" w:cs="Times New Roman"/>
          <w:sz w:val="24"/>
          <w:szCs w:val="24"/>
        </w:rPr>
        <w:t>use of</w:t>
      </w:r>
      <w:proofErr w:type="gramEnd"/>
      <w:r>
        <w:rPr>
          <w:rFonts w:ascii="Times New Roman" w:eastAsia="Times New Roman" w:hAnsi="Times New Roman" w:cs="Times New Roman"/>
          <w:sz w:val="24"/>
          <w:szCs w:val="24"/>
        </w:rPr>
        <w:t xml:space="preserve"> writing to support students’ learning: A national survey. </w:t>
      </w:r>
      <w:r>
        <w:rPr>
          <w:rFonts w:ascii="Times New Roman" w:eastAsia="Times New Roman" w:hAnsi="Times New Roman" w:cs="Times New Roman"/>
          <w:i/>
          <w:iCs/>
          <w:sz w:val="24"/>
          <w:szCs w:val="24"/>
        </w:rPr>
        <w:t>Reading and Writing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27</w:t>
      </w:r>
      <w:r>
        <w:rPr>
          <w:rFonts w:ascii="Times New Roman" w:eastAsia="Times New Roman" w:hAnsi="Times New Roman" w:cs="Times New Roman"/>
          <w:sz w:val="24"/>
          <w:szCs w:val="24"/>
        </w:rPr>
        <w:t xml:space="preserve">(6), 1043–1072. </w:t>
      </w:r>
      <w:hyperlink r:id="rId24">
        <w:r w:rsidR="00A41DCA">
          <w:rPr>
            <w:rFonts w:ascii="Times New Roman" w:eastAsia="Times New Roman" w:hAnsi="Times New Roman" w:cs="Times New Roman"/>
            <w:sz w:val="24"/>
            <w:szCs w:val="24"/>
            <w:u w:val="single"/>
          </w:rPr>
          <w:t>https://doi.org/10.1007/s11145-013-9494-8</w:t>
        </w:r>
      </w:hyperlink>
    </w:p>
    <w:p w14:paraId="50BDFBB9" w14:textId="77777777" w:rsidR="00A41DCA" w:rsidRDefault="000C73C6">
      <w:pPr>
        <w:spacing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Graham,</w:t>
      </w:r>
      <w:proofErr w:type="gramEnd"/>
      <w:r>
        <w:rPr>
          <w:rFonts w:ascii="Times New Roman" w:eastAsia="Times New Roman" w:hAnsi="Times New Roman" w:cs="Times New Roman"/>
          <w:sz w:val="24"/>
          <w:szCs w:val="24"/>
        </w:rPr>
        <w:t xml:space="preserve"> S. (2019). Changing how writing is taught. </w:t>
      </w:r>
      <w:r>
        <w:rPr>
          <w:rFonts w:ascii="Times New Roman" w:eastAsia="Times New Roman" w:hAnsi="Times New Roman" w:cs="Times New Roman"/>
          <w:i/>
          <w:iCs/>
          <w:sz w:val="24"/>
          <w:szCs w:val="24"/>
        </w:rPr>
        <w:t>Review of Research in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43</w:t>
      </w:r>
      <w:r>
        <w:rPr>
          <w:rFonts w:ascii="Times New Roman" w:eastAsia="Times New Roman" w:hAnsi="Times New Roman" w:cs="Times New Roman"/>
          <w:sz w:val="24"/>
          <w:szCs w:val="24"/>
        </w:rPr>
        <w:t xml:space="preserve">(1), 277–303. </w:t>
      </w:r>
      <w:hyperlink r:id="rId25">
        <w:r w:rsidR="00A41DCA">
          <w:rPr>
            <w:rFonts w:ascii="Times New Roman" w:eastAsia="Times New Roman" w:hAnsi="Times New Roman" w:cs="Times New Roman"/>
            <w:sz w:val="24"/>
            <w:szCs w:val="24"/>
            <w:u w:val="single"/>
          </w:rPr>
          <w:t>https://doi.org/10.3102/0091732X18821125</w:t>
        </w:r>
      </w:hyperlink>
    </w:p>
    <w:p w14:paraId="236EC1F9"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Graham, S., Capizzi, A., Harris, K. R., Herbert, M., &amp; Morphy, P. (2014). Teaching writing to middle school students: A national survey. </w:t>
      </w:r>
      <w:r>
        <w:rPr>
          <w:rFonts w:ascii="Times New Roman" w:eastAsia="Times New Roman" w:hAnsi="Times New Roman" w:cs="Times New Roman"/>
          <w:i/>
          <w:iCs/>
          <w:sz w:val="24"/>
          <w:szCs w:val="24"/>
        </w:rPr>
        <w:t>Reading and Writing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27</w:t>
      </w:r>
      <w:r>
        <w:rPr>
          <w:rFonts w:ascii="Times New Roman" w:eastAsia="Times New Roman" w:hAnsi="Times New Roman" w:cs="Times New Roman"/>
          <w:sz w:val="24"/>
          <w:szCs w:val="24"/>
        </w:rPr>
        <w:t xml:space="preserve">(6), 1015–1042. </w:t>
      </w:r>
      <w:hyperlink r:id="rId26">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10.1007/s11145-013-9495-7</w:t>
      </w:r>
    </w:p>
    <w:p w14:paraId="6B143829"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Gray, A. S. (2023). </w:t>
      </w:r>
      <w:r>
        <w:rPr>
          <w:rFonts w:ascii="Times New Roman" w:eastAsia="Times New Roman" w:hAnsi="Times New Roman" w:cs="Times New Roman"/>
          <w:i/>
          <w:iCs/>
          <w:sz w:val="24"/>
          <w:szCs w:val="24"/>
        </w:rPr>
        <w:t>Special Educators in the Itinerant Model: A Phenomenological Study of Factors Associated with Deaf and Hard of Hearing Teachers’ Job Satisfaction</w:t>
      </w:r>
      <w:r>
        <w:rPr>
          <w:rFonts w:ascii="Times New Roman" w:eastAsia="Times New Roman" w:hAnsi="Times New Roman" w:cs="Times New Roman"/>
          <w:sz w:val="24"/>
          <w:szCs w:val="24"/>
        </w:rPr>
        <w:t xml:space="preserve">. (Doctoral dissertation, University of California, San Diego). ProQuest Dissertations &amp; Theses Global. </w:t>
      </w:r>
    </w:p>
    <w:p w14:paraId="01BB5A69"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Guteng, S. I. (2005). Professional concerns of beginning teachers of deaf and hard of hearing students.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150</w:t>
      </w:r>
      <w:r>
        <w:rPr>
          <w:rFonts w:ascii="Times New Roman" w:eastAsia="Times New Roman" w:hAnsi="Times New Roman" w:cs="Times New Roman"/>
          <w:sz w:val="24"/>
          <w:szCs w:val="24"/>
        </w:rPr>
        <w:t xml:space="preserve">(1), 17-41. </w:t>
      </w:r>
      <w:hyperlink r:id="rId27">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10.1353/aad.2005.0018</w:t>
      </w:r>
    </w:p>
    <w:p w14:paraId="0B8815A3"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 xml:space="preserve">Holcomb, Leala. (2023). Writing Development and Translanguaging in Signing Bilingual Deaf Children of Deaf Parents. </w:t>
      </w:r>
      <w:r>
        <w:rPr>
          <w:rFonts w:ascii="Times New Roman" w:eastAsia="Times New Roman" w:hAnsi="Times New Roman" w:cs="Times New Roman"/>
          <w:i/>
          <w:iCs/>
          <w:sz w:val="24"/>
          <w:szCs w:val="24"/>
        </w:rPr>
        <w:t>Languages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w:t>
      </w:r>
      <w:r>
        <w:rPr>
          <w:rFonts w:ascii="Times New Roman" w:eastAsia="Times New Roman" w:hAnsi="Times New Roman" w:cs="Times New Roman"/>
          <w:sz w:val="24"/>
          <w:szCs w:val="24"/>
        </w:rPr>
        <w:t xml:space="preserve">(1), 37. </w:t>
      </w:r>
      <w:hyperlink r:id="rId28">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10.3390/languages8010037</w:t>
      </w:r>
    </w:p>
    <w:p w14:paraId="7EB2B720"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Humphries, T., &amp; MacDougall, F. (1999). “Chaining" and other links: Making connections between American Sign Language and English in Two Types of School Settings. </w:t>
      </w:r>
      <w:r>
        <w:rPr>
          <w:rFonts w:ascii="Times New Roman" w:eastAsia="Times New Roman" w:hAnsi="Times New Roman" w:cs="Times New Roman"/>
          <w:i/>
          <w:iCs/>
          <w:sz w:val="24"/>
          <w:szCs w:val="24"/>
        </w:rPr>
        <w:t>Visual Anthropology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15</w:t>
      </w:r>
      <w:r>
        <w:rPr>
          <w:rFonts w:ascii="Times New Roman" w:eastAsia="Times New Roman" w:hAnsi="Times New Roman" w:cs="Times New Roman"/>
          <w:sz w:val="24"/>
          <w:szCs w:val="24"/>
        </w:rPr>
        <w:t>(2), 84-94.</w:t>
      </w:r>
    </w:p>
    <w:p w14:paraId="29283E34"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Ingraham, C. L. (2017). Training and education of consultants: A global perspective. In C. </w:t>
      </w:r>
      <w:proofErr w:type="spellStart"/>
      <w:r>
        <w:rPr>
          <w:rFonts w:ascii="Times New Roman" w:eastAsia="Times New Roman" w:hAnsi="Times New Roman" w:cs="Times New Roman"/>
          <w:sz w:val="24"/>
          <w:szCs w:val="24"/>
        </w:rPr>
        <w:t>Hatzichristou</w:t>
      </w:r>
      <w:proofErr w:type="spellEnd"/>
      <w:r>
        <w:rPr>
          <w:rFonts w:ascii="Times New Roman" w:eastAsia="Times New Roman" w:hAnsi="Times New Roman" w:cs="Times New Roman"/>
          <w:sz w:val="24"/>
          <w:szCs w:val="24"/>
        </w:rPr>
        <w:t xml:space="preserve"> &amp; S. Rosenfield (Eds.), </w:t>
      </w:r>
      <w:r>
        <w:rPr>
          <w:rFonts w:ascii="Times New Roman" w:eastAsia="Times New Roman" w:hAnsi="Times New Roman" w:cs="Times New Roman"/>
          <w:i/>
          <w:iCs/>
          <w:sz w:val="24"/>
          <w:szCs w:val="24"/>
        </w:rPr>
        <w:t>The international handbook of consultation in educational settings</w:t>
      </w:r>
      <w:r>
        <w:rPr>
          <w:rFonts w:ascii="Times New Roman" w:eastAsia="Times New Roman" w:hAnsi="Times New Roman" w:cs="Times New Roman"/>
          <w:sz w:val="24"/>
          <w:szCs w:val="24"/>
        </w:rPr>
        <w:t xml:space="preserve">. (pp. 291-311). Routledge. </w:t>
      </w:r>
      <w:hyperlink r:id="rId29">
        <w:r w:rsidR="00A41DCA">
          <w:rPr>
            <w:rFonts w:ascii="Times New Roman" w:eastAsia="Times New Roman" w:hAnsi="Times New Roman" w:cs="Times New Roman"/>
            <w:sz w:val="24"/>
            <w:szCs w:val="24"/>
            <w:u w:val="single"/>
          </w:rPr>
          <w:t>https://doi.org/10.4324/9781315795188</w:t>
        </w:r>
      </w:hyperlink>
    </w:p>
    <w:p w14:paraId="07E717B4"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Kaufer, D., &amp; Ishizaki, S. (2025). Future of Writing &amp; Writing Instruction. White paper.</w:t>
      </w:r>
    </w:p>
    <w:p w14:paraId="4784FA74"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Kennon Ed D, J. L., &amp; Patterson MA, M. H. (2016). What I didn't know about teaching: Stressors and burnout among deaf education teachers. </w:t>
      </w:r>
      <w:r>
        <w:rPr>
          <w:rFonts w:ascii="Times New Roman" w:eastAsia="Times New Roman" w:hAnsi="Times New Roman" w:cs="Times New Roman"/>
          <w:i/>
          <w:iCs/>
          <w:sz w:val="24"/>
          <w:szCs w:val="24"/>
        </w:rPr>
        <w:t>Journal of Human Services: Training, Research, and Practice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w:t>
      </w:r>
      <w:r>
        <w:rPr>
          <w:rFonts w:ascii="Times New Roman" w:eastAsia="Times New Roman" w:hAnsi="Times New Roman" w:cs="Times New Roman"/>
          <w:sz w:val="24"/>
          <w:szCs w:val="24"/>
        </w:rPr>
        <w:t xml:space="preserve">(2), 2.  </w:t>
      </w:r>
      <w:r>
        <w:rPr>
          <w:rFonts w:ascii="Times New Roman" w:eastAsia="Times New Roman" w:hAnsi="Times New Roman" w:cs="Times New Roman"/>
          <w:sz w:val="24"/>
          <w:szCs w:val="24"/>
          <w:u w:val="single"/>
        </w:rPr>
        <w:t>https://scholarworks.sfasu.edu/jhstrp/vol1/iss2/2</w:t>
      </w:r>
    </w:p>
    <w:p w14:paraId="53891878" w14:textId="77777777" w:rsidR="00A41DCA" w:rsidRDefault="000C73C6">
      <w:pPr>
        <w:spacing w:line="480" w:lineRule="auto"/>
        <w:ind w:left="720" w:hanging="720"/>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t>Kiuhara</w:t>
      </w:r>
      <w:proofErr w:type="spellEnd"/>
      <w:r>
        <w:rPr>
          <w:rFonts w:ascii="Times New Roman" w:eastAsia="Times New Roman" w:hAnsi="Times New Roman" w:cs="Times New Roman"/>
          <w:sz w:val="24"/>
          <w:szCs w:val="24"/>
        </w:rPr>
        <w:t xml:space="preserve">, S. A., Graham, S., &amp; Hawken, L. S. (2009). Teaching writing to high school students: A national survey. </w:t>
      </w:r>
      <w:r>
        <w:rPr>
          <w:rFonts w:ascii="Times New Roman" w:eastAsia="Times New Roman" w:hAnsi="Times New Roman" w:cs="Times New Roman"/>
          <w:i/>
          <w:iCs/>
          <w:sz w:val="24"/>
          <w:szCs w:val="24"/>
        </w:rPr>
        <w:t>Journal of Educational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101</w:t>
      </w:r>
      <w:r>
        <w:rPr>
          <w:rFonts w:ascii="Times New Roman" w:eastAsia="Times New Roman" w:hAnsi="Times New Roman" w:cs="Times New Roman"/>
          <w:sz w:val="24"/>
          <w:szCs w:val="24"/>
        </w:rPr>
        <w:t xml:space="preserve">(1), 136–160. </w:t>
      </w:r>
      <w:hyperlink r:id="rId30">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 xml:space="preserve">10.1037/a0013097 </w:t>
      </w:r>
    </w:p>
    <w:p w14:paraId="4D7C95C0" w14:textId="77777777" w:rsidR="00A41DCA" w:rsidRDefault="000C73C6">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Knoors</w:t>
      </w:r>
      <w:proofErr w:type="spellEnd"/>
      <w:r>
        <w:rPr>
          <w:rFonts w:ascii="Times New Roman" w:eastAsia="Times New Roman" w:hAnsi="Times New Roman" w:cs="Times New Roman"/>
          <w:sz w:val="24"/>
          <w:szCs w:val="24"/>
        </w:rPr>
        <w:t xml:space="preserve">, H., &amp; Marschark, M. (2020). Accommodating Deaf and Hard-of-Hearing Children with Cognitive Deficits. In Marschark &amp; </w:t>
      </w:r>
      <w:proofErr w:type="spellStart"/>
      <w:r>
        <w:rPr>
          <w:rFonts w:ascii="Times New Roman" w:eastAsia="Times New Roman" w:hAnsi="Times New Roman" w:cs="Times New Roman"/>
          <w:sz w:val="24"/>
          <w:szCs w:val="24"/>
        </w:rPr>
        <w:t>Knoors</w:t>
      </w:r>
      <w:proofErr w:type="spellEnd"/>
      <w:r>
        <w:rPr>
          <w:rFonts w:ascii="Times New Roman" w:eastAsia="Times New Roman" w:hAnsi="Times New Roman" w:cs="Times New Roman"/>
          <w:sz w:val="24"/>
          <w:szCs w:val="24"/>
        </w:rPr>
        <w:t xml:space="preserve"> (eds), </w:t>
      </w:r>
      <w:r>
        <w:rPr>
          <w:rFonts w:ascii="Times New Roman" w:eastAsia="Times New Roman" w:hAnsi="Times New Roman" w:cs="Times New Roman"/>
          <w:i/>
          <w:iCs/>
          <w:sz w:val="24"/>
          <w:szCs w:val="24"/>
        </w:rPr>
        <w:t>The Oxford Handbook of Deaf Studies in Learning and Cognition</w:t>
      </w:r>
      <w:r>
        <w:rPr>
          <w:rFonts w:ascii="Times New Roman" w:eastAsia="Times New Roman" w:hAnsi="Times New Roman" w:cs="Times New Roman"/>
          <w:sz w:val="24"/>
          <w:szCs w:val="24"/>
        </w:rPr>
        <w:t>, (pp.426-440).</w:t>
      </w:r>
    </w:p>
    <w:p w14:paraId="3F89BEA4"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Korth, B. B., Wimmer, J. J., Wilcox, B., Morrison, T. G., Harward, S., Peterson, N., Simmerman, S., &amp; Pierce, L. (2017). Practices and challenges of writing instruction in K-2 classrooms: A case study of five primary grade teachers. </w:t>
      </w:r>
      <w:r>
        <w:rPr>
          <w:rFonts w:ascii="Times New Roman" w:eastAsia="Times New Roman" w:hAnsi="Times New Roman" w:cs="Times New Roman"/>
          <w:i/>
          <w:iCs/>
          <w:sz w:val="24"/>
          <w:szCs w:val="24"/>
        </w:rPr>
        <w:t>Early Childhood Education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45</w:t>
      </w:r>
      <w:r>
        <w:rPr>
          <w:rFonts w:ascii="Times New Roman" w:eastAsia="Times New Roman" w:hAnsi="Times New Roman" w:cs="Times New Roman"/>
          <w:sz w:val="24"/>
          <w:szCs w:val="24"/>
        </w:rPr>
        <w:t xml:space="preserve">, 237-249. </w:t>
      </w:r>
      <w:r>
        <w:rPr>
          <w:rFonts w:ascii="Times New Roman" w:eastAsia="Times New Roman" w:hAnsi="Times New Roman" w:cs="Times New Roman"/>
          <w:sz w:val="24"/>
          <w:szCs w:val="24"/>
          <w:u w:val="single"/>
        </w:rPr>
        <w:t>https://doi.org/10.1007/s10643-016-0774-1</w:t>
      </w:r>
    </w:p>
    <w:p w14:paraId="226375E4" w14:textId="77777777" w:rsidR="00A41DCA" w:rsidRDefault="000C73C6">
      <w:pPr>
        <w:spacing w:line="480" w:lineRule="auto"/>
        <w:ind w:left="720" w:hanging="720"/>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lastRenderedPageBreak/>
        <w:t>Koulidobrova</w:t>
      </w:r>
      <w:proofErr w:type="spellEnd"/>
      <w:r>
        <w:rPr>
          <w:rFonts w:ascii="Times New Roman" w:eastAsia="Times New Roman" w:hAnsi="Times New Roman" w:cs="Times New Roman"/>
          <w:sz w:val="24"/>
          <w:szCs w:val="24"/>
        </w:rPr>
        <w:t xml:space="preserve">, E., &amp; Pichler, C. (2021). </w:t>
      </w:r>
      <w:proofErr w:type="spellStart"/>
      <w:r>
        <w:rPr>
          <w:rFonts w:ascii="Times New Roman" w:eastAsia="Times New Roman" w:hAnsi="Times New Roman" w:cs="Times New Roman"/>
          <w:sz w:val="24"/>
          <w:szCs w:val="24"/>
        </w:rPr>
        <w:t>Cripping</w:t>
      </w:r>
      <w:proofErr w:type="spellEnd"/>
      <w:r>
        <w:rPr>
          <w:rFonts w:ascii="Times New Roman" w:eastAsia="Times New Roman" w:hAnsi="Times New Roman" w:cs="Times New Roman"/>
          <w:sz w:val="24"/>
          <w:szCs w:val="24"/>
        </w:rPr>
        <w:t xml:space="preserve"> the “delay”: Multilingualism-related consequences of re-labeling language deprivation systems. </w:t>
      </w:r>
      <w:r>
        <w:rPr>
          <w:rFonts w:ascii="Times New Roman" w:eastAsia="Times New Roman" w:hAnsi="Times New Roman" w:cs="Times New Roman"/>
          <w:i/>
          <w:iCs/>
          <w:sz w:val="24"/>
          <w:szCs w:val="24"/>
        </w:rPr>
        <w:t>Frontiers in Communication</w:t>
      </w:r>
      <w:r>
        <w:rPr>
          <w:rFonts w:ascii="Times New Roman" w:eastAsia="Times New Roman" w:hAnsi="Times New Roman" w:cs="Times New Roman"/>
          <w:sz w:val="24"/>
          <w:szCs w:val="24"/>
        </w:rPr>
        <w:t xml:space="preserve">, 244. </w:t>
      </w:r>
      <w:hyperlink r:id="rId31">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10.3389/fcomm.2021.751457</w:t>
      </w:r>
    </w:p>
    <w:p w14:paraId="5CAE7D46"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Lederberg, A. R., Schick, B., &amp; Spencer, P. E. (2013). Language and literacy development of deaf and hard-of-hearing children: successes and challenges. </w:t>
      </w:r>
      <w:r>
        <w:rPr>
          <w:rFonts w:ascii="Times New Roman" w:eastAsia="Times New Roman" w:hAnsi="Times New Roman" w:cs="Times New Roman"/>
          <w:i/>
          <w:iCs/>
          <w:sz w:val="24"/>
          <w:szCs w:val="24"/>
        </w:rPr>
        <w:t>Developmental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49</w:t>
      </w:r>
      <w:r>
        <w:rPr>
          <w:rFonts w:ascii="Times New Roman" w:eastAsia="Times New Roman" w:hAnsi="Times New Roman" w:cs="Times New Roman"/>
          <w:sz w:val="24"/>
          <w:szCs w:val="24"/>
        </w:rPr>
        <w:t xml:space="preserve">(1), 15. </w:t>
      </w:r>
      <w:hyperlink r:id="rId32">
        <w:r w:rsidR="00A41DCA">
          <w:rPr>
            <w:rFonts w:ascii="Times New Roman" w:eastAsia="Times New Roman" w:hAnsi="Times New Roman" w:cs="Times New Roman"/>
            <w:sz w:val="24"/>
            <w:szCs w:val="24"/>
            <w:u w:val="single"/>
          </w:rPr>
          <w:t>https://psycnet.apa.org/doi/10.1037/a0029558</w:t>
        </w:r>
      </w:hyperlink>
    </w:p>
    <w:p w14:paraId="2D08D147"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Lichtman, M. (2013). </w:t>
      </w:r>
      <w:r>
        <w:rPr>
          <w:rFonts w:ascii="Times New Roman" w:eastAsia="Times New Roman" w:hAnsi="Times New Roman" w:cs="Times New Roman"/>
          <w:i/>
          <w:iCs/>
          <w:sz w:val="24"/>
          <w:szCs w:val="24"/>
        </w:rPr>
        <w:t>Qualitative research for the social sciences</w:t>
      </w:r>
      <w:r>
        <w:rPr>
          <w:rFonts w:ascii="Times New Roman" w:eastAsia="Times New Roman" w:hAnsi="Times New Roman" w:cs="Times New Roman"/>
          <w:sz w:val="24"/>
          <w:szCs w:val="24"/>
        </w:rPr>
        <w:t>. SAGE publications.</w:t>
      </w:r>
    </w:p>
    <w:p w14:paraId="46516B62" w14:textId="77777777" w:rsidR="00A41DCA" w:rsidRDefault="000C73C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Lincoln, YS. &amp; Guba, EG. (1985). </w:t>
      </w:r>
      <w:hyperlink r:id="rId33">
        <w:r w:rsidR="00A41DCA">
          <w:rPr>
            <w:rFonts w:ascii="Times New Roman" w:eastAsia="Times New Roman" w:hAnsi="Times New Roman" w:cs="Times New Roman"/>
            <w:sz w:val="24"/>
            <w:szCs w:val="24"/>
            <w:u w:val="single"/>
          </w:rPr>
          <w:t>Naturalistic Inquiry</w:t>
        </w:r>
      </w:hyperlink>
      <w:r>
        <w:rPr>
          <w:rFonts w:ascii="Times New Roman" w:eastAsia="Times New Roman" w:hAnsi="Times New Roman" w:cs="Times New Roman"/>
          <w:sz w:val="24"/>
          <w:szCs w:val="24"/>
        </w:rPr>
        <w:t>. Newbury Park, CA: Sage Publications.</w:t>
      </w:r>
    </w:p>
    <w:p w14:paraId="3C91593B"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Luckner, J. L. (2010). Preparing teachers of students who are deaf or hard of hearing. In M. Marschark &amp; P. E. Spencer (Eds.), </w:t>
      </w:r>
      <w:r>
        <w:rPr>
          <w:rFonts w:ascii="Times New Roman" w:eastAsia="Times New Roman" w:hAnsi="Times New Roman" w:cs="Times New Roman"/>
          <w:i/>
          <w:iCs/>
          <w:sz w:val="24"/>
          <w:szCs w:val="24"/>
        </w:rPr>
        <w:t>The Oxford Handbook of Deaf Studies, Language, and Education</w:t>
      </w:r>
      <w:r>
        <w:rPr>
          <w:rFonts w:ascii="Times New Roman" w:eastAsia="Times New Roman" w:hAnsi="Times New Roman" w:cs="Times New Roman"/>
          <w:sz w:val="24"/>
          <w:szCs w:val="24"/>
        </w:rPr>
        <w:t xml:space="preserve">, Vol. 2 (pp. 41–56). New York: Oxford University Press. </w:t>
      </w:r>
      <w:hyperlink r:id="rId34">
        <w:r w:rsidR="00A41DCA">
          <w:rPr>
            <w:rFonts w:ascii="Times New Roman" w:eastAsia="Times New Roman" w:hAnsi="Times New Roman" w:cs="Times New Roman"/>
            <w:sz w:val="24"/>
            <w:szCs w:val="24"/>
            <w:u w:val="single"/>
          </w:rPr>
          <w:t>https://doi.org/10.1093/oxfordhb/9780195390032.001.0001</w:t>
        </w:r>
      </w:hyperlink>
    </w:p>
    <w:p w14:paraId="2F1902FA"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Luckner, J. L. (2020). Itinerant Teaching. Preparing to teach, committing to learn: An introduction to educating children who are deaf/hard of hearing. In Lenihan, S., Voss, J., White, E., &amp; Salvucci, D., </w:t>
      </w:r>
      <w:r>
        <w:rPr>
          <w:rFonts w:ascii="Times New Roman" w:eastAsia="Times New Roman" w:hAnsi="Times New Roman" w:cs="Times New Roman"/>
          <w:i/>
          <w:iCs/>
          <w:sz w:val="24"/>
          <w:szCs w:val="24"/>
        </w:rPr>
        <w:t>Preparing to Teach, Committing to Learn: An Introduction to Educating Children Who are Deaf/Hard of Hearing</w:t>
      </w:r>
      <w:r>
        <w:rPr>
          <w:rFonts w:ascii="Times New Roman" w:eastAsia="Times New Roman" w:hAnsi="Times New Roman" w:cs="Times New Roman"/>
          <w:sz w:val="24"/>
          <w:szCs w:val="24"/>
        </w:rPr>
        <w:t xml:space="preserve">, (pp.12-1–12-8). OER Textbooks. </w:t>
      </w:r>
      <w:r>
        <w:rPr>
          <w:rFonts w:ascii="Times New Roman" w:eastAsia="Times New Roman" w:hAnsi="Times New Roman" w:cs="Times New Roman"/>
          <w:sz w:val="24"/>
          <w:szCs w:val="24"/>
          <w:u w:val="single"/>
        </w:rPr>
        <w:t>https://griffinshare.fontbonne.edu/oer-books/1</w:t>
      </w:r>
    </w:p>
    <w:p w14:paraId="6D9402CA"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Luckner, J. L., &amp; </w:t>
      </w:r>
      <w:proofErr w:type="spellStart"/>
      <w:r>
        <w:rPr>
          <w:rFonts w:ascii="Times New Roman" w:eastAsia="Times New Roman" w:hAnsi="Times New Roman" w:cs="Times New Roman"/>
          <w:sz w:val="24"/>
          <w:szCs w:val="24"/>
        </w:rPr>
        <w:t>Ayantoye</w:t>
      </w:r>
      <w:proofErr w:type="spellEnd"/>
      <w:r>
        <w:rPr>
          <w:rFonts w:ascii="Times New Roman" w:eastAsia="Times New Roman" w:hAnsi="Times New Roman" w:cs="Times New Roman"/>
          <w:sz w:val="24"/>
          <w:szCs w:val="24"/>
        </w:rPr>
        <w:t xml:space="preserve">, C. (2013). Itinerant teachers of students who are deaf or hard of hearing: Practices and preparation. </w:t>
      </w:r>
      <w:r>
        <w:rPr>
          <w:rFonts w:ascii="Times New Roman" w:eastAsia="Times New Roman" w:hAnsi="Times New Roman" w:cs="Times New Roman"/>
          <w:i/>
          <w:iCs/>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18</w:t>
      </w:r>
      <w:r>
        <w:rPr>
          <w:rFonts w:ascii="Times New Roman" w:eastAsia="Times New Roman" w:hAnsi="Times New Roman" w:cs="Times New Roman"/>
          <w:sz w:val="24"/>
          <w:szCs w:val="24"/>
        </w:rPr>
        <w:t xml:space="preserve">(3), 409-423. </w:t>
      </w:r>
      <w:hyperlink r:id="rId35">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10.1093/deafed/ent015</w:t>
      </w:r>
      <w:r>
        <w:rPr>
          <w:rFonts w:ascii="Times New Roman" w:eastAsia="Times New Roman" w:hAnsi="Times New Roman" w:cs="Times New Roman"/>
          <w:sz w:val="24"/>
          <w:szCs w:val="24"/>
        </w:rPr>
        <w:t xml:space="preserve"> </w:t>
      </w:r>
    </w:p>
    <w:p w14:paraId="623BF4A5"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Luckner, J. L., &amp; Dorn, B. (2017). Job satisfaction of teachers of students who are deaf or hard of hearing. </w:t>
      </w:r>
      <w:r>
        <w:rPr>
          <w:rFonts w:ascii="Times New Roman" w:eastAsia="Times New Roman" w:hAnsi="Times New Roman" w:cs="Times New Roman"/>
          <w:i/>
          <w:iCs/>
          <w:sz w:val="24"/>
          <w:szCs w:val="24"/>
        </w:rPr>
        <w:t>The 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22</w:t>
      </w:r>
      <w:r>
        <w:rPr>
          <w:rFonts w:ascii="Times New Roman" w:eastAsia="Times New Roman" w:hAnsi="Times New Roman" w:cs="Times New Roman"/>
          <w:sz w:val="24"/>
          <w:szCs w:val="24"/>
        </w:rPr>
        <w:t xml:space="preserve">(3), 336-345. </w:t>
      </w:r>
      <w:hyperlink r:id="rId36">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10.1093/deafed/enx016</w:t>
      </w:r>
    </w:p>
    <w:p w14:paraId="3125421F"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 xml:space="preserve">Luckner, J. L., &amp; Hanks, J. A. (2003). Job satisfaction: Perceptions of a national sample of teachers of students who are deaf or hard of hearing.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148</w:t>
      </w:r>
      <w:r>
        <w:rPr>
          <w:rFonts w:ascii="Times New Roman" w:eastAsia="Times New Roman" w:hAnsi="Times New Roman" w:cs="Times New Roman"/>
          <w:sz w:val="24"/>
          <w:szCs w:val="24"/>
        </w:rPr>
        <w:t xml:space="preserve">(1), 5-17. </w:t>
      </w:r>
      <w:r>
        <w:rPr>
          <w:rFonts w:ascii="Times New Roman" w:eastAsia="Times New Roman" w:hAnsi="Times New Roman" w:cs="Times New Roman"/>
          <w:sz w:val="24"/>
          <w:szCs w:val="24"/>
          <w:u w:val="single"/>
        </w:rPr>
        <w:t>https://muse.jhu.edu/article/42294#info_wrap</w:t>
      </w:r>
    </w:p>
    <w:p w14:paraId="7D66737A"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Luckner, J., &amp; Howell, J. (2002). Suggestions for </w:t>
      </w:r>
      <w:proofErr w:type="gramStart"/>
      <w:r>
        <w:rPr>
          <w:rFonts w:ascii="Times New Roman" w:eastAsia="Times New Roman" w:hAnsi="Times New Roman" w:cs="Times New Roman"/>
          <w:sz w:val="24"/>
          <w:szCs w:val="24"/>
        </w:rPr>
        <w:t>preparing</w:t>
      </w:r>
      <w:proofErr w:type="gramEnd"/>
      <w:r>
        <w:rPr>
          <w:rFonts w:ascii="Times New Roman" w:eastAsia="Times New Roman" w:hAnsi="Times New Roman" w:cs="Times New Roman"/>
          <w:sz w:val="24"/>
          <w:szCs w:val="24"/>
        </w:rPr>
        <w:t xml:space="preserve"> itinerant teachers: A qualitative analysis.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147</w:t>
      </w:r>
      <w:r>
        <w:rPr>
          <w:rFonts w:ascii="Times New Roman" w:eastAsia="Times New Roman" w:hAnsi="Times New Roman" w:cs="Times New Roman"/>
          <w:sz w:val="24"/>
          <w:szCs w:val="24"/>
        </w:rPr>
        <w:t xml:space="preserve">(3), 54–61. </w:t>
      </w:r>
      <w:hyperlink r:id="rId37">
        <w:r w:rsidR="00A41DCA">
          <w:rPr>
            <w:rFonts w:ascii="Times New Roman" w:eastAsia="Times New Roman" w:hAnsi="Times New Roman" w:cs="Times New Roman"/>
            <w:sz w:val="24"/>
            <w:szCs w:val="24"/>
            <w:u w:val="single"/>
          </w:rPr>
          <w:t>https://www.jstor.org/stable/44390357</w:t>
        </w:r>
      </w:hyperlink>
    </w:p>
    <w:p w14:paraId="5E6915D1"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Luckner, J. L., &amp; Miller, K. J. (1994). Itinerant teachers: Responsibilities, perceptions, preparation, and students served.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139</w:t>
      </w:r>
      <w:r>
        <w:rPr>
          <w:rFonts w:ascii="Times New Roman" w:eastAsia="Times New Roman" w:hAnsi="Times New Roman" w:cs="Times New Roman"/>
          <w:sz w:val="24"/>
          <w:szCs w:val="24"/>
        </w:rPr>
        <w:t xml:space="preserve">(2), 111-118. </w:t>
      </w:r>
      <w:hyperlink r:id="rId38">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10.1353/aad.2012.0044</w:t>
      </w:r>
    </w:p>
    <w:p w14:paraId="0076CE91"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Luckner, J. L., &amp; Muir, S. (2002). Suggestions for Helping Students Who Are Deaf Succeed in General Education Settings. </w:t>
      </w:r>
      <w:r>
        <w:rPr>
          <w:rFonts w:ascii="Times New Roman" w:eastAsia="Times New Roman" w:hAnsi="Times New Roman" w:cs="Times New Roman"/>
          <w:i/>
          <w:iCs/>
          <w:sz w:val="24"/>
          <w:szCs w:val="24"/>
        </w:rPr>
        <w:t>Communication Disorders Quarterly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24</w:t>
      </w:r>
      <w:r>
        <w:rPr>
          <w:rFonts w:ascii="Times New Roman" w:eastAsia="Times New Roman" w:hAnsi="Times New Roman" w:cs="Times New Roman"/>
          <w:sz w:val="24"/>
          <w:szCs w:val="24"/>
        </w:rPr>
        <w:t xml:space="preserve">(1), 23-30. </w:t>
      </w:r>
      <w:hyperlink r:id="rId39">
        <w:r w:rsidR="00A41DCA">
          <w:rPr>
            <w:rFonts w:ascii="Times New Roman" w:eastAsia="Times New Roman" w:hAnsi="Times New Roman" w:cs="Times New Roman"/>
            <w:sz w:val="24"/>
            <w:szCs w:val="24"/>
            <w:u w:val="single"/>
          </w:rPr>
          <w:t>https://doi.org/10.1177/152574010202400104</w:t>
        </w:r>
      </w:hyperlink>
    </w:p>
    <w:p w14:paraId="68DF49C5" w14:textId="77777777" w:rsidR="00A41DCA" w:rsidRDefault="000C73C6">
      <w:pPr>
        <w:spacing w:line="480" w:lineRule="auto"/>
        <w:ind w:left="720" w:hanging="720"/>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t>Lumabi</w:t>
      </w:r>
      <w:proofErr w:type="spellEnd"/>
      <w:r>
        <w:rPr>
          <w:rFonts w:ascii="Times New Roman" w:eastAsia="Times New Roman" w:hAnsi="Times New Roman" w:cs="Times New Roman"/>
          <w:sz w:val="24"/>
          <w:szCs w:val="24"/>
        </w:rPr>
        <w:t xml:space="preserve">, B. M., &amp; </w:t>
      </w:r>
      <w:proofErr w:type="spellStart"/>
      <w:r>
        <w:rPr>
          <w:rFonts w:ascii="Times New Roman" w:eastAsia="Times New Roman" w:hAnsi="Times New Roman" w:cs="Times New Roman"/>
          <w:sz w:val="24"/>
          <w:szCs w:val="24"/>
        </w:rPr>
        <w:t>Tabajen</w:t>
      </w:r>
      <w:proofErr w:type="spellEnd"/>
      <w:r>
        <w:rPr>
          <w:rFonts w:ascii="Times New Roman" w:eastAsia="Times New Roman" w:hAnsi="Times New Roman" w:cs="Times New Roman"/>
          <w:sz w:val="24"/>
          <w:szCs w:val="24"/>
        </w:rPr>
        <w:t xml:space="preserve">, R. (2021). College students' experience in online asynchronous peer feedback in writing. </w:t>
      </w:r>
      <w:r>
        <w:rPr>
          <w:rFonts w:ascii="Times New Roman" w:eastAsia="Times New Roman" w:hAnsi="Times New Roman" w:cs="Times New Roman"/>
          <w:i/>
          <w:iCs/>
          <w:sz w:val="24"/>
          <w:szCs w:val="24"/>
        </w:rPr>
        <w:t>TESOL and Technology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w:t>
      </w:r>
      <w:r>
        <w:rPr>
          <w:rFonts w:ascii="Times New Roman" w:eastAsia="Times New Roman" w:hAnsi="Times New Roman" w:cs="Times New Roman"/>
          <w:sz w:val="24"/>
          <w:szCs w:val="24"/>
        </w:rPr>
        <w:t xml:space="preserve">(2), 41-54. </w:t>
      </w:r>
      <w:r>
        <w:rPr>
          <w:rFonts w:ascii="Times New Roman" w:eastAsia="Times New Roman" w:hAnsi="Times New Roman" w:cs="Times New Roman"/>
          <w:sz w:val="24"/>
          <w:szCs w:val="24"/>
          <w:u w:val="single"/>
        </w:rPr>
        <w:t>https://doi.org/10.48185/tts.v2i2.250</w:t>
      </w:r>
    </w:p>
    <w:p w14:paraId="591DF424"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Madigan, J. C., &amp; </w:t>
      </w:r>
      <w:proofErr w:type="spellStart"/>
      <w:r>
        <w:rPr>
          <w:rFonts w:ascii="Times New Roman" w:eastAsia="Times New Roman" w:hAnsi="Times New Roman" w:cs="Times New Roman"/>
          <w:sz w:val="24"/>
          <w:szCs w:val="24"/>
        </w:rPr>
        <w:t>Scroth</w:t>
      </w:r>
      <w:proofErr w:type="spellEnd"/>
      <w:r>
        <w:rPr>
          <w:rFonts w:ascii="Times New Roman" w:eastAsia="Times New Roman" w:hAnsi="Times New Roman" w:cs="Times New Roman"/>
          <w:sz w:val="24"/>
          <w:szCs w:val="24"/>
        </w:rPr>
        <w:t xml:space="preserve">-Cavataio, G. (2012). Support for the beginning special educator through high quality mentoring. </w:t>
      </w:r>
      <w:r>
        <w:rPr>
          <w:rFonts w:ascii="Times New Roman" w:eastAsia="Times New Roman" w:hAnsi="Times New Roman" w:cs="Times New Roman"/>
          <w:i/>
          <w:iCs/>
          <w:sz w:val="24"/>
          <w:szCs w:val="24"/>
        </w:rPr>
        <w:t>National Teacher Education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w:t>
      </w:r>
      <w:r>
        <w:rPr>
          <w:rFonts w:ascii="Times New Roman" w:eastAsia="Times New Roman" w:hAnsi="Times New Roman" w:cs="Times New Roman"/>
          <w:sz w:val="24"/>
          <w:szCs w:val="24"/>
        </w:rPr>
        <w:t xml:space="preserve">(1), 107. </w:t>
      </w:r>
      <w:hyperlink r:id="rId40">
        <w:r w:rsidR="00A41DCA">
          <w:rPr>
            <w:rFonts w:ascii="Times New Roman" w:eastAsia="Times New Roman" w:hAnsi="Times New Roman" w:cs="Times New Roman"/>
            <w:sz w:val="24"/>
            <w:szCs w:val="24"/>
            <w:u w:val="single"/>
          </w:rPr>
          <w:t>https://scholarworks.sjsu.edu/second_ed_pub</w:t>
        </w:r>
      </w:hyperlink>
    </w:p>
    <w:p w14:paraId="6D2BEBC2"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Marschark, M., Spencer, P. E., Adams, J., &amp; Sapere, P. (2011). Evidence‐based practice in educating deaf and hard‐of‐hearing children: teaching to their cognitive strengths and needs. </w:t>
      </w:r>
      <w:r>
        <w:rPr>
          <w:rFonts w:ascii="Times New Roman" w:eastAsia="Times New Roman" w:hAnsi="Times New Roman" w:cs="Times New Roman"/>
          <w:i/>
          <w:iCs/>
          <w:sz w:val="24"/>
          <w:szCs w:val="24"/>
        </w:rPr>
        <w:t>European Journal of Special Needs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26</w:t>
      </w:r>
      <w:r>
        <w:rPr>
          <w:rFonts w:ascii="Times New Roman" w:eastAsia="Times New Roman" w:hAnsi="Times New Roman" w:cs="Times New Roman"/>
          <w:sz w:val="24"/>
          <w:szCs w:val="24"/>
        </w:rPr>
        <w:t xml:space="preserve">(1), 3-16. </w:t>
      </w:r>
      <w:r>
        <w:rPr>
          <w:rFonts w:ascii="Times New Roman" w:eastAsia="Times New Roman" w:hAnsi="Times New Roman" w:cs="Times New Roman"/>
          <w:sz w:val="24"/>
          <w:szCs w:val="24"/>
          <w:u w:val="single"/>
        </w:rPr>
        <w:t>http://dx.doi.org/10.1080/08856257.2011.543540</w:t>
      </w:r>
    </w:p>
    <w:p w14:paraId="490053C8"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Merriam, S. (1998). </w:t>
      </w:r>
      <w:r>
        <w:rPr>
          <w:rFonts w:ascii="Times New Roman" w:eastAsia="Times New Roman" w:hAnsi="Times New Roman" w:cs="Times New Roman"/>
          <w:i/>
          <w:iCs/>
          <w:sz w:val="24"/>
          <w:szCs w:val="24"/>
        </w:rPr>
        <w:t>Qualitative research and case study applications in education</w:t>
      </w:r>
      <w:r>
        <w:rPr>
          <w:rFonts w:ascii="Times New Roman" w:eastAsia="Times New Roman" w:hAnsi="Times New Roman" w:cs="Times New Roman"/>
          <w:sz w:val="24"/>
          <w:szCs w:val="24"/>
        </w:rPr>
        <w:t>. Jossey-Bass Publishers.</w:t>
      </w:r>
    </w:p>
    <w:p w14:paraId="2C9B057C" w14:textId="77777777" w:rsidR="00A41DCA" w:rsidRDefault="000C73C6">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Mrstik</w:t>
      </w:r>
      <w:proofErr w:type="spellEnd"/>
      <w:r>
        <w:rPr>
          <w:rFonts w:ascii="Times New Roman" w:eastAsia="Times New Roman" w:hAnsi="Times New Roman" w:cs="Times New Roman"/>
          <w:sz w:val="24"/>
          <w:szCs w:val="24"/>
        </w:rPr>
        <w:t xml:space="preserve">, S. L., Vasquez, E., &amp; Pearl, C. (2018). The effects of mentor instruction on teaching visual supports to novice, special education teachers. </w:t>
      </w:r>
      <w:r>
        <w:rPr>
          <w:rFonts w:ascii="Times New Roman" w:eastAsia="Times New Roman" w:hAnsi="Times New Roman" w:cs="Times New Roman"/>
          <w:i/>
          <w:iCs/>
          <w:sz w:val="24"/>
          <w:szCs w:val="24"/>
        </w:rPr>
        <w:t>International Journal of Instruction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11</w:t>
      </w:r>
      <w:r>
        <w:rPr>
          <w:rFonts w:ascii="Times New Roman" w:eastAsia="Times New Roman" w:hAnsi="Times New Roman" w:cs="Times New Roman"/>
          <w:sz w:val="24"/>
          <w:szCs w:val="24"/>
        </w:rPr>
        <w:t xml:space="preserve">(1), 411-424. </w:t>
      </w:r>
      <w:hyperlink r:id="rId41">
        <w:r w:rsidR="00A41DCA">
          <w:rPr>
            <w:rFonts w:ascii="Times New Roman" w:eastAsia="Times New Roman" w:hAnsi="Times New Roman" w:cs="Times New Roman"/>
            <w:sz w:val="24"/>
            <w:szCs w:val="24"/>
            <w:u w:val="single"/>
          </w:rPr>
          <w:t>https://doi.org/10.12973/iji.2018.11128a</w:t>
        </w:r>
      </w:hyperlink>
    </w:p>
    <w:p w14:paraId="522E3A1E"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Pedersen, H. F., &amp; Anderson, K. L. (2019). The Changing Role of the Itinerant Teacher of the Deaf: A Snapshot of Current Teacher Perceptions. </w:t>
      </w:r>
      <w:r>
        <w:rPr>
          <w:rFonts w:ascii="Times New Roman" w:eastAsia="Times New Roman" w:hAnsi="Times New Roman" w:cs="Times New Roman"/>
          <w:i/>
          <w:iCs/>
          <w:sz w:val="24"/>
          <w:szCs w:val="24"/>
        </w:rPr>
        <w:t>Journal of the American Academy of Special Education Professionals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63</w:t>
      </w:r>
      <w:r>
        <w:rPr>
          <w:rFonts w:ascii="Times New Roman" w:eastAsia="Times New Roman" w:hAnsi="Times New Roman" w:cs="Times New Roman"/>
          <w:sz w:val="24"/>
          <w:szCs w:val="24"/>
        </w:rPr>
        <w:t>, 80.</w:t>
      </w:r>
    </w:p>
    <w:p w14:paraId="52786318"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S., &amp; Landon-Hays, M. M. (2013). The knowing/doing gap: Challenges of effective writing instruction in high school. </w:t>
      </w:r>
      <w:r>
        <w:rPr>
          <w:rFonts w:ascii="Times New Roman" w:eastAsia="Times New Roman" w:hAnsi="Times New Roman" w:cs="Times New Roman"/>
          <w:i/>
          <w:iCs/>
          <w:sz w:val="24"/>
          <w:szCs w:val="24"/>
        </w:rPr>
        <w:t>Teaching/Writing: The Journal of Writing Teacher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w:t>
      </w:r>
      <w:r>
        <w:rPr>
          <w:rFonts w:ascii="Times New Roman" w:eastAsia="Times New Roman" w:hAnsi="Times New Roman" w:cs="Times New Roman"/>
          <w:sz w:val="24"/>
          <w:szCs w:val="24"/>
        </w:rPr>
        <w:t xml:space="preserve">(2), 3. Available at: https://scholarworks.wmich.edu/wte/vol2/iss2/3 </w:t>
      </w:r>
    </w:p>
    <w:p w14:paraId="6F7E7385"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Reed, S. (2003). Beliefs and practices of itinerant teachers of deaf and hard of hearing children concerning literacy development.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148</w:t>
      </w:r>
      <w:r>
        <w:rPr>
          <w:rFonts w:ascii="Times New Roman" w:eastAsia="Times New Roman" w:hAnsi="Times New Roman" w:cs="Times New Roman"/>
          <w:sz w:val="24"/>
          <w:szCs w:val="24"/>
        </w:rPr>
        <w:t xml:space="preserve">(4), 333-343. </w:t>
      </w:r>
      <w:hyperlink r:id="rId42">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10.1353/aad.2003.0031</w:t>
      </w:r>
    </w:p>
    <w:p w14:paraId="6122B36B"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Sancar, R., Atal, D., &amp; </w:t>
      </w:r>
      <w:proofErr w:type="spellStart"/>
      <w:r>
        <w:rPr>
          <w:rFonts w:ascii="Times New Roman" w:eastAsia="Times New Roman" w:hAnsi="Times New Roman" w:cs="Times New Roman"/>
          <w:sz w:val="24"/>
          <w:szCs w:val="24"/>
        </w:rPr>
        <w:t>Deryakulu</w:t>
      </w:r>
      <w:proofErr w:type="spellEnd"/>
      <w:r>
        <w:rPr>
          <w:rFonts w:ascii="Times New Roman" w:eastAsia="Times New Roman" w:hAnsi="Times New Roman" w:cs="Times New Roman"/>
          <w:sz w:val="24"/>
          <w:szCs w:val="24"/>
        </w:rPr>
        <w:t xml:space="preserve">, D. (2021). A new framework for teachers’ professional development. </w:t>
      </w:r>
      <w:r>
        <w:rPr>
          <w:rFonts w:ascii="Times New Roman" w:eastAsia="Times New Roman" w:hAnsi="Times New Roman" w:cs="Times New Roman"/>
          <w:i/>
          <w:iCs/>
          <w:sz w:val="24"/>
          <w:szCs w:val="24"/>
        </w:rPr>
        <w:t>Teaching and Teacher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101</w:t>
      </w:r>
      <w:r>
        <w:rPr>
          <w:rFonts w:ascii="Times New Roman" w:eastAsia="Times New Roman" w:hAnsi="Times New Roman" w:cs="Times New Roman"/>
          <w:sz w:val="24"/>
          <w:szCs w:val="24"/>
        </w:rPr>
        <w:t xml:space="preserve">, 103305. </w:t>
      </w:r>
      <w:hyperlink r:id="rId43">
        <w:r w:rsidR="00A41DCA">
          <w:rPr>
            <w:rFonts w:ascii="Times New Roman" w:eastAsia="Times New Roman" w:hAnsi="Times New Roman" w:cs="Times New Roman"/>
            <w:sz w:val="24"/>
            <w:szCs w:val="24"/>
            <w:u w:val="single"/>
          </w:rPr>
          <w:t>https://doi.org/10.1016/j.tate.2021.103305</w:t>
        </w:r>
      </w:hyperlink>
    </w:p>
    <w:p w14:paraId="0B4A04B0"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Schoch, K. (2020). Case study research. In G.J. Burkholder, et al. (Eds.), </w:t>
      </w:r>
      <w:r>
        <w:rPr>
          <w:rFonts w:ascii="Times New Roman" w:eastAsia="Times New Roman" w:hAnsi="Times New Roman" w:cs="Times New Roman"/>
          <w:i/>
          <w:iCs/>
          <w:sz w:val="24"/>
          <w:szCs w:val="24"/>
        </w:rPr>
        <w:t>Research design and methods: An applied guide for the scholar-practitioner</w:t>
      </w:r>
      <w:r>
        <w:rPr>
          <w:rFonts w:ascii="Times New Roman" w:eastAsia="Times New Roman" w:hAnsi="Times New Roman" w:cs="Times New Roman"/>
          <w:sz w:val="24"/>
          <w:szCs w:val="24"/>
        </w:rPr>
        <w:t>, (pp. 245-258).</w:t>
      </w:r>
    </w:p>
    <w:p w14:paraId="31A28E3C"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Shang, H. F. (2017). An exploration of asynchronous and synchronous feedback modes in EFL writing. </w:t>
      </w:r>
      <w:r>
        <w:rPr>
          <w:rFonts w:ascii="Times New Roman" w:eastAsia="Times New Roman" w:hAnsi="Times New Roman" w:cs="Times New Roman"/>
          <w:i/>
          <w:iCs/>
          <w:sz w:val="24"/>
          <w:szCs w:val="24"/>
        </w:rPr>
        <w:t>Journal of Computing in Higher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29</w:t>
      </w:r>
      <w:r>
        <w:rPr>
          <w:rFonts w:ascii="Times New Roman" w:eastAsia="Times New Roman" w:hAnsi="Times New Roman" w:cs="Times New Roman"/>
          <w:sz w:val="24"/>
          <w:szCs w:val="24"/>
        </w:rPr>
        <w:t xml:space="preserve">, 496-513. </w:t>
      </w:r>
      <w:hyperlink r:id="rId44">
        <w:r w:rsidR="00A41DCA">
          <w:rPr>
            <w:rFonts w:ascii="Times New Roman" w:eastAsia="Times New Roman" w:hAnsi="Times New Roman" w:cs="Times New Roman"/>
            <w:sz w:val="24"/>
            <w:szCs w:val="24"/>
            <w:u w:val="single"/>
          </w:rPr>
          <w:t>https://doi.org/10.1007/s12528-017-9154-0</w:t>
        </w:r>
      </w:hyperlink>
    </w:p>
    <w:p w14:paraId="44375369"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Troia, G. A., &amp; Maddox, M. E. (2017). Writing instruction in middle schools: Special and general education teachers share their views and voice their concerns. In </w:t>
      </w:r>
      <w:r>
        <w:rPr>
          <w:rFonts w:ascii="Times New Roman" w:eastAsia="Times New Roman" w:hAnsi="Times New Roman" w:cs="Times New Roman"/>
          <w:i/>
          <w:iCs/>
          <w:sz w:val="24"/>
          <w:szCs w:val="24"/>
        </w:rPr>
        <w:t>Students Who are Exceptional and Writing Disabilities,</w:t>
      </w:r>
      <w:r>
        <w:rPr>
          <w:rFonts w:ascii="Times New Roman" w:eastAsia="Times New Roman" w:hAnsi="Times New Roman" w:cs="Times New Roman"/>
          <w:sz w:val="24"/>
          <w:szCs w:val="24"/>
        </w:rPr>
        <w:t xml:space="preserve"> (pp. 19-37). Routledge.</w:t>
      </w:r>
    </w:p>
    <w:p w14:paraId="1987C527"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Department of Education, Office of Special Education and Rehabilitative Services. (2024). </w:t>
      </w:r>
      <w:r>
        <w:rPr>
          <w:rFonts w:ascii="Times New Roman" w:eastAsia="Times New Roman" w:hAnsi="Times New Roman" w:cs="Times New Roman"/>
          <w:i/>
          <w:iCs/>
          <w:sz w:val="24"/>
          <w:szCs w:val="24"/>
        </w:rPr>
        <w:t>45th Annual Report to Congress on the Implementation of the Individuals with Disabilities Education Act, 2023</w:t>
      </w:r>
      <w:r>
        <w:rPr>
          <w:rFonts w:ascii="Times New Roman" w:eastAsia="Times New Roman" w:hAnsi="Times New Roman" w:cs="Times New Roman"/>
          <w:sz w:val="24"/>
          <w:szCs w:val="24"/>
        </w:rPr>
        <w:t>. Washington, DC: Office of Special Education Programs.</w:t>
      </w:r>
    </w:p>
    <w:p w14:paraId="08A33320"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Wilcox, M. (2025). </w:t>
      </w:r>
      <w:r>
        <w:rPr>
          <w:rFonts w:ascii="Times New Roman" w:eastAsia="Times New Roman" w:hAnsi="Times New Roman" w:cs="Times New Roman"/>
          <w:i/>
          <w:iCs/>
          <w:sz w:val="24"/>
          <w:szCs w:val="24"/>
        </w:rPr>
        <w:t>Itinerant Teachers’ Descriptions of the Teaching Model for Students Who Are Deaf or Hard-of-Hearing</w:t>
      </w:r>
      <w:r>
        <w:rPr>
          <w:rFonts w:ascii="Times New Roman" w:eastAsia="Times New Roman" w:hAnsi="Times New Roman" w:cs="Times New Roman"/>
          <w:sz w:val="24"/>
          <w:szCs w:val="24"/>
        </w:rPr>
        <w:t xml:space="preserve">. (Doctoral dissertation, Grand Canyon University). ProQuest Dissertations &amp; Theses Global. </w:t>
      </w:r>
    </w:p>
    <w:p w14:paraId="77ED10D0"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Wilson, K., Nevins, M. E., &amp; Houston, K. T. (2010). Professional development for in-service practitioners serving children who are deaf and hard of hearing. </w:t>
      </w:r>
      <w:r>
        <w:rPr>
          <w:rFonts w:ascii="Times New Roman" w:eastAsia="Times New Roman" w:hAnsi="Times New Roman" w:cs="Times New Roman"/>
          <w:i/>
          <w:iCs/>
          <w:sz w:val="24"/>
          <w:szCs w:val="24"/>
        </w:rPr>
        <w:t>The Volta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110</w:t>
      </w:r>
      <w:r>
        <w:rPr>
          <w:rFonts w:ascii="Times New Roman" w:eastAsia="Times New Roman" w:hAnsi="Times New Roman" w:cs="Times New Roman"/>
          <w:sz w:val="24"/>
          <w:szCs w:val="24"/>
        </w:rPr>
        <w:t xml:space="preserve">(2), 231. </w:t>
      </w:r>
    </w:p>
    <w:p w14:paraId="5CAAF29F"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(2008). Strategic and Interactive Writing Instruction (SIWI): Apprenticing deaf students in the construction of English text. ITL </w:t>
      </w:r>
      <w:r>
        <w:rPr>
          <w:rFonts w:ascii="Times New Roman" w:eastAsia="Times New Roman" w:hAnsi="Times New Roman" w:cs="Times New Roman"/>
          <w:i/>
          <w:iCs/>
          <w:sz w:val="24"/>
          <w:szCs w:val="24"/>
        </w:rPr>
        <w:t>International Journal of Applied Linguistics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156</w:t>
      </w:r>
      <w:r>
        <w:rPr>
          <w:rFonts w:ascii="Times New Roman" w:eastAsia="Times New Roman" w:hAnsi="Times New Roman" w:cs="Times New Roman"/>
          <w:sz w:val="24"/>
          <w:szCs w:val="24"/>
        </w:rPr>
        <w:t xml:space="preserve">, 299-326. </w:t>
      </w:r>
      <w:hyperlink r:id="rId45">
        <w:r w:rsidR="00A41DCA">
          <w:rPr>
            <w:rFonts w:ascii="Times New Roman" w:eastAsia="Times New Roman" w:hAnsi="Times New Roman" w:cs="Times New Roman"/>
            <w:color w:val="000000"/>
            <w:sz w:val="24"/>
            <w:szCs w:val="24"/>
            <w:u w:val="single"/>
          </w:rPr>
          <w:t>https://doi.org/10.2143/ITL.156.0.2034441</w:t>
        </w:r>
      </w:hyperlink>
    </w:p>
    <w:p w14:paraId="252AAFBB"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K.A. (2010). Using ASL and print-based sign to build fluency and greater independence with written English among deaf students. </w:t>
      </w:r>
      <w:r>
        <w:rPr>
          <w:rFonts w:ascii="Times New Roman" w:eastAsia="Times New Roman" w:hAnsi="Times New Roman" w:cs="Times New Roman"/>
          <w:i/>
          <w:iCs/>
          <w:sz w:val="24"/>
          <w:szCs w:val="24"/>
        </w:rPr>
        <w:t>L1 – Educational Studies in Language and Literature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(1), 99-125.</w:t>
      </w:r>
    </w:p>
    <w:p w14:paraId="71A456F9"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&amp; Bowers, L. (2012). “I was born full deaf.” Written language outcomes after one year of Strategic and Interactive Writing Instruction (SIWI). </w:t>
      </w:r>
      <w:r>
        <w:rPr>
          <w:rFonts w:ascii="Times New Roman" w:eastAsia="Times New Roman" w:hAnsi="Times New Roman" w:cs="Times New Roman"/>
          <w:i/>
          <w:iCs/>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w:t>
      </w:r>
      <w:r>
        <w:rPr>
          <w:rFonts w:ascii="Times New Roman" w:eastAsia="Times New Roman" w:hAnsi="Times New Roman" w:cs="Times New Roman"/>
          <w:sz w:val="24"/>
          <w:szCs w:val="24"/>
        </w:rPr>
        <w:t xml:space="preserve">(1), 19-38. </w:t>
      </w:r>
      <w:hyperlink r:id="rId46">
        <w:r w:rsidR="00A41DCA">
          <w:rPr>
            <w:rFonts w:ascii="Times New Roman" w:eastAsia="Times New Roman" w:hAnsi="Times New Roman" w:cs="Times New Roman"/>
            <w:color w:val="000000"/>
            <w:sz w:val="24"/>
            <w:szCs w:val="24"/>
            <w:u w:val="single"/>
          </w:rPr>
          <w:t>https://doi.org/10.1093/deafed/enr01</w:t>
        </w:r>
      </w:hyperlink>
    </w:p>
    <w:p w14:paraId="48A97795"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Wolbers, K., Dostal, H., Cihak, D. &amp; Holcomb, L. (2020). Written language outcomes of deaf elementary students engaged in authentic writing. </w:t>
      </w:r>
      <w:r>
        <w:rPr>
          <w:rFonts w:ascii="Times New Roman" w:eastAsia="Times New Roman" w:hAnsi="Times New Roman" w:cs="Times New Roman"/>
          <w:i/>
          <w:iCs/>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25</w:t>
      </w:r>
      <w:r>
        <w:rPr>
          <w:rFonts w:ascii="Times New Roman" w:eastAsia="Times New Roman" w:hAnsi="Times New Roman" w:cs="Times New Roman"/>
          <w:sz w:val="24"/>
          <w:szCs w:val="24"/>
        </w:rPr>
        <w:t xml:space="preserve">(2), 224-238. </w:t>
      </w:r>
      <w:hyperlink r:id="rId47">
        <w:r w:rsidR="00A41DCA">
          <w:rPr>
            <w:rFonts w:ascii="Times New Roman" w:eastAsia="Times New Roman" w:hAnsi="Times New Roman" w:cs="Times New Roman"/>
            <w:color w:val="000000"/>
            <w:sz w:val="24"/>
            <w:szCs w:val="24"/>
            <w:u w:val="single"/>
          </w:rPr>
          <w:t>https://doi.org/10.1093/deafed/enz047</w:t>
        </w:r>
      </w:hyperlink>
    </w:p>
    <w:p w14:paraId="285D62FA"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Graham, S., Branum-Martin, L., Allen, T., Holcomb, L., &amp; Saulsburry, R. (2023a). Writing knowledge, practices, efficacy, interests, attitudes, and beliefs of deaf education teachers: a randomized controlled trial. </w:t>
      </w:r>
      <w:r>
        <w:rPr>
          <w:rFonts w:ascii="Times New Roman" w:eastAsia="Times New Roman" w:hAnsi="Times New Roman" w:cs="Times New Roman"/>
          <w:i/>
          <w:iCs/>
          <w:sz w:val="24"/>
          <w:szCs w:val="24"/>
        </w:rPr>
        <w:t>Frontiers in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w:t>
      </w:r>
      <w:r>
        <w:rPr>
          <w:rFonts w:ascii="Times New Roman" w:eastAsia="Times New Roman" w:hAnsi="Times New Roman" w:cs="Times New Roman"/>
          <w:sz w:val="24"/>
          <w:szCs w:val="24"/>
        </w:rPr>
        <w:t xml:space="preserve">, 1214246. </w:t>
      </w:r>
      <w:hyperlink r:id="rId48">
        <w:r w:rsidR="00A41DCA">
          <w:rPr>
            <w:rFonts w:ascii="Times New Roman" w:eastAsia="Times New Roman" w:hAnsi="Times New Roman" w:cs="Times New Roman"/>
            <w:color w:val="000000"/>
            <w:sz w:val="24"/>
            <w:szCs w:val="24"/>
            <w:u w:val="single"/>
          </w:rPr>
          <w:t>https://doi.org/10.3389/fpsyg.2023.1214246</w:t>
        </w:r>
      </w:hyperlink>
    </w:p>
    <w:p w14:paraId="21AACE1D"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Graham, S., Branum-Martin, L. &amp; Holcomb, L. (2022). Specialized writing instruction for deaf students: A randomized controlled trial, </w:t>
      </w:r>
      <w:r>
        <w:rPr>
          <w:rFonts w:ascii="Times New Roman" w:eastAsia="Times New Roman" w:hAnsi="Times New Roman" w:cs="Times New Roman"/>
          <w:i/>
          <w:iCs/>
          <w:sz w:val="24"/>
          <w:szCs w:val="24"/>
        </w:rPr>
        <w:t>Exceptional Children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88</w:t>
      </w:r>
      <w:r>
        <w:rPr>
          <w:rFonts w:ascii="Times New Roman" w:eastAsia="Times New Roman" w:hAnsi="Times New Roman" w:cs="Times New Roman"/>
          <w:sz w:val="24"/>
          <w:szCs w:val="24"/>
        </w:rPr>
        <w:t xml:space="preserve">(2), 185-204. </w:t>
      </w:r>
      <w:hyperlink r:id="rId49">
        <w:r w:rsidR="00A41DCA">
          <w:rPr>
            <w:rFonts w:ascii="Times New Roman" w:eastAsia="Times New Roman" w:hAnsi="Times New Roman" w:cs="Times New Roman"/>
            <w:color w:val="000000"/>
            <w:sz w:val="24"/>
            <w:szCs w:val="24"/>
            <w:u w:val="single"/>
          </w:rPr>
          <w:t>https://doi.org/10.1177/00144029211050849</w:t>
        </w:r>
      </w:hyperlink>
    </w:p>
    <w:p w14:paraId="30B1F857"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Graham, S., Branum-Martin, L., Kilpatrick, J., &amp; Saulsburry, R. (2018). Strategic and Interactive Writing Instruction: An efficacy study in grades 3-5. </w:t>
      </w:r>
      <w:r>
        <w:rPr>
          <w:rFonts w:ascii="Times New Roman" w:eastAsia="Times New Roman" w:hAnsi="Times New Roman" w:cs="Times New Roman"/>
          <w:i/>
          <w:iCs/>
          <w:sz w:val="24"/>
          <w:szCs w:val="24"/>
        </w:rPr>
        <w:t>Journal of Educational and Developmental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w:t>
      </w:r>
      <w:r>
        <w:rPr>
          <w:rFonts w:ascii="Times New Roman" w:eastAsia="Times New Roman" w:hAnsi="Times New Roman" w:cs="Times New Roman"/>
          <w:sz w:val="24"/>
          <w:szCs w:val="24"/>
        </w:rPr>
        <w:t xml:space="preserve">(1), 99-117. </w:t>
      </w:r>
      <w:hyperlink r:id="rId50">
        <w:r w:rsidR="00A41DCA">
          <w:rPr>
            <w:rFonts w:ascii="Times New Roman" w:eastAsia="Times New Roman" w:hAnsi="Times New Roman" w:cs="Times New Roman"/>
            <w:color w:val="000000"/>
            <w:sz w:val="24"/>
            <w:szCs w:val="24"/>
            <w:u w:val="single"/>
          </w:rPr>
          <w:t>https://doi.org/10.5539/jedp.v8n1p99</w:t>
        </w:r>
      </w:hyperlink>
    </w:p>
    <w:p w14:paraId="3690F839"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Graham, S., Cihak, D., Kilpatrick, J., &amp; Saulsburry R. (2015). The writing performance of elementary students receiving Strategic and Interactive Writing Instruction. </w:t>
      </w:r>
      <w:r>
        <w:rPr>
          <w:rFonts w:ascii="Times New Roman" w:eastAsia="Times New Roman" w:hAnsi="Times New Roman" w:cs="Times New Roman"/>
          <w:i/>
          <w:iCs/>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20</w:t>
      </w:r>
      <w:r>
        <w:rPr>
          <w:rFonts w:ascii="Times New Roman" w:eastAsia="Times New Roman" w:hAnsi="Times New Roman" w:cs="Times New Roman"/>
          <w:sz w:val="24"/>
          <w:szCs w:val="24"/>
        </w:rPr>
        <w:t xml:space="preserve">(4), 385-398. </w:t>
      </w:r>
      <w:hyperlink r:id="rId51">
        <w:r w:rsidR="00A41DCA">
          <w:rPr>
            <w:rFonts w:ascii="Times New Roman" w:eastAsia="Times New Roman" w:hAnsi="Times New Roman" w:cs="Times New Roman"/>
            <w:color w:val="000000"/>
            <w:sz w:val="24"/>
            <w:szCs w:val="24"/>
            <w:u w:val="single"/>
          </w:rPr>
          <w:t>https://doi.org/10.1093/deafed/env022</w:t>
        </w:r>
      </w:hyperlink>
    </w:p>
    <w:p w14:paraId="728F7BA5"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Skerrit, P., &amp; Stephenson, B. (2016). A three-year study of a professional development program's impact on teacher knowledge and classroom implementation of Strategic and Interactive Writing Instruction. </w:t>
      </w:r>
      <w:r>
        <w:rPr>
          <w:rFonts w:ascii="Times New Roman" w:eastAsia="Times New Roman" w:hAnsi="Times New Roman" w:cs="Times New Roman"/>
          <w:i/>
          <w:iCs/>
          <w:sz w:val="24"/>
          <w:szCs w:val="24"/>
        </w:rPr>
        <w:t>Journal of Educational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110</w:t>
      </w:r>
      <w:r>
        <w:rPr>
          <w:rFonts w:ascii="Times New Roman" w:eastAsia="Times New Roman" w:hAnsi="Times New Roman" w:cs="Times New Roman"/>
          <w:sz w:val="24"/>
          <w:szCs w:val="24"/>
        </w:rPr>
        <w:t xml:space="preserve">(1), 61-71. </w:t>
      </w:r>
      <w:hyperlink r:id="rId52">
        <w:r w:rsidR="00A41DCA">
          <w:rPr>
            <w:rFonts w:ascii="Times New Roman" w:eastAsia="Times New Roman" w:hAnsi="Times New Roman" w:cs="Times New Roman"/>
            <w:color w:val="000000"/>
            <w:sz w:val="24"/>
            <w:szCs w:val="24"/>
            <w:u w:val="single"/>
          </w:rPr>
          <w:t>https://doi.org/10.1080/00220671.2015.1039112</w:t>
        </w:r>
        <w:r w:rsidR="00A41DCA">
          <w:rPr>
            <w:rFonts w:ascii="Times New Roman" w:eastAsia="Times New Roman" w:hAnsi="Times New Roman" w:cs="Times New Roman"/>
            <w:color w:val="000000"/>
            <w:sz w:val="24"/>
            <w:szCs w:val="24"/>
            <w:u w:val="single"/>
          </w:rPr>
          <w:tab/>
        </w:r>
        <w:r w:rsidR="00A41DCA">
          <w:rPr>
            <w:rFonts w:ascii="Times New Roman" w:eastAsia="Times New Roman" w:hAnsi="Times New Roman" w:cs="Times New Roman"/>
            <w:color w:val="000000"/>
            <w:sz w:val="24"/>
            <w:szCs w:val="24"/>
            <w:u w:val="single"/>
          </w:rPr>
          <w:tab/>
        </w:r>
        <w:r w:rsidR="00A41DCA">
          <w:rPr>
            <w:rFonts w:ascii="Times New Roman" w:eastAsia="Times New Roman" w:hAnsi="Times New Roman" w:cs="Times New Roman"/>
            <w:color w:val="000000"/>
            <w:sz w:val="24"/>
            <w:szCs w:val="24"/>
            <w:u w:val="single"/>
          </w:rPr>
          <w:tab/>
        </w:r>
      </w:hyperlink>
    </w:p>
    <w:p w14:paraId="05875A16"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Wolbers, K., Holcomb, L. &amp; Hamman-Ortiz, L. (2023b). Translanguaging Framework in Deaf Education. </w:t>
      </w:r>
      <w:r>
        <w:rPr>
          <w:rFonts w:ascii="Times New Roman" w:eastAsia="Times New Roman" w:hAnsi="Times New Roman" w:cs="Times New Roman"/>
          <w:i/>
          <w:iCs/>
          <w:sz w:val="24"/>
          <w:szCs w:val="24"/>
        </w:rPr>
        <w:t>Languages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w:t>
      </w:r>
      <w:r>
        <w:rPr>
          <w:rFonts w:ascii="Times New Roman" w:eastAsia="Times New Roman" w:hAnsi="Times New Roman" w:cs="Times New Roman"/>
          <w:sz w:val="24"/>
          <w:szCs w:val="24"/>
        </w:rPr>
        <w:t xml:space="preserve">(1), 1-24. </w:t>
      </w:r>
      <w:hyperlink r:id="rId53">
        <w:r w:rsidR="00A41DCA">
          <w:rPr>
            <w:rFonts w:ascii="Times New Roman" w:eastAsia="Times New Roman" w:hAnsi="Times New Roman" w:cs="Times New Roman"/>
            <w:color w:val="000000"/>
            <w:sz w:val="24"/>
            <w:szCs w:val="24"/>
            <w:u w:val="single"/>
          </w:rPr>
          <w:t>https://doi.org/10.3390/languages8010059</w:t>
        </w:r>
      </w:hyperlink>
      <w:r>
        <w:rPr>
          <w:rFonts w:ascii="Times New Roman" w:eastAsia="Times New Roman" w:hAnsi="Times New Roman" w:cs="Times New Roman"/>
          <w:sz w:val="24"/>
          <w:szCs w:val="24"/>
        </w:rPr>
        <w:t xml:space="preserve"> </w:t>
      </w:r>
    </w:p>
    <w:p w14:paraId="3497BC42" w14:textId="77777777" w:rsidR="00A41DCA" w:rsidRDefault="000C73C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Yarger, C. C., &amp; Luckner, J. (1999). Itinerant teaching: The inside story. </w:t>
      </w:r>
      <w:r>
        <w:rPr>
          <w:rFonts w:ascii="Times New Roman" w:eastAsia="Times New Roman" w:hAnsi="Times New Roman" w:cs="Times New Roman"/>
          <w:i/>
          <w:iCs/>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144</w:t>
      </w:r>
      <w:r>
        <w:rPr>
          <w:rFonts w:ascii="Times New Roman" w:eastAsia="Times New Roman" w:hAnsi="Times New Roman" w:cs="Times New Roman"/>
          <w:sz w:val="24"/>
          <w:szCs w:val="24"/>
        </w:rPr>
        <w:t xml:space="preserve">(4), 309–314. </w:t>
      </w:r>
      <w:hyperlink r:id="rId54">
        <w:r w:rsidR="00A41DCA">
          <w:rPr>
            <w:rFonts w:ascii="Times New Roman" w:eastAsia="Times New Roman" w:hAnsi="Times New Roman" w:cs="Times New Roman"/>
            <w:sz w:val="24"/>
            <w:szCs w:val="24"/>
            <w:u w:val="single"/>
          </w:rPr>
          <w:t>https://www.jstor.org/stable/44392607</w:t>
        </w:r>
      </w:hyperlink>
    </w:p>
    <w:p w14:paraId="3C1E07A5" w14:textId="77777777" w:rsidR="00A41DCA" w:rsidRDefault="000C73C6">
      <w:pPr>
        <w:spacing w:line="48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Zee, M., and Koomen, H. M. Y. (2016). Teacher self-efficacy and its effects on classroom processes, student academic adjustment, and teacher well-being: A synthesis of 40 years of research. </w:t>
      </w:r>
      <w:r>
        <w:rPr>
          <w:rFonts w:ascii="Times New Roman" w:eastAsia="Times New Roman" w:hAnsi="Times New Roman" w:cs="Times New Roman"/>
          <w:i/>
          <w:iCs/>
          <w:sz w:val="24"/>
          <w:szCs w:val="24"/>
        </w:rPr>
        <w:t>Review of Educational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86</w:t>
      </w:r>
      <w:r>
        <w:rPr>
          <w:rFonts w:ascii="Times New Roman" w:eastAsia="Times New Roman" w:hAnsi="Times New Roman" w:cs="Times New Roman"/>
          <w:sz w:val="24"/>
          <w:szCs w:val="24"/>
        </w:rPr>
        <w:t xml:space="preserve">(4), 981–1015. </w:t>
      </w:r>
      <w:hyperlink r:id="rId55">
        <w:r w:rsidR="00A41DCA">
          <w:rPr>
            <w:rFonts w:ascii="Times New Roman" w:eastAsia="Times New Roman" w:hAnsi="Times New Roman" w:cs="Times New Roman"/>
            <w:sz w:val="24"/>
            <w:szCs w:val="24"/>
            <w:u w:val="single"/>
          </w:rPr>
          <w:t>https://doi.org/</w:t>
        </w:r>
      </w:hyperlink>
      <w:r>
        <w:rPr>
          <w:rFonts w:ascii="Times New Roman" w:eastAsia="Times New Roman" w:hAnsi="Times New Roman" w:cs="Times New Roman"/>
          <w:sz w:val="24"/>
          <w:szCs w:val="24"/>
          <w:u w:val="single"/>
        </w:rPr>
        <w:t>10.3102/0034654315626801</w:t>
      </w:r>
    </w:p>
    <w:p w14:paraId="67180C59" w14:textId="77777777" w:rsidR="00A41DCA" w:rsidRDefault="00A41DCA">
      <w:pPr>
        <w:shd w:val="clear" w:color="auto" w:fill="FFFFFF"/>
        <w:spacing w:before="240" w:after="240" w:line="240" w:lineRule="auto"/>
        <w:ind w:left="720"/>
        <w:rPr>
          <w:rFonts w:ascii="Times New Roman" w:eastAsia="Times New Roman" w:hAnsi="Times New Roman" w:cs="Times New Roman"/>
          <w:sz w:val="24"/>
          <w:szCs w:val="24"/>
          <w:u w:val="single"/>
        </w:rPr>
      </w:pPr>
    </w:p>
    <w:p w14:paraId="209E9025" w14:textId="77777777" w:rsidR="00A41DCA" w:rsidRDefault="000C73C6">
      <w:pPr>
        <w:spacing w:before="240" w:after="240"/>
        <w:rPr>
          <w:rFonts w:ascii="Times New Roman" w:eastAsia="Times New Roman" w:hAnsi="Times New Roman" w:cs="Times New Roman"/>
          <w:b/>
          <w:bCs/>
          <w:sz w:val="24"/>
          <w:szCs w:val="24"/>
        </w:rPr>
      </w:pPr>
      <w:r>
        <w:br w:type="page"/>
      </w:r>
    </w:p>
    <w:p w14:paraId="7E0C9ECC" w14:textId="77777777" w:rsidR="00A41DCA" w:rsidRDefault="000C73C6">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Figure 1</w:t>
      </w:r>
    </w:p>
    <w:p w14:paraId="453503A0" w14:textId="77777777" w:rsidR="00A41DCA" w:rsidRDefault="000C73C6">
      <w:pPr>
        <w:spacing w:before="240" w:after="240"/>
        <w:rPr>
          <w:rFonts w:ascii="Times New Roman" w:eastAsia="Times New Roman" w:hAnsi="Times New Roman" w:cs="Times New Roman"/>
          <w:i/>
          <w:iCs/>
        </w:rPr>
      </w:pPr>
      <w:r>
        <w:rPr>
          <w:rFonts w:ascii="Times New Roman" w:eastAsia="Times New Roman" w:hAnsi="Times New Roman" w:cs="Times New Roman"/>
          <w:i/>
          <w:iCs/>
          <w:sz w:val="24"/>
          <w:szCs w:val="24"/>
        </w:rPr>
        <w:t>Data Collection and Analysis Timeline</w:t>
      </w:r>
    </w:p>
    <w:tbl>
      <w:tblPr>
        <w:tblStyle w:val="a"/>
        <w:tblW w:w="9885" w:type="dxa"/>
        <w:tblBorders>
          <w:top w:val="nil"/>
          <w:left w:val="nil"/>
          <w:bottom w:val="nil"/>
          <w:right w:val="nil"/>
          <w:insideH w:val="nil"/>
          <w:insideV w:val="nil"/>
        </w:tblBorders>
        <w:tblLayout w:type="fixed"/>
        <w:tblLook w:val="0600" w:firstRow="0" w:lastRow="0" w:firstColumn="0" w:lastColumn="0" w:noHBand="1" w:noVBand="1"/>
      </w:tblPr>
      <w:tblGrid>
        <w:gridCol w:w="735"/>
        <w:gridCol w:w="840"/>
        <w:gridCol w:w="825"/>
        <w:gridCol w:w="1530"/>
        <w:gridCol w:w="5955"/>
      </w:tblGrid>
      <w:tr w:rsidR="00A41DCA" w14:paraId="635A2531" w14:textId="77777777">
        <w:trPr>
          <w:trHeight w:val="495"/>
        </w:trPr>
        <w:tc>
          <w:tcPr>
            <w:tcW w:w="7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DD8F35C" w14:textId="77777777" w:rsidR="00A41DCA" w:rsidRDefault="000C73C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P1*</w:t>
            </w:r>
          </w:p>
        </w:tc>
        <w:tc>
          <w:tcPr>
            <w:tcW w:w="8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6FCC8EB" w14:textId="77777777" w:rsidR="00A41DCA" w:rsidRDefault="000C73C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P2</w:t>
            </w:r>
          </w:p>
        </w:tc>
        <w:tc>
          <w:tcPr>
            <w:tcW w:w="8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AB4B790" w14:textId="77777777" w:rsidR="00A41DCA" w:rsidRDefault="000C73C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P3</w:t>
            </w: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1F2E123" w14:textId="77777777" w:rsidR="00A41DCA" w:rsidRDefault="000C73C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Year</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DB3BCAE" w14:textId="77777777" w:rsidR="00A41DCA" w:rsidRDefault="000C73C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Milestones</w:t>
            </w:r>
          </w:p>
        </w:tc>
      </w:tr>
      <w:tr w:rsidR="00A41DCA" w14:paraId="1A3282B4" w14:textId="77777777">
        <w:trPr>
          <w:trHeight w:val="1217"/>
        </w:trPr>
        <w:tc>
          <w:tcPr>
            <w:tcW w:w="735" w:type="dxa"/>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451BBAB"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2D2433B" wp14:editId="376A0EDE">
                  <wp:extent cx="238125" cy="1506699"/>
                  <wp:effectExtent l="0" t="0" r="0" b="0"/>
                  <wp:docPr id="12027512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6"/>
                          <a:srcRect/>
                          <a:stretch>
                            <a:fillRect/>
                          </a:stretch>
                        </pic:blipFill>
                        <pic:spPr>
                          <a:xfrm>
                            <a:off x="0" y="0"/>
                            <a:ext cx="238125" cy="1506699"/>
                          </a:xfrm>
                          <a:prstGeom prst="rect">
                            <a:avLst/>
                          </a:prstGeom>
                          <a:ln/>
                        </pic:spPr>
                      </pic:pic>
                    </a:graphicData>
                  </a:graphic>
                </wp:inline>
              </w:drawing>
            </w:r>
          </w:p>
          <w:p w14:paraId="1E99540F" w14:textId="77777777" w:rsidR="00A41DCA" w:rsidRDefault="00A41DCA">
            <w:pPr>
              <w:spacing w:line="240" w:lineRule="auto"/>
              <w:jc w:val="center"/>
              <w:rPr>
                <w:rFonts w:ascii="Times New Roman" w:eastAsia="Times New Roman" w:hAnsi="Times New Roman" w:cs="Times New Roman"/>
                <w:sz w:val="24"/>
                <w:szCs w:val="24"/>
              </w:rPr>
            </w:pPr>
          </w:p>
          <w:p w14:paraId="7B3A7B1E" w14:textId="77777777" w:rsidR="00A41DCA" w:rsidRDefault="00A41DCA">
            <w:pPr>
              <w:spacing w:line="240" w:lineRule="auto"/>
              <w:jc w:val="center"/>
              <w:rPr>
                <w:rFonts w:ascii="Times New Roman" w:eastAsia="Times New Roman" w:hAnsi="Times New Roman" w:cs="Times New Roman"/>
                <w:sz w:val="24"/>
                <w:szCs w:val="24"/>
              </w:rPr>
            </w:pPr>
          </w:p>
          <w:p w14:paraId="0D922C88" w14:textId="77777777" w:rsidR="00A41DCA" w:rsidRDefault="00A41DCA">
            <w:pPr>
              <w:spacing w:line="240" w:lineRule="auto"/>
              <w:jc w:val="center"/>
              <w:rPr>
                <w:rFonts w:ascii="Times New Roman" w:eastAsia="Times New Roman" w:hAnsi="Times New Roman" w:cs="Times New Roman"/>
                <w:sz w:val="24"/>
                <w:szCs w:val="24"/>
              </w:rPr>
            </w:pPr>
          </w:p>
          <w:p w14:paraId="3BC30FFC" w14:textId="77777777" w:rsidR="00A41DCA" w:rsidRDefault="00A41DCA">
            <w:pPr>
              <w:spacing w:line="240" w:lineRule="auto"/>
              <w:jc w:val="center"/>
              <w:rPr>
                <w:rFonts w:ascii="Times New Roman" w:eastAsia="Times New Roman" w:hAnsi="Times New Roman" w:cs="Times New Roman"/>
                <w:sz w:val="24"/>
                <w:szCs w:val="24"/>
              </w:rPr>
            </w:pPr>
          </w:p>
          <w:p w14:paraId="45490153" w14:textId="77777777" w:rsidR="00A41DCA" w:rsidRDefault="00A41DCA">
            <w:pPr>
              <w:spacing w:line="240" w:lineRule="auto"/>
              <w:jc w:val="center"/>
              <w:rPr>
                <w:rFonts w:ascii="Times New Roman" w:eastAsia="Times New Roman" w:hAnsi="Times New Roman" w:cs="Times New Roman"/>
                <w:sz w:val="24"/>
                <w:szCs w:val="24"/>
              </w:rPr>
            </w:pPr>
          </w:p>
          <w:p w14:paraId="1CC4B1A2" w14:textId="77777777" w:rsidR="00A41DCA" w:rsidRDefault="00A41DCA">
            <w:pPr>
              <w:spacing w:line="240" w:lineRule="auto"/>
              <w:rPr>
                <w:rFonts w:ascii="Times New Roman" w:eastAsia="Times New Roman" w:hAnsi="Times New Roman" w:cs="Times New Roman"/>
                <w:sz w:val="24"/>
                <w:szCs w:val="24"/>
              </w:rPr>
            </w:pPr>
          </w:p>
          <w:p w14:paraId="40DF5D95" w14:textId="77777777" w:rsidR="00A41DCA" w:rsidRDefault="00A41DCA">
            <w:pPr>
              <w:spacing w:line="240" w:lineRule="auto"/>
              <w:jc w:val="center"/>
              <w:rPr>
                <w:rFonts w:ascii="Times New Roman" w:eastAsia="Times New Roman" w:hAnsi="Times New Roman" w:cs="Times New Roman"/>
                <w:sz w:val="24"/>
                <w:szCs w:val="24"/>
              </w:rPr>
            </w:pPr>
          </w:p>
          <w:p w14:paraId="5415ECC7" w14:textId="77777777" w:rsidR="00A41DCA" w:rsidRDefault="00A41DCA">
            <w:pPr>
              <w:spacing w:line="240" w:lineRule="auto"/>
              <w:jc w:val="center"/>
              <w:rPr>
                <w:rFonts w:ascii="Times New Roman" w:eastAsia="Times New Roman" w:hAnsi="Times New Roman" w:cs="Times New Roman"/>
                <w:sz w:val="24"/>
                <w:szCs w:val="24"/>
              </w:rPr>
            </w:pPr>
          </w:p>
          <w:p w14:paraId="68296B5A" w14:textId="77777777" w:rsidR="00A41DCA" w:rsidRDefault="00A41DCA">
            <w:pPr>
              <w:spacing w:line="240" w:lineRule="auto"/>
              <w:jc w:val="center"/>
              <w:rPr>
                <w:rFonts w:ascii="Times New Roman" w:eastAsia="Times New Roman" w:hAnsi="Times New Roman" w:cs="Times New Roman"/>
                <w:sz w:val="24"/>
                <w:szCs w:val="24"/>
              </w:rPr>
            </w:pPr>
          </w:p>
          <w:p w14:paraId="18084C77"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AC92BB8" wp14:editId="129F2037">
                  <wp:extent cx="238125" cy="567077"/>
                  <wp:effectExtent l="0" t="0" r="0" b="0"/>
                  <wp:docPr id="12027512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6"/>
                          <a:srcRect t="71947"/>
                          <a:stretch>
                            <a:fillRect/>
                          </a:stretch>
                        </pic:blipFill>
                        <pic:spPr>
                          <a:xfrm>
                            <a:off x="0" y="0"/>
                            <a:ext cx="238125" cy="567077"/>
                          </a:xfrm>
                          <a:prstGeom prst="rect">
                            <a:avLst/>
                          </a:prstGeom>
                          <a:ln/>
                        </pic:spPr>
                      </pic:pic>
                    </a:graphicData>
                  </a:graphic>
                </wp:inline>
              </w:drawing>
            </w:r>
          </w:p>
        </w:tc>
        <w:tc>
          <w:tcPr>
            <w:tcW w:w="840" w:type="dxa"/>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16A32DF"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DA3A6E2" wp14:editId="0A462231">
                  <wp:extent cx="238125" cy="1506699"/>
                  <wp:effectExtent l="0" t="0" r="0" b="0"/>
                  <wp:docPr id="12027512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6"/>
                          <a:srcRect/>
                          <a:stretch>
                            <a:fillRect/>
                          </a:stretch>
                        </pic:blipFill>
                        <pic:spPr>
                          <a:xfrm>
                            <a:off x="0" y="0"/>
                            <a:ext cx="238125" cy="1506699"/>
                          </a:xfrm>
                          <a:prstGeom prst="rect">
                            <a:avLst/>
                          </a:prstGeom>
                          <a:ln/>
                        </pic:spPr>
                      </pic:pic>
                    </a:graphicData>
                  </a:graphic>
                </wp:inline>
              </w:drawing>
            </w:r>
          </w:p>
          <w:p w14:paraId="322E4CFC" w14:textId="77777777" w:rsidR="00A41DCA" w:rsidRDefault="00A41DCA">
            <w:pPr>
              <w:spacing w:line="240" w:lineRule="auto"/>
              <w:jc w:val="center"/>
              <w:rPr>
                <w:rFonts w:ascii="Times New Roman" w:eastAsia="Times New Roman" w:hAnsi="Times New Roman" w:cs="Times New Roman"/>
                <w:sz w:val="24"/>
                <w:szCs w:val="24"/>
              </w:rPr>
            </w:pPr>
          </w:p>
          <w:p w14:paraId="354C2D53" w14:textId="77777777" w:rsidR="00A41DCA" w:rsidRDefault="00A41DCA">
            <w:pPr>
              <w:spacing w:line="240" w:lineRule="auto"/>
              <w:jc w:val="center"/>
              <w:rPr>
                <w:rFonts w:ascii="Times New Roman" w:eastAsia="Times New Roman" w:hAnsi="Times New Roman" w:cs="Times New Roman"/>
                <w:sz w:val="24"/>
                <w:szCs w:val="24"/>
              </w:rPr>
            </w:pPr>
          </w:p>
          <w:p w14:paraId="46739175" w14:textId="77777777" w:rsidR="00A41DCA" w:rsidRDefault="00A41DCA">
            <w:pPr>
              <w:spacing w:line="240" w:lineRule="auto"/>
              <w:jc w:val="center"/>
              <w:rPr>
                <w:rFonts w:ascii="Times New Roman" w:eastAsia="Times New Roman" w:hAnsi="Times New Roman" w:cs="Times New Roman"/>
                <w:sz w:val="24"/>
                <w:szCs w:val="24"/>
              </w:rPr>
            </w:pPr>
          </w:p>
          <w:p w14:paraId="5AA01A35" w14:textId="77777777" w:rsidR="00A41DCA" w:rsidRDefault="00A41DCA">
            <w:pPr>
              <w:spacing w:line="240" w:lineRule="auto"/>
              <w:jc w:val="center"/>
              <w:rPr>
                <w:rFonts w:ascii="Times New Roman" w:eastAsia="Times New Roman" w:hAnsi="Times New Roman" w:cs="Times New Roman"/>
                <w:sz w:val="24"/>
                <w:szCs w:val="24"/>
              </w:rPr>
            </w:pPr>
          </w:p>
          <w:p w14:paraId="4B1A41E3" w14:textId="77777777" w:rsidR="00A41DCA" w:rsidRDefault="00A41DCA">
            <w:pPr>
              <w:spacing w:line="240" w:lineRule="auto"/>
              <w:jc w:val="center"/>
              <w:rPr>
                <w:rFonts w:ascii="Times New Roman" w:eastAsia="Times New Roman" w:hAnsi="Times New Roman" w:cs="Times New Roman"/>
                <w:sz w:val="24"/>
                <w:szCs w:val="24"/>
              </w:rPr>
            </w:pPr>
          </w:p>
          <w:p w14:paraId="495E8B1D" w14:textId="77777777" w:rsidR="00A41DCA" w:rsidRDefault="00A41DCA">
            <w:pPr>
              <w:spacing w:line="240" w:lineRule="auto"/>
              <w:rPr>
                <w:rFonts w:ascii="Times New Roman" w:eastAsia="Times New Roman" w:hAnsi="Times New Roman" w:cs="Times New Roman"/>
                <w:sz w:val="24"/>
                <w:szCs w:val="24"/>
              </w:rPr>
            </w:pPr>
          </w:p>
          <w:p w14:paraId="4B0BB5B8" w14:textId="77777777" w:rsidR="00A41DCA" w:rsidRDefault="00A41DCA">
            <w:pPr>
              <w:spacing w:line="240" w:lineRule="auto"/>
              <w:rPr>
                <w:rFonts w:ascii="Times New Roman" w:eastAsia="Times New Roman" w:hAnsi="Times New Roman" w:cs="Times New Roman"/>
                <w:sz w:val="24"/>
                <w:szCs w:val="24"/>
              </w:rPr>
            </w:pPr>
          </w:p>
          <w:p w14:paraId="1B473A0C" w14:textId="77777777" w:rsidR="00A41DCA" w:rsidRDefault="00A41DCA">
            <w:pPr>
              <w:spacing w:line="240" w:lineRule="auto"/>
              <w:jc w:val="center"/>
              <w:rPr>
                <w:rFonts w:ascii="Times New Roman" w:eastAsia="Times New Roman" w:hAnsi="Times New Roman" w:cs="Times New Roman"/>
                <w:sz w:val="24"/>
                <w:szCs w:val="24"/>
              </w:rPr>
            </w:pPr>
          </w:p>
          <w:p w14:paraId="168AAEE9" w14:textId="77777777" w:rsidR="00A41DCA" w:rsidRDefault="00A41DCA">
            <w:pPr>
              <w:spacing w:line="240" w:lineRule="auto"/>
              <w:jc w:val="center"/>
              <w:rPr>
                <w:rFonts w:ascii="Times New Roman" w:eastAsia="Times New Roman" w:hAnsi="Times New Roman" w:cs="Times New Roman"/>
                <w:sz w:val="24"/>
                <w:szCs w:val="24"/>
              </w:rPr>
            </w:pPr>
          </w:p>
          <w:p w14:paraId="6164DE3C"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F9A6F78" wp14:editId="22B314E1">
                  <wp:extent cx="238125" cy="567077"/>
                  <wp:effectExtent l="0" t="0" r="0" b="0"/>
                  <wp:docPr id="12027512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6"/>
                          <a:srcRect t="71947"/>
                          <a:stretch>
                            <a:fillRect/>
                          </a:stretch>
                        </pic:blipFill>
                        <pic:spPr>
                          <a:xfrm>
                            <a:off x="0" y="0"/>
                            <a:ext cx="238125" cy="567077"/>
                          </a:xfrm>
                          <a:prstGeom prst="rect">
                            <a:avLst/>
                          </a:prstGeom>
                          <a:ln/>
                        </pic:spPr>
                      </pic:pic>
                    </a:graphicData>
                  </a:graphic>
                </wp:inline>
              </w:drawing>
            </w:r>
          </w:p>
        </w:tc>
        <w:tc>
          <w:tcPr>
            <w:tcW w:w="825" w:type="dxa"/>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5AE8979"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43DCD374"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9A8E395"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anchor distT="114300" distB="114300" distL="114300" distR="114300" simplePos="0" relativeHeight="251658240" behindDoc="0" locked="0" layoutInCell="1" hidden="0" allowOverlap="1" wp14:anchorId="4B34BDC0" wp14:editId="41604990">
                  <wp:simplePos x="0" y="0"/>
                  <wp:positionH relativeFrom="column">
                    <wp:posOffset>85727</wp:posOffset>
                  </wp:positionH>
                  <wp:positionV relativeFrom="paragraph">
                    <wp:posOffset>116235</wp:posOffset>
                  </wp:positionV>
                  <wp:extent cx="238125" cy="1859273"/>
                  <wp:effectExtent l="0" t="0" r="0" b="0"/>
                  <wp:wrapNone/>
                  <wp:docPr id="12027512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6"/>
                          <a:srcRect/>
                          <a:stretch>
                            <a:fillRect/>
                          </a:stretch>
                        </pic:blipFill>
                        <pic:spPr>
                          <a:xfrm>
                            <a:off x="0" y="0"/>
                            <a:ext cx="238125" cy="1859273"/>
                          </a:xfrm>
                          <a:prstGeom prst="rect">
                            <a:avLst/>
                          </a:prstGeom>
                          <a:ln/>
                        </pic:spPr>
                      </pic:pic>
                    </a:graphicData>
                  </a:graphic>
                </wp:anchor>
              </w:drawing>
            </w: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F2F87D2"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2014-2015</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D7A6213"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Primary SIWI study 1</w:t>
            </w:r>
          </w:p>
          <w:p w14:paraId="6B11441F"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 ITODs in experimental group (Karen &amp; Janice)</w:t>
            </w:r>
          </w:p>
          <w:p w14:paraId="106F5592"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Historical data from Karen &amp; Janice</w:t>
            </w:r>
          </w:p>
        </w:tc>
      </w:tr>
      <w:tr w:rsidR="00A41DCA" w14:paraId="131E6FB4" w14:textId="77777777">
        <w:trPr>
          <w:trHeight w:val="975"/>
        </w:trPr>
        <w:tc>
          <w:tcPr>
            <w:tcW w:w="73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ECD03DE"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40"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A1A1246"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2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53BCADE"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1E26C68"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2015-2016</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665AFBE"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secondary study began.</w:t>
            </w:r>
          </w:p>
          <w:p w14:paraId="1613DD53"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data collected from Karen &amp; Janice</w:t>
            </w:r>
          </w:p>
        </w:tc>
      </w:tr>
      <w:tr w:rsidR="00A41DCA" w14:paraId="34063A4D" w14:textId="77777777">
        <w:trPr>
          <w:trHeight w:val="495"/>
        </w:trPr>
        <w:tc>
          <w:tcPr>
            <w:tcW w:w="73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1B008DC"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40"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950A9CE"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2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68EFB10"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6424346"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71B7938"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Dissertation was published with Karen &amp; Janice’s data</w:t>
            </w:r>
          </w:p>
        </w:tc>
      </w:tr>
      <w:tr w:rsidR="00A41DCA" w14:paraId="56374DAB" w14:textId="77777777">
        <w:trPr>
          <w:trHeight w:val="1185"/>
        </w:trPr>
        <w:tc>
          <w:tcPr>
            <w:tcW w:w="73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DF77775"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40"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9AEBB64"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2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F57B6C8"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30BED1F"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2019-2020</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B94AFA1"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Primary SIWI study 2</w:t>
            </w:r>
          </w:p>
          <w:p w14:paraId="02228696"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ITOD in experimental group (Emily)</w:t>
            </w:r>
          </w:p>
          <w:p w14:paraId="0191ECD5"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Historical data from Emily</w:t>
            </w:r>
          </w:p>
        </w:tc>
      </w:tr>
      <w:tr w:rsidR="00A41DCA" w14:paraId="214CB4B5" w14:textId="77777777">
        <w:trPr>
          <w:trHeight w:val="1155"/>
        </w:trPr>
        <w:tc>
          <w:tcPr>
            <w:tcW w:w="73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2AB82FE"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40"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8CD03E5"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2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C1B35D1"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AEC73A9"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2020-2021</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C1DE0F9"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secondary study continued–new data collected from Emily using the codes and interview questions developed with Karen &amp; Janice. </w:t>
            </w:r>
          </w:p>
        </w:tc>
      </w:tr>
      <w:tr w:rsidR="00A41DCA" w14:paraId="5CB3CDE3" w14:textId="77777777">
        <w:trPr>
          <w:trHeight w:val="765"/>
        </w:trPr>
        <w:tc>
          <w:tcPr>
            <w:tcW w:w="73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6BD4E29"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40"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76C3C87"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825" w:type="dxa"/>
            <w:vMerge/>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E5B0BBF" w14:textId="77777777" w:rsidR="00A41DCA" w:rsidRDefault="00A41DCA">
            <w:pPr>
              <w:widowControl w:val="0"/>
              <w:pBdr>
                <w:top w:val="nil"/>
                <w:left w:val="nil"/>
                <w:bottom w:val="nil"/>
                <w:right w:val="nil"/>
                <w:between w:val="nil"/>
              </w:pBdr>
              <w:rPr>
                <w:rFonts w:ascii="Times New Roman" w:eastAsia="Times New Roman" w:hAnsi="Times New Roman" w:cs="Times New Roman"/>
                <w:sz w:val="24"/>
                <w:szCs w:val="24"/>
              </w:rPr>
            </w:pPr>
          </w:p>
        </w:tc>
        <w:tc>
          <w:tcPr>
            <w:tcW w:w="15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5DE45DF" w14:textId="77777777" w:rsidR="00A41DCA" w:rsidRDefault="000C73C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c>
          <w:tcPr>
            <w:tcW w:w="59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B2B71A6"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participants’ data were reanalyzed using the codes from all three participants (i.e., including new codes from Emily).</w:t>
            </w:r>
          </w:p>
        </w:tc>
      </w:tr>
    </w:tbl>
    <w:p w14:paraId="78EE5C79" w14:textId="77777777" w:rsidR="00A41DCA" w:rsidRDefault="000C73C6">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1 and 2 (P1 &amp; P2) were Karen and Janice; Participant 3 (P3) was Emily.</w:t>
      </w:r>
    </w:p>
    <w:p w14:paraId="6B5E7415" w14:textId="77777777" w:rsidR="00A41DCA" w:rsidRDefault="00A41DCA">
      <w:pPr>
        <w:spacing w:before="240" w:after="240"/>
        <w:rPr>
          <w:rFonts w:ascii="Times New Roman" w:eastAsia="Times New Roman" w:hAnsi="Times New Roman" w:cs="Times New Roman"/>
          <w:sz w:val="24"/>
          <w:szCs w:val="24"/>
        </w:rPr>
      </w:pPr>
    </w:p>
    <w:p w14:paraId="219839A6" w14:textId="77777777" w:rsidR="00A41DCA" w:rsidRDefault="00A41DCA">
      <w:pPr>
        <w:spacing w:before="240" w:after="240"/>
        <w:rPr>
          <w:rFonts w:ascii="Times New Roman" w:eastAsia="Times New Roman" w:hAnsi="Times New Roman" w:cs="Times New Roman"/>
          <w:sz w:val="24"/>
          <w:szCs w:val="24"/>
        </w:rPr>
      </w:pPr>
    </w:p>
    <w:p w14:paraId="67E85E0F" w14:textId="77777777" w:rsidR="00A41DCA" w:rsidRDefault="00A41DCA">
      <w:pPr>
        <w:spacing w:before="240" w:after="240"/>
        <w:rPr>
          <w:rFonts w:ascii="Times New Roman" w:eastAsia="Times New Roman" w:hAnsi="Times New Roman" w:cs="Times New Roman"/>
          <w:sz w:val="24"/>
          <w:szCs w:val="24"/>
        </w:rPr>
      </w:pPr>
    </w:p>
    <w:p w14:paraId="586D4D99" w14:textId="77777777" w:rsidR="00A41DCA" w:rsidRDefault="00A41DCA">
      <w:pPr>
        <w:spacing w:before="240" w:after="240"/>
        <w:rPr>
          <w:rFonts w:ascii="Times New Roman" w:eastAsia="Times New Roman" w:hAnsi="Times New Roman" w:cs="Times New Roman"/>
          <w:sz w:val="24"/>
          <w:szCs w:val="24"/>
        </w:rPr>
      </w:pPr>
    </w:p>
    <w:p w14:paraId="7446D2DA" w14:textId="77777777" w:rsidR="00A41DCA" w:rsidRDefault="000C73C6">
      <w:pPr>
        <w:spacing w:line="240" w:lineRule="auto"/>
        <w:rPr>
          <w:rFonts w:ascii="Times New Roman" w:eastAsia="Times New Roman" w:hAnsi="Times New Roman" w:cs="Times New Roman"/>
          <w:b/>
          <w:bCs/>
          <w:sz w:val="24"/>
          <w:szCs w:val="24"/>
        </w:rPr>
      </w:pPr>
      <w:r>
        <w:br w:type="page"/>
      </w:r>
    </w:p>
    <w:p w14:paraId="5C13E117" w14:textId="77777777" w:rsidR="00A41DCA" w:rsidRDefault="000C73C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 1</w:t>
      </w:r>
    </w:p>
    <w:p w14:paraId="01AF1EC7" w14:textId="77777777" w:rsidR="00A41DCA" w:rsidRDefault="00A41DCA">
      <w:pPr>
        <w:spacing w:line="240" w:lineRule="auto"/>
        <w:rPr>
          <w:rFonts w:ascii="Times New Roman" w:eastAsia="Times New Roman" w:hAnsi="Times New Roman" w:cs="Times New Roman"/>
          <w:b/>
          <w:bCs/>
          <w:sz w:val="24"/>
          <w:szCs w:val="24"/>
        </w:rPr>
      </w:pPr>
    </w:p>
    <w:p w14:paraId="363C6F97" w14:textId="77777777" w:rsidR="00A41DCA" w:rsidRDefault="000C73C6">
      <w:pP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List of Codes</w:t>
      </w:r>
    </w:p>
    <w:p w14:paraId="4791CFA5" w14:textId="77777777" w:rsidR="00A41DCA" w:rsidRDefault="00A82303">
      <w:pPr>
        <w:spacing w:line="240" w:lineRule="auto"/>
        <w:rPr>
          <w:rFonts w:ascii="Times New Roman" w:eastAsia="Times New Roman" w:hAnsi="Times New Roman" w:cs="Times New Roman"/>
          <w:i/>
          <w:iCs/>
          <w:sz w:val="24"/>
          <w:szCs w:val="24"/>
        </w:rPr>
      </w:pPr>
      <w:r>
        <w:pict w14:anchorId="25F2F8D9">
          <v:rect id="_x0000_i1025" style="width:0;height:1.5pt" o:hralign="center" o:hrstd="t" o:hr="t" fillcolor="#a0a0a0" stroked="f"/>
        </w:pict>
      </w:r>
    </w:p>
    <w:tbl>
      <w:tblPr>
        <w:tblStyle w:val="a0"/>
        <w:tblW w:w="93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255"/>
        <w:gridCol w:w="6060"/>
      </w:tblGrid>
      <w:tr w:rsidR="00A41DCA" w14:paraId="1AA071C9" w14:textId="77777777">
        <w:tc>
          <w:tcPr>
            <w:tcW w:w="3255" w:type="dxa"/>
            <w:tcBorders>
              <w:top w:val="nil"/>
              <w:bottom w:val="single" w:sz="8" w:space="0" w:color="000000"/>
            </w:tcBorders>
            <w:tcMar>
              <w:top w:w="100" w:type="dxa"/>
              <w:left w:w="100" w:type="dxa"/>
              <w:bottom w:w="100" w:type="dxa"/>
              <w:right w:w="100" w:type="dxa"/>
            </w:tcMar>
          </w:tcPr>
          <w:p w14:paraId="3FD7CAFA" w14:textId="77777777" w:rsidR="00A41DCA" w:rsidRDefault="000C73C6">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 Priori Codes (8) ͣ</w:t>
            </w:r>
          </w:p>
        </w:tc>
        <w:tc>
          <w:tcPr>
            <w:tcW w:w="6060" w:type="dxa"/>
            <w:tcBorders>
              <w:top w:val="nil"/>
              <w:bottom w:val="single" w:sz="8" w:space="0" w:color="000000"/>
            </w:tcBorders>
            <w:tcMar>
              <w:top w:w="100" w:type="dxa"/>
              <w:left w:w="100" w:type="dxa"/>
              <w:bottom w:w="100" w:type="dxa"/>
              <w:right w:w="100" w:type="dxa"/>
            </w:tcMar>
          </w:tcPr>
          <w:p w14:paraId="5492B116" w14:textId="77777777" w:rsidR="00A41DCA" w:rsidRDefault="000C73C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Authentic Principle (11)ᵇ, Balanced Principle (6), Guided to Independent Principle (25), Interactive Principle (44), Linguistic Principle (12), Metalinguistic Principle (45), Strategic Principle (5), Visual Principle (16)</w:t>
            </w:r>
          </w:p>
        </w:tc>
      </w:tr>
      <w:tr w:rsidR="00A41DCA" w14:paraId="28687EEC" w14:textId="77777777">
        <w:tc>
          <w:tcPr>
            <w:tcW w:w="3255" w:type="dxa"/>
            <w:tcBorders>
              <w:top w:val="single" w:sz="8" w:space="0" w:color="000000"/>
              <w:bottom w:val="single" w:sz="8" w:space="0" w:color="000000"/>
            </w:tcBorders>
            <w:tcMar>
              <w:top w:w="100" w:type="dxa"/>
              <w:left w:w="100" w:type="dxa"/>
              <w:bottom w:w="100" w:type="dxa"/>
              <w:right w:w="100" w:type="dxa"/>
            </w:tcMar>
          </w:tcPr>
          <w:p w14:paraId="1839E8DD" w14:textId="77777777" w:rsidR="00A41DCA" w:rsidRDefault="000C73C6">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Categories</w:t>
            </w:r>
          </w:p>
        </w:tc>
        <w:tc>
          <w:tcPr>
            <w:tcW w:w="6060" w:type="dxa"/>
            <w:tcBorders>
              <w:top w:val="single" w:sz="8" w:space="0" w:color="000000"/>
              <w:bottom w:val="single" w:sz="8" w:space="0" w:color="000000"/>
            </w:tcBorders>
            <w:tcMar>
              <w:top w:w="100" w:type="dxa"/>
              <w:left w:w="100" w:type="dxa"/>
              <w:bottom w:w="100" w:type="dxa"/>
              <w:right w:w="100" w:type="dxa"/>
            </w:tcMar>
          </w:tcPr>
          <w:p w14:paraId="00A72CA6" w14:textId="77777777" w:rsidR="00A41DCA" w:rsidRDefault="000C73C6">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Codes</w:t>
            </w:r>
          </w:p>
        </w:tc>
      </w:tr>
      <w:tr w:rsidR="00A41DCA" w14:paraId="72EE0563" w14:textId="77777777">
        <w:tc>
          <w:tcPr>
            <w:tcW w:w="3255" w:type="dxa"/>
            <w:tcBorders>
              <w:top w:val="single" w:sz="8" w:space="0" w:color="000000"/>
              <w:bottom w:val="single" w:sz="8" w:space="0" w:color="000000"/>
            </w:tcBorders>
            <w:tcMar>
              <w:top w:w="100" w:type="dxa"/>
              <w:left w:w="100" w:type="dxa"/>
              <w:bottom w:w="100" w:type="dxa"/>
              <w:right w:w="100" w:type="dxa"/>
            </w:tcMar>
          </w:tcPr>
          <w:p w14:paraId="4BD9FA6D"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Context-specific variables (20) (Code: CSV), now reported under District-related Factors</w:t>
            </w:r>
          </w:p>
          <w:p w14:paraId="04691303" w14:textId="77777777" w:rsidR="00A41DCA" w:rsidRDefault="00A41DCA">
            <w:pPr>
              <w:widowControl w:val="0"/>
              <w:spacing w:line="240" w:lineRule="auto"/>
              <w:rPr>
                <w:rFonts w:ascii="Times New Roman" w:eastAsia="Times New Roman" w:hAnsi="Times New Roman" w:cs="Times New Roman"/>
                <w:sz w:val="24"/>
                <w:szCs w:val="24"/>
              </w:rPr>
            </w:pPr>
          </w:p>
          <w:p w14:paraId="4E0B08FF" w14:textId="77777777" w:rsidR="00A41DCA" w:rsidRDefault="00A41DCA">
            <w:pPr>
              <w:widowControl w:val="0"/>
              <w:spacing w:line="240" w:lineRule="auto"/>
              <w:jc w:val="right"/>
              <w:rPr>
                <w:rFonts w:ascii="Times New Roman" w:eastAsia="Times New Roman" w:hAnsi="Times New Roman" w:cs="Times New Roman"/>
                <w:sz w:val="24"/>
                <w:szCs w:val="24"/>
              </w:rPr>
            </w:pPr>
          </w:p>
        </w:tc>
        <w:tc>
          <w:tcPr>
            <w:tcW w:w="6060" w:type="dxa"/>
            <w:tcBorders>
              <w:top w:val="single" w:sz="8" w:space="0" w:color="000000"/>
              <w:bottom w:val="single" w:sz="8" w:space="0" w:color="000000"/>
            </w:tcBorders>
            <w:tcMar>
              <w:top w:w="100" w:type="dxa"/>
              <w:left w:w="100" w:type="dxa"/>
              <w:bottom w:w="100" w:type="dxa"/>
              <w:right w:w="100" w:type="dxa"/>
            </w:tcMar>
          </w:tcPr>
          <w:p w14:paraId="1864ED3D"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 support (2), Case load (33), Community (6), Culture (2), Curriculum from district (17), </w:t>
            </w:r>
            <w:r>
              <w:rPr>
                <w:rFonts w:ascii="Times New Roman" w:eastAsia="Times New Roman" w:hAnsi="Times New Roman" w:cs="Times New Roman"/>
                <w:b/>
                <w:bCs/>
                <w:sz w:val="24"/>
                <w:szCs w:val="24"/>
              </w:rPr>
              <w:t>District-specific (67)</w:t>
            </w:r>
            <w:r>
              <w:rPr>
                <w:rFonts w:ascii="Times New Roman" w:eastAsia="Times New Roman" w:hAnsi="Times New Roman" w:cs="Times New Roman"/>
                <w:sz w:val="24"/>
                <w:szCs w:val="24"/>
              </w:rPr>
              <w:t xml:space="preserve">, District support (22), ESL (10), Group size (72), Isolation (2), Lack of knowledge (4), Mainstream (24), </w:t>
            </w:r>
            <w:r>
              <w:rPr>
                <w:rFonts w:ascii="Times New Roman" w:eastAsia="Times New Roman" w:hAnsi="Times New Roman" w:cs="Times New Roman"/>
                <w:b/>
                <w:bCs/>
                <w:sz w:val="24"/>
                <w:szCs w:val="24"/>
              </w:rPr>
              <w:t>Organization (13)</w:t>
            </w:r>
            <w:r>
              <w:rPr>
                <w:rFonts w:ascii="Times New Roman" w:eastAsia="Times New Roman" w:hAnsi="Times New Roman" w:cs="Times New Roman"/>
                <w:sz w:val="24"/>
                <w:szCs w:val="24"/>
              </w:rPr>
              <w:t xml:space="preserve">, Parents (24), </w:t>
            </w:r>
            <w:r>
              <w:rPr>
                <w:rFonts w:ascii="Times New Roman" w:eastAsia="Times New Roman" w:hAnsi="Times New Roman" w:cs="Times New Roman"/>
                <w:b/>
                <w:bCs/>
                <w:sz w:val="24"/>
                <w:szCs w:val="24"/>
              </w:rPr>
              <w:t>Physical space (7)</w:t>
            </w:r>
            <w:r>
              <w:rPr>
                <w:rFonts w:ascii="Times New Roman" w:eastAsia="Times New Roman" w:hAnsi="Times New Roman" w:cs="Times New Roman"/>
                <w:sz w:val="24"/>
                <w:szCs w:val="24"/>
              </w:rPr>
              <w:t xml:space="preserve">, Service delivery, 1-on-1 or 2-on-1 (43), Support staff (7), </w:t>
            </w:r>
            <w:r>
              <w:rPr>
                <w:rFonts w:ascii="Times New Roman" w:eastAsia="Times New Roman" w:hAnsi="Times New Roman" w:cs="Times New Roman"/>
                <w:b/>
                <w:bCs/>
                <w:sz w:val="24"/>
                <w:szCs w:val="24"/>
              </w:rPr>
              <w:t>Time (47)</w:t>
            </w:r>
            <w:r>
              <w:rPr>
                <w:rFonts w:ascii="Times New Roman" w:eastAsia="Times New Roman" w:hAnsi="Times New Roman" w:cs="Times New Roman"/>
                <w:sz w:val="24"/>
                <w:szCs w:val="24"/>
              </w:rPr>
              <w:t xml:space="preserve">, Transfer between service locations (2), Wealth (5) </w:t>
            </w:r>
          </w:p>
        </w:tc>
      </w:tr>
      <w:tr w:rsidR="00A41DCA" w14:paraId="7896CBDF" w14:textId="77777777">
        <w:tc>
          <w:tcPr>
            <w:tcW w:w="3255" w:type="dxa"/>
            <w:tcBorders>
              <w:top w:val="single" w:sz="8" w:space="0" w:color="000000"/>
              <w:bottom w:val="single" w:sz="8" w:space="0" w:color="000000"/>
            </w:tcBorders>
            <w:tcMar>
              <w:top w:w="100" w:type="dxa"/>
              <w:left w:w="100" w:type="dxa"/>
              <w:bottom w:w="100" w:type="dxa"/>
              <w:right w:w="100" w:type="dxa"/>
            </w:tcMar>
          </w:tcPr>
          <w:p w14:paraId="3051AB11"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Itinerant-specific variables (10)</w:t>
            </w:r>
          </w:p>
          <w:p w14:paraId="481C67A5"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(Code: Itinerant)</w:t>
            </w:r>
          </w:p>
        </w:tc>
        <w:tc>
          <w:tcPr>
            <w:tcW w:w="6060" w:type="dxa"/>
            <w:tcBorders>
              <w:top w:val="single" w:sz="8" w:space="0" w:color="000000"/>
              <w:bottom w:val="single" w:sz="8" w:space="0" w:color="000000"/>
            </w:tcBorders>
            <w:tcMar>
              <w:top w:w="100" w:type="dxa"/>
              <w:left w:w="100" w:type="dxa"/>
              <w:bottom w:w="100" w:type="dxa"/>
              <w:right w:w="100" w:type="dxa"/>
            </w:tcMar>
          </w:tcPr>
          <w:p w14:paraId="04C0EED3"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Advice to other itinerants (13), Approaches to teaching (69), Benefits to itinerant model (18), Drawbacks to itinerant model (58), </w:t>
            </w:r>
            <w:r>
              <w:rPr>
                <w:rFonts w:ascii="Times New Roman" w:eastAsia="Times New Roman" w:hAnsi="Times New Roman" w:cs="Times New Roman"/>
                <w:b/>
                <w:bCs/>
                <w:sz w:val="24"/>
                <w:szCs w:val="24"/>
              </w:rPr>
              <w:t>Working with general education teachers (84)</w:t>
            </w:r>
            <w:r>
              <w:rPr>
                <w:rFonts w:ascii="Times New Roman" w:eastAsia="Times New Roman" w:hAnsi="Times New Roman" w:cs="Times New Roman"/>
                <w:sz w:val="24"/>
                <w:szCs w:val="24"/>
              </w:rPr>
              <w:t>, Pull-out services (11), Push-in services (22), Rapport (19), Teacher role &amp; responsibilities (20), Vocabulary (6)</w:t>
            </w:r>
          </w:p>
        </w:tc>
      </w:tr>
      <w:tr w:rsidR="00A41DCA" w14:paraId="35FD0917" w14:textId="77777777">
        <w:tc>
          <w:tcPr>
            <w:tcW w:w="3255" w:type="dxa"/>
            <w:tcBorders>
              <w:top w:val="single" w:sz="8" w:space="0" w:color="000000"/>
              <w:bottom w:val="single" w:sz="8" w:space="0" w:color="000000"/>
            </w:tcBorders>
            <w:tcMar>
              <w:top w:w="100" w:type="dxa"/>
              <w:left w:w="100" w:type="dxa"/>
              <w:bottom w:w="100" w:type="dxa"/>
              <w:right w:w="100" w:type="dxa"/>
            </w:tcMar>
          </w:tcPr>
          <w:p w14:paraId="4C182532"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SIWI-related variables (19)</w:t>
            </w:r>
          </w:p>
          <w:p w14:paraId="5557BA51"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(Code: SIWI)</w:t>
            </w:r>
          </w:p>
        </w:tc>
        <w:tc>
          <w:tcPr>
            <w:tcW w:w="6060" w:type="dxa"/>
            <w:tcBorders>
              <w:top w:val="single" w:sz="8" w:space="0" w:color="000000"/>
              <w:bottom w:val="single" w:sz="8" w:space="0" w:color="000000"/>
            </w:tcBorders>
            <w:tcMar>
              <w:top w:w="100" w:type="dxa"/>
              <w:left w:w="100" w:type="dxa"/>
              <w:bottom w:w="100" w:type="dxa"/>
              <w:right w:w="100" w:type="dxa"/>
            </w:tcMar>
          </w:tcPr>
          <w:p w14:paraId="21939663"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Benefits of SIWI in itinerant setting (36), Challenges of SIWI in itinerant setting (13), Drawbacks of SIWI in itinerant setting (9), Evaluating Writing (6), Itinerants’ suggestions for SIWI researchers (7), Itinerant teachers’ role (16), Materials (16), Mentor texts (5), </w:t>
            </w:r>
            <w:proofErr w:type="spellStart"/>
            <w:r>
              <w:rPr>
                <w:rFonts w:ascii="Times New Roman" w:eastAsia="Times New Roman" w:hAnsi="Times New Roman" w:cs="Times New Roman"/>
                <w:sz w:val="24"/>
                <w:szCs w:val="24"/>
              </w:rPr>
              <w:t>NIPits</w:t>
            </w:r>
            <w:proofErr w:type="spellEnd"/>
            <w:r>
              <w:rPr>
                <w:rFonts w:ascii="Times New Roman" w:eastAsia="Times New Roman" w:hAnsi="Times New Roman" w:cs="Times New Roman"/>
                <w:sz w:val="24"/>
                <w:szCs w:val="24"/>
              </w:rPr>
              <w:t xml:space="preserve"> (6), Overall comments (3), Risk taking during SIWI (4), Student outcomes (45), Successful for itinerants (14), Teacher implementation error (2), Teacher outcomes (4), Time involved doing SIWI (7), Training considerations (80), Ways teachers need support (29), Writing goals (3)</w:t>
            </w:r>
          </w:p>
        </w:tc>
      </w:tr>
      <w:tr w:rsidR="00A41DCA" w14:paraId="48A08D45" w14:textId="77777777">
        <w:tc>
          <w:tcPr>
            <w:tcW w:w="3255" w:type="dxa"/>
            <w:tcBorders>
              <w:top w:val="single" w:sz="8" w:space="0" w:color="000000"/>
              <w:bottom w:val="single" w:sz="8" w:space="0" w:color="000000"/>
            </w:tcBorders>
            <w:tcMar>
              <w:top w:w="100" w:type="dxa"/>
              <w:left w:w="100" w:type="dxa"/>
              <w:bottom w:w="100" w:type="dxa"/>
              <w:right w:w="100" w:type="dxa"/>
            </w:tcMar>
          </w:tcPr>
          <w:p w14:paraId="475288E1"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Miscellaneous Codesᶜ (12)</w:t>
            </w:r>
          </w:p>
        </w:tc>
        <w:tc>
          <w:tcPr>
            <w:tcW w:w="6060" w:type="dxa"/>
            <w:tcBorders>
              <w:top w:val="single" w:sz="8" w:space="0" w:color="000000"/>
              <w:bottom w:val="single" w:sz="8" w:space="0" w:color="000000"/>
            </w:tcBorders>
            <w:tcMar>
              <w:top w:w="100" w:type="dxa"/>
              <w:left w:w="100" w:type="dxa"/>
              <w:bottom w:w="100" w:type="dxa"/>
              <w:right w:w="100" w:type="dxa"/>
            </w:tcMar>
          </w:tcPr>
          <w:p w14:paraId="4459EB31" w14:textId="77777777" w:rsidR="00A41DCA" w:rsidRDefault="000C73C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 of self-contained/class and itinerant (53), Distractions (1), General difficulties &amp; challenges (79), Incorporate outside resources (3), Motivation (15), Pacing (5), Rewards (28), Risk taking in groups and 1-on-1 (24), Semantic mapping (3), Student needs (77), Student needs: language specific (28), Theory of mind (14)</w:t>
            </w:r>
          </w:p>
        </w:tc>
      </w:tr>
    </w:tbl>
    <w:p w14:paraId="52585B12" w14:textId="77777777" w:rsidR="00A41DCA" w:rsidRDefault="000C73C6">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Numbers next to headings are the total number of codes created under that description.</w:t>
      </w:r>
    </w:p>
    <w:p w14:paraId="22AA9490" w14:textId="77777777" w:rsidR="00A41DCA" w:rsidRDefault="000C73C6">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ᵇThe numbers next to codes are the coded instances within the data.</w:t>
      </w:r>
    </w:p>
    <w:p w14:paraId="051215AF" w14:textId="77777777" w:rsidR="00A41DCA" w:rsidRDefault="00A41DCA">
      <w:pPr>
        <w:spacing w:line="240" w:lineRule="auto"/>
        <w:rPr>
          <w:rFonts w:ascii="Times New Roman" w:eastAsia="Times New Roman" w:hAnsi="Times New Roman" w:cs="Times New Roman"/>
          <w:sz w:val="20"/>
          <w:szCs w:val="20"/>
          <w:u w:val="single"/>
        </w:rPr>
      </w:pPr>
    </w:p>
    <w:p w14:paraId="21D684FC" w14:textId="77777777" w:rsidR="00A41DCA" w:rsidRDefault="000C73C6">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ᶜ Codes that did not fit a category are labeled “miscellaneous codes,” though this was not a defined code.</w:t>
      </w:r>
    </w:p>
    <w:sectPr w:rsidR="00A41DCA">
      <w:headerReference w:type="default" r:id="rId5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01FB8" w14:textId="77777777" w:rsidR="00A82303" w:rsidRDefault="00A82303">
      <w:pPr>
        <w:spacing w:line="240" w:lineRule="auto"/>
      </w:pPr>
      <w:r>
        <w:separator/>
      </w:r>
    </w:p>
  </w:endnote>
  <w:endnote w:type="continuationSeparator" w:id="0">
    <w:p w14:paraId="4515854D" w14:textId="77777777" w:rsidR="00A82303" w:rsidRDefault="00A82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3148724-50F2-4337-9C1E-528E7088FFED}"/>
  </w:font>
  <w:font w:name="Cambria">
    <w:panose1 w:val="02040503050406030204"/>
    <w:charset w:val="00"/>
    <w:family w:val="roman"/>
    <w:pitch w:val="variable"/>
    <w:sig w:usb0="E00006FF" w:usb1="420024FF" w:usb2="02000000" w:usb3="00000000" w:csb0="0000019F" w:csb1="00000000"/>
    <w:embedRegular r:id="rId2" w:fontKey="{C814C8A0-7D3C-49D5-B3B4-B618FA69928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54E7" w14:textId="77777777" w:rsidR="00A82303" w:rsidRDefault="00A82303">
      <w:pPr>
        <w:spacing w:line="240" w:lineRule="auto"/>
      </w:pPr>
      <w:r>
        <w:separator/>
      </w:r>
    </w:p>
  </w:footnote>
  <w:footnote w:type="continuationSeparator" w:id="0">
    <w:p w14:paraId="105D4D34" w14:textId="77777777" w:rsidR="00A82303" w:rsidRDefault="00A823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F819" w14:textId="77777777" w:rsidR="00A41DCA" w:rsidRDefault="000C73C6">
    <w:r>
      <w:t xml:space="preserve">ITINERANT TEACHERS’ WRITING INSTRUCTION </w:t>
    </w:r>
    <w:r>
      <w:tab/>
    </w:r>
    <w:r>
      <w:tab/>
    </w:r>
    <w:r>
      <w:tab/>
    </w:r>
    <w:r>
      <w:tab/>
      <w:t xml:space="preserve">         </w:t>
    </w:r>
    <w:r>
      <w:fldChar w:fldCharType="begin"/>
    </w:r>
    <w:r>
      <w:instrText>PAGE</w:instrText>
    </w:r>
    <w:r>
      <w:fldChar w:fldCharType="separate"/>
    </w:r>
    <w:r w:rsidR="00377835">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CA"/>
    <w:rsid w:val="000C73C6"/>
    <w:rsid w:val="00237469"/>
    <w:rsid w:val="00377835"/>
    <w:rsid w:val="00581251"/>
    <w:rsid w:val="006E5243"/>
    <w:rsid w:val="0078297A"/>
    <w:rsid w:val="008B3810"/>
    <w:rsid w:val="00A41DCA"/>
    <w:rsid w:val="00A80246"/>
    <w:rsid w:val="00A82303"/>
    <w:rsid w:val="00B2148B"/>
    <w:rsid w:val="00B57123"/>
    <w:rsid w:val="00BD7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1264"/>
  <w15:docId w15:val="{4610C345-90C8-4575-A336-76D49662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2">
    <w:name w:val="2"/>
    <w:basedOn w:val="TableNormal1"/>
    <w:tblPr>
      <w:tblStyleRowBandSize w:val="1"/>
      <w:tblStyleColBandSize w:val="1"/>
    </w:tblPr>
  </w:style>
  <w:style w:type="table" w:customStyle="1" w:styleId="1">
    <w:name w:val="1"/>
    <w:basedOn w:val="TableNormal1"/>
    <w:tblPr>
      <w:tblStyleRowBandSize w:val="1"/>
      <w:tblStyleColBandSize w:val="1"/>
    </w:tblPr>
  </w:style>
  <w:style w:type="paragraph" w:styleId="Header">
    <w:name w:val="header"/>
    <w:basedOn w:val="Normal"/>
    <w:link w:val="HeaderChar"/>
    <w:uiPriority w:val="99"/>
    <w:unhideWhenUsed/>
    <w:rsid w:val="00FC7A03"/>
    <w:pPr>
      <w:tabs>
        <w:tab w:val="center" w:pos="4680"/>
        <w:tab w:val="right" w:pos="9360"/>
      </w:tabs>
      <w:spacing w:line="240" w:lineRule="auto"/>
    </w:pPr>
  </w:style>
  <w:style w:type="character" w:customStyle="1" w:styleId="HeaderChar">
    <w:name w:val="Header Char"/>
    <w:basedOn w:val="DefaultParagraphFont"/>
    <w:link w:val="Header"/>
    <w:uiPriority w:val="99"/>
    <w:rsid w:val="00FC7A03"/>
  </w:style>
  <w:style w:type="paragraph" w:styleId="Footer">
    <w:name w:val="footer"/>
    <w:basedOn w:val="Normal"/>
    <w:link w:val="FooterChar"/>
    <w:uiPriority w:val="99"/>
    <w:unhideWhenUsed/>
    <w:rsid w:val="00FC7A03"/>
    <w:pPr>
      <w:tabs>
        <w:tab w:val="center" w:pos="4680"/>
        <w:tab w:val="right" w:pos="9360"/>
      </w:tabs>
      <w:spacing w:line="240" w:lineRule="auto"/>
    </w:pPr>
  </w:style>
  <w:style w:type="character" w:customStyle="1" w:styleId="FooterChar">
    <w:name w:val="Footer Char"/>
    <w:basedOn w:val="DefaultParagraphFont"/>
    <w:link w:val="Footer"/>
    <w:uiPriority w:val="99"/>
    <w:rsid w:val="00FC7A03"/>
  </w:style>
  <w:style w:type="character" w:styleId="Hyperlink">
    <w:name w:val="Hyperlink"/>
    <w:basedOn w:val="DefaultParagraphFont"/>
    <w:uiPriority w:val="99"/>
    <w:unhideWhenUsed/>
    <w:rsid w:val="00C02B28"/>
    <w:rPr>
      <w:color w:val="0000FF" w:themeColor="hyperlink"/>
      <w:u w:val="single"/>
    </w:rPr>
  </w:style>
  <w:style w:type="character" w:styleId="UnresolvedMention">
    <w:name w:val="Unresolved Mention"/>
    <w:basedOn w:val="DefaultParagraphFont"/>
    <w:uiPriority w:val="99"/>
    <w:semiHidden/>
    <w:unhideWhenUsed/>
    <w:rsid w:val="00C02B28"/>
    <w:rPr>
      <w:color w:val="605E5C"/>
      <w:shd w:val="clear" w:color="auto" w:fill="E1DFDD"/>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353/aad.2015.0023" TargetMode="External"/><Relationship Id="rId18" Type="http://schemas.openxmlformats.org/officeDocument/2006/relationships/hyperlink" Target="https://doi.org/10.1016/j.ijer.2021.101849" TargetMode="External"/><Relationship Id="rId26" Type="http://schemas.openxmlformats.org/officeDocument/2006/relationships/hyperlink" Target="https://doi.org/doi:10.1007/s11145-013-9494-8" TargetMode="External"/><Relationship Id="rId39" Type="http://schemas.openxmlformats.org/officeDocument/2006/relationships/hyperlink" Target="https://doi.org/10.1177/152574010202400104" TargetMode="External"/><Relationship Id="rId21" Type="http://schemas.openxmlformats.org/officeDocument/2006/relationships/hyperlink" Target="https://doi.org/10.1093/deafed/enab012" TargetMode="External"/><Relationship Id="rId34" Type="http://schemas.openxmlformats.org/officeDocument/2006/relationships/hyperlink" Target="https://doi.org/10.1093/oxfordhb/9780195390032.001.0001" TargetMode="External"/><Relationship Id="rId42" Type="http://schemas.openxmlformats.org/officeDocument/2006/relationships/hyperlink" Target="https://doi.org/10.12973/iji.2018.11128a" TargetMode="External"/><Relationship Id="rId47" Type="http://schemas.openxmlformats.org/officeDocument/2006/relationships/hyperlink" Target="https://doi.org/10.1093/deafed/enz047" TargetMode="External"/><Relationship Id="rId50" Type="http://schemas.openxmlformats.org/officeDocument/2006/relationships/hyperlink" Target="https://doi.org/10.5539/jedp.v8n1p99" TargetMode="External"/><Relationship Id="rId55" Type="http://schemas.openxmlformats.org/officeDocument/2006/relationships/hyperlink" Target="https://doi.org/10.3389/fpsyg.2023.1214246" TargetMode="External"/><Relationship Id="rId7" Type="http://schemas.openxmlformats.org/officeDocument/2006/relationships/hyperlink" Target="https://doi.org/10.1353/aad.2025.a988843" TargetMode="External"/><Relationship Id="rId2" Type="http://schemas.openxmlformats.org/officeDocument/2006/relationships/styles" Target="styles.xml"/><Relationship Id="rId16" Type="http://schemas.openxmlformats.org/officeDocument/2006/relationships/hyperlink" Target="http://dx.doi.org/10.1558/wap.30045" TargetMode="External"/><Relationship Id="rId29" Type="http://schemas.openxmlformats.org/officeDocument/2006/relationships/hyperlink" Target="https://doi.org/10.4324/9781315795188" TargetMode="External"/><Relationship Id="rId11" Type="http://schemas.openxmlformats.org/officeDocument/2006/relationships/hyperlink" Target="https://orcid.org/0000-0002-4992-0508" TargetMode="External"/><Relationship Id="rId24" Type="http://schemas.openxmlformats.org/officeDocument/2006/relationships/hyperlink" Target="https://doi.org/doi:10.1007/s11145-013-9494-8" TargetMode="External"/><Relationship Id="rId32" Type="http://schemas.openxmlformats.org/officeDocument/2006/relationships/hyperlink" Target="https://psycnet.apa.org/doi/10.1037/a0029558" TargetMode="External"/><Relationship Id="rId37" Type="http://schemas.openxmlformats.org/officeDocument/2006/relationships/hyperlink" Target="https://www.jstor.org/stable/44390357" TargetMode="External"/><Relationship Id="rId40" Type="http://schemas.openxmlformats.org/officeDocument/2006/relationships/hyperlink" Target="https://scholarworks.sjsu.edu/second_ed_pub" TargetMode="External"/><Relationship Id="rId45" Type="http://schemas.openxmlformats.org/officeDocument/2006/relationships/hyperlink" Target="https://doi.org/10.2143/ITL.156.0.2034441" TargetMode="External"/><Relationship Id="rId53" Type="http://schemas.openxmlformats.org/officeDocument/2006/relationships/hyperlink" Target="https://doi.org/10.3390/languages8010059"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doi.org/10.1093/deafed/enab01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57709/14422382" TargetMode="External"/><Relationship Id="rId22" Type="http://schemas.openxmlformats.org/officeDocument/2006/relationships/hyperlink" Target="about:blank" TargetMode="External"/><Relationship Id="rId27" Type="http://schemas.openxmlformats.org/officeDocument/2006/relationships/hyperlink" Target="https://doi.org/10.1093/deafed/enab012" TargetMode="External"/><Relationship Id="rId30" Type="http://schemas.openxmlformats.org/officeDocument/2006/relationships/hyperlink" Target="https://doi.org/10.1093/deafed/enab012" TargetMode="External"/><Relationship Id="rId35" Type="http://schemas.openxmlformats.org/officeDocument/2006/relationships/hyperlink" Target="https://doi.org/10.1093/deafed/enab012" TargetMode="External"/><Relationship Id="rId43" Type="http://schemas.openxmlformats.org/officeDocument/2006/relationships/hyperlink" Target="https://doi.org/10.1016/j.tate.2021.103305" TargetMode="External"/><Relationship Id="rId48" Type="http://schemas.openxmlformats.org/officeDocument/2006/relationships/hyperlink" Target="https://doi.org/10.3389/fpsyg.2023.1214246" TargetMode="External"/><Relationship Id="rId56" Type="http://schemas.openxmlformats.org/officeDocument/2006/relationships/image" Target="media/image2.png"/><Relationship Id="rId8" Type="http://schemas.openxmlformats.org/officeDocument/2006/relationships/hyperlink" Target="https://doi.org/10.1353/aad.2025.a988843" TargetMode="External"/><Relationship Id="rId51" Type="http://schemas.openxmlformats.org/officeDocument/2006/relationships/hyperlink" Target="https://doi.org/10.1093/deafed/env022" TargetMode="External"/><Relationship Id="rId3" Type="http://schemas.openxmlformats.org/officeDocument/2006/relationships/settings" Target="settings.xml"/><Relationship Id="rId12" Type="http://schemas.openxmlformats.org/officeDocument/2006/relationships/hyperlink" Target="https://doi.org/10.1093/deafed/enw032" TargetMode="External"/><Relationship Id="rId17" Type="http://schemas.openxmlformats.org/officeDocument/2006/relationships/hyperlink" Target="https://doi.org/10.1080/09362835.2018.1480952" TargetMode="External"/><Relationship Id="rId25" Type="http://schemas.openxmlformats.org/officeDocument/2006/relationships/hyperlink" Target="https://doi.org/10.3102/0091732X18821125" TargetMode="External"/><Relationship Id="rId33" Type="http://schemas.openxmlformats.org/officeDocument/2006/relationships/hyperlink" Target="http://books.google.com/books?hl=en&amp;lr=&amp;id=2oA9aWlNeooC&amp;oi=fnd&amp;pg=PA5&amp;sig=GoKaBo0eIoPy4qeqRyuozZo1CqM&amp;dq=naturalistic+inquiry&amp;prev=http://scholar.google.com/scholar%3Fq%3Dnaturalistic%2Binquiry%26num%3D100%26hl%3Den%26lr%3D" TargetMode="External"/><Relationship Id="rId38" Type="http://schemas.openxmlformats.org/officeDocument/2006/relationships/hyperlink" Target="https://doi.org/10.1093/deafed/enab012" TargetMode="External"/><Relationship Id="rId46" Type="http://schemas.openxmlformats.org/officeDocument/2006/relationships/hyperlink" Target="https://doi.org/10.1093/deafed/enr01" TargetMode="External"/><Relationship Id="rId59" Type="http://schemas.openxmlformats.org/officeDocument/2006/relationships/theme" Target="theme/theme1.xml"/><Relationship Id="rId20" Type="http://schemas.openxmlformats.org/officeDocument/2006/relationships/hyperlink" Target="about:blank" TargetMode="External"/><Relationship Id="rId41" Type="http://schemas.openxmlformats.org/officeDocument/2006/relationships/hyperlink" Target="https://doi.org/10.12973/iji.2018.11128a" TargetMode="External"/><Relationship Id="rId54" Type="http://schemas.openxmlformats.org/officeDocument/2006/relationships/hyperlink" Target="https://www.jstor.org/stable/44392607"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digscholarship.unco.edu/dissertations/567" TargetMode="External"/><Relationship Id="rId23" Type="http://schemas.openxmlformats.org/officeDocument/2006/relationships/hyperlink" Target="https://doi.org/10.1080/00098655.2015.1005036" TargetMode="External"/><Relationship Id="rId28" Type="http://schemas.openxmlformats.org/officeDocument/2006/relationships/hyperlink" Target="https://doi.org/" TargetMode="External"/><Relationship Id="rId36" Type="http://schemas.openxmlformats.org/officeDocument/2006/relationships/hyperlink" Target="https://doi.org/10.1093/deafed/enab012" TargetMode="External"/><Relationship Id="rId49" Type="http://schemas.openxmlformats.org/officeDocument/2006/relationships/hyperlink" Target="https://doi.org/10.1177/00144029211050849" TargetMode="External"/><Relationship Id="rId57" Type="http://schemas.openxmlformats.org/officeDocument/2006/relationships/header" Target="header1.xml"/><Relationship Id="rId10" Type="http://schemas.openxmlformats.org/officeDocument/2006/relationships/hyperlink" Target="https://orcid.org/0000-0001-6427-763X" TargetMode="External"/><Relationship Id="rId31" Type="http://schemas.openxmlformats.org/officeDocument/2006/relationships/hyperlink" Target="https://doi.org/10.1093/deafed/enab012" TargetMode="External"/><Relationship Id="rId44" Type="http://schemas.openxmlformats.org/officeDocument/2006/relationships/hyperlink" Target="https://doi.org/10.1007/s12528-017-9154-0" TargetMode="External"/><Relationship Id="rId52" Type="http://schemas.openxmlformats.org/officeDocument/2006/relationships/hyperlink" Target="https://doi.org/10.1080/00220671.2015.1039112"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2OArGElkonRrvvyXhOmS0UiIUQ==">CgMxLjA4AGogChRzdWdnZXN0Lml5cHhscTgxbTMweBIIa3dvbGJlcnNqIAoUc3VnZ2VzdC52OG01OW9icG5saWoSCGt3b2xiZXJzciExUnNXRERxZ1F6SGpodFV6aGtMRThzbDZWNXVYcjg4dHQ=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61</Pages>
  <Words>17214</Words>
  <Characters>98126</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Coker</dc:creator>
  <cp:lastModifiedBy>kwolbers</cp:lastModifiedBy>
  <cp:revision>6</cp:revision>
  <dcterms:created xsi:type="dcterms:W3CDTF">2025-12-12T23:58:00Z</dcterms:created>
  <dcterms:modified xsi:type="dcterms:W3CDTF">2026-07-13T18:46:00Z</dcterms:modified>
</cp:coreProperties>
</file>